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A782A" w:rsidP="00EA782A" w:rsidRDefault="00EA782A" w14:paraId="09550A73" w14:textId="7DFBFFED">
      <w:pPr>
        <w:pStyle w:val="Heading1"/>
      </w:pPr>
      <w:r w:rsidRPr="00EA782A">
        <w:t>Liability by Omission</w:t>
      </w:r>
    </w:p>
    <w:p w:rsidR="003D078F" w:rsidP="003D078F" w:rsidRDefault="001456BF" w14:paraId="17381AF5" w14:textId="7265E721">
      <w:r w:rsidR="3F9A754F">
        <w:rPr/>
        <w:t xml:space="preserve">There are certain circumstances when failure to act is punishable under English law. An omission relates to a failure to fulfill a moral or legal obligation. Neglecting to </w:t>
      </w:r>
      <w:bookmarkStart w:name="_Int_T1EakZGt" w:id="850160071"/>
      <w:r w:rsidR="3F9A754F">
        <w:rPr/>
        <w:t>act</w:t>
      </w:r>
      <w:bookmarkEnd w:id="850160071"/>
      <w:r w:rsidR="3F9A754F">
        <w:rPr/>
        <w:t xml:space="preserve"> might have detrimental effects. However, UK criminal law imposes accountability on people w</w:t>
      </w:r>
      <w:r w:rsidR="3F9A754F">
        <w:rPr/>
        <w:t xml:space="preserve">ho </w:t>
      </w:r>
      <w:r w:rsidR="3F9A754F">
        <w:rPr/>
        <w:t>fail</w:t>
      </w:r>
      <w:r w:rsidR="3F9A754F">
        <w:rPr/>
        <w:t xml:space="preserve"> to</w:t>
      </w:r>
      <w:r w:rsidR="3F9A754F">
        <w:rPr/>
        <w:t xml:space="preserve"> safeguard the person or property for which they are accountable in situations when a defendant has a responsibility (assumed or imposed). The enactment of criminal responsibility for inaction raises questions about the type of society we would wish to live in</w:t>
      </w:r>
      <w:r w:rsidRPr="3F9A754F" w:rsidR="3F9A754F">
        <w:rPr>
          <w:noProof/>
        </w:rPr>
        <w:t xml:space="preserve"> (Sheikh, M. S. H., 2017)</w:t>
      </w:r>
      <w:r w:rsidR="3F9A754F">
        <w:rPr/>
        <w:t xml:space="preserve">. The difficulty </w:t>
      </w:r>
      <w:r w:rsidR="3F9A754F">
        <w:rPr/>
        <w:t xml:space="preserve">in </w:t>
      </w:r>
      <w:r w:rsidR="3F9A754F">
        <w:rPr/>
        <w:t>identify</w:t>
      </w:r>
      <w:r w:rsidR="3F9A754F">
        <w:rPr/>
        <w:t>ing</w:t>
      </w:r>
      <w:r w:rsidR="3F9A754F">
        <w:rPr/>
        <w:t xml:space="preserve"> the nature and scope of any broad responsibility to act might be one factor. A broad obligation to act might threaten individual freedom and impose a communal responsibility, according to certain authors, who also </w:t>
      </w:r>
      <w:bookmarkStart w:name="_Int_HEWWXt6Q" w:id="847115725"/>
      <w:r w:rsidR="3F9A754F">
        <w:rPr/>
        <w:t>emphasize</w:t>
      </w:r>
      <w:bookmarkEnd w:id="847115725"/>
      <w:r w:rsidR="3F9A754F">
        <w:rPr/>
        <w:t xml:space="preserve"> the necessity of preserving individual liberties</w:t>
      </w:r>
      <w:r w:rsidRPr="3F9A754F" w:rsidR="3F9A754F">
        <w:rPr>
          <w:noProof/>
        </w:rPr>
        <w:t xml:space="preserve"> (Bayliss, G, 2013)</w:t>
      </w:r>
      <w:r w:rsidR="3F9A754F">
        <w:rPr/>
        <w:t>.</w:t>
      </w:r>
    </w:p>
    <w:p w:rsidR="008A6176" w:rsidP="003D078F" w:rsidRDefault="008A6176" w14:paraId="0554C5FE" w14:textId="77777777">
      <w:r w:rsidRPr="008A6176">
        <w:t xml:space="preserve">Whether or not there was a discernible responsibility to act in the circumstances at hand determines liability. Said obligations may result from: </w:t>
      </w:r>
    </w:p>
    <w:p w:rsidR="008A6176" w:rsidP="008A6176" w:rsidRDefault="008A6176" w14:paraId="45809BF0" w14:textId="12E3300A">
      <w:pPr>
        <w:pStyle w:val="ListParagraph"/>
        <w:numPr>
          <w:ilvl w:val="0"/>
          <w:numId w:val="2"/>
        </w:numPr>
        <w:rPr/>
      </w:pPr>
      <w:r w:rsidR="3F9A754F">
        <w:rPr/>
        <w:t xml:space="preserve">A contract, as in R v. </w:t>
      </w:r>
      <w:r w:rsidR="3F9A754F">
        <w:rPr/>
        <w:t>Pittwood</w:t>
      </w:r>
      <w:r w:rsidR="3F9A754F">
        <w:rPr/>
        <w:t xml:space="preserve"> (1902)</w:t>
      </w:r>
    </w:p>
    <w:p w:rsidR="008A6176" w:rsidP="008A6176" w:rsidRDefault="008A6176" w14:paraId="669FA289" w14:textId="17049798">
      <w:pPr>
        <w:pStyle w:val="ListParagraph"/>
        <w:numPr>
          <w:ilvl w:val="0"/>
          <w:numId w:val="2"/>
        </w:numPr>
        <w:rPr/>
      </w:pPr>
      <w:r w:rsidR="3F9A754F">
        <w:rPr/>
        <w:t>a relationship, as in the parent-child connection depicted in Gibbins and Proctor (1918)</w:t>
      </w:r>
    </w:p>
    <w:p w:rsidR="008A6176" w:rsidP="008A6176" w:rsidRDefault="008A6176" w14:paraId="4F06E9B6" w14:textId="7AAEE27C">
      <w:pPr>
        <w:pStyle w:val="ListParagraph"/>
        <w:numPr>
          <w:ilvl w:val="0"/>
          <w:numId w:val="2"/>
        </w:numPr>
        <w:rPr/>
      </w:pPr>
      <w:r w:rsidRPr="008A6176">
        <w:rPr/>
        <w:t>the formation of a hazardous situation</w:t>
      </w:r>
      <w:r w:rsidR="008142C1">
        <w:rPr/>
        <w:t>,</w:t>
      </w:r>
      <w:r w:rsidRPr="008A6176">
        <w:rPr/>
        <w:t xml:space="preserve"> </w:t>
      </w:r>
      <w:r w:rsidR="008142C1">
        <w:rPr/>
        <w:t>i</w:t>
      </w:r>
      <w:r w:rsidRPr="008A6176">
        <w:rPr/>
        <w:t>n the case of R v. Miller</w:t>
      </w:r>
      <w:sdt>
        <w:sdtPr>
          <w:id w:val="1287387586"/>
          <w:citation/>
          <w:lock w:val="contentLocked"/>
          <w:placeholder>
            <w:docPart w:val="DefaultPlaceholder_1081868574"/>
          </w:placeholder>
        </w:sdtPr>
        <w:sdtContent>
          <w:r>
            <w:fldChar w:fldCharType="begin"/>
          </w:r>
          <w:r>
            <w:instrText xml:space="preserve"> CITATION Law20 \l 1033 </w:instrText>
          </w:r>
          <w:r>
            <w:fldChar w:fldCharType="separate"/>
          </w:r>
          <w:r>
            <w:rPr>
              <w:noProof/>
            </w:rPr>
            <w:t xml:space="preserve"> (LawTeacher, 2020)</w:t>
          </w:r>
          <w:r>
            <w:fldChar w:fldCharType="end"/>
          </w:r>
        </w:sdtContent>
      </w:sdt>
      <w:r w:rsidRPr="008A6176">
        <w:rPr/>
        <w:t xml:space="preserve">." </w:t>
      </w:r>
    </w:p>
    <w:p w:rsidR="008A6176" w:rsidP="003D078F" w:rsidRDefault="008A6176" w14:paraId="01BE682C" w14:textId="3B36D694">
      <w:pPr>
        <w:pStyle w:val="ListParagraph"/>
        <w:numPr>
          <w:ilvl w:val="0"/>
          <w:numId w:val="2"/>
        </w:numPr>
        <w:rPr/>
      </w:pPr>
      <w:r w:rsidR="3F9A754F">
        <w:rPr/>
        <w:t>Or the duty resulting from the assumption of care for someone unable to care for themselves, as shown in Stone and Dobinson (1977).</w:t>
      </w:r>
    </w:p>
    <w:p w:rsidR="3F9A754F" w:rsidP="3F9A754F" w:rsidRDefault="3F9A754F" w14:paraId="07E380E1" w14:textId="55F08D53">
      <w:pPr>
        <w:pStyle w:val="ListParagraph"/>
        <w:numPr>
          <w:ilvl w:val="0"/>
          <w:numId w:val="2"/>
        </w:numPr>
        <w:rPr/>
      </w:pPr>
      <w:r w:rsidR="3F9A754F">
        <w:rPr/>
        <w:t xml:space="preserve">A duty to act through one’s official position, R v. </w:t>
      </w:r>
      <w:r w:rsidR="3F9A754F">
        <w:rPr/>
        <w:t>Dytham</w:t>
      </w:r>
      <w:r w:rsidR="3F9A754F">
        <w:rPr/>
        <w:t xml:space="preserve"> (1979)</w:t>
      </w:r>
    </w:p>
    <w:p w:rsidR="3F9A754F" w:rsidP="3F9A754F" w:rsidRDefault="3F9A754F" w14:paraId="71D799F7" w14:textId="57FA33A3">
      <w:pPr>
        <w:pStyle w:val="Normal"/>
        <w:ind w:left="0"/>
      </w:pPr>
    </w:p>
    <w:p w:rsidR="00EA782A" w:rsidP="00992E52" w:rsidRDefault="00292450" w14:paraId="43C2C88D" w14:textId="633883EE">
      <w:pPr>
        <w:pStyle w:val="Heading2"/>
      </w:pPr>
      <w:r w:rsidR="3F9A754F">
        <w:rPr/>
        <w:t xml:space="preserve">A Part </w:t>
      </w:r>
      <w:bookmarkStart w:name="_Int_OQSiA9JI" w:id="187837786"/>
      <w:r w:rsidR="3F9A754F">
        <w:rPr/>
        <w:t>of</w:t>
      </w:r>
      <w:bookmarkEnd w:id="187837786"/>
      <w:r w:rsidR="3F9A754F">
        <w:rPr/>
        <w:t xml:space="preserve"> </w:t>
      </w:r>
      <w:bookmarkStart w:name="_Int_2WALedAC" w:id="1453941159"/>
      <w:r w:rsidR="3F9A754F">
        <w:rPr/>
        <w:t>a</w:t>
      </w:r>
      <w:bookmarkEnd w:id="1453941159"/>
      <w:r w:rsidR="3F9A754F">
        <w:rPr/>
        <w:t xml:space="preserve"> Crime that Failure </w:t>
      </w:r>
      <w:bookmarkStart w:name="_Int_mTw1bXLY" w:id="1447494625"/>
      <w:r w:rsidR="3F9A754F">
        <w:rPr/>
        <w:t>to</w:t>
      </w:r>
      <w:bookmarkEnd w:id="1447494625"/>
      <w:r w:rsidR="3F9A754F">
        <w:rPr/>
        <w:t xml:space="preserve"> Act Relates to</w:t>
      </w:r>
    </w:p>
    <w:p w:rsidR="009C7D7E" w:rsidP="009C7D7E" w:rsidRDefault="009C7D7E" w14:paraId="3662608F" w14:textId="546BDD9E">
      <w:r w:rsidR="3F9A754F">
        <w:rPr/>
        <w:t xml:space="preserve">The bodily involvement in any </w:t>
      </w:r>
      <w:bookmarkStart w:name="_Int_U9OnT5lF" w:id="967937023"/>
      <w:r w:rsidR="3F9A754F">
        <w:rPr/>
        <w:t>scenario</w:t>
      </w:r>
      <w:bookmarkEnd w:id="967937023"/>
      <w:r w:rsidR="3F9A754F">
        <w:rPr/>
        <w:t xml:space="preserve"> is referred to as an action. Most individuals understand that they will be </w:t>
      </w:r>
      <w:bookmarkStart w:name="_Int_9apW2DL4" w:id="1877247497"/>
      <w:r w:rsidR="3F9A754F">
        <w:rPr/>
        <w:t>penalized</w:t>
      </w:r>
      <w:bookmarkEnd w:id="1877247497"/>
      <w:r w:rsidR="3F9A754F">
        <w:rPr/>
        <w:t xml:space="preserve"> if they do unlawful conduct. Physical violence, theft, robbery, rape, murder, or manslaughter are examples of unlawful acts. These are the kinds of offences that would automatically carry a penalty under English and Welsh law. For neglecting to act in a certain circumstance, there is often no criminal culpability. If there were to be widespread culpability for the omission, we would be compelled to change our intentions and course of action to stop results that result from someone else's conduct</w:t>
      </w:r>
      <w:r w:rsidRPr="3F9A754F" w:rsidR="3F9A754F">
        <w:rPr>
          <w:noProof/>
        </w:rPr>
        <w:t xml:space="preserve"> (Laver, N, 2022)</w:t>
      </w:r>
      <w:r w:rsidR="3F9A754F">
        <w:rPr/>
        <w:t>.</w:t>
      </w:r>
    </w:p>
    <w:p w:rsidRPr="009C7D7E" w:rsidR="009C7D7E" w:rsidP="009C7D7E" w:rsidRDefault="009C7D7E" w14:paraId="346233E9" w14:textId="08A347FC">
      <w:r w:rsidRPr="009C7D7E">
        <w:rPr/>
        <w:t>Santanda</w:t>
      </w:r>
      <w:r w:rsidRPr="009C7D7E">
        <w:rPr/>
        <w:t xml:space="preserve"> Bermudez [2004]</w:t>
      </w:r>
      <w:r w:rsidR="00292450">
        <w:rPr/>
        <w:t xml:space="preserve">; </w:t>
      </w:r>
      <w:r w:rsidRPr="00502575" w:rsidR="00502575">
        <w:rPr/>
        <w:t xml:space="preserve">A hypodermic needle struck the victim, a police officer when she was examining a detained person's pockets. He had denied having any sharp objects on him when she inquired. The </w:t>
      </w:r>
      <w:bookmarkStart w:name="_Int_LxFKqHyC" w:id="1481033066"/>
      <w:r w:rsidR="008142C1">
        <w:rPr/>
        <w:t>defense's</w:t>
      </w:r>
      <w:bookmarkEnd w:id="1481033066"/>
      <w:r w:rsidRPr="00502575" w:rsidR="00502575">
        <w:rPr/>
        <w:t xml:space="preserve"> appeal was successful.</w:t>
      </w:r>
      <w:r w:rsidR="008142C1">
        <w:rPr/>
        <w:t xml:space="preserve"> </w:t>
      </w:r>
      <w:r w:rsidRPr="00502575" w:rsidR="00502575">
        <w:rPr/>
        <w:t xml:space="preserve">The court </w:t>
      </w:r>
      <w:r w:rsidR="00911D23">
        <w:rPr/>
        <w:t xml:space="preserve">debated </w:t>
      </w:r>
      <w:r w:rsidRPr="00502575" w:rsidR="00502575">
        <w:rPr/>
        <w:t xml:space="preserve">that </w:t>
      </w:r>
      <w:r w:rsidR="00911D23">
        <w:rPr/>
        <w:t xml:space="preserve">this case has the foundation for actus reus attack as evidence because harm on an actual body of a person </w:t>
      </w:r>
      <w:bookmarkStart w:name="_Int_07q0aSQh" w:id="865637038"/>
      <w:r w:rsidR="00911D23">
        <w:rPr/>
        <w:t>(through</w:t>
      </w:r>
      <w:bookmarkEnd w:id="865637038"/>
      <w:r w:rsidR="00911D23">
        <w:rPr/>
        <w:t xml:space="preserve"> speech</w:t>
      </w:r>
      <w:r w:rsidRPr="00502575" w:rsidR="00502575">
        <w:rPr/>
        <w:t xml:space="preserve"> </w:t>
      </w:r>
      <w:r w:rsidR="00911D23">
        <w:rPr/>
        <w:t xml:space="preserve">or </w:t>
      </w:r>
      <w:r w:rsidRPr="00502575" w:rsidR="00502575">
        <w:rPr/>
        <w:t xml:space="preserve">act) </w:t>
      </w:r>
      <w:r w:rsidRPr="00911D23" w:rsidR="00911D23">
        <w:rPr/>
        <w:t xml:space="preserve">there is proof to support the claim actus reus that the attack resulted in physical harm, which exposes another to a </w:t>
      </w:r>
      <w:r w:rsidRPr="00911D23" w:rsidR="00911D23">
        <w:rPr/>
        <w:t>reasonably foreseeable</w:t>
      </w:r>
      <w:r w:rsidRPr="00911D23" w:rsidR="00911D23">
        <w:rPr/>
        <w:t xml:space="preserve"> danger of injury that </w:t>
      </w:r>
      <w:bookmarkStart w:name="_Int_feXUw5nY" w:id="548973187"/>
      <w:r w:rsidRPr="00911D23" w:rsidR="00911D23">
        <w:rPr/>
        <w:t>materializes</w:t>
      </w:r>
      <w:bookmarkEnd w:id="548973187"/>
      <w:r w:rsidRPr="00502575" w:rsidR="00502575">
        <w:rPr/>
        <w:t xml:space="preserve">. The prosecution must still </w:t>
      </w:r>
      <w:r w:rsidRPr="00502575" w:rsidR="00502575">
        <w:rPr/>
        <w:t>establish</w:t>
      </w:r>
      <w:r w:rsidRPr="00502575" w:rsidR="00502575">
        <w:rPr/>
        <w:t xml:space="preserve"> an intent to attack or appropriate carelessness</w:t>
      </w:r>
      <w:sdt>
        <w:sdtPr>
          <w:id w:val="-2117584030"/>
          <w:citation/>
          <w:lock w:val="contentLocked"/>
          <w:placeholder>
            <w:docPart w:val="DefaultPlaceholder_1081868574"/>
          </w:placeholder>
        </w:sdtPr>
        <w:sdtContent>
          <w:r w:rsidR="00502575">
            <w:fldChar w:fldCharType="begin"/>
          </w:r>
          <w:r w:rsidR="00502575">
            <w:instrText xml:space="preserve"> CITATION Swa22 \l 1033 </w:instrText>
          </w:r>
          <w:r w:rsidR="00502575">
            <w:fldChar w:fldCharType="separate"/>
          </w:r>
          <w:r w:rsidR="00502575">
            <w:rPr>
              <w:noProof/>
            </w:rPr>
            <w:t xml:space="preserve"> (Swarb, 2022)</w:t>
          </w:r>
          <w:r w:rsidR="00502575">
            <w:fldChar w:fldCharType="end"/>
          </w:r>
        </w:sdtContent>
      </w:sdt>
      <w:r w:rsidRPr="00502575" w:rsidR="00502575">
        <w:rPr/>
        <w:t>.</w:t>
      </w:r>
    </w:p>
    <w:p w:rsidR="00EA782A" w:rsidP="00992E52" w:rsidRDefault="00292450" w14:paraId="2294B246" w14:textId="35BAA99E">
      <w:pPr>
        <w:pStyle w:val="Heading2"/>
      </w:pPr>
      <w:r w:rsidR="3F9A754F">
        <w:rPr/>
        <w:t xml:space="preserve">General Duty </w:t>
      </w:r>
      <w:bookmarkStart w:name="_Int_XdhmPRda" w:id="2066063332"/>
      <w:r w:rsidR="3F9A754F">
        <w:rPr/>
        <w:t>to</w:t>
      </w:r>
      <w:bookmarkEnd w:id="2066063332"/>
      <w:r w:rsidR="3F9A754F">
        <w:rPr/>
        <w:t xml:space="preserve"> Act </w:t>
      </w:r>
      <w:bookmarkStart w:name="_Int_S153nJXo" w:id="435687669"/>
      <w:r w:rsidR="3F9A754F">
        <w:rPr/>
        <w:t>in</w:t>
      </w:r>
      <w:bookmarkEnd w:id="435687669"/>
      <w:r w:rsidR="3F9A754F">
        <w:rPr/>
        <w:t xml:space="preserve"> Criminal Law</w:t>
      </w:r>
    </w:p>
    <w:p w:rsidR="00502575" w:rsidP="00502575" w:rsidRDefault="00320326" w14:paraId="697066BA" w14:textId="25952D6F">
      <w:r w:rsidRPr="00320326">
        <w:rPr/>
        <w:t>The actus reus of an offence often requires the defendant to do some sort of action; the defendant must act. Under English and Welsh law, there is no</w:t>
      </w:r>
      <w:r w:rsidR="00911D23">
        <w:rPr/>
        <w:t xml:space="preserve"> obligation</w:t>
      </w:r>
      <w:r w:rsidRPr="00320326">
        <w:rPr/>
        <w:t xml:space="preserve"> </w:t>
      </w:r>
      <w:r w:rsidR="00BA0DA3">
        <w:rPr/>
        <w:t>imposed</w:t>
      </w:r>
      <w:r w:rsidRPr="00320326">
        <w:rPr/>
        <w:t xml:space="preserve"> for someone to act. For instance, if someone watches someone drowning and has the opportunity to save them by tossing a buoyancy aid into the water nearby, but instead chooses not to do so and the drowning person perishes, the person who had the opportunity to intervene in the rescue is not in violation of the law</w:t>
      </w:r>
      <w:r w:rsidR="00BA0DA3">
        <w:rPr/>
        <w:t xml:space="preserve"> because it was not his duty but if there was someone else like a lifeguard on duty and he failed to save the drowning person, so he would be responsible because it is his duty to act</w:t>
      </w:r>
      <w:r w:rsidRPr="00320326">
        <w:rPr/>
        <w:t xml:space="preserve">. The prospective </w:t>
      </w:r>
      <w:r w:rsidR="00BA0DA3">
        <w:rPr/>
        <w:t xml:space="preserve">lifegua</w:t>
      </w:r>
      <w:r w:rsidR="00BA0DA3">
        <w:rPr/>
        <w:t xml:space="preserve">rd </w:t>
      </w:r>
      <w:r w:rsidRPr="00320326">
        <w:rPr/>
        <w:t xml:space="preserve">is required</w:t>
      </w:r>
      <w:r w:rsidRPr="00320326">
        <w:rPr/>
        <w:t xml:space="preserve"> to</w:t>
      </w:r>
      <w:r w:rsidRPr="00320326">
        <w:rPr/>
        <w:t xml:space="preserve"> intervene. </w:t>
      </w:r>
    </w:p>
    <w:p w:rsidR="00502575" w:rsidP="00502575" w:rsidRDefault="00320326" w14:paraId="580D2BB7" w14:textId="4AC015E2">
      <w:r w:rsidRPr="00320326">
        <w:rPr/>
        <w:t xml:space="preserve">In the case of Adomako (1995), the defendant was an </w:t>
      </w:r>
      <w:bookmarkStart w:name="_Int_Ijx3wAKw" w:id="977275804"/>
      <w:r w:rsidRPr="00320326">
        <w:rPr/>
        <w:t xml:space="preserve">anesthetist</w:t>
      </w:r>
      <w:bookmarkEnd w:id="977275804"/>
      <w:r w:rsidRPr="00320326">
        <w:rPr/>
        <w:t xml:space="preserve"> who had a duty and </w:t>
      </w:r>
      <w:r w:rsidRPr="00320326">
        <w:rPr/>
        <w:t xml:space="preserve">failed to</w:t>
      </w:r>
      <w:r w:rsidRPr="00320326">
        <w:rPr/>
        <w:t xml:space="preserve"> </w:t>
      </w:r>
      <w:bookmarkStart w:name="_Int_9PYsMU7f" w:id="903193369"/>
      <w:r w:rsidRPr="00320326">
        <w:rPr/>
        <w:t xml:space="preserve">realize</w:t>
      </w:r>
      <w:bookmarkEnd w:id="903193369"/>
      <w:r w:rsidRPr="00320326">
        <w:rPr/>
        <w:t xml:space="preserve"> a tube being disconnected which left the victim with fatal injuries and died. He breached his contractual duty to take care of patients. </w:t>
      </w:r>
      <w:r w:rsidRPr="00911D23" w:rsidR="00911D23">
        <w:rPr/>
        <w:t>When a responsibility to act is imposed, inaction can sometimes satisfy the actus reus of an offence</w:t>
      </w:r>
      <w:sdt>
        <w:sdtPr>
          <w:id w:val="1107615522"/>
          <w:citation/>
        </w:sdtPr>
        <w:sdtContent>
          <w:r>
            <w:fldChar w:fldCharType="begin"/>
          </w:r>
          <w:r>
            <w:instrText xml:space="preserve">CITATION Law \l 1033 </w:instrText>
          </w:r>
          <w:r>
            <w:fldChar w:fldCharType="separate"/>
          </w:r>
          <w:r>
            <w:rPr>
              <w:noProof/>
            </w:rPr>
            <w:t xml:space="preserve"> (LawTeacher., 2018)</w:t>
          </w:r>
          <w:r>
            <w:fldChar w:fldCharType="end"/>
          </w:r>
        </w:sdtContent>
      </w:sdt>
      <w:r w:rsidRPr="00320326">
        <w:rPr/>
        <w:t>.</w:t>
      </w:r>
    </w:p>
    <w:p w:rsidR="3F9A754F" w:rsidP="3F9A754F" w:rsidRDefault="3F9A754F" w14:paraId="6E59FC4E" w14:textId="5C7660F0">
      <w:pPr>
        <w:pStyle w:val="Heading2"/>
      </w:pPr>
    </w:p>
    <w:p w:rsidR="00EA782A" w:rsidP="00992E52" w:rsidRDefault="00292450" w14:paraId="3D87F43B" w14:textId="325FD64A">
      <w:pPr>
        <w:pStyle w:val="Heading2"/>
      </w:pPr>
      <w:r w:rsidR="3F9A754F">
        <w:rPr/>
        <w:t xml:space="preserve">Requirements For </w:t>
      </w:r>
      <w:bookmarkStart w:name="_Int_NCPwX2mS" w:id="1192593509"/>
      <w:r w:rsidR="3F9A754F">
        <w:rPr/>
        <w:t>a</w:t>
      </w:r>
      <w:bookmarkEnd w:id="1192593509"/>
      <w:r w:rsidR="3F9A754F">
        <w:rPr/>
        <w:t xml:space="preserve"> Crime </w:t>
      </w:r>
      <w:bookmarkStart w:name="_Int_Wg12Vzxl" w:id="1201975513"/>
      <w:r w:rsidR="3F9A754F">
        <w:rPr/>
        <w:t>to</w:t>
      </w:r>
      <w:bookmarkEnd w:id="1201975513"/>
      <w:r w:rsidR="3F9A754F">
        <w:rPr/>
        <w:t xml:space="preserve"> Be Committed </w:t>
      </w:r>
      <w:bookmarkStart w:name="_Int_GG4F2F7Q" w:id="1658871924"/>
      <w:r w:rsidR="3F9A754F">
        <w:rPr/>
        <w:t>by</w:t>
      </w:r>
      <w:bookmarkEnd w:id="1658871924"/>
      <w:r w:rsidR="3F9A754F">
        <w:rPr/>
        <w:t xml:space="preserve"> Omission</w:t>
      </w:r>
    </w:p>
    <w:p w:rsidR="005928FE" w:rsidP="00320326" w:rsidRDefault="00911D23" w14:paraId="007A87B3" w14:textId="7481D934">
      <w:r>
        <w:rPr/>
        <w:t>Many criminal acts may occasionally be based on a</w:t>
      </w:r>
      <w:r w:rsidRPr="005928FE" w:rsidR="005928FE">
        <w:rPr/>
        <w:t xml:space="preserve">n omission or </w:t>
      </w:r>
      <w:r>
        <w:rPr/>
        <w:t>someone’s</w:t>
      </w:r>
      <w:r w:rsidRPr="005928FE" w:rsidR="005928FE">
        <w:rPr/>
        <w:t xml:space="preserve"> failure to </w:t>
      </w:r>
      <w:r w:rsidRPr="00911D23">
        <w:rPr/>
        <w:t>exercise moderate caution</w:t>
      </w:r>
      <w:r w:rsidRPr="005928FE" w:rsidR="005928FE">
        <w:rPr/>
        <w:t xml:space="preserve">. However, assuming he caused no damage is insufficient when a law calls for specified </w:t>
      </w:r>
      <w:bookmarkStart w:name="_Int_Aq43vDeV" w:id="974079826"/>
      <w:r w:rsidRPr="005928FE" w:rsidR="005928FE">
        <w:rPr/>
        <w:t xml:space="preserve">behavior</w:t>
      </w:r>
      <w:bookmarkEnd w:id="974079826"/>
      <w:r w:rsidRPr="005928FE" w:rsidR="005928FE">
        <w:rPr/>
        <w:t xml:space="preserve"> on the part of a person. By doing nothing in these situations, society is wronged </w:t>
      </w:r>
      <w:r w:rsidRPr="005928FE" w:rsidR="005928FE">
        <w:rPr/>
        <w:t xml:space="preserve">(in the proper manner). The perpetrator still </w:t>
      </w:r>
      <w:bookmarkStart w:name="_Int_uBWa3Kjg" w:id="461890084"/>
      <w:r w:rsidRPr="005928FE" w:rsidR="005928FE">
        <w:rPr/>
        <w:t xml:space="preserve">must</w:t>
      </w:r>
      <w:bookmarkEnd w:id="461890084"/>
      <w:r w:rsidRPr="005928FE" w:rsidR="005928FE">
        <w:rPr/>
        <w:lastRenderedPageBreak/>
        <w:t xml:space="preserve"> have the necessary </w:t>
      </w:r>
      <w:r w:rsidR="00BA0DA3">
        <w:rPr/>
        <w:t>mens</w:t>
      </w:r>
      <w:r w:rsidRPr="005928FE" w:rsidR="005928FE">
        <w:rPr/>
        <w:t xml:space="preserve"> rea to be held criminally accountable, even though there is a responsibility to act</w:t>
      </w:r>
      <w:sdt>
        <w:sdtPr>
          <w:id w:val="1345826281"/>
          <w:citation/>
          <w:lock w:val="contentLocked"/>
          <w:placeholder>
            <w:docPart w:val="DefaultPlaceholder_1081868574"/>
          </w:placeholder>
        </w:sdtPr>
        <w:sdtContent>
          <w:r w:rsidR="005928FE">
            <w:fldChar w:fldCharType="begin"/>
          </w:r>
          <w:r w:rsidR="005928FE">
            <w:instrText xml:space="preserve"> CITATION Ple21 \l 1033 </w:instrText>
          </w:r>
          <w:r w:rsidR="005928FE">
            <w:fldChar w:fldCharType="separate"/>
          </w:r>
          <w:r w:rsidR="005928FE">
            <w:rPr>
              <w:noProof/>
            </w:rPr>
            <w:t xml:space="preserve"> (Pleaders, 2021)</w:t>
          </w:r>
          <w:r w:rsidR="005928FE">
            <w:fldChar w:fldCharType="end"/>
          </w:r>
        </w:sdtContent>
      </w:sdt>
      <w:r w:rsidRPr="005928FE" w:rsidR="005928FE">
        <w:rPr/>
        <w:t>.</w:t>
      </w:r>
    </w:p>
    <w:p w:rsidR="005928FE" w:rsidP="005928FE" w:rsidRDefault="005928FE" w14:paraId="1A05BA96" w14:textId="04052EB8">
      <w:r w:rsidR="3F9A754F">
        <w:rPr/>
        <w:t>R v Miller (1983), 2 AC 161; the person held accountable had spent all his evening drinking and ended up sleeping drunk. Before sleeping he did not realize the fact, he was holding a cigarette while lying on the mattress. He woke up in the mid of a fire but instead of calling the fire brigade or doing something about the fire he went to another room and fell asleep. He had brought about a horrific situation and had a duty to call the fire brigade. He was accountable for his failure to do so</w:t>
      </w:r>
      <w:r w:rsidRPr="3F9A754F" w:rsidR="3F9A754F">
        <w:rPr>
          <w:noProof/>
        </w:rPr>
        <w:t xml:space="preserve"> (Lawresources, 2022)</w:t>
      </w:r>
      <w:r w:rsidR="3F9A754F">
        <w:rPr/>
        <w:t>. This can also be seen in the case of Gibbins and Proctor (1918).</w:t>
      </w:r>
    </w:p>
    <w:p w:rsidR="00EA782A" w:rsidP="00992E52" w:rsidRDefault="00292450" w14:paraId="23B15C3E" w14:textId="3EB1D982">
      <w:pPr>
        <w:pStyle w:val="Heading2"/>
      </w:pPr>
      <w:r w:rsidR="3F9A754F">
        <w:rPr/>
        <w:t xml:space="preserve">A Statutory Duty </w:t>
      </w:r>
      <w:bookmarkStart w:name="_Int_ssnvg2EF" w:id="1577479608"/>
      <w:r w:rsidR="3F9A754F">
        <w:rPr/>
        <w:t>to</w:t>
      </w:r>
      <w:bookmarkEnd w:id="1577479608"/>
      <w:r w:rsidR="3F9A754F">
        <w:rPr/>
        <w:t xml:space="preserve"> Act Be Present</w:t>
      </w:r>
    </w:p>
    <w:p w:rsidR="005928FE" w:rsidP="005928FE" w:rsidRDefault="00C17E87" w14:paraId="65627B8B" w14:textId="4581CB68">
      <w:r w:rsidR="3F9A754F">
        <w:rPr/>
        <w:t xml:space="preserve">A defendant is required by law to take the </w:t>
      </w:r>
      <w:r w:rsidR="3F9A754F">
        <w:rPr/>
        <w:t>appropriate action</w:t>
      </w:r>
      <w:r w:rsidR="3F9A754F">
        <w:rPr/>
        <w:t xml:space="preserve"> to prevent harm from being done to another person or the </w:t>
      </w:r>
      <w:bookmarkStart w:name="_Int_rRrMzxhB" w:id="1166874625"/>
      <w:bookmarkStart w:name="_Int_zZHA0zuA" w:id="835675298"/>
      <w:r w:rsidR="3F9A754F">
        <w:rPr/>
        <w:t>public</w:t>
      </w:r>
      <w:bookmarkEnd w:id="835675298"/>
      <w:r w:rsidR="3F9A754F">
        <w:rPr/>
        <w:t>.</w:t>
      </w:r>
      <w:bookmarkEnd w:id="1166874625"/>
      <w:r w:rsidR="3F9A754F">
        <w:rPr/>
        <w:t xml:space="preserve"> Only a few instances give rise to an obligation to act under criminal law. The most notable of these is probably when there is a domestic or family link between the parties</w:t>
      </w:r>
      <w:r w:rsidRPr="3F9A754F" w:rsidR="3F9A754F">
        <w:rPr>
          <w:noProof/>
        </w:rPr>
        <w:t xml:space="preserve"> (Clarke, P, 2018)</w:t>
      </w:r>
      <w:r w:rsidR="3F9A754F">
        <w:rPr/>
        <w:t xml:space="preserve">. </w:t>
      </w:r>
    </w:p>
    <w:p w:rsidR="001456BF" w:rsidP="005928FE" w:rsidRDefault="001456BF" w14:paraId="51A1A902" w14:textId="40828458">
      <w:r w:rsidRPr="001456BF">
        <w:rPr/>
        <w:t>Airedale NHS Trust v Bland (1993)</w:t>
      </w:r>
      <w:r>
        <w:rPr/>
        <w:t xml:space="preserve">; </w:t>
      </w:r>
      <w:r w:rsidRPr="001456BF">
        <w:rPr/>
        <w:t xml:space="preserve">Although doctors have a responsibility to act in their </w:t>
      </w:r>
      <w:r w:rsidR="008142C1">
        <w:rPr/>
        <w:t>patient’s</w:t>
      </w:r>
      <w:r w:rsidRPr="001456BF">
        <w:rPr/>
        <w:t xml:space="preserve"> best interests, this does not always include trying to extend life. The treatment Bland was getting was considered to not be in his best interests because there was no chance for change. However, in this case, it was legal to refuse Bland's life-prolonging therapy, which in this case was the nourishment he was receiving through a feeding tube. </w:t>
      </w:r>
      <w:r w:rsidR="008142C1">
        <w:rPr/>
        <w:t>The appeal</w:t>
      </w:r>
      <w:r w:rsidRPr="001456BF">
        <w:rPr/>
        <w:t xml:space="preserve"> was denied</w:t>
      </w:r>
      <w:sdt>
        <w:sdtPr>
          <w:id w:val="-81464604"/>
          <w:citation/>
          <w:lock w:val="contentLocked"/>
          <w:placeholder>
            <w:docPart w:val="DefaultPlaceholder_1081868574"/>
          </w:placeholder>
        </w:sdtPr>
        <w:sdtContent>
          <w:r>
            <w:fldChar w:fldCharType="begin"/>
          </w:r>
          <w:r>
            <w:instrText xml:space="preserve"> CITATION Law21 \l 1033 </w:instrText>
          </w:r>
          <w:r>
            <w:fldChar w:fldCharType="separate"/>
          </w:r>
          <w:r>
            <w:rPr>
              <w:noProof/>
            </w:rPr>
            <w:t xml:space="preserve"> (Lawteacher, 2021)</w:t>
          </w:r>
          <w:r>
            <w:fldChar w:fldCharType="end"/>
          </w:r>
        </w:sdtContent>
      </w:sdt>
      <w:r w:rsidRPr="001456BF">
        <w:rPr/>
        <w:t>.</w:t>
      </w:r>
    </w:p>
    <w:p w:rsidR="00EA782A" w:rsidP="00992E52" w:rsidRDefault="00292450" w14:paraId="662C8412" w14:textId="20D2B495">
      <w:pPr>
        <w:pStyle w:val="Heading2"/>
      </w:pPr>
      <w:r w:rsidR="3F9A754F">
        <w:rPr/>
        <w:t xml:space="preserve">A Contractual/ Duty Based </w:t>
      </w:r>
      <w:bookmarkStart w:name="_Int_aAnYYznC" w:id="547346666"/>
      <w:r w:rsidR="3F9A754F">
        <w:rPr/>
        <w:t>on</w:t>
      </w:r>
      <w:bookmarkEnd w:id="547346666"/>
      <w:r w:rsidR="3F9A754F">
        <w:rPr/>
        <w:t xml:space="preserve"> Office Be Present</w:t>
      </w:r>
    </w:p>
    <w:p w:rsidRPr="001456BF" w:rsidR="001456BF" w:rsidP="001456BF" w:rsidRDefault="00A85EAF" w14:paraId="20E3A32C" w14:textId="2F0E702E">
      <w:r w:rsidR="3F9A754F">
        <w:rPr/>
        <w:t xml:space="preserve">In R v. </w:t>
      </w:r>
      <w:r w:rsidR="3F9A754F">
        <w:rPr/>
        <w:t>Dytham</w:t>
      </w:r>
      <w:r w:rsidR="3F9A754F">
        <w:rPr/>
        <w:t xml:space="preserve"> (1979), a bouncer killed a guy by kicking him while a police officer did nothing. The court determined that such an offence might be committed by omission and affirmed his conviction for misconduct in a public position. Specific </w:t>
      </w:r>
      <w:bookmarkStart w:name="_Int_c8qJZPOd" w:id="1488563956"/>
      <w:r w:rsidR="3F9A754F">
        <w:rPr/>
        <w:t>misbehavior</w:t>
      </w:r>
      <w:bookmarkEnd w:id="1488563956"/>
      <w:r w:rsidR="3F9A754F">
        <w:rPr/>
        <w:t xml:space="preserve"> was not necessary</w:t>
      </w:r>
      <w:r w:rsidRPr="3F9A754F" w:rsidR="3F9A754F">
        <w:rPr>
          <w:noProof/>
        </w:rPr>
        <w:t xml:space="preserve"> (Laver, N, 2022)</w:t>
      </w:r>
      <w:r w:rsidR="3F9A754F">
        <w:rPr/>
        <w:t xml:space="preserve">. Since the crime specifically calls for </w:t>
      </w:r>
      <w:bookmarkStart w:name="_Int_SbxbIFp6" w:id="1253693650"/>
      <w:r w:rsidR="3F9A754F">
        <w:rPr/>
        <w:t>misbehavior</w:t>
      </w:r>
      <w:bookmarkEnd w:id="1253693650"/>
      <w:r w:rsidR="3F9A754F">
        <w:rPr/>
        <w:t xml:space="preserve">, he claimed, it could not be committed by omission. His guilt for misconduct in duty public service was </w:t>
      </w:r>
      <w:r w:rsidR="3F9A754F">
        <w:rPr/>
        <w:t>determined</w:t>
      </w:r>
      <w:r w:rsidR="3F9A754F">
        <w:rPr/>
        <w:t xml:space="preserve"> by the Crown Court.</w:t>
      </w:r>
    </w:p>
    <w:p w:rsidR="00EA782A" w:rsidP="00992E52" w:rsidRDefault="00292450" w14:paraId="54D3A6AA" w14:textId="4B3AE7B7">
      <w:pPr>
        <w:pStyle w:val="Heading2"/>
      </w:pPr>
      <w:r w:rsidR="3F9A754F">
        <w:rPr/>
        <w:t xml:space="preserve">A Common Law Duty </w:t>
      </w:r>
      <w:bookmarkStart w:name="_Int_vigg3G8R" w:id="424287361"/>
      <w:r w:rsidR="3F9A754F">
        <w:rPr/>
        <w:t>to</w:t>
      </w:r>
      <w:bookmarkEnd w:id="424287361"/>
      <w:r w:rsidR="3F9A754F">
        <w:rPr/>
        <w:t xml:space="preserve"> Act Arise</w:t>
      </w:r>
    </w:p>
    <w:p w:rsidRPr="00A85EAF" w:rsidR="00A85EAF" w:rsidP="00A85EAF" w:rsidRDefault="00B70DC7" w14:paraId="0EE5D55F" w14:textId="1F9DD1E3">
      <w:r w:rsidRPr="00B70DC7">
        <w:rPr/>
        <w:t xml:space="preserve">R v Stone and Dobinson </w:t>
      </w:r>
      <w:r>
        <w:rPr/>
        <w:t>–</w:t>
      </w:r>
      <w:r w:rsidRPr="00B70DC7">
        <w:rPr/>
        <w:t xml:space="preserve"> (1977)</w:t>
      </w:r>
      <w:r>
        <w:rPr/>
        <w:t xml:space="preserve">; </w:t>
      </w:r>
      <w:r w:rsidRPr="00B70DC7">
        <w:rPr/>
        <w:t xml:space="preserve">The victim, S's sister, was housed by the defendants, S and D, who were a couple. S was half blind and deaf, and he also had serious impairments. D struggled with his academics. The victim, who had long battled mental health problems and a fixation with her weight, was </w:t>
      </w:r>
      <w:r w:rsidRPr="00B70DC7">
        <w:rPr/>
        <w:t>rendered</w:t>
      </w:r>
      <w:r w:rsidRPr="00B70DC7">
        <w:rPr/>
        <w:t xml:space="preserve"> helpless while living with the defendants. She made some attempts, but they were insufficient and not </w:t>
      </w:r>
      <w:r w:rsidRPr="00B70DC7">
        <w:rPr/>
        <w:t>maintained</w:t>
      </w:r>
      <w:r w:rsidRPr="00B70DC7">
        <w:rPr/>
        <w:t>, and the victim died. Manslaughter charges were brought against the defendants.</w:t>
      </w:r>
      <w:r>
        <w:rPr/>
        <w:t xml:space="preserve"> </w:t>
      </w:r>
      <w:r w:rsidRPr="00B70DC7">
        <w:rPr/>
        <w:t xml:space="preserve">The victim was not just a lodger in the defendants' house, but also had closer links to each other, therefore the jury was allowed to </w:t>
      </w:r>
      <w:r w:rsidRPr="00B70DC7">
        <w:rPr/>
        <w:t xml:space="preserve">determine</w:t>
      </w:r>
      <w:r w:rsidRPr="00B70DC7">
        <w:rPr/>
        <w:t xml:space="preserve"> that a duty of care was </w:t>
      </w:r>
      <w:r w:rsidRPr="00B70DC7">
        <w:rPr/>
        <w:t xml:space="preserve">required</w:t>
      </w:r>
      <w:r w:rsidRPr="00B70DC7">
        <w:rPr/>
        <w:t xml:space="preserve">. Given that Stone was </w:t>
      </w:r>
      <w:r w:rsidR="008142C1">
        <w:rPr/>
        <w:t>blood-related</w:t>
      </w:r>
      <w:r w:rsidRPr="00B70DC7">
        <w:rPr/>
        <w:t>, a duty of care was due in her situation, and Dobinson had performed a duty of care by bathing and feeding her. The gross negligence manslaughter conviction was upheld</w:t>
      </w:r>
      <w:sdt>
        <w:sdtPr>
          <w:id w:val="-907912010"/>
          <w:citation/>
          <w:lock w:val="contentLocked"/>
          <w:placeholder>
            <w:docPart w:val="DefaultPlaceholder_1081868574"/>
          </w:placeholder>
        </w:sdtPr>
        <w:sdtContent>
          <w:r>
            <w:fldChar w:fldCharType="begin"/>
          </w:r>
          <w:r>
            <w:instrText xml:space="preserve"> CITATION Sim22 \l 1033 </w:instrText>
          </w:r>
          <w:r>
            <w:fldChar w:fldCharType="separate"/>
          </w:r>
          <w:r>
            <w:rPr>
              <w:noProof/>
            </w:rPr>
            <w:t xml:space="preserve"> (SimpleStudying, 2022)</w:t>
          </w:r>
          <w:r>
            <w:fldChar w:fldCharType="end"/>
          </w:r>
        </w:sdtContent>
      </w:sdt>
      <w:r w:rsidRPr="00B70DC7">
        <w:rPr/>
        <w:t xml:space="preserve">. A similar case that relates to this can be seen in R v </w:t>
      </w:r>
      <w:r w:rsidRPr="00B70DC7">
        <w:rPr/>
        <w:t>Instan</w:t>
      </w:r>
      <w:r w:rsidRPr="00B70DC7">
        <w:rPr/>
        <w:t xml:space="preserve"> (1893).</w:t>
      </w:r>
    </w:p>
    <w:p w:rsidR="00EA782A" w:rsidP="00992E52" w:rsidRDefault="00292450" w14:paraId="56ADB8D3" w14:textId="284718E7">
      <w:pPr>
        <w:pStyle w:val="Heading2"/>
      </w:pPr>
      <w:r w:rsidR="3F9A754F">
        <w:rPr/>
        <w:t xml:space="preserve">A Duty </w:t>
      </w:r>
      <w:bookmarkStart w:name="_Int_2ttjPqxF" w:id="1633582106"/>
      <w:r w:rsidR="3F9A754F">
        <w:rPr/>
        <w:t>to</w:t>
      </w:r>
      <w:bookmarkEnd w:id="1633582106"/>
      <w:r w:rsidR="3F9A754F">
        <w:rPr/>
        <w:t xml:space="preserve"> Act Stop</w:t>
      </w:r>
    </w:p>
    <w:p w:rsidRPr="00B70DC7" w:rsidR="00B70DC7" w:rsidP="00B70DC7" w:rsidRDefault="00292450" w14:paraId="23024E36" w14:textId="5FD7D5DF">
      <w:r w:rsidR="3F9A754F">
        <w:rPr/>
        <w:t xml:space="preserve">There are several instances where there may not otherwise be a responsibility to act, as with most things. For instance, even if you </w:t>
      </w:r>
      <w:r w:rsidR="3F9A754F">
        <w:rPr/>
        <w:t>are not required to</w:t>
      </w:r>
      <w:r w:rsidR="3F9A754F">
        <w:rPr/>
        <w:t xml:space="preserve"> aid an injured person, should you start doing so, you </w:t>
      </w:r>
      <w:r w:rsidR="3F9A754F">
        <w:rPr/>
        <w:t>are then required to</w:t>
      </w:r>
      <w:r w:rsidR="3F9A754F">
        <w:rPr/>
        <w:t xml:space="preserve"> continue </w:t>
      </w:r>
      <w:r w:rsidR="3F9A754F">
        <w:rPr/>
        <w:t>assisting</w:t>
      </w:r>
      <w:r w:rsidR="3F9A754F">
        <w:rPr/>
        <w:t xml:space="preserve"> them or be with them until help arrives; you cannot just abandon the individual. Otherwise, you are not accountable to help him from the beginning. </w:t>
      </w:r>
    </w:p>
    <w:p w:rsidR="00FF577C" w:rsidP="00992E52" w:rsidRDefault="00EA782A" w14:paraId="5FEA0501" w14:textId="46426310">
      <w:pPr>
        <w:pStyle w:val="Heading2"/>
      </w:pPr>
      <w:r w:rsidR="3F9A754F">
        <w:rPr/>
        <w:t xml:space="preserve">Should There Be </w:t>
      </w:r>
      <w:bookmarkStart w:name="_Int_rKwFv2jW" w:id="1988095013"/>
      <w:r w:rsidR="3F9A754F">
        <w:rPr/>
        <w:t>a</w:t>
      </w:r>
      <w:bookmarkEnd w:id="1988095013"/>
      <w:r w:rsidR="3F9A754F">
        <w:rPr/>
        <w:t xml:space="preserve"> General Duty </w:t>
      </w:r>
      <w:bookmarkStart w:name="_Int_4ggsH53m" w:id="206379610"/>
      <w:r w:rsidR="3F9A754F">
        <w:rPr/>
        <w:t>to</w:t>
      </w:r>
      <w:bookmarkEnd w:id="206379610"/>
      <w:r w:rsidR="3F9A754F">
        <w:rPr/>
        <w:t xml:space="preserve"> Act? Pros and Cons?</w:t>
      </w:r>
    </w:p>
    <w:p w:rsidR="00BA0DA3" w:rsidP="00292450" w:rsidRDefault="00BA0DA3" w14:paraId="11C26F04" w14:textId="132324F9">
      <w:r>
        <w:t>There should be a general duty to act as t</w:t>
      </w:r>
      <w:r w:rsidRPr="00BA0DA3">
        <w:t xml:space="preserve">here are no ideal </w:t>
      </w:r>
      <w:r w:rsidRPr="00BA0DA3" w:rsidR="00722D79">
        <w:t>answers but</w:t>
      </w:r>
      <w:r w:rsidRPr="00BA0DA3">
        <w:t xml:space="preserve"> advancing toward more socially conscious law would benefit us all and impose obligations.</w:t>
      </w:r>
      <w:r w:rsidRPr="00BA0DA3">
        <w:t xml:space="preserve"> </w:t>
      </w:r>
      <w:r w:rsidRPr="00292450" w:rsidR="00292450">
        <w:t xml:space="preserve">Conceptually, the strength </w:t>
      </w:r>
      <w:r w:rsidRPr="00292450" w:rsidR="00292450">
        <w:lastRenderedPageBreak/>
        <w:t xml:space="preserve">given to the duty/no-duty question is crucial because it establishes the scope of how culpable individuals are under tort law. </w:t>
      </w:r>
      <w:r>
        <w:t>It has its pros and cons.</w:t>
      </w:r>
    </w:p>
    <w:p w:rsidR="00BA0DA3" w:rsidP="00BA0DA3" w:rsidRDefault="00BA0DA3" w14:paraId="3A029B71" w14:textId="159A1B6A">
      <w:pPr>
        <w:pStyle w:val="Heading2"/>
      </w:pPr>
      <w:r>
        <w:t>Pros:</w:t>
      </w:r>
    </w:p>
    <w:p w:rsidR="00722D79" w:rsidP="00722D79" w:rsidRDefault="00722D79" w14:paraId="106DFFFB" w14:textId="64A9D451">
      <w:pPr>
        <w:pStyle w:val="ListParagraph"/>
        <w:numPr>
          <w:ilvl w:val="0"/>
          <w:numId w:val="3"/>
        </w:numPr>
        <w:rPr/>
      </w:pPr>
      <w:r w:rsidR="3F9A754F">
        <w:rPr/>
        <w:t xml:space="preserve">It highlights the level to which the law holds individuals responsible for their </w:t>
      </w:r>
      <w:r w:rsidR="3F9A754F">
        <w:rPr/>
        <w:t>misconduct</w:t>
      </w:r>
      <w:r w:rsidR="3F9A754F">
        <w:rPr/>
        <w:t>.</w:t>
      </w:r>
      <w:r w:rsidR="3F9A754F">
        <w:rPr/>
        <w:t xml:space="preserve"> </w:t>
      </w:r>
    </w:p>
    <w:p w:rsidR="00722D79" w:rsidP="00722D79" w:rsidRDefault="00292450" w14:paraId="43A7DE4B" w14:textId="6372518A">
      <w:pPr>
        <w:pStyle w:val="ListParagraph"/>
        <w:numPr>
          <w:ilvl w:val="0"/>
          <w:numId w:val="3"/>
        </w:numPr>
        <w:rPr/>
      </w:pPr>
      <w:r w:rsidR="3F9A754F">
        <w:rPr/>
        <w:t>The extent to which courts reject significant issues or refer these issues to juries for preliminary resolution depends on this balancing of interests.</w:t>
      </w:r>
      <w:r w:rsidR="3F9A754F">
        <w:rPr/>
        <w:t xml:space="preserve"> </w:t>
      </w:r>
    </w:p>
    <w:p w:rsidR="00722D79" w:rsidP="00722D79" w:rsidRDefault="00722D79" w14:paraId="3DB94C3D" w14:textId="3DC3A2FB">
      <w:pPr>
        <w:pStyle w:val="Heading2"/>
      </w:pPr>
      <w:r>
        <w:t>Cons:</w:t>
      </w:r>
    </w:p>
    <w:p w:rsidR="00722D79" w:rsidP="00722D79" w:rsidRDefault="00722D79" w14:paraId="1FA33A4B" w14:textId="2334C8D6">
      <w:pPr>
        <w:pStyle w:val="ListParagraph"/>
        <w:numPr>
          <w:ilvl w:val="0"/>
          <w:numId w:val="4"/>
        </w:numPr>
        <w:rPr/>
      </w:pPr>
      <w:r w:rsidR="3F9A754F">
        <w:rPr/>
        <w:t>Without any general duty</w:t>
      </w:r>
      <w:r w:rsidR="3F9A754F">
        <w:rPr/>
        <w:t xml:space="preserve"> regulations more cases involving negligence</w:t>
      </w:r>
      <w:r w:rsidR="3F9A754F">
        <w:rPr/>
        <w:t xml:space="preserve"> arise.</w:t>
      </w:r>
    </w:p>
    <w:p w:rsidR="00292450" w:rsidP="00F0148B" w:rsidRDefault="00722D79" w14:paraId="1ADFBF8B" w14:textId="19711B66">
      <w:pPr>
        <w:pStyle w:val="ListParagraph"/>
        <w:numPr>
          <w:ilvl w:val="0"/>
          <w:numId w:val="4"/>
        </w:numPr>
        <w:rPr/>
      </w:pPr>
      <w:r w:rsidR="3F9A754F">
        <w:rPr/>
        <w:t xml:space="preserve">It could also lead to misunderstandings between the people as people could be punished for not acting even if they </w:t>
      </w:r>
      <w:r w:rsidR="3F9A754F">
        <w:rPr/>
        <w:t>could not do anything</w:t>
      </w:r>
      <w:r w:rsidRPr="3F9A754F" w:rsidR="3F9A754F">
        <w:rPr>
          <w:noProof/>
        </w:rPr>
        <w:t xml:space="preserve"> (Owen, D., 2001)</w:t>
      </w:r>
      <w:r w:rsidR="3F9A754F">
        <w:rPr/>
        <w:t>.</w:t>
      </w:r>
    </w:p>
    <w:p w:rsidR="00292450" w:rsidP="3F9A754F" w:rsidRDefault="00292450" w14:paraId="71C779BA" w14:textId="5470E8DA">
      <w:pPr>
        <w:pStyle w:val="Heading1"/>
        <w:ind w:left="0"/>
      </w:pPr>
      <w:r w:rsidR="3F9A754F">
        <w:rPr/>
        <w:t>Conclusion</w:t>
      </w:r>
    </w:p>
    <w:p w:rsidR="008142C1" w:rsidP="00BA0DA3" w:rsidRDefault="00292450" w14:paraId="6E9C7FB6" w14:textId="1C8B85DB">
      <w:r w:rsidRPr="008A6176">
        <w:rPr/>
        <w:t>Liability for omissions is imposed by the law in a limited manner. The legal system distinguishes between willful misconduct, or doing nothing at all, and misfeasance, or acting recklessly. Willful misconduct is related to omissions</w:t>
      </w:r>
      <w:r w:rsidRPr="003D078F">
        <w:rPr/>
        <w:t>.</w:t>
      </w:r>
      <w:r>
        <w:rPr/>
        <w:t xml:space="preserve"> </w:t>
      </w:r>
      <w:r w:rsidRPr="008A6176">
        <w:rPr/>
        <w:t>The criminal code generally forbids harming others, but it does not hold people accountable for crimes committed by omission for failing to help someone in need</w:t>
      </w:r>
      <w:r w:rsidR="004039DF">
        <w:rPr/>
        <w:t xml:space="preserve"> without actual proof</w:t>
      </w:r>
      <w:r w:rsidRPr="008A6176">
        <w:rPr/>
        <w:t xml:space="preserve">. A requirement known as actus reus, or the guilty act, must be present </w:t>
      </w:r>
      <w:r w:rsidR="008142C1">
        <w:rPr/>
        <w:t>to</w:t>
      </w:r>
      <w:r w:rsidRPr="008A6176">
        <w:rPr/>
        <w:t xml:space="preserve"> establish criminal culpability</w:t>
      </w:r>
      <w:r w:rsidR="004039DF">
        <w:rPr/>
        <w:t xml:space="preserve"> in case of omission</w:t>
      </w:r>
      <w:sdt>
        <w:sdtPr>
          <w:id w:val="1237979422"/>
          <w:citation/>
          <w:lock w:val="contentLocked"/>
          <w:placeholder>
            <w:docPart w:val="DefaultPlaceholder_1081868574"/>
          </w:placeholder>
        </w:sdtPr>
        <w:sdtContent>
          <w:r>
            <w:fldChar w:fldCharType="begin"/>
          </w:r>
          <w:r>
            <w:instrText xml:space="preserve"> CITATION Law20 \l 1033 </w:instrText>
          </w:r>
          <w:r>
            <w:fldChar w:fldCharType="separate"/>
          </w:r>
          <w:r>
            <w:rPr>
              <w:noProof/>
            </w:rPr>
            <w:t xml:space="preserve"> (LawTeacher, 2020)</w:t>
          </w:r>
          <w:r>
            <w:fldChar w:fldCharType="end"/>
          </w:r>
        </w:sdtContent>
      </w:sdt>
      <w:r w:rsidRPr="008A6176">
        <w:rPr/>
        <w:t>.</w:t>
      </w:r>
      <w:r>
        <w:rPr/>
        <w:t xml:space="preserve"> </w:t>
      </w:r>
      <w:r w:rsidRPr="008142C1" w:rsidR="008142C1">
        <w:rPr/>
        <w:t xml:space="preserve">Every one of us should be subject to a general obligation to rescue or help those in need as a good </w:t>
      </w:r>
      <w:bookmarkStart w:name="_Int_i9rMtDfM" w:id="1085176625"/>
      <w:r w:rsidRPr="008142C1" w:rsidR="008142C1">
        <w:rPr/>
        <w:t xml:space="preserve">Samaritan</w:t>
      </w:r>
      <w:bookmarkEnd w:id="1085176625"/>
      <w:r w:rsidRPr="008142C1" w:rsidR="008142C1">
        <w:rPr/>
        <w:t xml:space="preserve">.</w:t>
      </w:r>
    </w:p>
    <w:p w:rsidR="008142C1" w:rsidP="00BA0DA3" w:rsidRDefault="00292450" w14:paraId="62F1C6F3" w14:textId="094B75C1">
      <w:r w:rsidR="008142C1">
        <w:br w:type="page"/>
      </w:r>
    </w:p>
    <w:sdt>
      <w:sdtPr>
        <w:rPr>
          <w:rFonts w:eastAsia="Times New Roman" w:cs="Times New Roman"/>
          <w:b w:val="0"/>
          <w:szCs w:val="24"/>
        </w:rPr>
        <w:id w:val="-261377662"/>
        <w:docPartObj>
          <w:docPartGallery w:val="Bibliographies"/>
          <w:docPartUnique/>
        </w:docPartObj>
      </w:sdtPr>
      <w:sdtContent>
        <w:p w:rsidR="008142C1" w:rsidRDefault="008142C1" w14:paraId="01BB229F" w14:textId="29713CCD">
          <w:pPr>
            <w:pStyle w:val="Heading1"/>
          </w:pPr>
          <w:r>
            <w:t>References</w:t>
          </w:r>
        </w:p>
        <w:sdt>
          <w:sdtPr>
            <w:id w:val="-573587230"/>
            <w:bibliography/>
          </w:sdtPr>
          <w:sdtContent>
            <w:p w:rsidR="008142C1" w:rsidP="008142C1" w:rsidRDefault="008142C1" w14:paraId="68927F74" w14:textId="231A452A">
              <w:pPr>
                <w:pStyle w:val="Bibliography"/>
                <w:rPr>
                  <w:noProof/>
                </w:rPr>
              </w:pPr>
              <w:r>
                <w:rPr>
                  <w:noProof/>
                </w:rPr>
                <w:t xml:space="preserve">Bayliss, G., (2013). Omission: when does failing to act. </w:t>
              </w:r>
              <w:r>
                <w:rPr>
                  <w:i/>
                  <w:iCs/>
                  <w:noProof/>
                </w:rPr>
                <w:t xml:space="preserve">Hodder Education, </w:t>
              </w:r>
              <w:r>
                <w:rPr>
                  <w:noProof/>
                </w:rPr>
                <w:t>9(1), p. 2.</w:t>
              </w:r>
            </w:p>
            <w:p w:rsidR="008142C1" w:rsidP="008142C1" w:rsidRDefault="008142C1" w14:paraId="573067E5" w14:textId="341144FA">
              <w:pPr>
                <w:pStyle w:val="Bibliography"/>
                <w:rPr>
                  <w:noProof/>
                </w:rPr>
              </w:pPr>
              <w:r>
                <w:rPr>
                  <w:noProof/>
                </w:rPr>
                <w:t xml:space="preserve">Clarke, P., (2018). Duty to Act. </w:t>
              </w:r>
              <w:r>
                <w:rPr>
                  <w:i/>
                  <w:iCs/>
                  <w:noProof/>
                </w:rPr>
                <w:t>Personal Injury Law</w:t>
              </w:r>
              <w:r>
                <w:rPr>
                  <w:noProof/>
                </w:rPr>
                <w:t xml:space="preserve">, 15 May. </w:t>
              </w:r>
            </w:p>
            <w:p w:rsidR="008142C1" w:rsidP="008142C1" w:rsidRDefault="008142C1" w14:paraId="770EA576" w14:textId="4DAB801F">
              <w:pPr>
                <w:pStyle w:val="Bibliography"/>
                <w:rPr>
                  <w:noProof/>
                </w:rPr>
              </w:pPr>
              <w:r>
                <w:rPr>
                  <w:noProof/>
                </w:rPr>
                <w:t xml:space="preserve">Laver, N., (2022). Can a failure to act make someone guilty in the eyes of the law?. </w:t>
              </w:r>
              <w:r>
                <w:rPr>
                  <w:i/>
                  <w:iCs/>
                  <w:noProof/>
                </w:rPr>
                <w:t>Offences</w:t>
              </w:r>
              <w:r>
                <w:rPr>
                  <w:noProof/>
                </w:rPr>
                <w:t xml:space="preserve">, 9 November. </w:t>
              </w:r>
            </w:p>
            <w:p w:rsidR="008142C1" w:rsidP="008142C1" w:rsidRDefault="008142C1" w14:paraId="07EEA7F1" w14:textId="24E5BDAB">
              <w:pPr>
                <w:pStyle w:val="Bibliography"/>
                <w:rPr>
                  <w:noProof/>
                </w:rPr>
              </w:pPr>
              <w:r>
                <w:rPr>
                  <w:noProof/>
                </w:rPr>
                <w:t xml:space="preserve">Lawresources, (2022). Actus Reus. </w:t>
              </w:r>
              <w:r>
                <w:rPr>
                  <w:i/>
                  <w:iCs/>
                  <w:noProof/>
                </w:rPr>
                <w:t>R v Miller</w:t>
              </w:r>
              <w:r>
                <w:rPr>
                  <w:noProof/>
                </w:rPr>
                <w:t xml:space="preserve">, 9 November. </w:t>
              </w:r>
            </w:p>
            <w:p w:rsidR="008142C1" w:rsidP="008142C1" w:rsidRDefault="008142C1" w14:paraId="69AD76A1" w14:textId="425773B7">
              <w:pPr>
                <w:pStyle w:val="Bibliography"/>
                <w:rPr>
                  <w:noProof/>
                </w:rPr>
              </w:pPr>
              <w:r>
                <w:rPr>
                  <w:noProof/>
                </w:rPr>
                <w:t xml:space="preserve">LawTeacher., (2018). Actus Reus Lecture. </w:t>
              </w:r>
              <w:r>
                <w:rPr>
                  <w:i/>
                  <w:iCs/>
                  <w:noProof/>
                </w:rPr>
                <w:t>Actus Reus Lecture</w:t>
              </w:r>
              <w:r>
                <w:rPr>
                  <w:noProof/>
                </w:rPr>
                <w:t>, November, p. 8.</w:t>
              </w:r>
            </w:p>
            <w:p w:rsidR="008142C1" w:rsidP="008142C1" w:rsidRDefault="008142C1" w14:paraId="3EACF387" w14:textId="6932B77D">
              <w:pPr>
                <w:pStyle w:val="Bibliography"/>
                <w:rPr>
                  <w:noProof/>
                </w:rPr>
              </w:pPr>
              <w:r>
                <w:rPr>
                  <w:noProof/>
                </w:rPr>
                <w:t xml:space="preserve">LawTeacher, (2020). Law of Omissions is too Narrow. </w:t>
              </w:r>
              <w:r>
                <w:rPr>
                  <w:i/>
                  <w:iCs/>
                  <w:noProof/>
                </w:rPr>
                <w:t>English Legal System</w:t>
              </w:r>
              <w:r>
                <w:rPr>
                  <w:noProof/>
                </w:rPr>
                <w:t>, 14 December, p. 9.</w:t>
              </w:r>
            </w:p>
            <w:p w:rsidR="008142C1" w:rsidP="008142C1" w:rsidRDefault="008142C1" w14:paraId="0C07513F" w14:textId="0ED0D86D">
              <w:pPr>
                <w:pStyle w:val="Bibliography"/>
                <w:rPr>
                  <w:noProof/>
                </w:rPr>
              </w:pPr>
              <w:r>
                <w:rPr>
                  <w:noProof/>
                </w:rPr>
                <w:t xml:space="preserve">Lawteacher, (2021). Airedale NHS Trust v Bland. </w:t>
              </w:r>
              <w:r>
                <w:rPr>
                  <w:i/>
                  <w:iCs/>
                  <w:noProof/>
                </w:rPr>
                <w:t xml:space="preserve">All Answers ltd </w:t>
              </w:r>
              <w:r>
                <w:rPr>
                  <w:noProof/>
                </w:rPr>
                <w:t>, 28 September, p. 1.</w:t>
              </w:r>
            </w:p>
            <w:p w:rsidR="008142C1" w:rsidP="008142C1" w:rsidRDefault="008142C1" w14:paraId="0FC49124" w14:textId="50F118BE">
              <w:pPr>
                <w:pStyle w:val="Bibliography"/>
                <w:rPr>
                  <w:noProof/>
                </w:rPr>
              </w:pPr>
              <w:r>
                <w:rPr>
                  <w:noProof/>
                </w:rPr>
                <w:t xml:space="preserve">Owen, D., (2001). Vanderbilt Law Review. </w:t>
              </w:r>
              <w:r>
                <w:rPr>
                  <w:i/>
                  <w:iCs/>
                  <w:noProof/>
                </w:rPr>
                <w:t xml:space="preserve">Duty Rules, </w:t>
              </w:r>
              <w:r>
                <w:rPr>
                  <w:noProof/>
                </w:rPr>
                <w:t>54(3), p. 767.</w:t>
              </w:r>
            </w:p>
            <w:p w:rsidR="008142C1" w:rsidP="008142C1" w:rsidRDefault="008142C1" w14:paraId="0300CED9" w14:textId="48CFC96D">
              <w:pPr>
                <w:pStyle w:val="Bibliography"/>
                <w:rPr>
                  <w:noProof/>
                </w:rPr>
              </w:pPr>
              <w:r>
                <w:rPr>
                  <w:noProof/>
                </w:rPr>
                <w:t xml:space="preserve">Pleaders, (2021). Types of omissions and their significance in a criminal trial. </w:t>
              </w:r>
              <w:r>
                <w:rPr>
                  <w:i/>
                  <w:iCs/>
                  <w:noProof/>
                </w:rPr>
                <w:t>Actus Reus</w:t>
              </w:r>
              <w:r>
                <w:rPr>
                  <w:noProof/>
                </w:rPr>
                <w:t xml:space="preserve">, 1 September. </w:t>
              </w:r>
            </w:p>
            <w:p w:rsidR="008142C1" w:rsidP="008142C1" w:rsidRDefault="008142C1" w14:paraId="510C1A38" w14:textId="5A0E6C16">
              <w:pPr>
                <w:pStyle w:val="Bibliography"/>
                <w:rPr>
                  <w:noProof/>
                </w:rPr>
              </w:pPr>
              <w:r>
                <w:rPr>
                  <w:noProof/>
                </w:rPr>
                <w:t xml:space="preserve">Sheikh, M. S. H., (2017). Failure to Act. </w:t>
              </w:r>
              <w:r>
                <w:rPr>
                  <w:i/>
                  <w:iCs/>
                  <w:noProof/>
                </w:rPr>
                <w:t xml:space="preserve">SSRN Electronic Journal, </w:t>
              </w:r>
              <w:r>
                <w:rPr>
                  <w:noProof/>
                </w:rPr>
                <w:t>181(48), pp. 872-874.</w:t>
              </w:r>
            </w:p>
            <w:p w:rsidR="008142C1" w:rsidP="008142C1" w:rsidRDefault="008142C1" w14:paraId="5856C9CF" w14:textId="645399D8">
              <w:pPr>
                <w:pStyle w:val="Bibliography"/>
                <w:rPr>
                  <w:noProof/>
                </w:rPr>
              </w:pPr>
              <w:r>
                <w:rPr>
                  <w:noProof/>
                </w:rPr>
                <w:t xml:space="preserve">SimpleStudying, (2022). R v Stone &amp; Dobinson [1977] 1 QB 354. 9 November. </w:t>
              </w:r>
            </w:p>
            <w:p w:rsidR="008142C1" w:rsidP="008142C1" w:rsidRDefault="008142C1" w14:paraId="032BDB3F" w14:textId="11D1F40E">
              <w:pPr>
                <w:pStyle w:val="Bibliography"/>
                <w:rPr>
                  <w:noProof/>
                </w:rPr>
              </w:pPr>
              <w:r>
                <w:rPr>
                  <w:noProof/>
                </w:rPr>
                <w:t xml:space="preserve">Swarb, (2022). Director of Public Prosecutions v Santa-Bermudez: Admn 13 Nov 2003. </w:t>
              </w:r>
              <w:r>
                <w:rPr>
                  <w:i/>
                  <w:iCs/>
                  <w:noProof/>
                </w:rPr>
                <w:t>Crime</w:t>
              </w:r>
              <w:r>
                <w:rPr>
                  <w:noProof/>
                </w:rPr>
                <w:t xml:space="preserve">, 4 May. </w:t>
              </w:r>
            </w:p>
          </w:sdtContent>
        </w:sdt>
      </w:sdtContent>
    </w:sdt>
    <w:p w:rsidRPr="00292450" w:rsidR="00292450" w:rsidP="00292450" w:rsidRDefault="00292450" w14:paraId="3BBF09B9" w14:textId="77777777"/>
    <w:sectPr w:rsidRPr="00292450" w:rsidR="00292450">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wViLTPnQq/FnQ2" int2:id="tfWFGflI">
      <int2:state int2:type="AugLoop_Text_Critique" int2:value="Rejected"/>
    </int2:textHash>
    <int2:textHash int2:hashCode="ypnpCXlvsG9C54" int2:id="I68GI8Yi">
      <int2:state int2:type="AugLoop_Text_Critique" int2:value="Rejected"/>
    </int2:textHash>
    <int2:textHash int2:hashCode="gxJf6+rgAzb6xQ" int2:id="kcC5hLcG">
      <int2:state int2:type="AugLoop_Text_Critique" int2:value="Rejected"/>
    </int2:textHash>
    <int2:bookmark int2:bookmarkName="_Int_i9rMtDfM" int2:invalidationBookmarkName="" int2:hashCode="HW6JipE8JWeqgN" int2:id="0qhZRDE7"/>
    <int2:bookmark int2:bookmarkName="_Int_aAnYYznC" int2:invalidationBookmarkName="" int2:hashCode="4ASaZlGcrnEVmA" int2:id="46QFaTiW"/>
    <int2:bookmark int2:bookmarkName="_Int_rKwFv2jW" int2:invalidationBookmarkName="" int2:hashCode="bc1M4j2I4u6VaL" int2:id="AXC9rZCk"/>
    <int2:bookmark int2:bookmarkName="_Int_4ggsH53m" int2:invalidationBookmarkName="" int2:hashCode="rnnqHpxjkantg6" int2:id="OyHE27GA"/>
    <int2:bookmark int2:bookmarkName="_Int_2ttjPqxF" int2:invalidationBookmarkName="" int2:hashCode="rnnqHpxjkantg6" int2:id="Lo9YCyDs"/>
    <int2:bookmark int2:bookmarkName="_Int_vigg3G8R" int2:invalidationBookmarkName="" int2:hashCode="rnnqHpxjkantg6" int2:id="XQa0OnTb"/>
    <int2:bookmark int2:bookmarkName="_Int_SbxbIFp6" int2:invalidationBookmarkName="" int2:hashCode="/0RQY7dtww5FiW" int2:id="deTYl2f7"/>
    <int2:bookmark int2:bookmarkName="_Int_c8qJZPOd" int2:invalidationBookmarkName="" int2:hashCode="/0RQY7dtww5FiW" int2:id="F8yAggfv"/>
    <int2:bookmark int2:bookmarkName="_Int_zZHA0zuA" int2:invalidationBookmarkName="" int2:hashCode="kmMiHdNZO5rjQT" int2:id="7mAEcivH"/>
    <int2:bookmark int2:bookmarkName="_Int_rRrMzxhB" int2:invalidationBookmarkName="" int2:hashCode="kmMiHdNZO5rjQT" int2:id="gAtaLs92">
      <int2:state int2:type="AugLoop_Text_Critique" int2:value="Rejected"/>
    </int2:bookmark>
    <int2:bookmark int2:bookmarkName="_Int_ssnvg2EF" int2:invalidationBookmarkName="" int2:hashCode="rnnqHpxjkantg6" int2:id="651fJwhc"/>
    <int2:bookmark int2:bookmarkName="_Int_uBWa3Kjg" int2:invalidationBookmarkName="" int2:hashCode="3aKsP3YcWmO9eC" int2:id="ISJw9CSi"/>
    <int2:bookmark int2:bookmarkName="_Int_Aq43vDeV" int2:invalidationBookmarkName="" int2:hashCode="v3jXqOAVqWKVSe" int2:id="VhGLWHLW"/>
    <int2:bookmark int2:bookmarkName="_Int_GG4F2F7Q" int2:invalidationBookmarkName="" int2:hashCode="z629eldxMwQaYP" int2:id="ErAKRrDI"/>
    <int2:bookmark int2:bookmarkName="_Int_Wg12Vzxl" int2:invalidationBookmarkName="" int2:hashCode="rnnqHpxjkantg6" int2:id="dCqmzCDK"/>
    <int2:bookmark int2:bookmarkName="_Int_NCPwX2mS" int2:invalidationBookmarkName="" int2:hashCode="bc1M4j2I4u6VaL" int2:id="45qFpgpn"/>
    <int2:bookmark int2:bookmarkName="_Int_Ijx3wAKw" int2:invalidationBookmarkName="" int2:hashCode="sDKD9Ac6dBEABH" int2:id="WrzUd2l2"/>
    <int2:bookmark int2:bookmarkName="_Int_9PYsMU7f" int2:invalidationBookmarkName="" int2:hashCode="bLNw5K/RtBTj6A" int2:id="zMXlN595"/>
    <int2:bookmark int2:bookmarkName="_Int_S153nJXo" int2:invalidationBookmarkName="" int2:hashCode="rvNlAtZ7BSBlTe" int2:id="YtiIm56F"/>
    <int2:bookmark int2:bookmarkName="_Int_feXUw5nY" int2:invalidationBookmarkName="" int2:hashCode="M/opTHCUXrBpZN" int2:id="Go26AkRn"/>
    <int2:bookmark int2:bookmarkName="_Int_XdhmPRda" int2:invalidationBookmarkName="" int2:hashCode="rnnqHpxjkantg6" int2:id="9M5aUxkZ"/>
    <int2:bookmark int2:bookmarkName="_Int_07q0aSQh" int2:invalidationBookmarkName="" int2:hashCode="ZFu+Q+BBJCoVQe" int2:id="h1UC5Hgx"/>
    <int2:bookmark int2:bookmarkName="_Int_LxFKqHyC" int2:invalidationBookmarkName="" int2:hashCode="3KRhHGxOnQ7NBa" int2:id="wLnL6bSk"/>
    <int2:bookmark int2:bookmarkName="_Int_OQSiA9JI" int2:invalidationBookmarkName="" int2:hashCode="t1EvORGpWNU7+L" int2:id="IwbmqApM"/>
    <int2:bookmark int2:bookmarkName="_Int_U9OnT5lF" int2:invalidationBookmarkName="" int2:hashCode="bBpIgVUKmBSw8Z" int2:id="ZXVqXyLB"/>
    <int2:bookmark int2:bookmarkName="_Int_9apW2DL4" int2:invalidationBookmarkName="" int2:hashCode="WYaCP1HURdm7PJ" int2:id="xocFzWML"/>
    <int2:bookmark int2:bookmarkName="_Int_mTw1bXLY" int2:invalidationBookmarkName="" int2:hashCode="rnnqHpxjkantg6" int2:id="gkXbEELi"/>
    <int2:bookmark int2:bookmarkName="_Int_2WALedAC" int2:invalidationBookmarkName="" int2:hashCode="bc1M4j2I4u6VaL" int2:id="wfvKxmmw"/>
    <int2:bookmark int2:bookmarkName="_Int_HEWWXt6Q" int2:invalidationBookmarkName="" int2:hashCode="7OmYag+MLKaTRs" int2:id="bciy09KA"/>
    <int2:bookmark int2:bookmarkName="_Int_T1EakZGt" int2:invalidationBookmarkName="" int2:hashCode="Hl7AA7SkXgmZVG" int2:id="Dit4NNV7"/>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6706"/>
    <w:multiLevelType w:val="hybridMultilevel"/>
    <w:tmpl w:val="379A69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D84351"/>
    <w:multiLevelType w:val="hybridMultilevel"/>
    <w:tmpl w:val="F6581D4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29B5AD6"/>
    <w:multiLevelType w:val="hybridMultilevel"/>
    <w:tmpl w:val="0A5CB92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66CD006C"/>
    <w:multiLevelType w:val="hybridMultilevel"/>
    <w:tmpl w:val="E1F8A6F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0569127">
    <w:abstractNumId w:val="0"/>
  </w:num>
  <w:num w:numId="2" w16cid:durableId="1856187797">
    <w:abstractNumId w:val="3"/>
  </w:num>
  <w:num w:numId="3" w16cid:durableId="75588961">
    <w:abstractNumId w:val="1"/>
  </w:num>
  <w:num w:numId="4" w16cid:durableId="14929881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82A"/>
    <w:rsid w:val="001456BF"/>
    <w:rsid w:val="0016561D"/>
    <w:rsid w:val="00292450"/>
    <w:rsid w:val="00320326"/>
    <w:rsid w:val="003D078F"/>
    <w:rsid w:val="004039DF"/>
    <w:rsid w:val="0040538B"/>
    <w:rsid w:val="00451540"/>
    <w:rsid w:val="00502575"/>
    <w:rsid w:val="005928FE"/>
    <w:rsid w:val="005B6373"/>
    <w:rsid w:val="00722D79"/>
    <w:rsid w:val="008142C1"/>
    <w:rsid w:val="008A6176"/>
    <w:rsid w:val="00911D23"/>
    <w:rsid w:val="00992E52"/>
    <w:rsid w:val="009C7D7E"/>
    <w:rsid w:val="00A85EAF"/>
    <w:rsid w:val="00B70DC7"/>
    <w:rsid w:val="00B93C67"/>
    <w:rsid w:val="00BA0DA3"/>
    <w:rsid w:val="00C17E87"/>
    <w:rsid w:val="00DD0E65"/>
    <w:rsid w:val="00EA3A61"/>
    <w:rsid w:val="00EA782A"/>
    <w:rsid w:val="00ED2FD8"/>
    <w:rsid w:val="00ED5FD5"/>
    <w:rsid w:val="00F0148B"/>
    <w:rsid w:val="00FF577C"/>
    <w:rsid w:val="3F9A7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E7B14"/>
  <w15:chartTrackingRefBased/>
  <w15:docId w15:val="{28ABD851-1D32-4346-98BA-956D50B1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2FD8"/>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5B637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6373"/>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8A6176"/>
    <w:pPr>
      <w:ind w:left="720"/>
      <w:contextualSpacing/>
    </w:pPr>
  </w:style>
  <w:style w:type="paragraph" w:styleId="Bibliography">
    <w:name w:val="Bibliography"/>
    <w:basedOn w:val="Normal"/>
    <w:next w:val="Normal"/>
    <w:uiPriority w:val="37"/>
    <w:unhideWhenUsed/>
    <w:rsid w:val="00814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8763">
      <w:bodyDiv w:val="1"/>
      <w:marLeft w:val="0"/>
      <w:marRight w:val="0"/>
      <w:marTop w:val="0"/>
      <w:marBottom w:val="0"/>
      <w:divBdr>
        <w:top w:val="none" w:sz="0" w:space="0" w:color="auto"/>
        <w:left w:val="none" w:sz="0" w:space="0" w:color="auto"/>
        <w:bottom w:val="none" w:sz="0" w:space="0" w:color="auto"/>
        <w:right w:val="none" w:sz="0" w:space="0" w:color="auto"/>
      </w:divBdr>
    </w:div>
    <w:div w:id="49616172">
      <w:bodyDiv w:val="1"/>
      <w:marLeft w:val="0"/>
      <w:marRight w:val="0"/>
      <w:marTop w:val="0"/>
      <w:marBottom w:val="0"/>
      <w:divBdr>
        <w:top w:val="none" w:sz="0" w:space="0" w:color="auto"/>
        <w:left w:val="none" w:sz="0" w:space="0" w:color="auto"/>
        <w:bottom w:val="none" w:sz="0" w:space="0" w:color="auto"/>
        <w:right w:val="none" w:sz="0" w:space="0" w:color="auto"/>
      </w:divBdr>
    </w:div>
    <w:div w:id="189072513">
      <w:bodyDiv w:val="1"/>
      <w:marLeft w:val="0"/>
      <w:marRight w:val="0"/>
      <w:marTop w:val="0"/>
      <w:marBottom w:val="0"/>
      <w:divBdr>
        <w:top w:val="none" w:sz="0" w:space="0" w:color="auto"/>
        <w:left w:val="none" w:sz="0" w:space="0" w:color="auto"/>
        <w:bottom w:val="none" w:sz="0" w:space="0" w:color="auto"/>
        <w:right w:val="none" w:sz="0" w:space="0" w:color="auto"/>
      </w:divBdr>
    </w:div>
    <w:div w:id="374238143">
      <w:bodyDiv w:val="1"/>
      <w:marLeft w:val="0"/>
      <w:marRight w:val="0"/>
      <w:marTop w:val="0"/>
      <w:marBottom w:val="0"/>
      <w:divBdr>
        <w:top w:val="none" w:sz="0" w:space="0" w:color="auto"/>
        <w:left w:val="none" w:sz="0" w:space="0" w:color="auto"/>
        <w:bottom w:val="none" w:sz="0" w:space="0" w:color="auto"/>
        <w:right w:val="none" w:sz="0" w:space="0" w:color="auto"/>
      </w:divBdr>
    </w:div>
    <w:div w:id="384380977">
      <w:bodyDiv w:val="1"/>
      <w:marLeft w:val="0"/>
      <w:marRight w:val="0"/>
      <w:marTop w:val="0"/>
      <w:marBottom w:val="0"/>
      <w:divBdr>
        <w:top w:val="none" w:sz="0" w:space="0" w:color="auto"/>
        <w:left w:val="none" w:sz="0" w:space="0" w:color="auto"/>
        <w:bottom w:val="none" w:sz="0" w:space="0" w:color="auto"/>
        <w:right w:val="none" w:sz="0" w:space="0" w:color="auto"/>
      </w:divBdr>
    </w:div>
    <w:div w:id="633025514">
      <w:bodyDiv w:val="1"/>
      <w:marLeft w:val="0"/>
      <w:marRight w:val="0"/>
      <w:marTop w:val="0"/>
      <w:marBottom w:val="0"/>
      <w:divBdr>
        <w:top w:val="none" w:sz="0" w:space="0" w:color="auto"/>
        <w:left w:val="none" w:sz="0" w:space="0" w:color="auto"/>
        <w:bottom w:val="none" w:sz="0" w:space="0" w:color="auto"/>
        <w:right w:val="none" w:sz="0" w:space="0" w:color="auto"/>
      </w:divBdr>
    </w:div>
    <w:div w:id="778455758">
      <w:bodyDiv w:val="1"/>
      <w:marLeft w:val="0"/>
      <w:marRight w:val="0"/>
      <w:marTop w:val="0"/>
      <w:marBottom w:val="0"/>
      <w:divBdr>
        <w:top w:val="none" w:sz="0" w:space="0" w:color="auto"/>
        <w:left w:val="none" w:sz="0" w:space="0" w:color="auto"/>
        <w:bottom w:val="none" w:sz="0" w:space="0" w:color="auto"/>
        <w:right w:val="none" w:sz="0" w:space="0" w:color="auto"/>
      </w:divBdr>
    </w:div>
    <w:div w:id="921646523">
      <w:bodyDiv w:val="1"/>
      <w:marLeft w:val="0"/>
      <w:marRight w:val="0"/>
      <w:marTop w:val="0"/>
      <w:marBottom w:val="0"/>
      <w:divBdr>
        <w:top w:val="none" w:sz="0" w:space="0" w:color="auto"/>
        <w:left w:val="none" w:sz="0" w:space="0" w:color="auto"/>
        <w:bottom w:val="none" w:sz="0" w:space="0" w:color="auto"/>
        <w:right w:val="none" w:sz="0" w:space="0" w:color="auto"/>
      </w:divBdr>
    </w:div>
    <w:div w:id="933974189">
      <w:bodyDiv w:val="1"/>
      <w:marLeft w:val="0"/>
      <w:marRight w:val="0"/>
      <w:marTop w:val="0"/>
      <w:marBottom w:val="0"/>
      <w:divBdr>
        <w:top w:val="none" w:sz="0" w:space="0" w:color="auto"/>
        <w:left w:val="none" w:sz="0" w:space="0" w:color="auto"/>
        <w:bottom w:val="none" w:sz="0" w:space="0" w:color="auto"/>
        <w:right w:val="none" w:sz="0" w:space="0" w:color="auto"/>
      </w:divBdr>
    </w:div>
    <w:div w:id="934364598">
      <w:bodyDiv w:val="1"/>
      <w:marLeft w:val="0"/>
      <w:marRight w:val="0"/>
      <w:marTop w:val="0"/>
      <w:marBottom w:val="0"/>
      <w:divBdr>
        <w:top w:val="none" w:sz="0" w:space="0" w:color="auto"/>
        <w:left w:val="none" w:sz="0" w:space="0" w:color="auto"/>
        <w:bottom w:val="none" w:sz="0" w:space="0" w:color="auto"/>
        <w:right w:val="none" w:sz="0" w:space="0" w:color="auto"/>
      </w:divBdr>
    </w:div>
    <w:div w:id="944383921">
      <w:bodyDiv w:val="1"/>
      <w:marLeft w:val="0"/>
      <w:marRight w:val="0"/>
      <w:marTop w:val="0"/>
      <w:marBottom w:val="0"/>
      <w:divBdr>
        <w:top w:val="none" w:sz="0" w:space="0" w:color="auto"/>
        <w:left w:val="none" w:sz="0" w:space="0" w:color="auto"/>
        <w:bottom w:val="none" w:sz="0" w:space="0" w:color="auto"/>
        <w:right w:val="none" w:sz="0" w:space="0" w:color="auto"/>
      </w:divBdr>
    </w:div>
    <w:div w:id="948005119">
      <w:bodyDiv w:val="1"/>
      <w:marLeft w:val="0"/>
      <w:marRight w:val="0"/>
      <w:marTop w:val="0"/>
      <w:marBottom w:val="0"/>
      <w:divBdr>
        <w:top w:val="none" w:sz="0" w:space="0" w:color="auto"/>
        <w:left w:val="none" w:sz="0" w:space="0" w:color="auto"/>
        <w:bottom w:val="none" w:sz="0" w:space="0" w:color="auto"/>
        <w:right w:val="none" w:sz="0" w:space="0" w:color="auto"/>
      </w:divBdr>
    </w:div>
    <w:div w:id="1032730439">
      <w:bodyDiv w:val="1"/>
      <w:marLeft w:val="0"/>
      <w:marRight w:val="0"/>
      <w:marTop w:val="0"/>
      <w:marBottom w:val="0"/>
      <w:divBdr>
        <w:top w:val="none" w:sz="0" w:space="0" w:color="auto"/>
        <w:left w:val="none" w:sz="0" w:space="0" w:color="auto"/>
        <w:bottom w:val="none" w:sz="0" w:space="0" w:color="auto"/>
        <w:right w:val="none" w:sz="0" w:space="0" w:color="auto"/>
      </w:divBdr>
    </w:div>
    <w:div w:id="1226184039">
      <w:bodyDiv w:val="1"/>
      <w:marLeft w:val="0"/>
      <w:marRight w:val="0"/>
      <w:marTop w:val="0"/>
      <w:marBottom w:val="0"/>
      <w:divBdr>
        <w:top w:val="none" w:sz="0" w:space="0" w:color="auto"/>
        <w:left w:val="none" w:sz="0" w:space="0" w:color="auto"/>
        <w:bottom w:val="none" w:sz="0" w:space="0" w:color="auto"/>
        <w:right w:val="none" w:sz="0" w:space="0" w:color="auto"/>
      </w:divBdr>
    </w:div>
    <w:div w:id="1353845893">
      <w:bodyDiv w:val="1"/>
      <w:marLeft w:val="0"/>
      <w:marRight w:val="0"/>
      <w:marTop w:val="0"/>
      <w:marBottom w:val="0"/>
      <w:divBdr>
        <w:top w:val="none" w:sz="0" w:space="0" w:color="auto"/>
        <w:left w:val="none" w:sz="0" w:space="0" w:color="auto"/>
        <w:bottom w:val="none" w:sz="0" w:space="0" w:color="auto"/>
        <w:right w:val="none" w:sz="0" w:space="0" w:color="auto"/>
      </w:divBdr>
    </w:div>
    <w:div w:id="1415591768">
      <w:bodyDiv w:val="1"/>
      <w:marLeft w:val="0"/>
      <w:marRight w:val="0"/>
      <w:marTop w:val="0"/>
      <w:marBottom w:val="0"/>
      <w:divBdr>
        <w:top w:val="none" w:sz="0" w:space="0" w:color="auto"/>
        <w:left w:val="none" w:sz="0" w:space="0" w:color="auto"/>
        <w:bottom w:val="none" w:sz="0" w:space="0" w:color="auto"/>
        <w:right w:val="none" w:sz="0" w:space="0" w:color="auto"/>
      </w:divBdr>
    </w:div>
    <w:div w:id="1438676892">
      <w:bodyDiv w:val="1"/>
      <w:marLeft w:val="0"/>
      <w:marRight w:val="0"/>
      <w:marTop w:val="0"/>
      <w:marBottom w:val="0"/>
      <w:divBdr>
        <w:top w:val="none" w:sz="0" w:space="0" w:color="auto"/>
        <w:left w:val="none" w:sz="0" w:space="0" w:color="auto"/>
        <w:bottom w:val="none" w:sz="0" w:space="0" w:color="auto"/>
        <w:right w:val="none" w:sz="0" w:space="0" w:color="auto"/>
      </w:divBdr>
    </w:div>
    <w:div w:id="1474056755">
      <w:bodyDiv w:val="1"/>
      <w:marLeft w:val="0"/>
      <w:marRight w:val="0"/>
      <w:marTop w:val="0"/>
      <w:marBottom w:val="0"/>
      <w:divBdr>
        <w:top w:val="none" w:sz="0" w:space="0" w:color="auto"/>
        <w:left w:val="none" w:sz="0" w:space="0" w:color="auto"/>
        <w:bottom w:val="none" w:sz="0" w:space="0" w:color="auto"/>
        <w:right w:val="none" w:sz="0" w:space="0" w:color="auto"/>
      </w:divBdr>
    </w:div>
    <w:div w:id="1611401356">
      <w:bodyDiv w:val="1"/>
      <w:marLeft w:val="0"/>
      <w:marRight w:val="0"/>
      <w:marTop w:val="0"/>
      <w:marBottom w:val="0"/>
      <w:divBdr>
        <w:top w:val="none" w:sz="0" w:space="0" w:color="auto"/>
        <w:left w:val="none" w:sz="0" w:space="0" w:color="auto"/>
        <w:bottom w:val="none" w:sz="0" w:space="0" w:color="auto"/>
        <w:right w:val="none" w:sz="0" w:space="0" w:color="auto"/>
      </w:divBdr>
    </w:div>
    <w:div w:id="1760056320">
      <w:bodyDiv w:val="1"/>
      <w:marLeft w:val="0"/>
      <w:marRight w:val="0"/>
      <w:marTop w:val="0"/>
      <w:marBottom w:val="0"/>
      <w:divBdr>
        <w:top w:val="none" w:sz="0" w:space="0" w:color="auto"/>
        <w:left w:val="none" w:sz="0" w:space="0" w:color="auto"/>
        <w:bottom w:val="none" w:sz="0" w:space="0" w:color="auto"/>
        <w:right w:val="none" w:sz="0" w:space="0" w:color="auto"/>
      </w:divBdr>
    </w:div>
    <w:div w:id="1780880516">
      <w:bodyDiv w:val="1"/>
      <w:marLeft w:val="0"/>
      <w:marRight w:val="0"/>
      <w:marTop w:val="0"/>
      <w:marBottom w:val="0"/>
      <w:divBdr>
        <w:top w:val="none" w:sz="0" w:space="0" w:color="auto"/>
        <w:left w:val="none" w:sz="0" w:space="0" w:color="auto"/>
        <w:bottom w:val="none" w:sz="0" w:space="0" w:color="auto"/>
        <w:right w:val="none" w:sz="0" w:space="0" w:color="auto"/>
      </w:divBdr>
    </w:div>
    <w:div w:id="1857232945">
      <w:bodyDiv w:val="1"/>
      <w:marLeft w:val="0"/>
      <w:marRight w:val="0"/>
      <w:marTop w:val="0"/>
      <w:marBottom w:val="0"/>
      <w:divBdr>
        <w:top w:val="none" w:sz="0" w:space="0" w:color="auto"/>
        <w:left w:val="none" w:sz="0" w:space="0" w:color="auto"/>
        <w:bottom w:val="none" w:sz="0" w:space="0" w:color="auto"/>
        <w:right w:val="none" w:sz="0" w:space="0" w:color="auto"/>
      </w:divBdr>
    </w:div>
    <w:div w:id="192140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060a2c27eb4d4020" /><Relationship Type="http://schemas.microsoft.com/office/2020/10/relationships/intelligence" Target="intelligence2.xml" Id="R4262830f461440b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70724a9-214c-45cd-9784-e573f6accca9}"/>
      </w:docPartPr>
      <w:docPartBody>
        <w:p w14:paraId="17F5872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Gil13</b:Tag>
    <b:SourceType>JournalArticle</b:SourceType>
    <b:Guid>{6BC7D9A2-5690-41CA-909F-8398708C07B7}</b:Guid>
    <b:Title>Omission: when does failing to act</b:Title>
    <b:Year>2013</b:Year>
    <b:Pages>2</b:Pages>
    <b:Author>
      <b:Author>
        <b:NameList>
          <b:Person>
            <b:Last>Bayliss</b:Last>
            <b:First>Giles</b:First>
          </b:Person>
        </b:NameList>
      </b:Author>
    </b:Author>
    <b:JournalName>Hodder Education</b:JournalName>
    <b:Volume>9</b:Volume>
    <b:Issue>1</b:Issue>
    <b:RefOrder>2</b:RefOrder>
  </b:Source>
  <b:Source>
    <b:Tag>Law20</b:Tag>
    <b:SourceType>ArticleInAPeriodical</b:SourceType>
    <b:Guid>{8402AE0D-F01A-41D8-A631-CB151CA539C7}</b:Guid>
    <b:Title>Law of Omissions is too Narrow</b:Title>
    <b:Year>2020</b:Year>
    <b:Pages>9</b:Pages>
    <b:Author>
      <b:Author>
        <b:NameList>
          <b:Person>
            <b:Last>LawTeacher</b:Last>
          </b:Person>
        </b:NameList>
      </b:Author>
    </b:Author>
    <b:PeriodicalTitle>English Legal System</b:PeriodicalTitle>
    <b:Month>December</b:Month>
    <b:Day>14</b:Day>
    <b:RefOrder>3</b:RefOrder>
  </b:Source>
  <b:Source>
    <b:Tag>Nic22</b:Tag>
    <b:SourceType>ArticleInAPeriodical</b:SourceType>
    <b:Guid>{D78E6D70-D9DB-45E8-843B-2627151E62A0}</b:Guid>
    <b:Author>
      <b:Author>
        <b:NameList>
          <b:Person>
            <b:Last>Laver</b:Last>
            <b:First>Nicola</b:First>
          </b:Person>
        </b:NameList>
      </b:Author>
    </b:Author>
    <b:Title>Can a failure to act make someone guilty in the eyes of the law?</b:Title>
    <b:PeriodicalTitle>Offences</b:PeriodicalTitle>
    <b:Year>2022</b:Year>
    <b:Month>November</b:Month>
    <b:Day>9</b:Day>
    <b:RefOrder>4</b:RefOrder>
  </b:Source>
  <b:Source>
    <b:Tag>Swa22</b:Tag>
    <b:SourceType>ArticleInAPeriodical</b:SourceType>
    <b:Guid>{535C8C3A-6517-4FA1-8E7C-DEB1374085D0}</b:Guid>
    <b:Author>
      <b:Author>
        <b:NameList>
          <b:Person>
            <b:Last>Swarb</b:Last>
          </b:Person>
        </b:NameList>
      </b:Author>
    </b:Author>
    <b:Title>Director of Public Prosecutions v Santa-Bermudez: Admn 13 Nov 2003</b:Title>
    <b:PeriodicalTitle>Crime</b:PeriodicalTitle>
    <b:Year>2022</b:Year>
    <b:Month>May</b:Month>
    <b:Day>4</b:Day>
    <b:RefOrder>5</b:RefOrder>
  </b:Source>
  <b:Source>
    <b:Tag>Law</b:Tag>
    <b:SourceType>ArticleInAPeriodical</b:SourceType>
    <b:Guid>{F7E33F28-628F-42F3-8D0D-DC1EDB8AD551}</b:Guid>
    <b:Author>
      <b:Author>
        <b:NameList>
          <b:Person>
            <b:Last>LawTeacher.</b:Last>
          </b:Person>
        </b:NameList>
      </b:Author>
    </b:Author>
    <b:Title>Actus Reus Lecture</b:Title>
    <b:PeriodicalTitle>Actus Reus Lecture</b:PeriodicalTitle>
    <b:Pages>8</b:Pages>
    <b:Year>2018</b:Year>
    <b:Month>November</b:Month>
    <b:RefOrder>6</b:RefOrder>
  </b:Source>
  <b:Source>
    <b:Tag>Ple21</b:Tag>
    <b:SourceType>ArticleInAPeriodical</b:SourceType>
    <b:Guid>{F39C2289-DC02-47EF-9AB2-A4D35749AE67}</b:Guid>
    <b:Author>
      <b:Author>
        <b:NameList>
          <b:Person>
            <b:Last>Pleaders</b:Last>
          </b:Person>
        </b:NameList>
      </b:Author>
    </b:Author>
    <b:Title>Types of omissions and their significance in a criminal trial</b:Title>
    <b:PeriodicalTitle>Actus Reus</b:PeriodicalTitle>
    <b:Year>2021</b:Year>
    <b:Month>September</b:Month>
    <b:Day>1</b:Day>
    <b:RefOrder>7</b:RefOrder>
  </b:Source>
  <b:Source>
    <b:Tag>Law221</b:Tag>
    <b:SourceType>ArticleInAPeriodical</b:SourceType>
    <b:Guid>{4BF3A567-2C29-4824-8412-C60B656A87BB}</b:Guid>
    <b:Author>
      <b:Author>
        <b:NameList>
          <b:Person>
            <b:Last>Lawresources</b:Last>
          </b:Person>
        </b:NameList>
      </b:Author>
    </b:Author>
    <b:Title>Actus Reus</b:Title>
    <b:PeriodicalTitle>R v Miller</b:PeriodicalTitle>
    <b:Year>2022</b:Year>
    <b:Month>November</b:Month>
    <b:Day>9</b:Day>
    <b:RefOrder>8</b:RefOrder>
  </b:Source>
  <b:Source>
    <b:Tag>Pet18</b:Tag>
    <b:SourceType>ArticleInAPeriodical</b:SourceType>
    <b:Guid>{97309AFC-CD1B-450D-AE5E-64EE38513E19}</b:Guid>
    <b:Author>
      <b:Author>
        <b:NameList>
          <b:Person>
            <b:Last>Clarke</b:Last>
            <b:First>Peter</b:First>
          </b:Person>
        </b:NameList>
      </b:Author>
    </b:Author>
    <b:Title>Duty to Act</b:Title>
    <b:PeriodicalTitle>Personal Injury Law</b:PeriodicalTitle>
    <b:Year>2018</b:Year>
    <b:Month>May</b:Month>
    <b:Day>15</b:Day>
    <b:RefOrder>9</b:RefOrder>
  </b:Source>
  <b:Source>
    <b:Tag>Law21</b:Tag>
    <b:SourceType>ArticleInAPeriodical</b:SourceType>
    <b:Guid>{0C27AF16-824C-4655-B30A-D3EC3E7471EF}</b:Guid>
    <b:Author>
      <b:Author>
        <b:NameList>
          <b:Person>
            <b:Last>Lawteacher</b:Last>
          </b:Person>
        </b:NameList>
      </b:Author>
    </b:Author>
    <b:Title>Airedale NHS Trust v Bland</b:Title>
    <b:PeriodicalTitle>All Answers ltd </b:PeriodicalTitle>
    <b:Year>2021</b:Year>
    <b:Month>September</b:Month>
    <b:Day>28</b:Day>
    <b:Pages>1</b:Pages>
    <b:RefOrder>10</b:RefOrder>
  </b:Source>
  <b:Source>
    <b:Tag>She17</b:Tag>
    <b:SourceType>JournalArticle</b:SourceType>
    <b:Guid>{984CB47D-05EA-4937-A1C7-782E2538143B}</b:Guid>
    <b:Author>
      <b:Author>
        <b:NameList>
          <b:Person>
            <b:Last>Sheikh</b:Last>
            <b:First>Mohammed</b:First>
            <b:Middle>Subhan Hussain</b:Middle>
          </b:Person>
        </b:NameList>
      </b:Author>
    </b:Author>
    <b:Title>Failure to Act</b:Title>
    <b:Year>2017</b:Year>
    <b:Pages>872-874</b:Pages>
    <b:JournalName>SSRN Electronic Journal</b:JournalName>
    <b:Volume>181</b:Volume>
    <b:Issue>48</b:Issue>
    <b:RefOrder>1</b:RefOrder>
  </b:Source>
  <b:Source>
    <b:Tag>Sim22</b:Tag>
    <b:SourceType>ArticleInAPeriodical</b:SourceType>
    <b:Guid>{11FD466E-65B3-4D9B-B078-FDF0C3CC9AE3}</b:Guid>
    <b:Title>R v Stone &amp; Dobinson [1977] 1 QB 354</b:Title>
    <b:Year>2022</b:Year>
    <b:Month>November</b:Month>
    <b:Day>9</b:Day>
    <b:Author>
      <b:Author>
        <b:NameList>
          <b:Person>
            <b:Last>SimpleStudying</b:Last>
          </b:Person>
        </b:NameList>
      </b:Author>
    </b:Author>
    <b:RefOrder>11</b:RefOrder>
  </b:Source>
  <b:Source>
    <b:Tag>Dav01</b:Tag>
    <b:SourceType>JournalArticle</b:SourceType>
    <b:Guid>{26AD3B8C-77B6-485D-BFD8-969035DF478C}</b:Guid>
    <b:Title>Vanderbilt Law Review</b:Title>
    <b:Year>2001</b:Year>
    <b:Pages>767</b:Pages>
    <b:Author>
      <b:Author>
        <b:NameList>
          <b:Person>
            <b:Last>Owen</b:Last>
            <b:First>David</b:First>
          </b:Person>
        </b:NameList>
      </b:Author>
    </b:Author>
    <b:JournalName>Duty Rules</b:JournalName>
    <b:Volume>54</b:Volume>
    <b:Issue>3</b:Issue>
    <b:RefOrder>12</b:RefOrder>
  </b:Source>
</b:Sources>
</file>

<file path=customXml/itemProps1.xml><?xml version="1.0" encoding="utf-8"?>
<ds:datastoreItem xmlns:ds="http://schemas.openxmlformats.org/officeDocument/2006/customXml" ds:itemID="{ECB0A80F-2956-484F-B5FB-41B85F6951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7</revision>
  <dcterms:created xsi:type="dcterms:W3CDTF">2022-11-09T13:25:00.0000000Z</dcterms:created>
  <dcterms:modified xsi:type="dcterms:W3CDTF">2022-11-10T18:15:14.5735615Z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31463030-0041-4ffb-a00a-51cf36b361a3</vt:lpwstr>
  </property>
</Properties>
</file>