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0ED0FC" w14:textId="77777777" w:rsidR="00653B61" w:rsidRPr="003A4335" w:rsidRDefault="00653B61" w:rsidP="00653B61">
      <w:pPr>
        <w:jc w:val="center"/>
        <w:rPr>
          <w:rFonts w:ascii="Arial" w:hAnsi="Arial" w:cs="Arial"/>
          <w:b/>
          <w:bCs/>
          <w:sz w:val="44"/>
          <w:szCs w:val="44"/>
        </w:rPr>
      </w:pPr>
    </w:p>
    <w:p w14:paraId="3613CEC6" w14:textId="7E7415A1" w:rsidR="00416834" w:rsidRPr="003A4335" w:rsidRDefault="00653B61" w:rsidP="00653B61">
      <w:pPr>
        <w:jc w:val="center"/>
        <w:rPr>
          <w:rFonts w:ascii="Arial" w:hAnsi="Arial" w:cs="Arial"/>
          <w:b/>
          <w:bCs/>
          <w:sz w:val="44"/>
          <w:szCs w:val="44"/>
        </w:rPr>
      </w:pPr>
      <w:r w:rsidRPr="003A4335">
        <w:rPr>
          <w:rFonts w:ascii="Arial" w:hAnsi="Arial" w:cs="Arial"/>
          <w:b/>
          <w:bCs/>
          <w:sz w:val="44"/>
          <w:szCs w:val="44"/>
        </w:rPr>
        <w:t>Written Report: In relation to the Evaluation of Person-centred Care (PCC) and Partnership Working (PW)</w:t>
      </w:r>
    </w:p>
    <w:p w14:paraId="1004CD11" w14:textId="77777777" w:rsidR="00653B61" w:rsidRPr="003A4335" w:rsidRDefault="00653B61"/>
    <w:p w14:paraId="588D0734" w14:textId="77777777" w:rsidR="00653B61" w:rsidRPr="003A4335" w:rsidRDefault="00653B61"/>
    <w:p w14:paraId="609542B7" w14:textId="77777777" w:rsidR="00653B61" w:rsidRPr="003A4335" w:rsidRDefault="00653B61"/>
    <w:p w14:paraId="3A8A5E9F" w14:textId="77777777" w:rsidR="00653B61" w:rsidRPr="003A4335" w:rsidRDefault="00653B61"/>
    <w:p w14:paraId="295F6A6C" w14:textId="77777777" w:rsidR="00653B61" w:rsidRPr="003A4335" w:rsidRDefault="00653B61"/>
    <w:p w14:paraId="16448907" w14:textId="77777777" w:rsidR="00653B61" w:rsidRPr="003A4335" w:rsidRDefault="00653B61"/>
    <w:p w14:paraId="443C111A" w14:textId="77777777" w:rsidR="00653B61" w:rsidRPr="003A4335" w:rsidRDefault="00653B61"/>
    <w:p w14:paraId="07F855CA" w14:textId="77777777" w:rsidR="00653B61" w:rsidRPr="003A4335" w:rsidRDefault="00653B61"/>
    <w:p w14:paraId="3BE3A0FD" w14:textId="77777777" w:rsidR="00653B61" w:rsidRPr="003A4335" w:rsidRDefault="00653B61" w:rsidP="00653B61">
      <w:pPr>
        <w:rPr>
          <w:b/>
          <w:bCs/>
        </w:rPr>
      </w:pPr>
      <w:r w:rsidRPr="003A4335">
        <w:t xml:space="preserve">Name: </w:t>
      </w:r>
      <w:r w:rsidRPr="003A4335">
        <w:rPr>
          <w:b/>
          <w:bCs/>
        </w:rPr>
        <w:t>Uzma Amir Said</w:t>
      </w:r>
    </w:p>
    <w:p w14:paraId="26A3E746" w14:textId="77777777" w:rsidR="00653B61" w:rsidRPr="003A4335" w:rsidRDefault="00653B61" w:rsidP="00653B61">
      <w:pPr>
        <w:rPr>
          <w:b/>
          <w:bCs/>
        </w:rPr>
      </w:pPr>
      <w:r w:rsidRPr="003A4335">
        <w:t xml:space="preserve">Student Number: </w:t>
      </w:r>
      <w:r w:rsidRPr="003A4335">
        <w:rPr>
          <w:b/>
          <w:bCs/>
        </w:rPr>
        <w:t>2426983</w:t>
      </w:r>
    </w:p>
    <w:p w14:paraId="78EC2857" w14:textId="77777777" w:rsidR="00653B61" w:rsidRPr="003A4335" w:rsidRDefault="00653B61" w:rsidP="00653B61">
      <w:r w:rsidRPr="003A4335">
        <w:t xml:space="preserve">Module code &amp; title: </w:t>
      </w:r>
      <w:r w:rsidRPr="003A4335">
        <w:rPr>
          <w:b/>
          <w:bCs/>
        </w:rPr>
        <w:t>BMHP5016 – Principles of Health and Social Care Practice</w:t>
      </w:r>
    </w:p>
    <w:p w14:paraId="424D010E" w14:textId="77777777" w:rsidR="00653B61" w:rsidRPr="003A4335" w:rsidRDefault="00653B61"/>
    <w:p w14:paraId="5E5E3E34" w14:textId="77777777" w:rsidR="00653B61" w:rsidRPr="003A4335" w:rsidRDefault="00653B61"/>
    <w:p w14:paraId="73994D81" w14:textId="77777777" w:rsidR="00653B61" w:rsidRPr="003A4335" w:rsidRDefault="00653B61"/>
    <w:p w14:paraId="22F0FE8C" w14:textId="77777777" w:rsidR="00653B61" w:rsidRPr="003A4335" w:rsidRDefault="00653B61"/>
    <w:p w14:paraId="56E3CB01" w14:textId="77777777" w:rsidR="00653B61" w:rsidRPr="003A4335" w:rsidRDefault="00653B61"/>
    <w:p w14:paraId="36AF6943" w14:textId="77777777" w:rsidR="00653B61" w:rsidRPr="003A4335" w:rsidRDefault="00653B61"/>
    <w:p w14:paraId="1FBFF848" w14:textId="77777777" w:rsidR="00653B61" w:rsidRPr="003A4335" w:rsidRDefault="00653B61"/>
    <w:p w14:paraId="2168F55F" w14:textId="77777777" w:rsidR="00653B61" w:rsidRPr="003A4335" w:rsidRDefault="00653B61"/>
    <w:p w14:paraId="77DB7EC7" w14:textId="77777777" w:rsidR="00653B61" w:rsidRPr="003A4335" w:rsidRDefault="00653B61"/>
    <w:p w14:paraId="7A7E9C9D" w14:textId="77777777" w:rsidR="00653B61" w:rsidRPr="003A4335" w:rsidRDefault="00653B61"/>
    <w:p w14:paraId="6B5BBB1D" w14:textId="77777777" w:rsidR="00653B61" w:rsidRPr="003A4335" w:rsidRDefault="00653B61"/>
    <w:p w14:paraId="08920061" w14:textId="77777777" w:rsidR="00653B61" w:rsidRPr="003A4335" w:rsidRDefault="00653B61"/>
    <w:p w14:paraId="0177C299" w14:textId="2EAE9A9C" w:rsidR="00653B61" w:rsidRPr="003A4335" w:rsidRDefault="00653B61" w:rsidP="00653B61">
      <w:pPr>
        <w:pStyle w:val="ListParagraph"/>
        <w:numPr>
          <w:ilvl w:val="0"/>
          <w:numId w:val="4"/>
        </w:numPr>
        <w:spacing w:line="360" w:lineRule="auto"/>
        <w:jc w:val="both"/>
        <w:rPr>
          <w:rFonts w:ascii="Arial" w:hAnsi="Arial" w:cs="Arial"/>
          <w:b/>
          <w:bCs/>
          <w:sz w:val="28"/>
          <w:szCs w:val="28"/>
        </w:rPr>
      </w:pPr>
      <w:r w:rsidRPr="003A4335">
        <w:rPr>
          <w:rFonts w:ascii="Arial" w:hAnsi="Arial" w:cs="Arial"/>
          <w:b/>
          <w:bCs/>
          <w:sz w:val="28"/>
          <w:szCs w:val="28"/>
        </w:rPr>
        <w:lastRenderedPageBreak/>
        <w:t>Introduction</w:t>
      </w:r>
    </w:p>
    <w:p w14:paraId="4FEF3047" w14:textId="77777777" w:rsidR="00653B61" w:rsidRPr="003A4335" w:rsidRDefault="00653B61" w:rsidP="00653B61">
      <w:pPr>
        <w:spacing w:line="360" w:lineRule="auto"/>
        <w:jc w:val="both"/>
        <w:rPr>
          <w:rFonts w:ascii="Arial" w:hAnsi="Arial" w:cs="Arial"/>
          <w:sz w:val="22"/>
          <w:szCs w:val="22"/>
        </w:rPr>
      </w:pPr>
      <w:r w:rsidRPr="003A4335">
        <w:rPr>
          <w:rFonts w:ascii="Arial" w:hAnsi="Arial" w:cs="Arial"/>
          <w:sz w:val="22"/>
          <w:szCs w:val="22"/>
        </w:rPr>
        <w:t>Person-centred care (PCC) and partnership working (PW) are important parts of modern health and social care practice in the UK. Both approaches aim to improve the quality of care, achieve better outcomes for service users, and encourage professionals to work together in an ethical and supportive way. UK laws and policies, such as the Health and Social Care Act 2012 and the Care Act 2014, highlight the importance of dignity, empowerment, teamwork between different services, and integrated care (DHSC, 2014; HM Government, 2012).</w:t>
      </w:r>
    </w:p>
    <w:p w14:paraId="086C467E" w14:textId="1B49B111" w:rsidR="00653B61" w:rsidRPr="003A4335" w:rsidRDefault="00653B61" w:rsidP="00653B61">
      <w:pPr>
        <w:spacing w:line="360" w:lineRule="auto"/>
        <w:jc w:val="both"/>
        <w:rPr>
          <w:rFonts w:ascii="Arial" w:hAnsi="Arial" w:cs="Arial"/>
          <w:sz w:val="22"/>
          <w:szCs w:val="22"/>
        </w:rPr>
      </w:pPr>
      <w:r w:rsidRPr="003A4335">
        <w:rPr>
          <w:rFonts w:ascii="Arial" w:hAnsi="Arial" w:cs="Arial"/>
          <w:sz w:val="22"/>
          <w:szCs w:val="22"/>
        </w:rPr>
        <w:t>This report will critically discuss person-centred care and partnership working. It will explore the theories behind these approaches, the ethical principles that guide them, the relevant policies and legislation, how they are applied in practice, and recommendations for improving health and social care services in the future.</w:t>
      </w:r>
    </w:p>
    <w:p w14:paraId="4991DC29" w14:textId="045EA4B1" w:rsidR="00653B61" w:rsidRPr="003A4335" w:rsidRDefault="00653B61" w:rsidP="00653B61">
      <w:pPr>
        <w:spacing w:line="360" w:lineRule="auto"/>
        <w:jc w:val="both"/>
        <w:rPr>
          <w:rFonts w:ascii="Arial" w:hAnsi="Arial" w:cs="Arial"/>
          <w:b/>
          <w:bCs/>
          <w:sz w:val="28"/>
          <w:szCs w:val="28"/>
        </w:rPr>
      </w:pPr>
      <w:r w:rsidRPr="003A4335">
        <w:rPr>
          <w:rFonts w:ascii="Arial" w:hAnsi="Arial" w:cs="Arial"/>
          <w:b/>
          <w:bCs/>
          <w:sz w:val="28"/>
          <w:szCs w:val="28"/>
        </w:rPr>
        <w:t>2. Defining Person-Centred Care (PCC)</w:t>
      </w:r>
    </w:p>
    <w:p w14:paraId="7BB7DEF7" w14:textId="77777777" w:rsidR="00653B61" w:rsidRPr="003A4335" w:rsidRDefault="00653B61" w:rsidP="00653B61">
      <w:pPr>
        <w:spacing w:line="360" w:lineRule="auto"/>
        <w:jc w:val="both"/>
        <w:rPr>
          <w:rFonts w:ascii="Arial" w:hAnsi="Arial" w:cs="Arial"/>
          <w:sz w:val="22"/>
          <w:szCs w:val="22"/>
        </w:rPr>
      </w:pPr>
      <w:r w:rsidRPr="003A4335">
        <w:rPr>
          <w:rFonts w:ascii="Arial" w:hAnsi="Arial" w:cs="Arial"/>
          <w:sz w:val="22"/>
          <w:szCs w:val="22"/>
        </w:rPr>
        <w:t>Person-centred care is an approach that puts the individual at the centre of their own care and support. It means listening to people, respecting their choices, and involving them in decisions about their treatment and care plans (</w:t>
      </w:r>
      <w:proofErr w:type="spellStart"/>
      <w:r w:rsidRPr="003A4335">
        <w:rPr>
          <w:rFonts w:ascii="Arial" w:hAnsi="Arial" w:cs="Arial"/>
          <w:sz w:val="22"/>
          <w:szCs w:val="22"/>
        </w:rPr>
        <w:t>Kitwood</w:t>
      </w:r>
      <w:proofErr w:type="spellEnd"/>
      <w:r w:rsidRPr="003A4335">
        <w:rPr>
          <w:rFonts w:ascii="Arial" w:hAnsi="Arial" w:cs="Arial"/>
          <w:sz w:val="22"/>
          <w:szCs w:val="22"/>
        </w:rPr>
        <w:t>, 1997; NICE, 2021). Instead of focusing only on a person's illness or condition, person-centred care considers the whole person, including their physical, emotional, social and psychological needs.</w:t>
      </w:r>
    </w:p>
    <w:p w14:paraId="57F1B446" w14:textId="76E71E51" w:rsidR="00653B61" w:rsidRPr="003A4335" w:rsidRDefault="00653B61" w:rsidP="00653B61">
      <w:pPr>
        <w:spacing w:line="360" w:lineRule="auto"/>
        <w:jc w:val="both"/>
        <w:rPr>
          <w:rFonts w:ascii="Arial" w:hAnsi="Arial" w:cs="Arial"/>
          <w:sz w:val="22"/>
          <w:szCs w:val="22"/>
        </w:rPr>
      </w:pPr>
      <w:r w:rsidRPr="003A4335">
        <w:rPr>
          <w:rFonts w:ascii="Arial" w:hAnsi="Arial" w:cs="Arial"/>
          <w:sz w:val="22"/>
          <w:szCs w:val="22"/>
        </w:rPr>
        <w:t xml:space="preserve">The </w:t>
      </w:r>
      <w:r w:rsidRPr="003A4335">
        <w:rPr>
          <w:rFonts w:ascii="Arial" w:hAnsi="Arial" w:cs="Arial"/>
          <w:i/>
          <w:iCs/>
          <w:sz w:val="22"/>
          <w:szCs w:val="22"/>
        </w:rPr>
        <w:t>Care Act 2014</w:t>
      </w:r>
      <w:r w:rsidRPr="003A4335">
        <w:rPr>
          <w:rFonts w:ascii="Arial" w:hAnsi="Arial" w:cs="Arial"/>
          <w:sz w:val="22"/>
          <w:szCs w:val="22"/>
        </w:rPr>
        <w:t xml:space="preserve"> supports person-centred care by promoting wellbeing, dignity, independence and personal choice (DHSC, 2014). In the same way, the </w:t>
      </w:r>
      <w:r w:rsidRPr="003A4335">
        <w:rPr>
          <w:rFonts w:ascii="Arial" w:hAnsi="Arial" w:cs="Arial"/>
          <w:i/>
          <w:iCs/>
          <w:sz w:val="22"/>
          <w:szCs w:val="22"/>
        </w:rPr>
        <w:t>NHS Constitution</w:t>
      </w:r>
      <w:r w:rsidRPr="003A4335">
        <w:rPr>
          <w:rFonts w:ascii="Arial" w:hAnsi="Arial" w:cs="Arial"/>
          <w:sz w:val="22"/>
          <w:szCs w:val="22"/>
        </w:rPr>
        <w:t xml:space="preserve"> encourages healthcare professionals to treat people with respect</w:t>
      </w:r>
      <w:r w:rsidR="00F22F0C">
        <w:rPr>
          <w:rFonts w:ascii="Arial" w:hAnsi="Arial" w:cs="Arial"/>
          <w:sz w:val="22"/>
          <w:szCs w:val="22"/>
        </w:rPr>
        <w:t xml:space="preserve"> and compassion, and to </w:t>
      </w:r>
      <w:r w:rsidRPr="003A4335">
        <w:rPr>
          <w:rFonts w:ascii="Arial" w:hAnsi="Arial" w:cs="Arial"/>
          <w:sz w:val="22"/>
          <w:szCs w:val="22"/>
        </w:rPr>
        <w:t>involve them in decisions about their care (Department of Health, 2021).</w:t>
      </w:r>
    </w:p>
    <w:p w14:paraId="12524FA0" w14:textId="43CAEC32" w:rsidR="00653B61" w:rsidRPr="007522B1" w:rsidRDefault="00653B61" w:rsidP="007522B1">
      <w:pPr>
        <w:spacing w:line="360" w:lineRule="auto"/>
        <w:jc w:val="both"/>
        <w:rPr>
          <w:rFonts w:ascii="Arial" w:hAnsi="Arial" w:cs="Arial"/>
          <w:b/>
          <w:bCs/>
        </w:rPr>
      </w:pPr>
      <w:r w:rsidRPr="007522B1">
        <w:rPr>
          <w:rFonts w:ascii="Arial" w:hAnsi="Arial" w:cs="Arial"/>
          <w:b/>
          <w:bCs/>
        </w:rPr>
        <w:t>Benefits of Person-centred care (PCC)</w:t>
      </w:r>
    </w:p>
    <w:p w14:paraId="35066FD6" w14:textId="679F850C" w:rsidR="00653B61" w:rsidRPr="003A4335" w:rsidRDefault="00653B61" w:rsidP="00653B61">
      <w:pPr>
        <w:spacing w:line="360" w:lineRule="auto"/>
        <w:jc w:val="both"/>
        <w:rPr>
          <w:rFonts w:ascii="Arial" w:hAnsi="Arial" w:cs="Arial"/>
          <w:sz w:val="22"/>
          <w:szCs w:val="22"/>
        </w:rPr>
      </w:pPr>
      <w:r w:rsidRPr="003A4335">
        <w:rPr>
          <w:rFonts w:ascii="Arial" w:hAnsi="Arial" w:cs="Arial"/>
          <w:sz w:val="22"/>
          <w:szCs w:val="22"/>
        </w:rPr>
        <w:t>Research has shown that person-centred care has many benefits for both service users and healthcare professionals. One of the main advantages is that it improves patient satisfaction and helps build trust between patients and healthcare providers. When individuals feel listened to and involved in decisions about their care, they are more likely to feel respected and valued (Ekman et al., 2011). This positive relationship can improve communication and encourage patients to openly discuss their concerns and preferences.</w:t>
      </w:r>
    </w:p>
    <w:p w14:paraId="52FD2601" w14:textId="5F7F25A7" w:rsidR="00653B61" w:rsidRPr="003A4335" w:rsidRDefault="00653B61" w:rsidP="00653B61">
      <w:pPr>
        <w:spacing w:line="360" w:lineRule="auto"/>
        <w:jc w:val="both"/>
        <w:rPr>
          <w:rFonts w:ascii="Arial" w:hAnsi="Arial" w:cs="Arial"/>
          <w:sz w:val="22"/>
          <w:szCs w:val="22"/>
        </w:rPr>
      </w:pPr>
      <w:r w:rsidRPr="003A4335">
        <w:rPr>
          <w:rFonts w:ascii="Arial" w:hAnsi="Arial" w:cs="Arial"/>
          <w:sz w:val="22"/>
          <w:szCs w:val="22"/>
        </w:rPr>
        <w:t>Another important benefit of person-centred care is that it can improve adherence to treatment plans. Patients are more likely to follow medical advice and continue treatment when they understand their condition and have been involved in decision-making about their care (Coulter and Oldham, 2016). Shared decision-making allows individuals to choose treatments that fit their personal values and lifestyles, which can lead to better long-term health outcomes.</w:t>
      </w:r>
    </w:p>
    <w:p w14:paraId="54A7D638" w14:textId="77777777" w:rsidR="00653B61" w:rsidRPr="003A4335" w:rsidRDefault="00653B61" w:rsidP="00653B61">
      <w:pPr>
        <w:spacing w:line="360" w:lineRule="auto"/>
        <w:jc w:val="both"/>
        <w:rPr>
          <w:rFonts w:ascii="Arial" w:hAnsi="Arial" w:cs="Arial"/>
          <w:sz w:val="22"/>
          <w:szCs w:val="22"/>
        </w:rPr>
      </w:pPr>
      <w:r w:rsidRPr="003A4335">
        <w:rPr>
          <w:rFonts w:ascii="Arial" w:hAnsi="Arial" w:cs="Arial"/>
          <w:sz w:val="22"/>
          <w:szCs w:val="22"/>
        </w:rPr>
        <w:lastRenderedPageBreak/>
        <w:t>Evidence also suggests that person-centred care can reduce unnecessary hospital admissions and improve overall health outcomes. By encouraging patients to take an active role in managing their own health, healthcare professionals can help people develop the knowledge and confidence needed to manage long-term conditions more effectively (The Health Foundation, 2016). This approach can improve self-management and reduce the need for emergency care and repeated hospital visits.</w:t>
      </w:r>
    </w:p>
    <w:p w14:paraId="45D204B9" w14:textId="77777777" w:rsidR="00653B61" w:rsidRPr="003A4335" w:rsidRDefault="00653B61" w:rsidP="00653B61">
      <w:pPr>
        <w:spacing w:line="360" w:lineRule="auto"/>
        <w:jc w:val="both"/>
        <w:rPr>
          <w:rFonts w:ascii="Arial" w:hAnsi="Arial" w:cs="Arial"/>
          <w:sz w:val="22"/>
          <w:szCs w:val="22"/>
        </w:rPr>
      </w:pPr>
      <w:r w:rsidRPr="003A4335">
        <w:rPr>
          <w:rFonts w:ascii="Arial" w:hAnsi="Arial" w:cs="Arial"/>
          <w:sz w:val="22"/>
          <w:szCs w:val="22"/>
        </w:rPr>
        <w:t>In addition, person-centred care promotes empowerment and independence. Empowerment means giving people more control over decisions that affect their lives and supporting them to make informed choices about their care (McCormack and McCance, 2017). This is particularly important in health and social care settings because it respects an individual's rights, dignity and autonomy. Coulter (2017) argues that person-centred care improves both safety and quality because patients become active partners in their care rather than passive recipients of treatment. Therefore, person-centred care not only benefits individual patients but also contributes to more effective and responsive healthcare services.</w:t>
      </w:r>
    </w:p>
    <w:p w14:paraId="058B27B2" w14:textId="1CBB5551" w:rsidR="00653B61" w:rsidRPr="007522B1" w:rsidRDefault="003A4335" w:rsidP="007522B1">
      <w:pPr>
        <w:spacing w:line="360" w:lineRule="auto"/>
        <w:jc w:val="both"/>
        <w:rPr>
          <w:rFonts w:ascii="Arial" w:hAnsi="Arial" w:cs="Arial"/>
          <w:b/>
          <w:bCs/>
        </w:rPr>
      </w:pPr>
      <w:r w:rsidRPr="007522B1">
        <w:rPr>
          <w:rFonts w:ascii="Arial" w:hAnsi="Arial" w:cs="Arial"/>
          <w:b/>
          <w:bCs/>
        </w:rPr>
        <w:t>Limitations</w:t>
      </w:r>
      <w:r w:rsidR="00A92E7D" w:rsidRPr="007522B1">
        <w:rPr>
          <w:rFonts w:ascii="Arial" w:hAnsi="Arial" w:cs="Arial"/>
          <w:b/>
          <w:bCs/>
        </w:rPr>
        <w:t xml:space="preserve"> Principles</w:t>
      </w:r>
      <w:r w:rsidR="007522B1">
        <w:rPr>
          <w:rFonts w:ascii="Arial" w:hAnsi="Arial" w:cs="Arial"/>
          <w:b/>
          <w:bCs/>
        </w:rPr>
        <w:t xml:space="preserve"> </w:t>
      </w:r>
      <w:r w:rsidR="00653B61" w:rsidRPr="007522B1">
        <w:rPr>
          <w:rFonts w:ascii="Arial" w:hAnsi="Arial" w:cs="Arial"/>
          <w:b/>
          <w:bCs/>
        </w:rPr>
        <w:t>of Person-centred Care (PCC)</w:t>
      </w:r>
    </w:p>
    <w:p w14:paraId="0BD3F0C5" w14:textId="38E29305" w:rsidR="003A4335" w:rsidRPr="003A4335" w:rsidRDefault="003A4335" w:rsidP="003A4335">
      <w:pPr>
        <w:spacing w:line="360" w:lineRule="auto"/>
        <w:jc w:val="both"/>
        <w:rPr>
          <w:rFonts w:ascii="Arial" w:hAnsi="Arial" w:cs="Arial"/>
          <w:sz w:val="22"/>
          <w:szCs w:val="22"/>
        </w:rPr>
      </w:pPr>
      <w:r w:rsidRPr="003A4335">
        <w:rPr>
          <w:rFonts w:ascii="Arial" w:hAnsi="Arial" w:cs="Arial"/>
          <w:sz w:val="22"/>
          <w:szCs w:val="22"/>
        </w:rPr>
        <w:t xml:space="preserve">Despite its many benefits, </w:t>
      </w:r>
      <w:r>
        <w:rPr>
          <w:rFonts w:ascii="Arial" w:hAnsi="Arial" w:cs="Arial"/>
          <w:sz w:val="22"/>
          <w:szCs w:val="22"/>
        </w:rPr>
        <w:t>implementing</w:t>
      </w:r>
      <w:r w:rsidRPr="003A4335">
        <w:rPr>
          <w:rFonts w:ascii="Arial" w:hAnsi="Arial" w:cs="Arial"/>
          <w:sz w:val="22"/>
          <w:szCs w:val="22"/>
        </w:rPr>
        <w:t xml:space="preserve"> person-centred care (PCC) presents several challenges in healthcare practice. Common barriers include time pressures in clinical settings, staff shortages, increased workloads, limited </w:t>
      </w:r>
      <w:r>
        <w:rPr>
          <w:rFonts w:ascii="Arial" w:hAnsi="Arial" w:cs="Arial"/>
          <w:sz w:val="22"/>
          <w:szCs w:val="22"/>
        </w:rPr>
        <w:t>training in communication skills</w:t>
      </w:r>
      <w:r w:rsidRPr="003A4335">
        <w:rPr>
          <w:rFonts w:ascii="Arial" w:hAnsi="Arial" w:cs="Arial"/>
          <w:sz w:val="22"/>
          <w:szCs w:val="22"/>
        </w:rPr>
        <w:t>, power imbalances between healthcare professionals and service users, and insufficient organisational resources (McCormack and McCance, 2017). These factors can hinder the development of meaningful partnerships and reduce opportunities for shared decision-making.</w:t>
      </w:r>
    </w:p>
    <w:p w14:paraId="1283595D" w14:textId="34F2B112" w:rsidR="003A4335" w:rsidRPr="003A4335" w:rsidRDefault="003A4335" w:rsidP="003A4335">
      <w:pPr>
        <w:spacing w:line="360" w:lineRule="auto"/>
        <w:jc w:val="both"/>
        <w:rPr>
          <w:rFonts w:ascii="Arial" w:hAnsi="Arial" w:cs="Arial"/>
          <w:sz w:val="22"/>
          <w:szCs w:val="22"/>
        </w:rPr>
      </w:pPr>
      <w:r w:rsidRPr="003A4335">
        <w:rPr>
          <w:rFonts w:ascii="Arial" w:hAnsi="Arial" w:cs="Arial"/>
          <w:sz w:val="22"/>
          <w:szCs w:val="22"/>
        </w:rPr>
        <w:t xml:space="preserve">Research suggests that organisational culture significantly influences the successful implementation of PCC. Healthcare organisations that are highly bureaucratic and task-oriented may struggle to embed person-centred approaches into everyday practice (Edvardsson, Fetherstonhaugh and Nay, 2010). Furthermore, organisational structures and resistance to change can limit the effectiveness of PCC interventions and reduce patient involvement in care decisions </w:t>
      </w:r>
      <w:r w:rsidR="00996D59" w:rsidRPr="00996D59">
        <w:rPr>
          <w:rFonts w:ascii="Arial" w:hAnsi="Arial" w:cs="Arial"/>
          <w:sz w:val="22"/>
          <w:szCs w:val="22"/>
        </w:rPr>
        <w:t>(Edvardsson, Sandman and Borell, 2014)</w:t>
      </w:r>
      <w:r w:rsidRPr="003A4335">
        <w:rPr>
          <w:rFonts w:ascii="Arial" w:hAnsi="Arial" w:cs="Arial"/>
          <w:sz w:val="22"/>
          <w:szCs w:val="22"/>
        </w:rPr>
        <w:t>.</w:t>
      </w:r>
    </w:p>
    <w:p w14:paraId="6682DC4B" w14:textId="549A682B" w:rsidR="00653B61" w:rsidRDefault="003A4335" w:rsidP="003A4335">
      <w:pPr>
        <w:spacing w:line="360" w:lineRule="auto"/>
        <w:jc w:val="both"/>
        <w:rPr>
          <w:rFonts w:ascii="Arial" w:hAnsi="Arial" w:cs="Arial"/>
          <w:sz w:val="22"/>
          <w:szCs w:val="22"/>
        </w:rPr>
      </w:pPr>
      <w:r w:rsidRPr="003A4335">
        <w:rPr>
          <w:rFonts w:ascii="Arial" w:hAnsi="Arial" w:cs="Arial"/>
          <w:sz w:val="22"/>
          <w:szCs w:val="22"/>
        </w:rPr>
        <w:t>Critics also argue that PCC can become tokenistic if healthcare systems remain predominantly medically driven rather than genuinely collaborative. In such situations, patients may be encouraged to express their preferences but have little actual influence over decision-making processes, undermining the fundamental principles of person-centred practice (Koren, 2010).</w:t>
      </w:r>
    </w:p>
    <w:p w14:paraId="5C8FB570" w14:textId="77777777" w:rsidR="007522B1" w:rsidRDefault="007522B1" w:rsidP="003A4335">
      <w:pPr>
        <w:spacing w:line="360" w:lineRule="auto"/>
        <w:jc w:val="both"/>
        <w:rPr>
          <w:rFonts w:ascii="Arial" w:hAnsi="Arial" w:cs="Arial"/>
          <w:sz w:val="22"/>
          <w:szCs w:val="22"/>
        </w:rPr>
      </w:pPr>
    </w:p>
    <w:p w14:paraId="49007A81" w14:textId="715A7608" w:rsidR="00431776" w:rsidRPr="00852C1D" w:rsidRDefault="00852C1D" w:rsidP="00852C1D">
      <w:pPr>
        <w:spacing w:line="360" w:lineRule="auto"/>
        <w:jc w:val="both"/>
        <w:rPr>
          <w:rFonts w:ascii="Arial" w:hAnsi="Arial" w:cs="Arial"/>
          <w:b/>
          <w:bCs/>
          <w:sz w:val="28"/>
          <w:szCs w:val="28"/>
        </w:rPr>
      </w:pPr>
      <w:r>
        <w:rPr>
          <w:rFonts w:ascii="Arial" w:hAnsi="Arial" w:cs="Arial"/>
          <w:b/>
          <w:bCs/>
          <w:sz w:val="28"/>
          <w:szCs w:val="28"/>
        </w:rPr>
        <w:lastRenderedPageBreak/>
        <w:t>3.</w:t>
      </w:r>
      <w:r w:rsidR="00431776" w:rsidRPr="00852C1D">
        <w:rPr>
          <w:rFonts w:ascii="Arial" w:hAnsi="Arial" w:cs="Arial"/>
          <w:b/>
          <w:bCs/>
          <w:sz w:val="28"/>
          <w:szCs w:val="28"/>
        </w:rPr>
        <w:t>Theoretical Model Underpinning PCC: Carl Rogers’ Person-Centred Theory</w:t>
      </w:r>
    </w:p>
    <w:p w14:paraId="4B96EAA8" w14:textId="4230205F" w:rsidR="00960ECC" w:rsidRDefault="00CB770E" w:rsidP="00A37332">
      <w:pPr>
        <w:spacing w:line="360" w:lineRule="auto"/>
        <w:rPr>
          <w:rFonts w:ascii="Arial" w:hAnsi="Arial" w:cs="Arial"/>
          <w:sz w:val="22"/>
          <w:szCs w:val="22"/>
        </w:rPr>
      </w:pPr>
      <w:r>
        <w:rPr>
          <w:noProof/>
        </w:rPr>
        <w:drawing>
          <wp:anchor distT="0" distB="0" distL="114300" distR="114300" simplePos="0" relativeHeight="251658240" behindDoc="0" locked="0" layoutInCell="1" allowOverlap="1" wp14:anchorId="2851BD6A" wp14:editId="3B767C22">
            <wp:simplePos x="0" y="0"/>
            <wp:positionH relativeFrom="column">
              <wp:posOffset>3651250</wp:posOffset>
            </wp:positionH>
            <wp:positionV relativeFrom="paragraph">
              <wp:posOffset>2540</wp:posOffset>
            </wp:positionV>
            <wp:extent cx="2159000" cy="1798320"/>
            <wp:effectExtent l="0" t="0" r="0" b="0"/>
            <wp:wrapSquare wrapText="bothSides"/>
            <wp:docPr id="116671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59000" cy="1798320"/>
                    </a:xfrm>
                    <a:prstGeom prst="rect">
                      <a:avLst/>
                    </a:prstGeom>
                    <a:noFill/>
                  </pic:spPr>
                </pic:pic>
              </a:graphicData>
            </a:graphic>
            <wp14:sizeRelH relativeFrom="margin">
              <wp14:pctWidth>0</wp14:pctWidth>
            </wp14:sizeRelH>
          </wp:anchor>
        </w:drawing>
      </w:r>
      <w:r w:rsidR="007042B0" w:rsidRPr="00A37332">
        <w:rPr>
          <w:rFonts w:ascii="Arial" w:hAnsi="Arial" w:cs="Arial"/>
          <w:sz w:val="22"/>
          <w:szCs w:val="22"/>
        </w:rPr>
        <w:t>A foundational theory underpinning PCC is Carl Rogers’ humanistic approach.</w:t>
      </w:r>
      <w:r w:rsidR="00A37332" w:rsidRPr="00A37332">
        <w:rPr>
          <w:rFonts w:ascii="Arial" w:hAnsi="Arial" w:cs="Arial"/>
          <w:sz w:val="22"/>
          <w:szCs w:val="22"/>
        </w:rPr>
        <w:t xml:space="preserve"> Rogers (1951) proposed that individuals have an inherent capacity for growth and self-actualisation. He identified three core conditions for therapeutic relationships:</w:t>
      </w:r>
    </w:p>
    <w:p w14:paraId="0DDF84C8" w14:textId="77777777" w:rsidR="000D2D24" w:rsidRPr="000D2D24" w:rsidRDefault="000D2D24" w:rsidP="000D2D24">
      <w:pPr>
        <w:numPr>
          <w:ilvl w:val="0"/>
          <w:numId w:val="5"/>
        </w:numPr>
        <w:tabs>
          <w:tab w:val="num" w:pos="643"/>
        </w:tabs>
        <w:spacing w:line="360" w:lineRule="auto"/>
        <w:rPr>
          <w:rFonts w:ascii="Arial" w:hAnsi="Arial" w:cs="Arial"/>
          <w:sz w:val="22"/>
          <w:szCs w:val="22"/>
        </w:rPr>
      </w:pPr>
      <w:r w:rsidRPr="000D2D24">
        <w:rPr>
          <w:rFonts w:ascii="Arial" w:hAnsi="Arial" w:cs="Arial"/>
          <w:sz w:val="22"/>
          <w:szCs w:val="22"/>
        </w:rPr>
        <w:t xml:space="preserve">Empathy </w:t>
      </w:r>
    </w:p>
    <w:p w14:paraId="52F5AB72" w14:textId="066464DA" w:rsidR="000D2D24" w:rsidRPr="000D2D24" w:rsidRDefault="000D2D24" w:rsidP="000D2D24">
      <w:pPr>
        <w:numPr>
          <w:ilvl w:val="0"/>
          <w:numId w:val="5"/>
        </w:numPr>
        <w:tabs>
          <w:tab w:val="num" w:pos="643"/>
        </w:tabs>
        <w:spacing w:line="360" w:lineRule="auto"/>
        <w:rPr>
          <w:rFonts w:ascii="Arial" w:hAnsi="Arial" w:cs="Arial"/>
          <w:sz w:val="22"/>
          <w:szCs w:val="22"/>
        </w:rPr>
      </w:pPr>
      <w:r w:rsidRPr="000D2D24">
        <w:rPr>
          <w:rFonts w:ascii="Arial" w:hAnsi="Arial" w:cs="Arial"/>
          <w:sz w:val="22"/>
          <w:szCs w:val="22"/>
        </w:rPr>
        <w:t xml:space="preserve">Unconditional positive regard </w:t>
      </w:r>
    </w:p>
    <w:p w14:paraId="35BF167F" w14:textId="1E98A285" w:rsidR="000D2D24" w:rsidRPr="000D2D24" w:rsidRDefault="000D2D24" w:rsidP="000D2D24">
      <w:pPr>
        <w:numPr>
          <w:ilvl w:val="0"/>
          <w:numId w:val="5"/>
        </w:numPr>
        <w:tabs>
          <w:tab w:val="num" w:pos="643"/>
        </w:tabs>
        <w:spacing w:line="360" w:lineRule="auto"/>
        <w:rPr>
          <w:rFonts w:ascii="Arial" w:hAnsi="Arial" w:cs="Arial"/>
          <w:sz w:val="22"/>
          <w:szCs w:val="22"/>
        </w:rPr>
      </w:pPr>
      <w:r w:rsidRPr="000D2D24">
        <w:rPr>
          <w:rFonts w:ascii="Arial" w:hAnsi="Arial" w:cs="Arial"/>
          <w:sz w:val="22"/>
          <w:szCs w:val="22"/>
        </w:rPr>
        <w:t xml:space="preserve">Congruence (genuineness) </w:t>
      </w:r>
      <w:r w:rsidR="00E516E2">
        <w:rPr>
          <w:rFonts w:ascii="Arial" w:hAnsi="Arial" w:cs="Arial"/>
          <w:sz w:val="22"/>
          <w:szCs w:val="22"/>
        </w:rPr>
        <w:t xml:space="preserve">                                  </w:t>
      </w:r>
    </w:p>
    <w:p w14:paraId="09A05F9C" w14:textId="77777777" w:rsidR="00354788" w:rsidRDefault="00B774F5" w:rsidP="00A37332">
      <w:pPr>
        <w:spacing w:line="360" w:lineRule="auto"/>
        <w:rPr>
          <w:rFonts w:ascii="Arial" w:hAnsi="Arial" w:cs="Arial"/>
          <w:sz w:val="22"/>
          <w:szCs w:val="22"/>
        </w:rPr>
      </w:pPr>
      <w:r w:rsidRPr="00B774F5">
        <w:rPr>
          <w:rFonts w:ascii="Arial" w:hAnsi="Arial" w:cs="Arial"/>
          <w:sz w:val="22"/>
          <w:szCs w:val="22"/>
        </w:rPr>
        <w:t>These principles directly influence modern PCC practice, particularly in mental health, nursing and social work</w:t>
      </w:r>
      <w:r>
        <w:rPr>
          <w:rFonts w:ascii="Arial" w:hAnsi="Arial" w:cs="Arial"/>
          <w:sz w:val="22"/>
          <w:szCs w:val="22"/>
        </w:rPr>
        <w:t xml:space="preserve">. </w:t>
      </w:r>
    </w:p>
    <w:p w14:paraId="4B3079E5" w14:textId="77777777" w:rsidR="00354788" w:rsidRPr="00CB770E" w:rsidRDefault="00354788" w:rsidP="00354788">
      <w:pPr>
        <w:spacing w:line="360" w:lineRule="auto"/>
        <w:rPr>
          <w:rFonts w:ascii="Arial" w:hAnsi="Arial" w:cs="Arial"/>
          <w:b/>
          <w:bCs/>
        </w:rPr>
      </w:pPr>
      <w:r w:rsidRPr="00CB770E">
        <w:rPr>
          <w:rFonts w:ascii="Arial" w:hAnsi="Arial" w:cs="Arial"/>
          <w:b/>
          <w:bCs/>
        </w:rPr>
        <w:t>Critical Evaluation</w:t>
      </w:r>
    </w:p>
    <w:p w14:paraId="1DC12F9E" w14:textId="77777777" w:rsidR="00354788" w:rsidRPr="00354788" w:rsidRDefault="00354788" w:rsidP="00354788">
      <w:pPr>
        <w:spacing w:line="360" w:lineRule="auto"/>
        <w:jc w:val="both"/>
        <w:rPr>
          <w:rFonts w:ascii="Arial" w:hAnsi="Arial" w:cs="Arial"/>
          <w:sz w:val="22"/>
          <w:szCs w:val="22"/>
        </w:rPr>
      </w:pPr>
      <w:r w:rsidRPr="00354788">
        <w:rPr>
          <w:rFonts w:ascii="Arial" w:hAnsi="Arial" w:cs="Arial"/>
          <w:sz w:val="22"/>
          <w:szCs w:val="22"/>
        </w:rPr>
        <w:t>Rogers’ theory supports autonomy and empowerment, aligning strongly with ethical healthcare values such as respect and dignity. It promotes equality in professional-service user relationships and challenges paternalistic care models.</w:t>
      </w:r>
    </w:p>
    <w:p w14:paraId="174C89AE" w14:textId="77777777" w:rsidR="00354788" w:rsidRPr="00354788" w:rsidRDefault="00354788" w:rsidP="00354788">
      <w:pPr>
        <w:spacing w:line="360" w:lineRule="auto"/>
        <w:jc w:val="both"/>
        <w:rPr>
          <w:rFonts w:ascii="Arial" w:hAnsi="Arial" w:cs="Arial"/>
          <w:sz w:val="22"/>
          <w:szCs w:val="22"/>
        </w:rPr>
      </w:pPr>
      <w:r w:rsidRPr="00354788">
        <w:rPr>
          <w:rFonts w:ascii="Arial" w:hAnsi="Arial" w:cs="Arial"/>
          <w:sz w:val="22"/>
          <w:szCs w:val="22"/>
        </w:rPr>
        <w:t>However, critics argue that Rogers’ theory may underestimate structural barriers such as poverty, inequality and institutional power dynamics (Tew, 2011). Additionally, in acute medical settings, time constraints can limit deep therapeutic engagement.</w:t>
      </w:r>
    </w:p>
    <w:p w14:paraId="6E4AA469" w14:textId="77777777" w:rsidR="00354788" w:rsidRPr="00354788" w:rsidRDefault="00354788" w:rsidP="00354788">
      <w:pPr>
        <w:spacing w:line="360" w:lineRule="auto"/>
        <w:jc w:val="both"/>
        <w:rPr>
          <w:rFonts w:ascii="Arial" w:hAnsi="Arial" w:cs="Arial"/>
          <w:sz w:val="22"/>
          <w:szCs w:val="22"/>
        </w:rPr>
      </w:pPr>
      <w:r w:rsidRPr="00354788">
        <w:rPr>
          <w:rFonts w:ascii="Arial" w:hAnsi="Arial" w:cs="Arial"/>
          <w:sz w:val="22"/>
          <w:szCs w:val="22"/>
        </w:rPr>
        <w:t>Nonetheless, Rogers’ humanistic theory remains influential in shaping relational, compassionate care models.</w:t>
      </w:r>
    </w:p>
    <w:p w14:paraId="166E19AF" w14:textId="5A4CDAD2" w:rsidR="00093821" w:rsidRPr="00852C1D" w:rsidRDefault="00852C1D" w:rsidP="00852C1D">
      <w:pPr>
        <w:spacing w:line="360" w:lineRule="auto"/>
        <w:jc w:val="both"/>
        <w:rPr>
          <w:rFonts w:ascii="Arial" w:hAnsi="Arial" w:cs="Arial"/>
          <w:b/>
          <w:bCs/>
          <w:sz w:val="28"/>
          <w:szCs w:val="28"/>
        </w:rPr>
      </w:pPr>
      <w:r w:rsidRPr="00852C1D">
        <w:rPr>
          <w:rFonts w:ascii="Arial" w:hAnsi="Arial" w:cs="Arial"/>
          <w:b/>
          <w:bCs/>
          <w:sz w:val="28"/>
          <w:szCs w:val="28"/>
        </w:rPr>
        <w:t>4</w:t>
      </w:r>
      <w:r w:rsidR="00093821" w:rsidRPr="00852C1D">
        <w:rPr>
          <w:rFonts w:ascii="Arial" w:hAnsi="Arial" w:cs="Arial"/>
          <w:b/>
          <w:bCs/>
          <w:sz w:val="28"/>
          <w:szCs w:val="28"/>
        </w:rPr>
        <w:t>. Ethical Fundamentals in Health and Social Care</w:t>
      </w:r>
    </w:p>
    <w:p w14:paraId="18DC0D71" w14:textId="77777777" w:rsidR="00093821" w:rsidRPr="00093821" w:rsidRDefault="00093821" w:rsidP="00852C1D">
      <w:pPr>
        <w:spacing w:line="360" w:lineRule="auto"/>
        <w:jc w:val="both"/>
        <w:rPr>
          <w:rFonts w:ascii="Arial" w:hAnsi="Arial" w:cs="Arial"/>
          <w:sz w:val="22"/>
          <w:szCs w:val="22"/>
        </w:rPr>
      </w:pPr>
      <w:r w:rsidRPr="00093821">
        <w:rPr>
          <w:rFonts w:ascii="Arial" w:hAnsi="Arial" w:cs="Arial"/>
          <w:sz w:val="22"/>
          <w:szCs w:val="22"/>
        </w:rPr>
        <w:t>Health and social care practice is guided by ethical principles derived from biomedical ethics (Beauchamp and Childress, 2019):</w:t>
      </w:r>
    </w:p>
    <w:p w14:paraId="4CFC6ABD" w14:textId="77777777" w:rsidR="00093821" w:rsidRPr="00093821" w:rsidRDefault="00093821" w:rsidP="00852C1D">
      <w:pPr>
        <w:numPr>
          <w:ilvl w:val="0"/>
          <w:numId w:val="6"/>
        </w:numPr>
        <w:spacing w:line="360" w:lineRule="auto"/>
        <w:jc w:val="both"/>
        <w:rPr>
          <w:rFonts w:ascii="Arial" w:hAnsi="Arial" w:cs="Arial"/>
          <w:sz w:val="22"/>
          <w:szCs w:val="22"/>
        </w:rPr>
      </w:pPr>
      <w:r w:rsidRPr="00093821">
        <w:rPr>
          <w:rFonts w:ascii="Arial" w:hAnsi="Arial" w:cs="Arial"/>
          <w:b/>
          <w:bCs/>
          <w:sz w:val="22"/>
          <w:szCs w:val="22"/>
        </w:rPr>
        <w:t>Autonomy</w:t>
      </w:r>
      <w:r w:rsidRPr="00093821">
        <w:rPr>
          <w:rFonts w:ascii="Arial" w:hAnsi="Arial" w:cs="Arial"/>
          <w:sz w:val="22"/>
          <w:szCs w:val="22"/>
        </w:rPr>
        <w:t xml:space="preserve"> – Respecting individuals’ right to make decisions </w:t>
      </w:r>
    </w:p>
    <w:p w14:paraId="0A97A177" w14:textId="77777777" w:rsidR="00093821" w:rsidRPr="00093821" w:rsidRDefault="00093821" w:rsidP="00852C1D">
      <w:pPr>
        <w:numPr>
          <w:ilvl w:val="0"/>
          <w:numId w:val="6"/>
        </w:numPr>
        <w:spacing w:line="360" w:lineRule="auto"/>
        <w:jc w:val="both"/>
        <w:rPr>
          <w:rFonts w:ascii="Arial" w:hAnsi="Arial" w:cs="Arial"/>
          <w:sz w:val="22"/>
          <w:szCs w:val="22"/>
        </w:rPr>
      </w:pPr>
      <w:r w:rsidRPr="00093821">
        <w:rPr>
          <w:rFonts w:ascii="Arial" w:hAnsi="Arial" w:cs="Arial"/>
          <w:b/>
          <w:bCs/>
          <w:sz w:val="22"/>
          <w:szCs w:val="22"/>
        </w:rPr>
        <w:t>Beneficence</w:t>
      </w:r>
      <w:r w:rsidRPr="00093821">
        <w:rPr>
          <w:rFonts w:ascii="Arial" w:hAnsi="Arial" w:cs="Arial"/>
          <w:sz w:val="22"/>
          <w:szCs w:val="22"/>
        </w:rPr>
        <w:t xml:space="preserve"> – Acting in the person’s best interest </w:t>
      </w:r>
    </w:p>
    <w:p w14:paraId="761A0CAC" w14:textId="77777777" w:rsidR="00093821" w:rsidRPr="00093821" w:rsidRDefault="00093821" w:rsidP="00852C1D">
      <w:pPr>
        <w:numPr>
          <w:ilvl w:val="0"/>
          <w:numId w:val="6"/>
        </w:numPr>
        <w:spacing w:line="360" w:lineRule="auto"/>
        <w:jc w:val="both"/>
        <w:rPr>
          <w:rFonts w:ascii="Arial" w:hAnsi="Arial" w:cs="Arial"/>
          <w:sz w:val="22"/>
          <w:szCs w:val="22"/>
        </w:rPr>
      </w:pPr>
      <w:r w:rsidRPr="00093821">
        <w:rPr>
          <w:rFonts w:ascii="Arial" w:hAnsi="Arial" w:cs="Arial"/>
          <w:b/>
          <w:bCs/>
          <w:sz w:val="22"/>
          <w:szCs w:val="22"/>
        </w:rPr>
        <w:t>Non-maleficence</w:t>
      </w:r>
      <w:r w:rsidRPr="00093821">
        <w:rPr>
          <w:rFonts w:ascii="Arial" w:hAnsi="Arial" w:cs="Arial"/>
          <w:sz w:val="22"/>
          <w:szCs w:val="22"/>
        </w:rPr>
        <w:t xml:space="preserve"> – Avoiding harm </w:t>
      </w:r>
    </w:p>
    <w:p w14:paraId="60651666" w14:textId="77777777" w:rsidR="00093821" w:rsidRPr="00093821" w:rsidRDefault="00093821" w:rsidP="00852C1D">
      <w:pPr>
        <w:numPr>
          <w:ilvl w:val="0"/>
          <w:numId w:val="6"/>
        </w:numPr>
        <w:spacing w:line="360" w:lineRule="auto"/>
        <w:jc w:val="both"/>
        <w:rPr>
          <w:rFonts w:ascii="Arial" w:hAnsi="Arial" w:cs="Arial"/>
          <w:sz w:val="22"/>
          <w:szCs w:val="22"/>
        </w:rPr>
      </w:pPr>
      <w:r w:rsidRPr="00093821">
        <w:rPr>
          <w:rFonts w:ascii="Arial" w:hAnsi="Arial" w:cs="Arial"/>
          <w:b/>
          <w:bCs/>
          <w:sz w:val="22"/>
          <w:szCs w:val="22"/>
        </w:rPr>
        <w:t>Justice</w:t>
      </w:r>
      <w:r w:rsidRPr="00093821">
        <w:rPr>
          <w:rFonts w:ascii="Arial" w:hAnsi="Arial" w:cs="Arial"/>
          <w:sz w:val="22"/>
          <w:szCs w:val="22"/>
        </w:rPr>
        <w:t xml:space="preserve"> – Fair distribution of resources </w:t>
      </w:r>
    </w:p>
    <w:p w14:paraId="211920E5" w14:textId="6248970D" w:rsidR="00093821" w:rsidRPr="00093821" w:rsidRDefault="00093821" w:rsidP="00852C1D">
      <w:pPr>
        <w:spacing w:line="360" w:lineRule="auto"/>
        <w:jc w:val="both"/>
        <w:rPr>
          <w:rFonts w:ascii="Arial" w:hAnsi="Arial" w:cs="Arial"/>
          <w:sz w:val="22"/>
          <w:szCs w:val="22"/>
        </w:rPr>
      </w:pPr>
      <w:r w:rsidRPr="00093821">
        <w:rPr>
          <w:rFonts w:ascii="Arial" w:hAnsi="Arial" w:cs="Arial"/>
          <w:sz w:val="22"/>
          <w:szCs w:val="22"/>
        </w:rPr>
        <w:lastRenderedPageBreak/>
        <w:t xml:space="preserve">PCC strongly aligns with </w:t>
      </w:r>
      <w:r w:rsidR="00852C1D">
        <w:rPr>
          <w:rFonts w:ascii="Arial" w:hAnsi="Arial" w:cs="Arial"/>
          <w:sz w:val="22"/>
          <w:szCs w:val="22"/>
        </w:rPr>
        <w:t xml:space="preserve">the principles of </w:t>
      </w:r>
      <w:r w:rsidRPr="00093821">
        <w:rPr>
          <w:rFonts w:ascii="Arial" w:hAnsi="Arial" w:cs="Arial"/>
          <w:sz w:val="22"/>
          <w:szCs w:val="22"/>
        </w:rPr>
        <w:t xml:space="preserve">autonomy and beneficence. The </w:t>
      </w:r>
      <w:r w:rsidRPr="00093821">
        <w:rPr>
          <w:rFonts w:ascii="Arial" w:hAnsi="Arial" w:cs="Arial"/>
          <w:i/>
          <w:iCs/>
          <w:sz w:val="22"/>
          <w:szCs w:val="22"/>
        </w:rPr>
        <w:t>Mental Capacity Act 2005</w:t>
      </w:r>
      <w:r w:rsidRPr="00093821">
        <w:rPr>
          <w:rFonts w:ascii="Arial" w:hAnsi="Arial" w:cs="Arial"/>
          <w:sz w:val="22"/>
          <w:szCs w:val="22"/>
        </w:rPr>
        <w:t xml:space="preserve"> reinforces autonomy by ensuring </w:t>
      </w:r>
      <w:r w:rsidR="007B44C5">
        <w:rPr>
          <w:rFonts w:ascii="Arial" w:hAnsi="Arial" w:cs="Arial"/>
          <w:sz w:val="22"/>
          <w:szCs w:val="22"/>
        </w:rPr>
        <w:t>that individuals are supported in making</w:t>
      </w:r>
      <w:r w:rsidRPr="00093821">
        <w:rPr>
          <w:rFonts w:ascii="Arial" w:hAnsi="Arial" w:cs="Arial"/>
          <w:sz w:val="22"/>
          <w:szCs w:val="22"/>
        </w:rPr>
        <w:t xml:space="preserve"> decisions unless proven otherwise (HM Government, 2005).</w:t>
      </w:r>
    </w:p>
    <w:p w14:paraId="5C0FC2DD" w14:textId="54D28500" w:rsidR="00093821" w:rsidRPr="00093821" w:rsidRDefault="00093821" w:rsidP="00852C1D">
      <w:pPr>
        <w:spacing w:line="360" w:lineRule="auto"/>
        <w:jc w:val="both"/>
        <w:rPr>
          <w:rFonts w:ascii="Arial" w:hAnsi="Arial" w:cs="Arial"/>
          <w:sz w:val="22"/>
          <w:szCs w:val="22"/>
        </w:rPr>
      </w:pPr>
      <w:r w:rsidRPr="00093821">
        <w:rPr>
          <w:rFonts w:ascii="Arial" w:hAnsi="Arial" w:cs="Arial"/>
          <w:sz w:val="22"/>
          <w:szCs w:val="22"/>
        </w:rPr>
        <w:t>Ethical tensions may arise between autonomy and beneficence</w:t>
      </w:r>
      <w:r w:rsidR="00F769F6">
        <w:rPr>
          <w:rFonts w:ascii="Arial" w:hAnsi="Arial" w:cs="Arial"/>
          <w:sz w:val="22"/>
          <w:szCs w:val="22"/>
        </w:rPr>
        <w:t>,</w:t>
      </w:r>
      <w:r w:rsidRPr="00093821">
        <w:rPr>
          <w:rFonts w:ascii="Arial" w:hAnsi="Arial" w:cs="Arial"/>
          <w:sz w:val="22"/>
          <w:szCs w:val="22"/>
        </w:rPr>
        <w:t xml:space="preserve"> for example, when service users refuse treatment. In such cases, professionals must balance risk, safety and legal obligations.</w:t>
      </w:r>
    </w:p>
    <w:p w14:paraId="63B371AC" w14:textId="77777777" w:rsidR="00093821" w:rsidRDefault="00093821" w:rsidP="00852C1D">
      <w:pPr>
        <w:spacing w:line="360" w:lineRule="auto"/>
        <w:jc w:val="both"/>
        <w:rPr>
          <w:rFonts w:ascii="Arial" w:hAnsi="Arial" w:cs="Arial"/>
          <w:sz w:val="22"/>
          <w:szCs w:val="22"/>
        </w:rPr>
      </w:pPr>
      <w:r w:rsidRPr="00093821">
        <w:rPr>
          <w:rFonts w:ascii="Arial" w:hAnsi="Arial" w:cs="Arial"/>
          <w:sz w:val="22"/>
          <w:szCs w:val="22"/>
        </w:rPr>
        <w:t>Furthermore, justice becomes increasingly significant in a resource-constrained NHS system, where rationing may limit personalised care.</w:t>
      </w:r>
    </w:p>
    <w:p w14:paraId="6A3BAA51" w14:textId="77777777" w:rsidR="00CE356B" w:rsidRDefault="00CE356B" w:rsidP="00CE356B">
      <w:pPr>
        <w:spacing w:line="360" w:lineRule="auto"/>
        <w:jc w:val="both"/>
        <w:rPr>
          <w:rFonts w:ascii="Arial" w:hAnsi="Arial" w:cs="Arial"/>
          <w:b/>
          <w:bCs/>
          <w:sz w:val="22"/>
          <w:szCs w:val="22"/>
        </w:rPr>
      </w:pPr>
    </w:p>
    <w:p w14:paraId="6FAB0B2C" w14:textId="75376C1E" w:rsidR="00CE356B" w:rsidRPr="00CE356B" w:rsidRDefault="00CE356B" w:rsidP="00CE356B">
      <w:pPr>
        <w:spacing w:line="360" w:lineRule="auto"/>
        <w:jc w:val="both"/>
        <w:rPr>
          <w:rFonts w:ascii="Arial" w:hAnsi="Arial" w:cs="Arial"/>
          <w:b/>
          <w:bCs/>
          <w:sz w:val="28"/>
          <w:szCs w:val="28"/>
        </w:rPr>
      </w:pPr>
      <w:r w:rsidRPr="00CE356B">
        <w:rPr>
          <w:rFonts w:ascii="Arial" w:hAnsi="Arial" w:cs="Arial"/>
          <w:b/>
          <w:bCs/>
          <w:sz w:val="28"/>
          <w:szCs w:val="28"/>
        </w:rPr>
        <w:t>5. Evaluating Partnership Working (PW)</w:t>
      </w:r>
    </w:p>
    <w:p w14:paraId="6DA52135" w14:textId="785B78CB" w:rsidR="004C0D06" w:rsidRPr="004C0D06" w:rsidRDefault="004C0D06" w:rsidP="006358EE">
      <w:pPr>
        <w:spacing w:line="360" w:lineRule="auto"/>
        <w:jc w:val="both"/>
        <w:rPr>
          <w:rFonts w:ascii="Arial" w:hAnsi="Arial" w:cs="Arial"/>
          <w:sz w:val="22"/>
          <w:szCs w:val="22"/>
        </w:rPr>
      </w:pPr>
      <w:r w:rsidRPr="004C0D06">
        <w:rPr>
          <w:rFonts w:ascii="Arial" w:hAnsi="Arial" w:cs="Arial"/>
          <w:sz w:val="22"/>
          <w:szCs w:val="22"/>
        </w:rPr>
        <w:t>Partnership working refers to collaborative approaches between professionals, organisations, service users and carers to deliver coordinated care (Glasby and Dickinson, 2014).</w:t>
      </w:r>
    </w:p>
    <w:p w14:paraId="3717E695" w14:textId="77777777" w:rsidR="00C36578" w:rsidRPr="00C36578" w:rsidRDefault="00C36578" w:rsidP="006358EE">
      <w:pPr>
        <w:spacing w:line="360" w:lineRule="auto"/>
        <w:jc w:val="both"/>
        <w:rPr>
          <w:rFonts w:ascii="Arial" w:hAnsi="Arial" w:cs="Arial"/>
          <w:sz w:val="22"/>
          <w:szCs w:val="22"/>
        </w:rPr>
      </w:pPr>
      <w:r w:rsidRPr="00C36578">
        <w:rPr>
          <w:rFonts w:ascii="Arial" w:hAnsi="Arial" w:cs="Arial"/>
          <w:sz w:val="22"/>
          <w:szCs w:val="22"/>
        </w:rPr>
        <w:t xml:space="preserve">The </w:t>
      </w:r>
      <w:r w:rsidRPr="00C36578">
        <w:rPr>
          <w:rFonts w:ascii="Arial" w:hAnsi="Arial" w:cs="Arial"/>
          <w:i/>
          <w:iCs/>
          <w:sz w:val="22"/>
          <w:szCs w:val="22"/>
        </w:rPr>
        <w:t>Health and Social Care Act 2012</w:t>
      </w:r>
      <w:r w:rsidRPr="00C36578">
        <w:rPr>
          <w:rFonts w:ascii="Arial" w:hAnsi="Arial" w:cs="Arial"/>
          <w:sz w:val="22"/>
          <w:szCs w:val="22"/>
        </w:rPr>
        <w:t xml:space="preserve"> introduced structural reforms promoting integration across services (HM Government, 2012). More recently, Integrated Care Systems (ICSs) aim to enhance collaboration between NHS bodies, local authorities and voluntary organisations (NHS England, 2022).</w:t>
      </w:r>
    </w:p>
    <w:p w14:paraId="0E06DCD1" w14:textId="77777777" w:rsidR="00D226A2" w:rsidRPr="00D226A2" w:rsidRDefault="00D226A2" w:rsidP="00D226A2">
      <w:pPr>
        <w:spacing w:line="360" w:lineRule="auto"/>
        <w:rPr>
          <w:rFonts w:ascii="Arial" w:hAnsi="Arial" w:cs="Arial"/>
          <w:b/>
          <w:bCs/>
        </w:rPr>
      </w:pPr>
      <w:r w:rsidRPr="00D226A2">
        <w:rPr>
          <w:rFonts w:ascii="Arial" w:hAnsi="Arial" w:cs="Arial"/>
          <w:b/>
          <w:bCs/>
        </w:rPr>
        <w:t>Benefits of Partnership Working (PW)</w:t>
      </w:r>
    </w:p>
    <w:p w14:paraId="10ED32D2" w14:textId="4FFBE82D" w:rsidR="00D226A2" w:rsidRPr="00D226A2" w:rsidRDefault="00D226A2" w:rsidP="00D226A2">
      <w:pPr>
        <w:spacing w:line="360" w:lineRule="auto"/>
        <w:jc w:val="both"/>
        <w:rPr>
          <w:rFonts w:ascii="Arial" w:hAnsi="Arial" w:cs="Arial"/>
          <w:sz w:val="22"/>
          <w:szCs w:val="22"/>
        </w:rPr>
      </w:pPr>
      <w:r w:rsidRPr="00D226A2">
        <w:rPr>
          <w:rFonts w:ascii="Arial" w:hAnsi="Arial" w:cs="Arial"/>
          <w:sz w:val="22"/>
          <w:szCs w:val="22"/>
        </w:rPr>
        <w:t>Partnership working (PW) in health and social care brings several important benefits, especially for people with long-term conditions or complex needs. One key benefit is improved continuity of care, meaning service users receive more consistent support across different services rather than experiencing gaps or repeated assessments. This helps build trust and improves overall care quality.</w:t>
      </w:r>
    </w:p>
    <w:p w14:paraId="76C35D68" w14:textId="77777777" w:rsidR="00D226A2" w:rsidRPr="00D226A2" w:rsidRDefault="00D226A2" w:rsidP="00D226A2">
      <w:pPr>
        <w:spacing w:line="360" w:lineRule="auto"/>
        <w:jc w:val="both"/>
        <w:rPr>
          <w:rFonts w:ascii="Arial" w:hAnsi="Arial" w:cs="Arial"/>
          <w:sz w:val="22"/>
          <w:szCs w:val="22"/>
        </w:rPr>
      </w:pPr>
      <w:r w:rsidRPr="00D226A2">
        <w:rPr>
          <w:rFonts w:ascii="Arial" w:hAnsi="Arial" w:cs="Arial"/>
          <w:sz w:val="22"/>
          <w:szCs w:val="22"/>
        </w:rPr>
        <w:t>Another advantage is reduced duplication of services. When agencies work together effectively, they can share information and coordinate roles, so service users are not repeatedly assessed or given the same support twice. This also saves time and resources.</w:t>
      </w:r>
    </w:p>
    <w:p w14:paraId="3FE344AF" w14:textId="37CEAB6A" w:rsidR="00D226A2" w:rsidRPr="00D226A2" w:rsidRDefault="00D226A2" w:rsidP="00D226A2">
      <w:pPr>
        <w:spacing w:line="360" w:lineRule="auto"/>
        <w:jc w:val="both"/>
        <w:rPr>
          <w:rFonts w:ascii="Arial" w:hAnsi="Arial" w:cs="Arial"/>
          <w:sz w:val="22"/>
          <w:szCs w:val="22"/>
        </w:rPr>
      </w:pPr>
      <w:r w:rsidRPr="00D226A2">
        <w:rPr>
          <w:rFonts w:ascii="Arial" w:hAnsi="Arial" w:cs="Arial"/>
          <w:sz w:val="22"/>
          <w:szCs w:val="22"/>
        </w:rPr>
        <w:t xml:space="preserve">Enhanced communication between agencies is also a major benefit. Good information sharing </w:t>
      </w:r>
      <w:r w:rsidR="0007210C">
        <w:rPr>
          <w:rFonts w:ascii="Arial" w:hAnsi="Arial" w:cs="Arial"/>
          <w:sz w:val="22"/>
          <w:szCs w:val="22"/>
        </w:rPr>
        <w:t xml:space="preserve">among health professionals, social workers, and other service providers helps ensure that </w:t>
      </w:r>
      <w:r w:rsidRPr="00D226A2">
        <w:rPr>
          <w:rFonts w:ascii="Arial" w:hAnsi="Arial" w:cs="Arial"/>
          <w:sz w:val="22"/>
          <w:szCs w:val="22"/>
        </w:rPr>
        <w:t>everyone involved understands the individual’s needs and care plan.</w:t>
      </w:r>
    </w:p>
    <w:p w14:paraId="0CCEC89E" w14:textId="0F4F235F" w:rsidR="00D226A2" w:rsidRPr="00D226A2" w:rsidRDefault="00D226A2" w:rsidP="00D226A2">
      <w:pPr>
        <w:spacing w:line="360" w:lineRule="auto"/>
        <w:jc w:val="both"/>
        <w:rPr>
          <w:rFonts w:ascii="Arial" w:hAnsi="Arial" w:cs="Arial"/>
          <w:sz w:val="22"/>
          <w:szCs w:val="22"/>
        </w:rPr>
      </w:pPr>
      <w:r w:rsidRPr="00D226A2">
        <w:rPr>
          <w:rFonts w:ascii="Arial" w:hAnsi="Arial" w:cs="Arial"/>
          <w:sz w:val="22"/>
          <w:szCs w:val="22"/>
        </w:rPr>
        <w:t xml:space="preserve">PW also supports a more holistic approach to care. This means professionals </w:t>
      </w:r>
      <w:r w:rsidR="00D34193">
        <w:rPr>
          <w:rFonts w:ascii="Arial" w:hAnsi="Arial" w:cs="Arial"/>
          <w:sz w:val="22"/>
          <w:szCs w:val="22"/>
        </w:rPr>
        <w:t>consider a</w:t>
      </w:r>
      <w:r w:rsidRPr="00D226A2">
        <w:rPr>
          <w:rFonts w:ascii="Arial" w:hAnsi="Arial" w:cs="Arial"/>
          <w:sz w:val="22"/>
          <w:szCs w:val="22"/>
        </w:rPr>
        <w:t xml:space="preserve"> person’s physical, emotional, and social needs together rather than focusing on just one area. This is especially important for individuals with complex needs.</w:t>
      </w:r>
    </w:p>
    <w:p w14:paraId="73F2FD1C" w14:textId="77777777" w:rsidR="00D226A2" w:rsidRPr="00D226A2" w:rsidRDefault="00D226A2" w:rsidP="00D226A2">
      <w:pPr>
        <w:spacing w:line="360" w:lineRule="auto"/>
        <w:jc w:val="both"/>
        <w:rPr>
          <w:rFonts w:ascii="Arial" w:hAnsi="Arial" w:cs="Arial"/>
          <w:sz w:val="22"/>
          <w:szCs w:val="22"/>
        </w:rPr>
      </w:pPr>
      <w:r w:rsidRPr="00D226A2">
        <w:rPr>
          <w:rFonts w:ascii="Arial" w:hAnsi="Arial" w:cs="Arial"/>
          <w:sz w:val="22"/>
          <w:szCs w:val="22"/>
        </w:rPr>
        <w:lastRenderedPageBreak/>
        <w:t>Finally, partnership working improves safeguarding by ensuring that concerns about abuse or neglect are identified and acted on more quickly through coordinated responses.</w:t>
      </w:r>
    </w:p>
    <w:p w14:paraId="4BE4FF5A" w14:textId="77777777" w:rsidR="00D226A2" w:rsidRDefault="00D226A2" w:rsidP="00D226A2">
      <w:pPr>
        <w:spacing w:line="360" w:lineRule="auto"/>
        <w:jc w:val="both"/>
        <w:rPr>
          <w:rFonts w:ascii="Arial" w:hAnsi="Arial" w:cs="Arial"/>
          <w:sz w:val="22"/>
          <w:szCs w:val="22"/>
        </w:rPr>
      </w:pPr>
      <w:r w:rsidRPr="00D226A2">
        <w:rPr>
          <w:rFonts w:ascii="Arial" w:hAnsi="Arial" w:cs="Arial"/>
          <w:sz w:val="22"/>
          <w:szCs w:val="22"/>
        </w:rPr>
        <w:t>Glasby and Dickinson (2014) argue that partnership working leads to better outcomes, particularly for individuals with chronic illness or complex social needs</w:t>
      </w:r>
    </w:p>
    <w:p w14:paraId="762733BF" w14:textId="4861EB4E" w:rsidR="00D226A2" w:rsidRPr="00557493" w:rsidRDefault="00D226A2" w:rsidP="00D226A2">
      <w:pPr>
        <w:spacing w:line="360" w:lineRule="auto"/>
        <w:jc w:val="both"/>
        <w:rPr>
          <w:rFonts w:ascii="Arial" w:hAnsi="Arial" w:cs="Arial"/>
          <w:b/>
          <w:bCs/>
        </w:rPr>
      </w:pPr>
      <w:r w:rsidRPr="00557493">
        <w:rPr>
          <w:rFonts w:ascii="Arial" w:hAnsi="Arial" w:cs="Arial"/>
          <w:b/>
          <w:bCs/>
        </w:rPr>
        <w:t>Limitation of Partnership Working (PW)</w:t>
      </w:r>
    </w:p>
    <w:p w14:paraId="3FF0D497" w14:textId="28061CBA" w:rsidR="00557493" w:rsidRPr="00557493" w:rsidRDefault="00557493" w:rsidP="00557493">
      <w:pPr>
        <w:spacing w:line="360" w:lineRule="auto"/>
        <w:jc w:val="both"/>
        <w:rPr>
          <w:rFonts w:ascii="Arial" w:hAnsi="Arial" w:cs="Arial"/>
          <w:sz w:val="22"/>
          <w:szCs w:val="22"/>
        </w:rPr>
      </w:pPr>
      <w:r w:rsidRPr="00557493">
        <w:rPr>
          <w:rFonts w:ascii="Arial" w:hAnsi="Arial" w:cs="Arial"/>
          <w:sz w:val="22"/>
          <w:szCs w:val="22"/>
        </w:rPr>
        <w:t xml:space="preserve">Despite strong policy support for partnership working, </w:t>
      </w:r>
      <w:r w:rsidR="00B22D58">
        <w:rPr>
          <w:rFonts w:ascii="Arial" w:hAnsi="Arial" w:cs="Arial"/>
          <w:sz w:val="22"/>
          <w:szCs w:val="22"/>
        </w:rPr>
        <w:t xml:space="preserve">several challenges can still </w:t>
      </w:r>
      <w:r w:rsidRPr="00557493">
        <w:rPr>
          <w:rFonts w:ascii="Arial" w:hAnsi="Arial" w:cs="Arial"/>
          <w:sz w:val="22"/>
          <w:szCs w:val="22"/>
        </w:rPr>
        <w:t>affect how well services work together in practice.</w:t>
      </w:r>
    </w:p>
    <w:p w14:paraId="15187A6D" w14:textId="77777777" w:rsidR="00557493" w:rsidRPr="00557493" w:rsidRDefault="00557493" w:rsidP="00557493">
      <w:pPr>
        <w:spacing w:line="360" w:lineRule="auto"/>
        <w:jc w:val="both"/>
        <w:rPr>
          <w:rFonts w:ascii="Arial" w:hAnsi="Arial" w:cs="Arial"/>
          <w:sz w:val="22"/>
          <w:szCs w:val="22"/>
        </w:rPr>
      </w:pPr>
      <w:r w:rsidRPr="00557493">
        <w:rPr>
          <w:rFonts w:ascii="Arial" w:hAnsi="Arial" w:cs="Arial"/>
          <w:sz w:val="22"/>
          <w:szCs w:val="22"/>
        </w:rPr>
        <w:t>One major issue is professional hierarchies. This happens when some professionals (for example doctors) are seen as more important than others, which can reduce teamwork and make it harder for all voices to be heard equally. As a result, decision-making may become unbalanced.</w:t>
      </w:r>
    </w:p>
    <w:p w14:paraId="671D6BB5" w14:textId="3E6202A2" w:rsidR="00557493" w:rsidRPr="00557493" w:rsidRDefault="00557493" w:rsidP="00557493">
      <w:pPr>
        <w:spacing w:line="360" w:lineRule="auto"/>
        <w:jc w:val="both"/>
        <w:rPr>
          <w:rFonts w:ascii="Arial" w:hAnsi="Arial" w:cs="Arial"/>
          <w:sz w:val="22"/>
          <w:szCs w:val="22"/>
        </w:rPr>
      </w:pPr>
      <w:r w:rsidRPr="00557493">
        <w:rPr>
          <w:rFonts w:ascii="Arial" w:hAnsi="Arial" w:cs="Arial"/>
          <w:sz w:val="22"/>
          <w:szCs w:val="22"/>
        </w:rPr>
        <w:t xml:space="preserve">Communication breakdowns are also common. If information is not shared clearly or in </w:t>
      </w:r>
      <w:r w:rsidR="00B22D58">
        <w:rPr>
          <w:rFonts w:ascii="Arial" w:hAnsi="Arial" w:cs="Arial"/>
          <w:sz w:val="22"/>
          <w:szCs w:val="22"/>
        </w:rPr>
        <w:t>a timely manner</w:t>
      </w:r>
      <w:r w:rsidRPr="00557493">
        <w:rPr>
          <w:rFonts w:ascii="Arial" w:hAnsi="Arial" w:cs="Arial"/>
          <w:sz w:val="22"/>
          <w:szCs w:val="22"/>
        </w:rPr>
        <w:t xml:space="preserve"> between services, it can lead to delays in care, misunderstandings, or even missed risks. This </w:t>
      </w:r>
      <w:r w:rsidR="00B22D58">
        <w:rPr>
          <w:rFonts w:ascii="Arial" w:hAnsi="Arial" w:cs="Arial"/>
          <w:sz w:val="22"/>
          <w:szCs w:val="22"/>
        </w:rPr>
        <w:t>is closely linked to information-sharing barriers, where organisations may struggle to share data due to confidentiality concerns or incompatible</w:t>
      </w:r>
      <w:r w:rsidRPr="00557493">
        <w:rPr>
          <w:rFonts w:ascii="Arial" w:hAnsi="Arial" w:cs="Arial"/>
          <w:sz w:val="22"/>
          <w:szCs w:val="22"/>
        </w:rPr>
        <w:t xml:space="preserve"> IT systems.</w:t>
      </w:r>
    </w:p>
    <w:p w14:paraId="6EB9DCDC" w14:textId="77777777" w:rsidR="00557493" w:rsidRPr="00557493" w:rsidRDefault="00557493" w:rsidP="00557493">
      <w:pPr>
        <w:spacing w:line="360" w:lineRule="auto"/>
        <w:jc w:val="both"/>
        <w:rPr>
          <w:rFonts w:ascii="Arial" w:hAnsi="Arial" w:cs="Arial"/>
          <w:sz w:val="22"/>
          <w:szCs w:val="22"/>
        </w:rPr>
      </w:pPr>
      <w:r w:rsidRPr="00557493">
        <w:rPr>
          <w:rFonts w:ascii="Arial" w:hAnsi="Arial" w:cs="Arial"/>
          <w:sz w:val="22"/>
          <w:szCs w:val="22"/>
        </w:rPr>
        <w:t>Funding disputes between agencies can also create tension. Different organisations may compete for limited resources, which can slow down joint working or cause disagreement about who should pay for certain services.</w:t>
      </w:r>
    </w:p>
    <w:p w14:paraId="6B5AE984" w14:textId="03E97D38" w:rsidR="00557493" w:rsidRPr="00557493" w:rsidRDefault="00557493" w:rsidP="00557493">
      <w:pPr>
        <w:spacing w:line="360" w:lineRule="auto"/>
        <w:jc w:val="both"/>
        <w:rPr>
          <w:rFonts w:ascii="Arial" w:hAnsi="Arial" w:cs="Arial"/>
          <w:sz w:val="22"/>
          <w:szCs w:val="22"/>
        </w:rPr>
      </w:pPr>
      <w:r w:rsidRPr="00557493">
        <w:rPr>
          <w:rFonts w:ascii="Arial" w:hAnsi="Arial" w:cs="Arial"/>
          <w:sz w:val="22"/>
          <w:szCs w:val="22"/>
        </w:rPr>
        <w:t xml:space="preserve">Conflicting organisational priorities </w:t>
      </w:r>
      <w:r w:rsidR="00B22D58">
        <w:rPr>
          <w:rFonts w:ascii="Arial" w:hAnsi="Arial" w:cs="Arial"/>
          <w:sz w:val="22"/>
          <w:szCs w:val="22"/>
        </w:rPr>
        <w:t>are</w:t>
      </w:r>
      <w:r w:rsidRPr="00557493">
        <w:rPr>
          <w:rFonts w:ascii="Arial" w:hAnsi="Arial" w:cs="Arial"/>
          <w:sz w:val="22"/>
          <w:szCs w:val="22"/>
        </w:rPr>
        <w:t xml:space="preserve"> another challenge. For example, one service may </w:t>
      </w:r>
      <w:r w:rsidR="006358EE">
        <w:rPr>
          <w:rFonts w:ascii="Arial" w:hAnsi="Arial" w:cs="Arial"/>
          <w:sz w:val="22"/>
          <w:szCs w:val="22"/>
        </w:rPr>
        <w:t>prioritise cost savings while another prioritises</w:t>
      </w:r>
      <w:r w:rsidR="00B22D58">
        <w:rPr>
          <w:rFonts w:ascii="Arial" w:hAnsi="Arial" w:cs="Arial"/>
          <w:sz w:val="22"/>
          <w:szCs w:val="22"/>
        </w:rPr>
        <w:t xml:space="preserve"> patient well-being</w:t>
      </w:r>
      <w:r w:rsidRPr="00557493">
        <w:rPr>
          <w:rFonts w:ascii="Arial" w:hAnsi="Arial" w:cs="Arial"/>
          <w:sz w:val="22"/>
          <w:szCs w:val="22"/>
        </w:rPr>
        <w:t>, making it difficult to agree on shared goals.</w:t>
      </w:r>
    </w:p>
    <w:p w14:paraId="19BD6810" w14:textId="77777777" w:rsidR="00557493" w:rsidRPr="00557493" w:rsidRDefault="00557493" w:rsidP="00557493">
      <w:pPr>
        <w:spacing w:line="360" w:lineRule="auto"/>
        <w:jc w:val="both"/>
        <w:rPr>
          <w:rFonts w:ascii="Arial" w:hAnsi="Arial" w:cs="Arial"/>
          <w:sz w:val="22"/>
          <w:szCs w:val="22"/>
        </w:rPr>
      </w:pPr>
      <w:r w:rsidRPr="00557493">
        <w:rPr>
          <w:rFonts w:ascii="Arial" w:hAnsi="Arial" w:cs="Arial"/>
          <w:sz w:val="22"/>
          <w:szCs w:val="22"/>
        </w:rPr>
        <w:t>The Francis Report (2013) highlighted that poor communication and weak coordination between services contributed to serious failures in patient care at Mid Staffordshire NHS Foundation Trust. This shows how breakdowns in partnership working can have serious consequences for patients.</w:t>
      </w:r>
    </w:p>
    <w:p w14:paraId="2C019C73" w14:textId="77777777" w:rsidR="00C73328" w:rsidRPr="00C73328" w:rsidRDefault="00C73328" w:rsidP="00C73328">
      <w:pPr>
        <w:spacing w:line="360" w:lineRule="auto"/>
        <w:jc w:val="both"/>
        <w:rPr>
          <w:rFonts w:ascii="Arial" w:hAnsi="Arial" w:cs="Arial"/>
          <w:b/>
          <w:bCs/>
        </w:rPr>
      </w:pPr>
      <w:r w:rsidRPr="00C73328">
        <w:rPr>
          <w:rFonts w:ascii="Arial" w:hAnsi="Arial" w:cs="Arial"/>
          <w:b/>
          <w:bCs/>
        </w:rPr>
        <w:t>6. Application of Partnership Working in Practice: Adult Safeguarding</w:t>
      </w:r>
    </w:p>
    <w:p w14:paraId="19532E3B" w14:textId="77777777" w:rsidR="003D6B33" w:rsidRPr="003D6B33" w:rsidRDefault="003D6B33" w:rsidP="00C73328">
      <w:pPr>
        <w:spacing w:line="360" w:lineRule="auto"/>
        <w:jc w:val="both"/>
        <w:rPr>
          <w:rFonts w:ascii="Arial" w:hAnsi="Arial" w:cs="Arial"/>
          <w:sz w:val="22"/>
          <w:szCs w:val="22"/>
        </w:rPr>
      </w:pPr>
      <w:r w:rsidRPr="003D6B33">
        <w:rPr>
          <w:rFonts w:ascii="Arial" w:hAnsi="Arial" w:cs="Arial"/>
          <w:sz w:val="22"/>
          <w:szCs w:val="22"/>
        </w:rPr>
        <w:t xml:space="preserve">Adult safeguarding under the </w:t>
      </w:r>
      <w:r w:rsidRPr="003D6B33">
        <w:rPr>
          <w:rFonts w:ascii="Arial" w:hAnsi="Arial" w:cs="Arial"/>
          <w:b/>
          <w:bCs/>
          <w:sz w:val="22"/>
          <w:szCs w:val="22"/>
        </w:rPr>
        <w:t>Care Act 2014</w:t>
      </w:r>
      <w:r w:rsidRPr="003D6B33">
        <w:rPr>
          <w:rFonts w:ascii="Arial" w:hAnsi="Arial" w:cs="Arial"/>
          <w:sz w:val="22"/>
          <w:szCs w:val="22"/>
        </w:rPr>
        <w:t xml:space="preserve"> is a good example of partnership working in practice. It involves different organisations working together to protect adults who may be at risk of abuse or neglect. These organisations include NHS services, local authorities, police, social workers, and voluntary groups. Each one has an important role. For example, health services can identify signs of harm, social workers assess care needs, and the police deal with criminal cases.</w:t>
      </w:r>
    </w:p>
    <w:p w14:paraId="27215AB0" w14:textId="3FCAA763" w:rsidR="003D6B33" w:rsidRPr="003D6B33" w:rsidRDefault="003D6B33" w:rsidP="00C73328">
      <w:pPr>
        <w:spacing w:line="360" w:lineRule="auto"/>
        <w:jc w:val="both"/>
        <w:rPr>
          <w:rFonts w:ascii="Arial" w:hAnsi="Arial" w:cs="Arial"/>
          <w:sz w:val="22"/>
          <w:szCs w:val="22"/>
        </w:rPr>
      </w:pPr>
      <w:r w:rsidRPr="003D6B33">
        <w:rPr>
          <w:rFonts w:ascii="Arial" w:hAnsi="Arial" w:cs="Arial"/>
          <w:b/>
          <w:bCs/>
          <w:sz w:val="22"/>
          <w:szCs w:val="22"/>
        </w:rPr>
        <w:lastRenderedPageBreak/>
        <w:t>Safeguarding Adults Boards (SABs)</w:t>
      </w:r>
      <w:r w:rsidRPr="003D6B33">
        <w:rPr>
          <w:rFonts w:ascii="Arial" w:hAnsi="Arial" w:cs="Arial"/>
          <w:sz w:val="22"/>
          <w:szCs w:val="22"/>
        </w:rPr>
        <w:t xml:space="preserve"> help </w:t>
      </w:r>
      <w:r w:rsidR="00766681">
        <w:rPr>
          <w:rFonts w:ascii="Arial" w:hAnsi="Arial" w:cs="Arial"/>
          <w:sz w:val="22"/>
          <w:szCs w:val="22"/>
        </w:rPr>
        <w:t>ensure that</w:t>
      </w:r>
      <w:r w:rsidRPr="003D6B33">
        <w:rPr>
          <w:rFonts w:ascii="Arial" w:hAnsi="Arial" w:cs="Arial"/>
          <w:sz w:val="22"/>
          <w:szCs w:val="22"/>
        </w:rPr>
        <w:t xml:space="preserve"> all agencies work together in a planned and organised way. They share information, coordinate actions, and improve safeguarding practice across services (DHSC, 2014).</w:t>
      </w:r>
    </w:p>
    <w:p w14:paraId="45A0CFD4" w14:textId="77777777" w:rsidR="003D6B33" w:rsidRPr="003D6B33" w:rsidRDefault="003D6B33" w:rsidP="00C73328">
      <w:pPr>
        <w:spacing w:line="360" w:lineRule="auto"/>
        <w:jc w:val="both"/>
        <w:rPr>
          <w:rFonts w:ascii="Arial" w:hAnsi="Arial" w:cs="Arial"/>
          <w:sz w:val="22"/>
          <w:szCs w:val="22"/>
        </w:rPr>
      </w:pPr>
      <w:r w:rsidRPr="003D6B33">
        <w:rPr>
          <w:rFonts w:ascii="Arial" w:hAnsi="Arial" w:cs="Arial"/>
          <w:sz w:val="22"/>
          <w:szCs w:val="22"/>
        </w:rPr>
        <w:t>Safeguarding also links to person-centred care because professionals must balance protecting people from harm while still respecting their choices and independence.</w:t>
      </w:r>
    </w:p>
    <w:p w14:paraId="4551D334" w14:textId="242C37D7" w:rsidR="003D6B33" w:rsidRPr="003D6B33" w:rsidRDefault="003D6B33" w:rsidP="00C73328">
      <w:pPr>
        <w:spacing w:line="360" w:lineRule="auto"/>
        <w:jc w:val="both"/>
        <w:rPr>
          <w:rFonts w:ascii="Arial" w:hAnsi="Arial" w:cs="Arial"/>
          <w:sz w:val="22"/>
          <w:szCs w:val="22"/>
        </w:rPr>
      </w:pPr>
      <w:r w:rsidRPr="003D6B33">
        <w:rPr>
          <w:rFonts w:ascii="Arial" w:hAnsi="Arial" w:cs="Arial"/>
          <w:sz w:val="22"/>
          <w:szCs w:val="22"/>
        </w:rPr>
        <w:t>However, problems can still happen. Research shows that poor communication between agencies and unclear responsibilities can lead to delays or failures in protecting adults (Preston-Shoot, 20</w:t>
      </w:r>
      <w:r w:rsidR="00124E00">
        <w:rPr>
          <w:rFonts w:ascii="Arial" w:hAnsi="Arial" w:cs="Arial"/>
          <w:sz w:val="22"/>
          <w:szCs w:val="22"/>
        </w:rPr>
        <w:t>20</w:t>
      </w:r>
      <w:r w:rsidRPr="003D6B33">
        <w:rPr>
          <w:rFonts w:ascii="Arial" w:hAnsi="Arial" w:cs="Arial"/>
          <w:sz w:val="22"/>
          <w:szCs w:val="22"/>
        </w:rPr>
        <w:t>).</w:t>
      </w:r>
    </w:p>
    <w:p w14:paraId="6ABE06BC" w14:textId="77777777" w:rsidR="00D731B5" w:rsidRPr="00D731B5" w:rsidRDefault="00D731B5" w:rsidP="00D731B5">
      <w:pPr>
        <w:spacing w:line="360" w:lineRule="auto"/>
        <w:jc w:val="both"/>
        <w:rPr>
          <w:rFonts w:ascii="Arial" w:hAnsi="Arial" w:cs="Arial"/>
          <w:b/>
          <w:bCs/>
          <w:sz w:val="22"/>
          <w:szCs w:val="22"/>
        </w:rPr>
      </w:pPr>
      <w:r w:rsidRPr="00D731B5">
        <w:rPr>
          <w:rFonts w:ascii="Arial" w:hAnsi="Arial" w:cs="Arial"/>
          <w:b/>
          <w:bCs/>
          <w:sz w:val="22"/>
          <w:szCs w:val="22"/>
        </w:rPr>
        <w:t>7. Policy and Legislative Context</w:t>
      </w:r>
    </w:p>
    <w:p w14:paraId="171556FB" w14:textId="77777777" w:rsidR="00D731B5" w:rsidRPr="00D731B5" w:rsidRDefault="00D731B5" w:rsidP="00D731B5">
      <w:pPr>
        <w:spacing w:line="360" w:lineRule="auto"/>
        <w:jc w:val="both"/>
        <w:rPr>
          <w:rFonts w:ascii="Arial" w:hAnsi="Arial" w:cs="Arial"/>
          <w:sz w:val="22"/>
          <w:szCs w:val="22"/>
        </w:rPr>
      </w:pPr>
      <w:r w:rsidRPr="00D731B5">
        <w:rPr>
          <w:rFonts w:ascii="Arial" w:hAnsi="Arial" w:cs="Arial"/>
          <w:sz w:val="22"/>
          <w:szCs w:val="22"/>
        </w:rPr>
        <w:t>Several UK policies underpin PCC and PW:</w:t>
      </w:r>
    </w:p>
    <w:p w14:paraId="28B69840" w14:textId="77777777" w:rsidR="00D731B5" w:rsidRPr="00D731B5" w:rsidRDefault="00D731B5" w:rsidP="00D731B5">
      <w:pPr>
        <w:numPr>
          <w:ilvl w:val="0"/>
          <w:numId w:val="7"/>
        </w:numPr>
        <w:spacing w:line="360" w:lineRule="auto"/>
        <w:jc w:val="both"/>
        <w:rPr>
          <w:rFonts w:ascii="Arial" w:hAnsi="Arial" w:cs="Arial"/>
          <w:sz w:val="22"/>
          <w:szCs w:val="22"/>
        </w:rPr>
      </w:pPr>
      <w:r w:rsidRPr="00D731B5">
        <w:rPr>
          <w:rFonts w:ascii="Arial" w:hAnsi="Arial" w:cs="Arial"/>
          <w:i/>
          <w:iCs/>
          <w:sz w:val="22"/>
          <w:szCs w:val="22"/>
        </w:rPr>
        <w:t>Care Act 2014</w:t>
      </w:r>
      <w:r w:rsidRPr="00D731B5">
        <w:rPr>
          <w:rFonts w:ascii="Arial" w:hAnsi="Arial" w:cs="Arial"/>
          <w:sz w:val="22"/>
          <w:szCs w:val="22"/>
        </w:rPr>
        <w:t xml:space="preserve"> – Promotes wellbeing, safeguarding, partnership working </w:t>
      </w:r>
    </w:p>
    <w:p w14:paraId="7FFBAA82" w14:textId="77777777" w:rsidR="00D731B5" w:rsidRPr="00D731B5" w:rsidRDefault="00D731B5" w:rsidP="00D731B5">
      <w:pPr>
        <w:numPr>
          <w:ilvl w:val="0"/>
          <w:numId w:val="7"/>
        </w:numPr>
        <w:spacing w:line="360" w:lineRule="auto"/>
        <w:jc w:val="both"/>
        <w:rPr>
          <w:rFonts w:ascii="Arial" w:hAnsi="Arial" w:cs="Arial"/>
          <w:sz w:val="22"/>
          <w:szCs w:val="22"/>
        </w:rPr>
      </w:pPr>
      <w:r w:rsidRPr="00D731B5">
        <w:rPr>
          <w:rFonts w:ascii="Arial" w:hAnsi="Arial" w:cs="Arial"/>
          <w:i/>
          <w:iCs/>
          <w:sz w:val="22"/>
          <w:szCs w:val="22"/>
        </w:rPr>
        <w:t>Health and Social Care Act 2012</w:t>
      </w:r>
      <w:r w:rsidRPr="00D731B5">
        <w:rPr>
          <w:rFonts w:ascii="Arial" w:hAnsi="Arial" w:cs="Arial"/>
          <w:sz w:val="22"/>
          <w:szCs w:val="22"/>
        </w:rPr>
        <w:t xml:space="preserve"> – Introduced integrated care reforms </w:t>
      </w:r>
    </w:p>
    <w:p w14:paraId="74C94691" w14:textId="77777777" w:rsidR="00D731B5" w:rsidRPr="00D731B5" w:rsidRDefault="00D731B5" w:rsidP="00D731B5">
      <w:pPr>
        <w:numPr>
          <w:ilvl w:val="0"/>
          <w:numId w:val="7"/>
        </w:numPr>
        <w:spacing w:line="360" w:lineRule="auto"/>
        <w:jc w:val="both"/>
        <w:rPr>
          <w:rFonts w:ascii="Arial" w:hAnsi="Arial" w:cs="Arial"/>
          <w:sz w:val="22"/>
          <w:szCs w:val="22"/>
        </w:rPr>
      </w:pPr>
      <w:r w:rsidRPr="00D731B5">
        <w:rPr>
          <w:rFonts w:ascii="Arial" w:hAnsi="Arial" w:cs="Arial"/>
          <w:i/>
          <w:iCs/>
          <w:sz w:val="22"/>
          <w:szCs w:val="22"/>
        </w:rPr>
        <w:t>Mental Capacity Act 2005</w:t>
      </w:r>
      <w:r w:rsidRPr="00D731B5">
        <w:rPr>
          <w:rFonts w:ascii="Arial" w:hAnsi="Arial" w:cs="Arial"/>
          <w:sz w:val="22"/>
          <w:szCs w:val="22"/>
        </w:rPr>
        <w:t xml:space="preserve"> – Protects decision-making rights </w:t>
      </w:r>
    </w:p>
    <w:p w14:paraId="68A526EE" w14:textId="77777777" w:rsidR="00D731B5" w:rsidRPr="00D731B5" w:rsidRDefault="00D731B5" w:rsidP="00D731B5">
      <w:pPr>
        <w:numPr>
          <w:ilvl w:val="0"/>
          <w:numId w:val="7"/>
        </w:numPr>
        <w:spacing w:line="360" w:lineRule="auto"/>
        <w:jc w:val="both"/>
        <w:rPr>
          <w:rFonts w:ascii="Arial" w:hAnsi="Arial" w:cs="Arial"/>
          <w:sz w:val="22"/>
          <w:szCs w:val="22"/>
        </w:rPr>
      </w:pPr>
      <w:r w:rsidRPr="00D731B5">
        <w:rPr>
          <w:rFonts w:ascii="Arial" w:hAnsi="Arial" w:cs="Arial"/>
          <w:i/>
          <w:iCs/>
          <w:sz w:val="22"/>
          <w:szCs w:val="22"/>
        </w:rPr>
        <w:t>NHS Long Term Plan (2019)</w:t>
      </w:r>
      <w:r w:rsidRPr="00D731B5">
        <w:rPr>
          <w:rFonts w:ascii="Arial" w:hAnsi="Arial" w:cs="Arial"/>
          <w:sz w:val="22"/>
          <w:szCs w:val="22"/>
        </w:rPr>
        <w:t xml:space="preserve"> – Emphasises personalised care and integration </w:t>
      </w:r>
    </w:p>
    <w:p w14:paraId="22D354DA" w14:textId="77777777" w:rsidR="00D731B5" w:rsidRPr="00D731B5" w:rsidRDefault="00D731B5" w:rsidP="00D731B5">
      <w:pPr>
        <w:numPr>
          <w:ilvl w:val="0"/>
          <w:numId w:val="7"/>
        </w:numPr>
        <w:spacing w:line="360" w:lineRule="auto"/>
        <w:jc w:val="both"/>
        <w:rPr>
          <w:rFonts w:ascii="Arial" w:hAnsi="Arial" w:cs="Arial"/>
          <w:sz w:val="22"/>
          <w:szCs w:val="22"/>
        </w:rPr>
      </w:pPr>
      <w:r w:rsidRPr="00D731B5">
        <w:rPr>
          <w:rFonts w:ascii="Arial" w:hAnsi="Arial" w:cs="Arial"/>
          <w:i/>
          <w:iCs/>
          <w:sz w:val="22"/>
          <w:szCs w:val="22"/>
        </w:rPr>
        <w:t>Equality Act 2010</w:t>
      </w:r>
      <w:r w:rsidRPr="00D731B5">
        <w:rPr>
          <w:rFonts w:ascii="Arial" w:hAnsi="Arial" w:cs="Arial"/>
          <w:sz w:val="22"/>
          <w:szCs w:val="22"/>
        </w:rPr>
        <w:t xml:space="preserve"> – Promotes non-discrimination and equitable access </w:t>
      </w:r>
    </w:p>
    <w:p w14:paraId="206AE140" w14:textId="32EBCAB2" w:rsidR="00D731B5" w:rsidRPr="00D731B5" w:rsidRDefault="00D731B5" w:rsidP="00D731B5">
      <w:pPr>
        <w:spacing w:line="360" w:lineRule="auto"/>
        <w:jc w:val="both"/>
        <w:rPr>
          <w:rFonts w:ascii="Arial" w:hAnsi="Arial" w:cs="Arial"/>
          <w:sz w:val="22"/>
          <w:szCs w:val="22"/>
        </w:rPr>
      </w:pPr>
      <w:r w:rsidRPr="00D731B5">
        <w:rPr>
          <w:rFonts w:ascii="Arial" w:hAnsi="Arial" w:cs="Arial"/>
          <w:sz w:val="22"/>
          <w:szCs w:val="22"/>
        </w:rPr>
        <w:t xml:space="preserve">These frameworks demonstrate government commitment to person-centred, integrated services. However, austerity measures and funding pressures have limited full implementation </w:t>
      </w:r>
      <w:r w:rsidR="0037086A" w:rsidRPr="0037086A">
        <w:rPr>
          <w:rFonts w:ascii="Arial" w:hAnsi="Arial" w:cs="Arial"/>
          <w:sz w:val="22"/>
          <w:szCs w:val="22"/>
        </w:rPr>
        <w:t>(Charles, 2022)</w:t>
      </w:r>
      <w:r w:rsidRPr="00D731B5">
        <w:rPr>
          <w:rFonts w:ascii="Arial" w:hAnsi="Arial" w:cs="Arial"/>
          <w:sz w:val="22"/>
          <w:szCs w:val="22"/>
        </w:rPr>
        <w:t>.</w:t>
      </w:r>
    </w:p>
    <w:p w14:paraId="59A1047E" w14:textId="21EF9118" w:rsidR="002B5736" w:rsidRPr="002B5736" w:rsidRDefault="002B5736" w:rsidP="002B5736">
      <w:pPr>
        <w:spacing w:line="360" w:lineRule="auto"/>
        <w:jc w:val="both"/>
        <w:rPr>
          <w:rFonts w:ascii="Arial" w:hAnsi="Arial" w:cs="Arial"/>
          <w:b/>
          <w:bCs/>
          <w:sz w:val="22"/>
          <w:szCs w:val="22"/>
        </w:rPr>
      </w:pPr>
      <w:r>
        <w:rPr>
          <w:rFonts w:ascii="Arial" w:hAnsi="Arial" w:cs="Arial"/>
          <w:b/>
          <w:bCs/>
          <w:sz w:val="22"/>
          <w:szCs w:val="22"/>
        </w:rPr>
        <w:t xml:space="preserve">8. </w:t>
      </w:r>
      <w:r w:rsidRPr="002B5736">
        <w:rPr>
          <w:rFonts w:ascii="Arial" w:hAnsi="Arial" w:cs="Arial"/>
          <w:b/>
          <w:bCs/>
          <w:sz w:val="22"/>
          <w:szCs w:val="22"/>
        </w:rPr>
        <w:t>How Person-Centred Care (PCC) and Partnership Working (PW) Work Together</w:t>
      </w:r>
    </w:p>
    <w:p w14:paraId="113634C9" w14:textId="5DAC5104" w:rsidR="002B5736" w:rsidRPr="002B5736" w:rsidRDefault="002B5736" w:rsidP="002B5736">
      <w:pPr>
        <w:spacing w:line="360" w:lineRule="auto"/>
        <w:jc w:val="both"/>
        <w:rPr>
          <w:rFonts w:ascii="Arial" w:hAnsi="Arial" w:cs="Arial"/>
          <w:sz w:val="22"/>
          <w:szCs w:val="22"/>
        </w:rPr>
      </w:pPr>
      <w:r w:rsidRPr="002B5736">
        <w:rPr>
          <w:rFonts w:ascii="Arial" w:hAnsi="Arial" w:cs="Arial"/>
          <w:sz w:val="22"/>
          <w:szCs w:val="22"/>
        </w:rPr>
        <w:t>Person-centred care (PCC) and partnership working (PW) are closely linked because both aim to improve the quality of care and meet the individual needs of service users. PCC focuses on treating people with dignity and involving them in decisions about their care. However, to provide truly person-centred care, different professionals and organisations need to work together effectively (</w:t>
      </w:r>
      <w:r w:rsidR="00357445">
        <w:rPr>
          <w:rFonts w:ascii="Arial" w:hAnsi="Arial" w:cs="Arial"/>
          <w:sz w:val="22"/>
          <w:szCs w:val="22"/>
        </w:rPr>
        <w:t>NHS England</w:t>
      </w:r>
      <w:r w:rsidRPr="002B5736">
        <w:rPr>
          <w:rFonts w:ascii="Arial" w:hAnsi="Arial" w:cs="Arial"/>
          <w:sz w:val="22"/>
          <w:szCs w:val="22"/>
        </w:rPr>
        <w:t>, 20</w:t>
      </w:r>
      <w:r w:rsidR="00357445">
        <w:rPr>
          <w:rFonts w:ascii="Arial" w:hAnsi="Arial" w:cs="Arial"/>
          <w:sz w:val="22"/>
          <w:szCs w:val="22"/>
        </w:rPr>
        <w:t>24</w:t>
      </w:r>
      <w:r w:rsidRPr="002B5736">
        <w:rPr>
          <w:rFonts w:ascii="Arial" w:hAnsi="Arial" w:cs="Arial"/>
          <w:sz w:val="22"/>
          <w:szCs w:val="22"/>
        </w:rPr>
        <w:t>).</w:t>
      </w:r>
    </w:p>
    <w:p w14:paraId="6793C2C8" w14:textId="77777777" w:rsidR="002B5736" w:rsidRPr="002B5736" w:rsidRDefault="002B5736" w:rsidP="002B5736">
      <w:pPr>
        <w:spacing w:line="360" w:lineRule="auto"/>
        <w:jc w:val="both"/>
        <w:rPr>
          <w:rFonts w:ascii="Arial" w:hAnsi="Arial" w:cs="Arial"/>
          <w:sz w:val="22"/>
          <w:szCs w:val="22"/>
        </w:rPr>
      </w:pPr>
      <w:r w:rsidRPr="002B5736">
        <w:rPr>
          <w:rFonts w:ascii="Arial" w:hAnsi="Arial" w:cs="Arial"/>
          <w:sz w:val="22"/>
          <w:szCs w:val="22"/>
        </w:rPr>
        <w:t>For example, a person living with dementia may need support from a GP, social worker, family members, and community services. By working together, these professionals can create a care plan that meets the person's physical, emotional, and social needs. This joined-up approach helps ensure that care is consistent and tailored to the individual.</w:t>
      </w:r>
    </w:p>
    <w:p w14:paraId="2AA4629A" w14:textId="77777777" w:rsidR="002B5736" w:rsidRPr="002B5736" w:rsidRDefault="002B5736" w:rsidP="002B5736">
      <w:pPr>
        <w:spacing w:line="360" w:lineRule="auto"/>
        <w:jc w:val="both"/>
        <w:rPr>
          <w:rFonts w:ascii="Arial" w:hAnsi="Arial" w:cs="Arial"/>
          <w:sz w:val="22"/>
          <w:szCs w:val="22"/>
        </w:rPr>
      </w:pPr>
      <w:r w:rsidRPr="002B5736">
        <w:rPr>
          <w:rFonts w:ascii="Arial" w:hAnsi="Arial" w:cs="Arial"/>
          <w:sz w:val="22"/>
          <w:szCs w:val="22"/>
        </w:rPr>
        <w:t xml:space="preserve">Without partnership working, person-centred care can become fragmented because services may not communicate effectively. Similarly, without person-centred care, partnership working </w:t>
      </w:r>
      <w:r w:rsidRPr="002B5736">
        <w:rPr>
          <w:rFonts w:ascii="Arial" w:hAnsi="Arial" w:cs="Arial"/>
          <w:sz w:val="22"/>
          <w:szCs w:val="22"/>
        </w:rPr>
        <w:lastRenderedPageBreak/>
        <w:t>may focus only on procedures and policies rather than the needs and wishes of the individual (Glasby and Dickinson, 2014).</w:t>
      </w:r>
    </w:p>
    <w:p w14:paraId="0BA0D2F3" w14:textId="0FC406BC" w:rsidR="00A758C8" w:rsidRPr="00A758C8" w:rsidRDefault="00A758C8" w:rsidP="00A758C8">
      <w:pPr>
        <w:spacing w:line="360" w:lineRule="auto"/>
        <w:jc w:val="both"/>
        <w:rPr>
          <w:rFonts w:ascii="Arial" w:hAnsi="Arial" w:cs="Arial"/>
          <w:b/>
          <w:bCs/>
        </w:rPr>
      </w:pPr>
      <w:r w:rsidRPr="00A758C8">
        <w:rPr>
          <w:rFonts w:ascii="Arial" w:hAnsi="Arial" w:cs="Arial"/>
          <w:b/>
          <w:bCs/>
        </w:rPr>
        <w:t>9. Recommendations for Future Development in the UK</w:t>
      </w:r>
    </w:p>
    <w:p w14:paraId="33C97B29" w14:textId="77777777" w:rsidR="00A758C8" w:rsidRPr="00A758C8" w:rsidRDefault="00A758C8" w:rsidP="00A758C8">
      <w:pPr>
        <w:spacing w:line="360" w:lineRule="auto"/>
        <w:jc w:val="both"/>
        <w:rPr>
          <w:rFonts w:ascii="Arial" w:hAnsi="Arial" w:cs="Arial"/>
          <w:sz w:val="22"/>
          <w:szCs w:val="22"/>
        </w:rPr>
      </w:pPr>
      <w:r w:rsidRPr="00A758C8">
        <w:rPr>
          <w:rFonts w:ascii="Arial" w:hAnsi="Arial" w:cs="Arial"/>
          <w:sz w:val="22"/>
          <w:szCs w:val="22"/>
        </w:rPr>
        <w:t>Several changes are needed to improve person-centred care and partnership working in the UK. First, there should be increased funding for integrated services so that health and social care organisations have enough resources to work together effectively. Second, mandatory inter-professional education would help professionals understand each other's roles and improve teamwork.</w:t>
      </w:r>
    </w:p>
    <w:p w14:paraId="5386A74A" w14:textId="77777777" w:rsidR="00A758C8" w:rsidRPr="00A758C8" w:rsidRDefault="00A758C8" w:rsidP="00A758C8">
      <w:pPr>
        <w:spacing w:line="360" w:lineRule="auto"/>
        <w:jc w:val="both"/>
        <w:rPr>
          <w:rFonts w:ascii="Arial" w:hAnsi="Arial" w:cs="Arial"/>
          <w:sz w:val="22"/>
          <w:szCs w:val="22"/>
        </w:rPr>
      </w:pPr>
      <w:r w:rsidRPr="00A758C8">
        <w:rPr>
          <w:rFonts w:ascii="Arial" w:hAnsi="Arial" w:cs="Arial"/>
          <w:sz w:val="22"/>
          <w:szCs w:val="22"/>
        </w:rPr>
        <w:t>Investment in digital information-sharing systems is also important because it allows services to share information safely and quickly, reducing delays in care. In addition, there should be stronger service-user co-production, meaning patients and families should be involved in designing policies and services that affect them.</w:t>
      </w:r>
    </w:p>
    <w:p w14:paraId="6FCCA217" w14:textId="6602577B" w:rsidR="00A758C8" w:rsidRPr="00A758C8" w:rsidRDefault="00A758C8" w:rsidP="00A758C8">
      <w:pPr>
        <w:spacing w:line="360" w:lineRule="auto"/>
        <w:jc w:val="both"/>
        <w:rPr>
          <w:rFonts w:ascii="Arial" w:hAnsi="Arial" w:cs="Arial"/>
          <w:sz w:val="22"/>
          <w:szCs w:val="22"/>
        </w:rPr>
      </w:pPr>
      <w:r w:rsidRPr="00A758C8">
        <w:rPr>
          <w:rFonts w:ascii="Arial" w:hAnsi="Arial" w:cs="Arial"/>
          <w:sz w:val="22"/>
          <w:szCs w:val="22"/>
        </w:rPr>
        <w:t xml:space="preserve">The workforce also needs regular training in communication skills and cultural competence </w:t>
      </w:r>
      <w:r>
        <w:rPr>
          <w:rFonts w:ascii="Arial" w:hAnsi="Arial" w:cs="Arial"/>
          <w:sz w:val="22"/>
          <w:szCs w:val="22"/>
        </w:rPr>
        <w:t>to ensure care meets the needs of people from diverse</w:t>
      </w:r>
      <w:r w:rsidRPr="00A758C8">
        <w:rPr>
          <w:rFonts w:ascii="Arial" w:hAnsi="Arial" w:cs="Arial"/>
          <w:sz w:val="22"/>
          <w:szCs w:val="22"/>
        </w:rPr>
        <w:t xml:space="preserve"> backgrounds. Finally, better evaluation frameworks are needed to measure whether integrated care systems are improving outcomes and delivering high-quality services (NHS England, 2022).</w:t>
      </w:r>
    </w:p>
    <w:p w14:paraId="18732EE4" w14:textId="5864D6AC" w:rsidR="00A758C8" w:rsidRPr="00A758C8" w:rsidRDefault="00A758C8" w:rsidP="00A758C8">
      <w:pPr>
        <w:spacing w:line="360" w:lineRule="auto"/>
        <w:jc w:val="both"/>
        <w:rPr>
          <w:rFonts w:ascii="Arial" w:hAnsi="Arial" w:cs="Arial"/>
          <w:sz w:val="22"/>
          <w:szCs w:val="22"/>
        </w:rPr>
      </w:pPr>
      <w:r w:rsidRPr="00A758C8">
        <w:rPr>
          <w:rFonts w:ascii="Arial" w:hAnsi="Arial" w:cs="Arial"/>
          <w:sz w:val="22"/>
          <w:szCs w:val="22"/>
        </w:rPr>
        <w:t xml:space="preserve">Although many policies support integrated care, future reforms must move beyond policy statements and focus on practical actions and measurable improvements in service delivery </w:t>
      </w:r>
      <w:r w:rsidR="0037086A" w:rsidRPr="0037086A">
        <w:rPr>
          <w:rFonts w:ascii="Arial" w:hAnsi="Arial" w:cs="Arial"/>
          <w:sz w:val="22"/>
          <w:szCs w:val="22"/>
        </w:rPr>
        <w:t>(Charles, 2022)</w:t>
      </w:r>
      <w:r w:rsidR="0037086A">
        <w:rPr>
          <w:rFonts w:ascii="Arial" w:hAnsi="Arial" w:cs="Arial"/>
          <w:sz w:val="22"/>
          <w:szCs w:val="22"/>
        </w:rPr>
        <w:t>.</w:t>
      </w:r>
    </w:p>
    <w:p w14:paraId="2ED36B45" w14:textId="77777777" w:rsidR="00B71634" w:rsidRPr="00B71634" w:rsidRDefault="00B71634" w:rsidP="00B71634">
      <w:pPr>
        <w:spacing w:line="360" w:lineRule="auto"/>
        <w:jc w:val="both"/>
        <w:rPr>
          <w:rFonts w:ascii="Arial" w:hAnsi="Arial" w:cs="Arial"/>
          <w:b/>
          <w:bCs/>
          <w:sz w:val="28"/>
          <w:szCs w:val="28"/>
        </w:rPr>
      </w:pPr>
      <w:r w:rsidRPr="00B71634">
        <w:rPr>
          <w:rFonts w:ascii="Arial" w:hAnsi="Arial" w:cs="Arial"/>
          <w:b/>
          <w:bCs/>
          <w:sz w:val="28"/>
          <w:szCs w:val="28"/>
        </w:rPr>
        <w:t>10. Conclusion</w:t>
      </w:r>
    </w:p>
    <w:p w14:paraId="7FC705C9" w14:textId="77777777" w:rsidR="00B71634" w:rsidRPr="00B71634" w:rsidRDefault="00B71634" w:rsidP="00B71634">
      <w:pPr>
        <w:spacing w:line="360" w:lineRule="auto"/>
        <w:jc w:val="both"/>
        <w:rPr>
          <w:rFonts w:ascii="Arial" w:hAnsi="Arial" w:cs="Arial"/>
          <w:sz w:val="22"/>
          <w:szCs w:val="22"/>
        </w:rPr>
      </w:pPr>
      <w:r w:rsidRPr="00B71634">
        <w:rPr>
          <w:rFonts w:ascii="Arial" w:hAnsi="Arial" w:cs="Arial"/>
          <w:sz w:val="22"/>
          <w:szCs w:val="22"/>
        </w:rPr>
        <w:t>Person-centred care and partnership working are fundamental components of contemporary UK health and social care policy. Rooted in humanistic theory and ethical principles, PCC promotes dignity, autonomy and empowerment. Partnership working enhances coordination and holistic support.</w:t>
      </w:r>
    </w:p>
    <w:p w14:paraId="1135FA6A" w14:textId="77777777" w:rsidR="00B71634" w:rsidRPr="00B71634" w:rsidRDefault="00B71634" w:rsidP="00B71634">
      <w:pPr>
        <w:spacing w:line="360" w:lineRule="auto"/>
        <w:jc w:val="both"/>
        <w:rPr>
          <w:rFonts w:ascii="Arial" w:hAnsi="Arial" w:cs="Arial"/>
          <w:sz w:val="22"/>
          <w:szCs w:val="22"/>
        </w:rPr>
      </w:pPr>
      <w:r w:rsidRPr="00B71634">
        <w:rPr>
          <w:rFonts w:ascii="Arial" w:hAnsi="Arial" w:cs="Arial"/>
          <w:sz w:val="22"/>
          <w:szCs w:val="22"/>
        </w:rPr>
        <w:t xml:space="preserve">However, implementation remains challenged by structural, financial and cultural barriers. While legislation such as the </w:t>
      </w:r>
      <w:r w:rsidRPr="00B71634">
        <w:rPr>
          <w:rFonts w:ascii="Arial" w:hAnsi="Arial" w:cs="Arial"/>
          <w:i/>
          <w:iCs/>
          <w:sz w:val="22"/>
          <w:szCs w:val="22"/>
        </w:rPr>
        <w:t>Care Act 2014</w:t>
      </w:r>
      <w:r w:rsidRPr="00B71634">
        <w:rPr>
          <w:rFonts w:ascii="Arial" w:hAnsi="Arial" w:cs="Arial"/>
          <w:sz w:val="22"/>
          <w:szCs w:val="22"/>
        </w:rPr>
        <w:t xml:space="preserve"> and </w:t>
      </w:r>
      <w:r w:rsidRPr="00B71634">
        <w:rPr>
          <w:rFonts w:ascii="Arial" w:hAnsi="Arial" w:cs="Arial"/>
          <w:i/>
          <w:iCs/>
          <w:sz w:val="22"/>
          <w:szCs w:val="22"/>
        </w:rPr>
        <w:t>Health and Social Care Act 2012</w:t>
      </w:r>
      <w:r w:rsidRPr="00B71634">
        <w:rPr>
          <w:rFonts w:ascii="Arial" w:hAnsi="Arial" w:cs="Arial"/>
          <w:sz w:val="22"/>
          <w:szCs w:val="22"/>
        </w:rPr>
        <w:t xml:space="preserve"> provide strong frameworks, ongoing investment and cultural transformation are required.</w:t>
      </w:r>
    </w:p>
    <w:p w14:paraId="5ED47ADD" w14:textId="21B8F6E9" w:rsidR="00B71634" w:rsidRPr="00B71634" w:rsidRDefault="00B71634" w:rsidP="00B71634">
      <w:pPr>
        <w:spacing w:line="360" w:lineRule="auto"/>
        <w:jc w:val="both"/>
        <w:rPr>
          <w:rFonts w:ascii="Arial" w:hAnsi="Arial" w:cs="Arial"/>
          <w:sz w:val="22"/>
          <w:szCs w:val="22"/>
        </w:rPr>
      </w:pPr>
      <w:r w:rsidRPr="00B71634">
        <w:rPr>
          <w:rFonts w:ascii="Arial" w:hAnsi="Arial" w:cs="Arial"/>
          <w:sz w:val="22"/>
          <w:szCs w:val="22"/>
        </w:rPr>
        <w:t>For PCC and PW to succeed fully, they must be embedded not only in policy but in everyday professional practice</w:t>
      </w:r>
      <w:r>
        <w:rPr>
          <w:rFonts w:ascii="Arial" w:hAnsi="Arial" w:cs="Arial"/>
          <w:sz w:val="22"/>
          <w:szCs w:val="22"/>
        </w:rPr>
        <w:t xml:space="preserve">. </w:t>
      </w:r>
    </w:p>
    <w:p w14:paraId="221C7BA7" w14:textId="77777777" w:rsidR="005A0776" w:rsidRDefault="005A0776" w:rsidP="006624B8">
      <w:pPr>
        <w:spacing w:line="360" w:lineRule="auto"/>
        <w:jc w:val="both"/>
        <w:rPr>
          <w:rFonts w:ascii="Arial" w:hAnsi="Arial" w:cs="Arial"/>
          <w:sz w:val="22"/>
          <w:szCs w:val="22"/>
        </w:rPr>
      </w:pPr>
    </w:p>
    <w:p w14:paraId="28E43BB5" w14:textId="77777777" w:rsidR="005A0776" w:rsidRDefault="005A0776" w:rsidP="006624B8">
      <w:pPr>
        <w:spacing w:line="360" w:lineRule="auto"/>
        <w:jc w:val="both"/>
        <w:rPr>
          <w:rFonts w:ascii="Arial" w:hAnsi="Arial" w:cs="Arial"/>
          <w:sz w:val="22"/>
          <w:szCs w:val="22"/>
        </w:rPr>
      </w:pPr>
    </w:p>
    <w:p w14:paraId="6D89107A" w14:textId="77777777" w:rsidR="005A0776" w:rsidRPr="00D34193" w:rsidRDefault="005A0776" w:rsidP="005A0776">
      <w:pPr>
        <w:spacing w:line="360" w:lineRule="auto"/>
        <w:jc w:val="both"/>
        <w:rPr>
          <w:rFonts w:ascii="Arial" w:hAnsi="Arial" w:cs="Arial"/>
          <w:b/>
          <w:bCs/>
          <w:sz w:val="28"/>
          <w:szCs w:val="28"/>
        </w:rPr>
      </w:pPr>
      <w:r w:rsidRPr="00D34193">
        <w:rPr>
          <w:rFonts w:ascii="Arial" w:hAnsi="Arial" w:cs="Arial"/>
          <w:b/>
          <w:bCs/>
          <w:sz w:val="28"/>
          <w:szCs w:val="28"/>
        </w:rPr>
        <w:lastRenderedPageBreak/>
        <w:t>Reference List</w:t>
      </w:r>
    </w:p>
    <w:p w14:paraId="3E4A0F88"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Charles, A. (2022). </w:t>
      </w:r>
      <w:r w:rsidRPr="005A0776">
        <w:rPr>
          <w:rFonts w:ascii="Arial" w:hAnsi="Arial" w:cs="Arial"/>
          <w:i/>
          <w:iCs/>
          <w:sz w:val="22"/>
          <w:szCs w:val="22"/>
        </w:rPr>
        <w:t>Integrated Care Systems Explained</w:t>
      </w:r>
      <w:r w:rsidRPr="005A0776">
        <w:rPr>
          <w:rFonts w:ascii="Arial" w:hAnsi="Arial" w:cs="Arial"/>
          <w:sz w:val="22"/>
          <w:szCs w:val="22"/>
        </w:rPr>
        <w:t xml:space="preserve">. [online] The King’s Fund. Available at: https://www.kingsfund.org.uk/insight-and-analysis/long-reads/integrated-care-systems-explained [Accessed 28 Jun. 2026]. </w:t>
      </w:r>
    </w:p>
    <w:p w14:paraId="3A42ADF2"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Coulter, A. (2017). Measuring what matters to patients. </w:t>
      </w:r>
      <w:r w:rsidRPr="005A0776">
        <w:rPr>
          <w:rFonts w:ascii="Arial" w:hAnsi="Arial" w:cs="Arial"/>
          <w:i/>
          <w:iCs/>
          <w:sz w:val="22"/>
          <w:szCs w:val="22"/>
        </w:rPr>
        <w:t>BMJ</w:t>
      </w:r>
      <w:r w:rsidRPr="005A0776">
        <w:rPr>
          <w:rFonts w:ascii="Arial" w:hAnsi="Arial" w:cs="Arial"/>
          <w:sz w:val="22"/>
          <w:szCs w:val="22"/>
        </w:rPr>
        <w:t xml:space="preserve">, 356, p.j816. </w:t>
      </w:r>
      <w:hyperlink r:id="rId8" w:history="1">
        <w:r w:rsidRPr="005A0776">
          <w:rPr>
            <w:rStyle w:val="Hyperlink"/>
            <w:rFonts w:ascii="Arial" w:hAnsi="Arial" w:cs="Arial"/>
            <w:sz w:val="22"/>
            <w:szCs w:val="22"/>
          </w:rPr>
          <w:t>https://doi.org/10.1136/bmj.j816</w:t>
        </w:r>
      </w:hyperlink>
      <w:r w:rsidRPr="005A0776">
        <w:rPr>
          <w:rFonts w:ascii="Arial" w:hAnsi="Arial" w:cs="Arial"/>
          <w:sz w:val="22"/>
          <w:szCs w:val="22"/>
        </w:rPr>
        <w:t xml:space="preserve">. [Accessed 21 Jun. 2026].  </w:t>
      </w:r>
    </w:p>
    <w:p w14:paraId="2B17F914"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 xml:space="preserve">Coulter, A. and Oldham, J. (2016). Person-centred care: What Is It and How Do We Get there? </w:t>
      </w:r>
      <w:r w:rsidRPr="005A0776">
        <w:rPr>
          <w:rFonts w:ascii="Arial" w:hAnsi="Arial" w:cs="Arial"/>
          <w:i/>
          <w:iCs/>
          <w:sz w:val="22"/>
          <w:szCs w:val="22"/>
        </w:rPr>
        <w:t>Future Hospital Journal</w:t>
      </w:r>
      <w:r w:rsidRPr="005A0776">
        <w:rPr>
          <w:rFonts w:ascii="Arial" w:hAnsi="Arial" w:cs="Arial"/>
          <w:sz w:val="22"/>
          <w:szCs w:val="22"/>
        </w:rPr>
        <w:t xml:space="preserve">, [online] 3(2), pp.114–116. </w:t>
      </w:r>
      <w:hyperlink r:id="rId9" w:history="1">
        <w:r w:rsidRPr="005A0776">
          <w:rPr>
            <w:rStyle w:val="Hyperlink"/>
            <w:rFonts w:ascii="Arial" w:hAnsi="Arial" w:cs="Arial"/>
            <w:sz w:val="22"/>
            <w:szCs w:val="22"/>
          </w:rPr>
          <w:t>https://doi.org/10.7861/futurehosp.3-2-114</w:t>
        </w:r>
      </w:hyperlink>
      <w:r w:rsidRPr="005A0776">
        <w:rPr>
          <w:rFonts w:ascii="Arial" w:hAnsi="Arial" w:cs="Arial"/>
          <w:sz w:val="22"/>
          <w:szCs w:val="22"/>
        </w:rPr>
        <w:t>. [Accessed 26 Jun. 2026].</w:t>
      </w:r>
    </w:p>
    <w:p w14:paraId="51BB37C6"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Department of Health (2014). </w:t>
      </w:r>
      <w:r w:rsidRPr="005A0776">
        <w:rPr>
          <w:rFonts w:ascii="Arial" w:hAnsi="Arial" w:cs="Arial"/>
          <w:i/>
          <w:iCs/>
          <w:sz w:val="22"/>
          <w:szCs w:val="22"/>
        </w:rPr>
        <w:t>Care and Support Statutory Guidance</w:t>
      </w:r>
      <w:r w:rsidRPr="005A0776">
        <w:rPr>
          <w:rFonts w:ascii="Arial" w:hAnsi="Arial" w:cs="Arial"/>
          <w:sz w:val="22"/>
          <w:szCs w:val="22"/>
        </w:rPr>
        <w:t xml:space="preserve">. [online] Available at: </w:t>
      </w:r>
      <w:hyperlink r:id="rId10" w:history="1">
        <w:r w:rsidRPr="005A0776">
          <w:rPr>
            <w:rStyle w:val="Hyperlink"/>
            <w:rFonts w:ascii="Arial" w:hAnsi="Arial" w:cs="Arial"/>
            <w:sz w:val="22"/>
            <w:szCs w:val="22"/>
          </w:rPr>
          <w:t>https://assets.publishing.service.gov.uk/media/5a7dcf2aed915d2ac884dafa/Care-Act-Guidance.pdf</w:t>
        </w:r>
      </w:hyperlink>
      <w:r w:rsidRPr="005A0776">
        <w:rPr>
          <w:rFonts w:ascii="Arial" w:hAnsi="Arial" w:cs="Arial"/>
          <w:sz w:val="22"/>
          <w:szCs w:val="22"/>
        </w:rPr>
        <w:t xml:space="preserve"> [Accessed 28 Jun. 2026].</w:t>
      </w:r>
    </w:p>
    <w:p w14:paraId="16579A06"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 xml:space="preserve">Edvardsson, D., Fetherstonhaugh, D. and Nay, R. (2010). Promoting a continuation of self and normality: person-centred care as described by people with dementia, their family members and aged care staff. </w:t>
      </w:r>
      <w:r w:rsidRPr="005A0776">
        <w:rPr>
          <w:rFonts w:ascii="Arial" w:hAnsi="Arial" w:cs="Arial"/>
          <w:i/>
          <w:iCs/>
          <w:sz w:val="22"/>
          <w:szCs w:val="22"/>
        </w:rPr>
        <w:t>Journal of Clinical Nursing</w:t>
      </w:r>
      <w:r w:rsidRPr="005A0776">
        <w:rPr>
          <w:rFonts w:ascii="Arial" w:hAnsi="Arial" w:cs="Arial"/>
          <w:sz w:val="22"/>
          <w:szCs w:val="22"/>
        </w:rPr>
        <w:t xml:space="preserve">, 19(17-18), pp.2611–2618. </w:t>
      </w:r>
      <w:hyperlink r:id="rId11" w:history="1">
        <w:r w:rsidRPr="005A0776">
          <w:rPr>
            <w:rStyle w:val="Hyperlink"/>
            <w:rFonts w:ascii="Arial" w:hAnsi="Arial" w:cs="Arial"/>
            <w:sz w:val="22"/>
            <w:szCs w:val="22"/>
          </w:rPr>
          <w:t>https://doi.org/10.1111/j.1365-2702.2009.03143.x</w:t>
        </w:r>
      </w:hyperlink>
      <w:r w:rsidRPr="005A0776">
        <w:rPr>
          <w:rFonts w:ascii="Arial" w:hAnsi="Arial" w:cs="Arial"/>
          <w:sz w:val="22"/>
          <w:szCs w:val="22"/>
        </w:rPr>
        <w:t>.  [Accessed 29 Jun. 2026].</w:t>
      </w:r>
    </w:p>
    <w:p w14:paraId="39BC8BA8"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Edvardsson, D., Sandman, P.O. and Borell, L. (2014). Implementing national guidelines for person-</w:t>
      </w:r>
      <w:proofErr w:type="spellStart"/>
      <w:r w:rsidRPr="005A0776">
        <w:rPr>
          <w:rFonts w:ascii="Arial" w:hAnsi="Arial" w:cs="Arial"/>
          <w:sz w:val="22"/>
          <w:szCs w:val="22"/>
        </w:rPr>
        <w:t>centered</w:t>
      </w:r>
      <w:proofErr w:type="spellEnd"/>
      <w:r w:rsidRPr="005A0776">
        <w:rPr>
          <w:rFonts w:ascii="Arial" w:hAnsi="Arial" w:cs="Arial"/>
          <w:sz w:val="22"/>
          <w:szCs w:val="22"/>
        </w:rPr>
        <w:t xml:space="preserve"> care of people with dementia in residential aged care: effects on perceived person-centeredness, staff strain, and stress of conscience. </w:t>
      </w:r>
      <w:r w:rsidRPr="005A0776">
        <w:rPr>
          <w:rFonts w:ascii="Arial" w:hAnsi="Arial" w:cs="Arial"/>
          <w:i/>
          <w:iCs/>
          <w:sz w:val="22"/>
          <w:szCs w:val="22"/>
        </w:rPr>
        <w:t>International Psychogeriatrics</w:t>
      </w:r>
      <w:r w:rsidRPr="005A0776">
        <w:rPr>
          <w:rFonts w:ascii="Arial" w:hAnsi="Arial" w:cs="Arial"/>
          <w:sz w:val="22"/>
          <w:szCs w:val="22"/>
        </w:rPr>
        <w:t xml:space="preserve">, [online] 26(07), pp.1171–1179. </w:t>
      </w:r>
      <w:hyperlink r:id="rId12" w:history="1">
        <w:r w:rsidRPr="005A0776">
          <w:rPr>
            <w:rStyle w:val="Hyperlink"/>
            <w:rFonts w:ascii="Arial" w:hAnsi="Arial" w:cs="Arial"/>
            <w:sz w:val="22"/>
            <w:szCs w:val="22"/>
          </w:rPr>
          <w:t>https://doi.org/10.1017/s1041610214000258</w:t>
        </w:r>
      </w:hyperlink>
      <w:r w:rsidRPr="005A0776">
        <w:rPr>
          <w:rFonts w:ascii="Arial" w:hAnsi="Arial" w:cs="Arial"/>
          <w:sz w:val="22"/>
          <w:szCs w:val="22"/>
        </w:rPr>
        <w:t>. [Accessed 30 Jun. 2026].</w:t>
      </w:r>
    </w:p>
    <w:p w14:paraId="11467DB5"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 xml:space="preserve">Ekman, I., Swedberg, K., Taft, C., Lindseth, A., Norberg, A., Brink, E., Carlsson, J., Dahlin-Ivanoff, S., Johansson, I.-L., Kjellgren, K., Lidén, E., </w:t>
      </w:r>
      <w:proofErr w:type="spellStart"/>
      <w:r w:rsidRPr="005A0776">
        <w:rPr>
          <w:rFonts w:ascii="Arial" w:hAnsi="Arial" w:cs="Arial"/>
          <w:sz w:val="22"/>
          <w:szCs w:val="22"/>
        </w:rPr>
        <w:t>Öhlén</w:t>
      </w:r>
      <w:proofErr w:type="spellEnd"/>
      <w:r w:rsidRPr="005A0776">
        <w:rPr>
          <w:rFonts w:ascii="Arial" w:hAnsi="Arial" w:cs="Arial"/>
          <w:sz w:val="22"/>
          <w:szCs w:val="22"/>
        </w:rPr>
        <w:t xml:space="preserve">, J., Olsson, L.-E., Rosén, H., Rydmark, M. and </w:t>
      </w:r>
      <w:proofErr w:type="spellStart"/>
      <w:r w:rsidRPr="005A0776">
        <w:rPr>
          <w:rFonts w:ascii="Arial" w:hAnsi="Arial" w:cs="Arial"/>
          <w:sz w:val="22"/>
          <w:szCs w:val="22"/>
        </w:rPr>
        <w:t>Sunnerhagen</w:t>
      </w:r>
      <w:proofErr w:type="spellEnd"/>
      <w:r w:rsidRPr="005A0776">
        <w:rPr>
          <w:rFonts w:ascii="Arial" w:hAnsi="Arial" w:cs="Arial"/>
          <w:sz w:val="22"/>
          <w:szCs w:val="22"/>
        </w:rPr>
        <w:t>, K.S. (2011). Person-</w:t>
      </w:r>
      <w:proofErr w:type="spellStart"/>
      <w:r w:rsidRPr="005A0776">
        <w:rPr>
          <w:rFonts w:ascii="Arial" w:hAnsi="Arial" w:cs="Arial"/>
          <w:sz w:val="22"/>
          <w:szCs w:val="22"/>
        </w:rPr>
        <w:t>centered</w:t>
      </w:r>
      <w:proofErr w:type="spellEnd"/>
      <w:r w:rsidRPr="005A0776">
        <w:rPr>
          <w:rFonts w:ascii="Arial" w:hAnsi="Arial" w:cs="Arial"/>
          <w:sz w:val="22"/>
          <w:szCs w:val="22"/>
        </w:rPr>
        <w:t xml:space="preserve"> care--ready for prime time. </w:t>
      </w:r>
      <w:r w:rsidRPr="005A0776">
        <w:rPr>
          <w:rFonts w:ascii="Arial" w:hAnsi="Arial" w:cs="Arial"/>
          <w:i/>
          <w:iCs/>
          <w:sz w:val="22"/>
          <w:szCs w:val="22"/>
        </w:rPr>
        <w:t xml:space="preserve">European Journal of Cardiovascular Nursing: Journal of the Working Group on Cardiovascular Nursing of the European Society of Cardiology, 10(4), pp. </w:t>
      </w:r>
      <w:r w:rsidRPr="005A0776">
        <w:rPr>
          <w:rFonts w:ascii="Arial" w:hAnsi="Arial" w:cs="Arial"/>
          <w:sz w:val="22"/>
          <w:szCs w:val="22"/>
        </w:rPr>
        <w:t>248–251.</w:t>
      </w:r>
    </w:p>
    <w:p w14:paraId="58513BC7" w14:textId="7CA534D3"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Francis, R. (2013). Mid Staffordshire NHS Foundation Trust Public Inquiry. </w:t>
      </w:r>
      <w:r w:rsidRPr="005A0776">
        <w:rPr>
          <w:rFonts w:ascii="Arial" w:hAnsi="Arial" w:cs="Arial"/>
          <w:i/>
          <w:iCs/>
          <w:sz w:val="22"/>
          <w:szCs w:val="22"/>
        </w:rPr>
        <w:t>Nursing Standard</w:t>
      </w:r>
      <w:r w:rsidRPr="005A0776">
        <w:rPr>
          <w:rFonts w:ascii="Arial" w:hAnsi="Arial" w:cs="Arial"/>
          <w:sz w:val="22"/>
          <w:szCs w:val="22"/>
        </w:rPr>
        <w:t xml:space="preserve">, 25(7), pp.30–30. </w:t>
      </w:r>
      <w:hyperlink r:id="rId13" w:history="1">
        <w:r w:rsidR="00C22C67" w:rsidRPr="00104778">
          <w:rPr>
            <w:rStyle w:val="Hyperlink"/>
            <w:rFonts w:ascii="Arial" w:hAnsi="Arial" w:cs="Arial"/>
            <w:sz w:val="22"/>
            <w:szCs w:val="22"/>
          </w:rPr>
          <w:t>https://doi.org/10.7748/ns2010.10.25.7.30.p4590</w:t>
        </w:r>
      </w:hyperlink>
      <w:r w:rsidRPr="005A0776">
        <w:rPr>
          <w:rFonts w:ascii="Arial" w:hAnsi="Arial" w:cs="Arial"/>
          <w:sz w:val="22"/>
          <w:szCs w:val="22"/>
        </w:rPr>
        <w:t>.</w:t>
      </w:r>
      <w:r w:rsidR="00C22C67">
        <w:rPr>
          <w:rFonts w:ascii="Arial" w:hAnsi="Arial" w:cs="Arial"/>
          <w:sz w:val="22"/>
          <w:szCs w:val="22"/>
        </w:rPr>
        <w:t xml:space="preserve"> </w:t>
      </w:r>
      <w:r w:rsidR="003F0023" w:rsidRPr="003F0023">
        <w:rPr>
          <w:rFonts w:ascii="Arial" w:hAnsi="Arial" w:cs="Arial"/>
          <w:sz w:val="22"/>
          <w:szCs w:val="22"/>
        </w:rPr>
        <w:t>[Accessed 30 Jun. 2026].</w:t>
      </w:r>
    </w:p>
    <w:p w14:paraId="3F6F35E2"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 xml:space="preserve">Glasby, J. and Dickinson, H. (2014). </w:t>
      </w:r>
      <w:r w:rsidRPr="005A0776">
        <w:rPr>
          <w:rFonts w:ascii="Arial" w:hAnsi="Arial" w:cs="Arial"/>
          <w:i/>
          <w:iCs/>
          <w:sz w:val="22"/>
          <w:szCs w:val="22"/>
        </w:rPr>
        <w:t>Partnership Working in Health and Social Care</w:t>
      </w:r>
      <w:r w:rsidRPr="005A0776">
        <w:rPr>
          <w:rFonts w:ascii="Arial" w:hAnsi="Arial" w:cs="Arial"/>
          <w:sz w:val="22"/>
          <w:szCs w:val="22"/>
        </w:rPr>
        <w:t>. Policy Press.</w:t>
      </w:r>
    </w:p>
    <w:p w14:paraId="2872EADB"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lastRenderedPageBreak/>
        <w:t xml:space="preserve">Health Education England (2017). </w:t>
      </w:r>
      <w:r w:rsidRPr="005A0776">
        <w:rPr>
          <w:rFonts w:ascii="Arial" w:hAnsi="Arial" w:cs="Arial"/>
          <w:i/>
          <w:iCs/>
          <w:sz w:val="22"/>
          <w:szCs w:val="22"/>
        </w:rPr>
        <w:t>Person-Centred Approaches Framework</w:t>
      </w:r>
      <w:r w:rsidRPr="005A0776">
        <w:rPr>
          <w:rFonts w:ascii="Arial" w:hAnsi="Arial" w:cs="Arial"/>
          <w:sz w:val="22"/>
          <w:szCs w:val="22"/>
        </w:rPr>
        <w:t>. Health Education England.</w:t>
      </w:r>
    </w:p>
    <w:p w14:paraId="5BA89F89"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Koren, M.J. (2010). Person-</w:t>
      </w:r>
      <w:proofErr w:type="spellStart"/>
      <w:r w:rsidRPr="005A0776">
        <w:rPr>
          <w:rFonts w:ascii="Arial" w:hAnsi="Arial" w:cs="Arial"/>
          <w:sz w:val="22"/>
          <w:szCs w:val="22"/>
        </w:rPr>
        <w:t>Centered</w:t>
      </w:r>
      <w:proofErr w:type="spellEnd"/>
      <w:r w:rsidRPr="005A0776">
        <w:rPr>
          <w:rFonts w:ascii="Arial" w:hAnsi="Arial" w:cs="Arial"/>
          <w:sz w:val="22"/>
          <w:szCs w:val="22"/>
        </w:rPr>
        <w:t xml:space="preserve"> Care </w:t>
      </w:r>
      <w:proofErr w:type="gramStart"/>
      <w:r w:rsidRPr="005A0776">
        <w:rPr>
          <w:rFonts w:ascii="Arial" w:hAnsi="Arial" w:cs="Arial"/>
          <w:sz w:val="22"/>
          <w:szCs w:val="22"/>
        </w:rPr>
        <w:t>For</w:t>
      </w:r>
      <w:proofErr w:type="gramEnd"/>
      <w:r w:rsidRPr="005A0776">
        <w:rPr>
          <w:rFonts w:ascii="Arial" w:hAnsi="Arial" w:cs="Arial"/>
          <w:sz w:val="22"/>
          <w:szCs w:val="22"/>
        </w:rPr>
        <w:t xml:space="preserve"> Nursing Home Residents: The Culture-Change Movement. </w:t>
      </w:r>
      <w:r w:rsidRPr="005A0776">
        <w:rPr>
          <w:rFonts w:ascii="Arial" w:hAnsi="Arial" w:cs="Arial"/>
          <w:i/>
          <w:iCs/>
          <w:sz w:val="22"/>
          <w:szCs w:val="22"/>
        </w:rPr>
        <w:t>Health Affairs</w:t>
      </w:r>
      <w:r w:rsidRPr="005A0776">
        <w:rPr>
          <w:rFonts w:ascii="Arial" w:hAnsi="Arial" w:cs="Arial"/>
          <w:sz w:val="22"/>
          <w:szCs w:val="22"/>
        </w:rPr>
        <w:t xml:space="preserve">, 29(2), pp.312–317. </w:t>
      </w:r>
      <w:hyperlink r:id="rId14" w:history="1">
        <w:r w:rsidRPr="005A0776">
          <w:rPr>
            <w:rStyle w:val="Hyperlink"/>
            <w:rFonts w:ascii="Arial" w:hAnsi="Arial" w:cs="Arial"/>
            <w:sz w:val="22"/>
            <w:szCs w:val="22"/>
          </w:rPr>
          <w:t>https://doi.org/10.1377/hlthaff.2009.0966</w:t>
        </w:r>
      </w:hyperlink>
      <w:r w:rsidRPr="005A0776">
        <w:rPr>
          <w:rFonts w:ascii="Arial" w:hAnsi="Arial" w:cs="Arial"/>
          <w:sz w:val="22"/>
          <w:szCs w:val="22"/>
        </w:rPr>
        <w:t>. [Accessed 26 Jun. 2026].</w:t>
      </w:r>
    </w:p>
    <w:p w14:paraId="6EFD2BA6"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McCormack, B. and McCance, T. (2017). </w:t>
      </w:r>
      <w:r w:rsidRPr="005A0776">
        <w:rPr>
          <w:rFonts w:ascii="Arial" w:hAnsi="Arial" w:cs="Arial"/>
          <w:i/>
          <w:iCs/>
          <w:sz w:val="22"/>
          <w:szCs w:val="22"/>
        </w:rPr>
        <w:t>Person-centred Practice in Nursing and Health Care: Theory and Practice</w:t>
      </w:r>
      <w:r w:rsidRPr="005A0776">
        <w:rPr>
          <w:rFonts w:ascii="Arial" w:hAnsi="Arial" w:cs="Arial"/>
          <w:sz w:val="22"/>
          <w:szCs w:val="22"/>
        </w:rPr>
        <w:t>. 2nd ed. Wiley Blackwell.</w:t>
      </w:r>
    </w:p>
    <w:p w14:paraId="01807A31"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NHS England (2022). </w:t>
      </w:r>
      <w:r w:rsidRPr="005A0776">
        <w:rPr>
          <w:rFonts w:ascii="Arial" w:hAnsi="Arial" w:cs="Arial"/>
          <w:i/>
          <w:iCs/>
          <w:sz w:val="22"/>
          <w:szCs w:val="22"/>
        </w:rPr>
        <w:t>What Are Integrated Care systems?</w:t>
      </w:r>
      <w:r w:rsidRPr="005A0776">
        <w:rPr>
          <w:rFonts w:ascii="Arial" w:hAnsi="Arial" w:cs="Arial"/>
          <w:sz w:val="22"/>
          <w:szCs w:val="22"/>
        </w:rPr>
        <w:t xml:space="preserve"> [online] NHS England. Available at: </w:t>
      </w:r>
      <w:hyperlink r:id="rId15" w:history="1">
        <w:r w:rsidRPr="005A0776">
          <w:rPr>
            <w:rStyle w:val="Hyperlink"/>
            <w:rFonts w:ascii="Arial" w:hAnsi="Arial" w:cs="Arial"/>
            <w:sz w:val="22"/>
            <w:szCs w:val="22"/>
          </w:rPr>
          <w:t>https://www.england.nhs.uk/integratedcare/what-is-integrated-care/</w:t>
        </w:r>
      </w:hyperlink>
      <w:r w:rsidRPr="005A0776">
        <w:rPr>
          <w:rFonts w:ascii="Arial" w:hAnsi="Arial" w:cs="Arial"/>
          <w:sz w:val="22"/>
          <w:szCs w:val="22"/>
        </w:rPr>
        <w:t xml:space="preserve"> [Accessed 30 Jun. 2026].</w:t>
      </w:r>
    </w:p>
    <w:p w14:paraId="38DC5915"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NHS England (2024). </w:t>
      </w:r>
      <w:r w:rsidRPr="005A0776">
        <w:rPr>
          <w:rFonts w:ascii="Arial" w:hAnsi="Arial" w:cs="Arial"/>
          <w:i/>
          <w:iCs/>
          <w:sz w:val="22"/>
          <w:szCs w:val="22"/>
        </w:rPr>
        <w:t>Person-centred Care</w:t>
      </w:r>
      <w:r w:rsidRPr="005A0776">
        <w:rPr>
          <w:rFonts w:ascii="Arial" w:hAnsi="Arial" w:cs="Arial"/>
          <w:sz w:val="22"/>
          <w:szCs w:val="22"/>
        </w:rPr>
        <w:t xml:space="preserve">. [online] NHS England. Available at: </w:t>
      </w:r>
      <w:hyperlink r:id="rId16" w:history="1">
        <w:r w:rsidRPr="005A0776">
          <w:rPr>
            <w:rStyle w:val="Hyperlink"/>
            <w:rFonts w:ascii="Arial" w:hAnsi="Arial" w:cs="Arial"/>
            <w:sz w:val="22"/>
            <w:szCs w:val="22"/>
          </w:rPr>
          <w:t>https://www.hee.nhs.uk/our-work/person-centred-care</w:t>
        </w:r>
      </w:hyperlink>
      <w:r w:rsidRPr="005A0776">
        <w:rPr>
          <w:rFonts w:ascii="Arial" w:hAnsi="Arial" w:cs="Arial"/>
          <w:sz w:val="22"/>
          <w:szCs w:val="22"/>
        </w:rPr>
        <w:t>. [Accessed 23 Jun. 2026].</w:t>
      </w:r>
    </w:p>
    <w:p w14:paraId="785245B5"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Preston-Shoot, M. (2020). Safeguarding Adults Together under the Care Act 2014: A Multi-Agency Practice Guide, Barbara Starns. </w:t>
      </w:r>
      <w:r w:rsidRPr="005A0776">
        <w:rPr>
          <w:rFonts w:ascii="Arial" w:hAnsi="Arial" w:cs="Arial"/>
          <w:i/>
          <w:iCs/>
          <w:sz w:val="22"/>
          <w:szCs w:val="22"/>
        </w:rPr>
        <w:t>The British Journal of Social Work</w:t>
      </w:r>
      <w:r w:rsidRPr="005A0776">
        <w:rPr>
          <w:rFonts w:ascii="Arial" w:hAnsi="Arial" w:cs="Arial"/>
          <w:sz w:val="22"/>
          <w:szCs w:val="22"/>
        </w:rPr>
        <w:t xml:space="preserve">, 51(7). </w:t>
      </w:r>
      <w:hyperlink r:id="rId17" w:history="1">
        <w:r w:rsidRPr="005A0776">
          <w:rPr>
            <w:rStyle w:val="Hyperlink"/>
            <w:rFonts w:ascii="Arial" w:hAnsi="Arial" w:cs="Arial"/>
            <w:sz w:val="22"/>
            <w:szCs w:val="22"/>
          </w:rPr>
          <w:t>https://doi.org/10.1093/bjsw/bcaa050</w:t>
        </w:r>
      </w:hyperlink>
      <w:r w:rsidRPr="005A0776">
        <w:rPr>
          <w:rFonts w:ascii="Arial" w:hAnsi="Arial" w:cs="Arial"/>
          <w:sz w:val="22"/>
          <w:szCs w:val="22"/>
        </w:rPr>
        <w:t>. [Accessed 30 Jun. 2026].</w:t>
      </w:r>
    </w:p>
    <w:p w14:paraId="07491636" w14:textId="77777777" w:rsidR="005A0776" w:rsidRPr="005A0776" w:rsidRDefault="005A0776" w:rsidP="005A0776">
      <w:pPr>
        <w:spacing w:line="360" w:lineRule="auto"/>
        <w:rPr>
          <w:rFonts w:ascii="Arial" w:hAnsi="Arial" w:cs="Arial"/>
          <w:sz w:val="22"/>
          <w:szCs w:val="22"/>
        </w:rPr>
      </w:pPr>
      <w:r w:rsidRPr="005A0776">
        <w:rPr>
          <w:rFonts w:ascii="Arial" w:hAnsi="Arial" w:cs="Arial"/>
          <w:sz w:val="22"/>
          <w:szCs w:val="22"/>
        </w:rPr>
        <w:t>The Health Foundation (2016). </w:t>
      </w:r>
      <w:r w:rsidRPr="005A0776">
        <w:rPr>
          <w:rFonts w:ascii="Arial" w:hAnsi="Arial" w:cs="Arial"/>
          <w:i/>
          <w:iCs/>
          <w:sz w:val="22"/>
          <w:szCs w:val="22"/>
        </w:rPr>
        <w:t>Person-centred Care Made Simple: What Everyone Should Know about person-centred Care</w:t>
      </w:r>
      <w:r w:rsidRPr="005A0776">
        <w:rPr>
          <w:rFonts w:ascii="Arial" w:hAnsi="Arial" w:cs="Arial"/>
          <w:sz w:val="22"/>
          <w:szCs w:val="22"/>
        </w:rPr>
        <w:t xml:space="preserve">. [online] Available at: </w:t>
      </w:r>
      <w:hyperlink r:id="rId18" w:history="1">
        <w:r w:rsidRPr="005A0776">
          <w:rPr>
            <w:rStyle w:val="Hyperlink"/>
            <w:rFonts w:ascii="Arial" w:hAnsi="Arial" w:cs="Arial"/>
            <w:sz w:val="22"/>
            <w:szCs w:val="22"/>
          </w:rPr>
          <w:t>https://www.health.org.uk/sites/default/files/PersonCentredCareMadeSimple_0.pdf</w:t>
        </w:r>
      </w:hyperlink>
      <w:r w:rsidRPr="005A0776">
        <w:rPr>
          <w:rFonts w:ascii="Arial" w:hAnsi="Arial" w:cs="Arial"/>
          <w:sz w:val="22"/>
          <w:szCs w:val="22"/>
        </w:rPr>
        <w:t xml:space="preserve"> </w:t>
      </w:r>
    </w:p>
    <w:p w14:paraId="72F3E3AF" w14:textId="39C07F66" w:rsidR="003A4335" w:rsidRPr="00A9202E" w:rsidRDefault="00CE356B" w:rsidP="005A0776">
      <w:pPr>
        <w:spacing w:line="360" w:lineRule="auto"/>
        <w:rPr>
          <w:rFonts w:ascii="Arial" w:hAnsi="Arial" w:cs="Arial"/>
          <w:sz w:val="22"/>
          <w:szCs w:val="22"/>
        </w:rPr>
      </w:pPr>
      <w:r w:rsidRPr="00A758C8">
        <w:rPr>
          <w:rFonts w:ascii="Arial" w:hAnsi="Arial" w:cs="Arial"/>
          <w:sz w:val="22"/>
          <w:szCs w:val="22"/>
        </w:rPr>
        <w:br w:type="textWrapping" w:clear="all"/>
      </w:r>
    </w:p>
    <w:sectPr w:rsidR="003A4335" w:rsidRPr="00A9202E" w:rsidSect="003E5691">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5E88C" w14:textId="77777777" w:rsidR="005D4A0B" w:rsidRDefault="005D4A0B" w:rsidP="00043A78">
      <w:pPr>
        <w:spacing w:after="0" w:line="240" w:lineRule="auto"/>
      </w:pPr>
      <w:r>
        <w:separator/>
      </w:r>
    </w:p>
  </w:endnote>
  <w:endnote w:type="continuationSeparator" w:id="0">
    <w:p w14:paraId="36FB12F9" w14:textId="77777777" w:rsidR="005D4A0B" w:rsidRDefault="005D4A0B" w:rsidP="00043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1F768" w14:textId="77777777" w:rsidR="00043A78" w:rsidRDefault="00043A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633263"/>
      <w:docPartObj>
        <w:docPartGallery w:val="Page Numbers (Bottom of Page)"/>
        <w:docPartUnique/>
      </w:docPartObj>
    </w:sdtPr>
    <w:sdtEndPr>
      <w:rPr>
        <w:noProof/>
      </w:rPr>
    </w:sdtEndPr>
    <w:sdtContent>
      <w:p w14:paraId="0605E1FB" w14:textId="59160259" w:rsidR="00043A78" w:rsidRDefault="00043A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0B8B52" w14:textId="77777777" w:rsidR="00043A78" w:rsidRDefault="00043A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D4F62" w14:textId="77777777" w:rsidR="00043A78" w:rsidRDefault="00043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E96D9" w14:textId="77777777" w:rsidR="005D4A0B" w:rsidRDefault="005D4A0B" w:rsidP="00043A78">
      <w:pPr>
        <w:spacing w:after="0" w:line="240" w:lineRule="auto"/>
      </w:pPr>
      <w:r>
        <w:separator/>
      </w:r>
    </w:p>
  </w:footnote>
  <w:footnote w:type="continuationSeparator" w:id="0">
    <w:p w14:paraId="55A81B7E" w14:textId="77777777" w:rsidR="005D4A0B" w:rsidRDefault="005D4A0B" w:rsidP="00043A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61E96" w14:textId="77777777" w:rsidR="00043A78" w:rsidRDefault="00043A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9D78D" w14:textId="77777777" w:rsidR="00043A78" w:rsidRDefault="00043A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DDEAB" w14:textId="77777777" w:rsidR="00043A78" w:rsidRDefault="00043A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43C65"/>
    <w:multiLevelType w:val="multilevel"/>
    <w:tmpl w:val="57F23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A04743"/>
    <w:multiLevelType w:val="hybridMultilevel"/>
    <w:tmpl w:val="180CF5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3D139C8"/>
    <w:multiLevelType w:val="multilevel"/>
    <w:tmpl w:val="B4DAB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9D4B9F"/>
    <w:multiLevelType w:val="multilevel"/>
    <w:tmpl w:val="ABFC9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310E29"/>
    <w:multiLevelType w:val="hybridMultilevel"/>
    <w:tmpl w:val="7034DF30"/>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FA91020"/>
    <w:multiLevelType w:val="multilevel"/>
    <w:tmpl w:val="B822A446"/>
    <w:lvl w:ilvl="0">
      <w:start w:val="1"/>
      <w:numFmt w:val="decimal"/>
      <w:lvlText w:val="%1."/>
      <w:lvlJc w:val="left"/>
      <w:pPr>
        <w:tabs>
          <w:tab w:val="num" w:pos="360"/>
        </w:tabs>
        <w:ind w:left="360"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6" w15:restartNumberingAfterBreak="0">
    <w:nsid w:val="581F751F"/>
    <w:multiLevelType w:val="hybridMultilevel"/>
    <w:tmpl w:val="073CC484"/>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A8B1267"/>
    <w:multiLevelType w:val="hybridMultilevel"/>
    <w:tmpl w:val="EC58AE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52407194">
    <w:abstractNumId w:val="1"/>
  </w:num>
  <w:num w:numId="2" w16cid:durableId="678122801">
    <w:abstractNumId w:val="6"/>
  </w:num>
  <w:num w:numId="3" w16cid:durableId="1780680214">
    <w:abstractNumId w:val="4"/>
  </w:num>
  <w:num w:numId="4" w16cid:durableId="942347341">
    <w:abstractNumId w:val="7"/>
  </w:num>
  <w:num w:numId="5" w16cid:durableId="1359547970">
    <w:abstractNumId w:val="5"/>
  </w:num>
  <w:num w:numId="6" w16cid:durableId="209734816">
    <w:abstractNumId w:val="3"/>
  </w:num>
  <w:num w:numId="7" w16cid:durableId="180164883">
    <w:abstractNumId w:val="0"/>
  </w:num>
  <w:num w:numId="8" w16cid:durableId="8734188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B61"/>
    <w:rsid w:val="00043A78"/>
    <w:rsid w:val="0007210C"/>
    <w:rsid w:val="00093821"/>
    <w:rsid w:val="000D2D24"/>
    <w:rsid w:val="0011060A"/>
    <w:rsid w:val="00124E00"/>
    <w:rsid w:val="00165F9C"/>
    <w:rsid w:val="002B5736"/>
    <w:rsid w:val="00354788"/>
    <w:rsid w:val="00357445"/>
    <w:rsid w:val="0037086A"/>
    <w:rsid w:val="003A4335"/>
    <w:rsid w:val="003D2F65"/>
    <w:rsid w:val="003D6158"/>
    <w:rsid w:val="003D6B33"/>
    <w:rsid w:val="003E5691"/>
    <w:rsid w:val="003F0023"/>
    <w:rsid w:val="00416834"/>
    <w:rsid w:val="00430F2C"/>
    <w:rsid w:val="00431776"/>
    <w:rsid w:val="004C0D06"/>
    <w:rsid w:val="005249EC"/>
    <w:rsid w:val="00557493"/>
    <w:rsid w:val="005A0776"/>
    <w:rsid w:val="005D4A0B"/>
    <w:rsid w:val="006358EE"/>
    <w:rsid w:val="00653B61"/>
    <w:rsid w:val="006624B8"/>
    <w:rsid w:val="007042B0"/>
    <w:rsid w:val="007522B1"/>
    <w:rsid w:val="00766681"/>
    <w:rsid w:val="00783753"/>
    <w:rsid w:val="007B44C5"/>
    <w:rsid w:val="00852C1D"/>
    <w:rsid w:val="008B517C"/>
    <w:rsid w:val="00960ECC"/>
    <w:rsid w:val="00996D59"/>
    <w:rsid w:val="009C1F1E"/>
    <w:rsid w:val="00A37332"/>
    <w:rsid w:val="00A758C8"/>
    <w:rsid w:val="00A9202E"/>
    <w:rsid w:val="00A92E7D"/>
    <w:rsid w:val="00B22D58"/>
    <w:rsid w:val="00B71634"/>
    <w:rsid w:val="00B774F5"/>
    <w:rsid w:val="00C22C67"/>
    <w:rsid w:val="00C36578"/>
    <w:rsid w:val="00C73328"/>
    <w:rsid w:val="00CB770E"/>
    <w:rsid w:val="00CE356B"/>
    <w:rsid w:val="00D226A2"/>
    <w:rsid w:val="00D34193"/>
    <w:rsid w:val="00D731B5"/>
    <w:rsid w:val="00DD0407"/>
    <w:rsid w:val="00E516E2"/>
    <w:rsid w:val="00EA2BE8"/>
    <w:rsid w:val="00F22F0C"/>
    <w:rsid w:val="00F7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4CC6B"/>
  <w15:chartTrackingRefBased/>
  <w15:docId w15:val="{0DF38D02-C364-42CA-92D5-D2EDFFA44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B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3B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B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B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3B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B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B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B61"/>
    <w:rPr>
      <w:rFonts w:eastAsiaTheme="majorEastAsia" w:cstheme="majorBidi"/>
      <w:color w:val="272727" w:themeColor="text1" w:themeTint="D8"/>
    </w:rPr>
  </w:style>
  <w:style w:type="paragraph" w:styleId="Title">
    <w:name w:val="Title"/>
    <w:basedOn w:val="Normal"/>
    <w:next w:val="Normal"/>
    <w:link w:val="TitleChar"/>
    <w:uiPriority w:val="10"/>
    <w:qFormat/>
    <w:rsid w:val="00653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B61"/>
    <w:pPr>
      <w:spacing w:before="160"/>
      <w:jc w:val="center"/>
    </w:pPr>
    <w:rPr>
      <w:i/>
      <w:iCs/>
      <w:color w:val="404040" w:themeColor="text1" w:themeTint="BF"/>
    </w:rPr>
  </w:style>
  <w:style w:type="character" w:customStyle="1" w:styleId="QuoteChar">
    <w:name w:val="Quote Char"/>
    <w:basedOn w:val="DefaultParagraphFont"/>
    <w:link w:val="Quote"/>
    <w:uiPriority w:val="29"/>
    <w:rsid w:val="00653B61"/>
    <w:rPr>
      <w:i/>
      <w:iCs/>
      <w:color w:val="404040" w:themeColor="text1" w:themeTint="BF"/>
    </w:rPr>
  </w:style>
  <w:style w:type="paragraph" w:styleId="ListParagraph">
    <w:name w:val="List Paragraph"/>
    <w:basedOn w:val="Normal"/>
    <w:uiPriority w:val="34"/>
    <w:qFormat/>
    <w:rsid w:val="00653B61"/>
    <w:pPr>
      <w:ind w:left="720"/>
      <w:contextualSpacing/>
    </w:pPr>
  </w:style>
  <w:style w:type="character" w:styleId="IntenseEmphasis">
    <w:name w:val="Intense Emphasis"/>
    <w:basedOn w:val="DefaultParagraphFont"/>
    <w:uiPriority w:val="21"/>
    <w:qFormat/>
    <w:rsid w:val="00653B61"/>
    <w:rPr>
      <w:i/>
      <w:iCs/>
      <w:color w:val="0F4761" w:themeColor="accent1" w:themeShade="BF"/>
    </w:rPr>
  </w:style>
  <w:style w:type="paragraph" w:styleId="IntenseQuote">
    <w:name w:val="Intense Quote"/>
    <w:basedOn w:val="Normal"/>
    <w:next w:val="Normal"/>
    <w:link w:val="IntenseQuoteChar"/>
    <w:uiPriority w:val="30"/>
    <w:qFormat/>
    <w:rsid w:val="00653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B61"/>
    <w:rPr>
      <w:i/>
      <w:iCs/>
      <w:color w:val="0F4761" w:themeColor="accent1" w:themeShade="BF"/>
    </w:rPr>
  </w:style>
  <w:style w:type="character" w:styleId="IntenseReference">
    <w:name w:val="Intense Reference"/>
    <w:basedOn w:val="DefaultParagraphFont"/>
    <w:uiPriority w:val="32"/>
    <w:qFormat/>
    <w:rsid w:val="00653B61"/>
    <w:rPr>
      <w:b/>
      <w:bCs/>
      <w:smallCaps/>
      <w:color w:val="0F4761" w:themeColor="accent1" w:themeShade="BF"/>
      <w:spacing w:val="5"/>
    </w:rPr>
  </w:style>
  <w:style w:type="character" w:styleId="Hyperlink">
    <w:name w:val="Hyperlink"/>
    <w:basedOn w:val="DefaultParagraphFont"/>
    <w:uiPriority w:val="99"/>
    <w:unhideWhenUsed/>
    <w:rsid w:val="00E516E2"/>
    <w:rPr>
      <w:color w:val="0000FF"/>
      <w:u w:val="single"/>
    </w:rPr>
  </w:style>
  <w:style w:type="character" w:styleId="UnresolvedMention">
    <w:name w:val="Unresolved Mention"/>
    <w:basedOn w:val="DefaultParagraphFont"/>
    <w:uiPriority w:val="99"/>
    <w:semiHidden/>
    <w:unhideWhenUsed/>
    <w:rsid w:val="005A0776"/>
    <w:rPr>
      <w:color w:val="605E5C"/>
      <w:shd w:val="clear" w:color="auto" w:fill="E1DFDD"/>
    </w:rPr>
  </w:style>
  <w:style w:type="paragraph" w:styleId="Header">
    <w:name w:val="header"/>
    <w:basedOn w:val="Normal"/>
    <w:link w:val="HeaderChar"/>
    <w:uiPriority w:val="99"/>
    <w:unhideWhenUsed/>
    <w:rsid w:val="00043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A78"/>
  </w:style>
  <w:style w:type="paragraph" w:styleId="Footer">
    <w:name w:val="footer"/>
    <w:basedOn w:val="Normal"/>
    <w:link w:val="FooterChar"/>
    <w:uiPriority w:val="99"/>
    <w:unhideWhenUsed/>
    <w:rsid w:val="00043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j816" TargetMode="External"/><Relationship Id="rId13" Type="http://schemas.openxmlformats.org/officeDocument/2006/relationships/hyperlink" Target="https://doi.org/10.7748/ns2010.10.25.7.30.p4590" TargetMode="External"/><Relationship Id="rId18" Type="http://schemas.openxmlformats.org/officeDocument/2006/relationships/hyperlink" Target="https://www.health.org.uk/sites/default/files/PersonCentredCareMadeSimple_0.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17/s1041610214000258" TargetMode="External"/><Relationship Id="rId17" Type="http://schemas.openxmlformats.org/officeDocument/2006/relationships/hyperlink" Target="https://doi.org/10.1093/bjsw/bcaa05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ee.nhs.uk/our-work/person-centred-care"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365-2702.2009.03143.x"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england.nhs.uk/integratedcare/what-is-integrated-care/" TargetMode="External"/><Relationship Id="rId23" Type="http://schemas.openxmlformats.org/officeDocument/2006/relationships/header" Target="header3.xml"/><Relationship Id="rId10" Type="http://schemas.openxmlformats.org/officeDocument/2006/relationships/hyperlink" Target="https://assets.publishing.service.gov.uk/media/5a7dcf2aed915d2ac884dafa/Care-Act-Guidance.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7861/futurehosp.3-2-114" TargetMode="External"/><Relationship Id="rId14" Type="http://schemas.openxmlformats.org/officeDocument/2006/relationships/hyperlink" Target="https://doi.org/10.1377/hlthaff.2009.0966"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148</TotalTime>
  <Pages>10</Pages>
  <Words>3013</Words>
  <Characters>17178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said</dc:creator>
  <cp:keywords/>
  <dc:description/>
  <cp:lastModifiedBy>uzma said</cp:lastModifiedBy>
  <cp:revision>54</cp:revision>
  <dcterms:created xsi:type="dcterms:W3CDTF">2026-06-27T16:43:00Z</dcterms:created>
  <dcterms:modified xsi:type="dcterms:W3CDTF">2026-06-27T23:47:00Z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1b6d084a-d0b4-495a-86a8-05e2389f50b1</vt:lpwstr>
  </property>
</Properties>
</file>