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id w:val="64623281"/>
        <w:docPartObj>
          <w:docPartGallery w:val="Cover Pages"/>
          <w:docPartUnique/>
        </w:docPartObj>
      </w:sdtPr>
      <w:sdtContent>
        <w:p w14:paraId="637F8E8D" w14:textId="55C0DC63" w:rsidR="00A66EF2" w:rsidRDefault="00A66E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8C976F" wp14:editId="3F9A397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DCCCE78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&#13;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" stroked="f" strokeweight="1.5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9C6B25" wp14:editId="06BD6E4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E32D83D" w14:textId="3EA6518A" w:rsidR="00A66EF2" w:rsidRDefault="00A66EF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Alisha Ali</w:t>
                                    </w:r>
                                  </w:p>
                                </w:sdtContent>
                              </w:sdt>
                              <w:p w14:paraId="2F9E7FE4" w14:textId="0C36CE88" w:rsidR="00A66EF2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E4C2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2437713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A9C6B2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E32D83D" w14:textId="3EA6518A" w:rsidR="00A66EF2" w:rsidRDefault="00A66EF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Alisha Ali</w:t>
                              </w:r>
                            </w:p>
                          </w:sdtContent>
                        </w:sdt>
                        <w:p w14:paraId="2F9E7FE4" w14:textId="0C36CE88" w:rsidR="00A66EF2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5E4C2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2437713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9DFFF1" wp14:editId="6E4E9A0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128A06" w14:textId="142B8C9C" w:rsidR="00A66EF2" w:rsidRDefault="005E4C2A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sz w:val="22"/>
                                      <w:szCs w:val="2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5E4C2A">
                                      <w:rPr>
                                        <w:rFonts w:ascii="Arial" w:hAnsi="Arial" w:cs="Arial"/>
                                        <w:b/>
                                        <w:sz w:val="22"/>
                                        <w:szCs w:val="22"/>
                                      </w:rPr>
                                      <w:t>BSc Health and Social Care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sz w:val="22"/>
                                    <w:szCs w:val="22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F45E59E" w14:textId="25CFCB22" w:rsidR="00A66EF2" w:rsidRDefault="005E4C2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E4C2A">
                                      <w:rPr>
                                        <w:rFonts w:ascii="Arial" w:hAnsi="Arial" w:cs="Arial"/>
                                        <w:b/>
                                        <w:sz w:val="22"/>
                                        <w:szCs w:val="22"/>
                                      </w:rPr>
                                      <w:t>BMHP5021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sz w:val="22"/>
                                        <w:szCs w:val="22"/>
                                      </w:rPr>
                                      <w:t xml:space="preserve">: </w:t>
                                    </w:r>
                                    <w:r w:rsidRPr="005E4C2A">
                                      <w:rPr>
                                        <w:rFonts w:ascii="Arial" w:hAnsi="Arial" w:cs="Arial"/>
                                        <w:b/>
                                        <w:sz w:val="22"/>
                                        <w:szCs w:val="22"/>
                                      </w:rPr>
                                      <w:t>Protecting and Supporting Families in Health and Care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9DFFF1" id="Text Box 25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61128A06" w14:textId="142B8C9C" w:rsidR="00A66EF2" w:rsidRDefault="005E4C2A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sz w:val="22"/>
                                <w:szCs w:val="2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5E4C2A">
                                <w:rPr>
                                  <w:rFonts w:ascii="Arial" w:hAnsi="Arial" w:cs="Arial"/>
                                  <w:b/>
                                  <w:sz w:val="22"/>
                                  <w:szCs w:val="22"/>
                                </w:rPr>
                                <w:t>BSc Health and Social Care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  <w:sz w:val="22"/>
                              <w:szCs w:val="22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F45E59E" w14:textId="25CFCB22" w:rsidR="00A66EF2" w:rsidRDefault="005E4C2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E4C2A">
                                <w:rPr>
                                  <w:rFonts w:ascii="Arial" w:hAnsi="Arial" w:cs="Arial"/>
                                  <w:b/>
                                  <w:sz w:val="22"/>
                                  <w:szCs w:val="22"/>
                                </w:rPr>
                                <w:t>BMHP5021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sz w:val="22"/>
                                  <w:szCs w:val="22"/>
                                </w:rPr>
                                <w:t xml:space="preserve">: </w:t>
                              </w:r>
                              <w:r w:rsidRPr="005E4C2A">
                                <w:rPr>
                                  <w:rFonts w:ascii="Arial" w:hAnsi="Arial" w:cs="Arial"/>
                                  <w:b/>
                                  <w:sz w:val="22"/>
                                  <w:szCs w:val="22"/>
                                </w:rPr>
                                <w:t>Protecting and Supporting Families in Health and Care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E9E1CC" w14:textId="17D6157B" w:rsidR="00A66EF2" w:rsidRDefault="00A66EF2">
          <w:r>
            <w:br w:type="page"/>
          </w:r>
        </w:p>
      </w:sdtContent>
    </w:sdt>
    <w:p w14:paraId="0384B3DA" w14:textId="77777777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Style w:val="Strong"/>
          <w:rFonts w:ascii="Arial" w:hAnsi="Arial" w:cs="Arial"/>
          <w:color w:val="000000"/>
        </w:rPr>
        <w:lastRenderedPageBreak/>
        <w:t>Reference List</w:t>
      </w:r>
    </w:p>
    <w:p w14:paraId="1E5FD79A" w14:textId="6A779924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Buckler, R. (2023)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Developing Child-Centred Practice for Safeguarding and Child Protection: Strategies for Every Early Years Setting</w:t>
      </w:r>
      <w:r w:rsidRPr="005E4C2A">
        <w:rPr>
          <w:rFonts w:ascii="Arial" w:hAnsi="Arial" w:cs="Arial"/>
          <w:color w:val="000000"/>
        </w:rPr>
        <w:t>. Abingdon: Routledge.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9" w:history="1">
        <w:r w:rsidRPr="005E4C2A">
          <w:rPr>
            <w:rStyle w:val="Hyperlink"/>
            <w:rFonts w:ascii="Arial" w:hAnsi="Arial" w:cs="Arial"/>
          </w:rPr>
          <w:t>https://www.tandfonline.com/doi/full/10.1080/03004279.2023.2279660</w:t>
        </w:r>
      </w:hyperlink>
      <w:r w:rsidR="002D6283" w:rsidRPr="005E4C2A">
        <w:rPr>
          <w:rFonts w:ascii="Arial" w:hAnsi="Arial" w:cs="Arial"/>
          <w:color w:val="000000"/>
        </w:rPr>
        <w:t xml:space="preserve"> </w:t>
      </w:r>
      <w:r w:rsidR="005247B7" w:rsidRPr="005E4C2A">
        <w:rPr>
          <w:rFonts w:ascii="Arial" w:hAnsi="Arial" w:cs="Arial"/>
          <w:color w:val="000000"/>
        </w:rPr>
        <w:t xml:space="preserve"> </w:t>
      </w:r>
      <w:r w:rsidR="002D6283" w:rsidRPr="005E4C2A">
        <w:rPr>
          <w:rFonts w:ascii="Arial" w:hAnsi="Arial" w:cs="Arial"/>
          <w:color w:val="000000"/>
        </w:rPr>
        <w:t>(Accessed: 1 October 2026).</w:t>
      </w:r>
    </w:p>
    <w:p w14:paraId="7FFB7CFF" w14:textId="121FDEF3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Colquhoun, I. (2024)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Theo: Local Child Safeguarding Practice Review</w:t>
      </w:r>
      <w:r w:rsidRPr="005E4C2A">
        <w:rPr>
          <w:rFonts w:ascii="Arial" w:hAnsi="Arial" w:cs="Arial"/>
          <w:color w:val="000000"/>
        </w:rPr>
        <w:t>. Derby and Derbyshire Safeguarding Children Partnership.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0" w:history="1">
        <w:r w:rsidRPr="005E4C2A">
          <w:rPr>
            <w:rStyle w:val="Hyperlink"/>
            <w:rFonts w:ascii="Arial" w:hAnsi="Arial" w:cs="Arial"/>
          </w:rPr>
          <w:t>https://uowtsd-my.sharepoint.com/personal/2437713_student_uwtsd_ac_uk/Documents/Microsoft%20Copilot%20Chat%20Files/Theo%20-%202024%20Derby%20and%20Derbyshire%20CSPR.pdf</w:t>
        </w:r>
      </w:hyperlink>
      <w:r w:rsidR="005247B7" w:rsidRPr="005E4C2A">
        <w:rPr>
          <w:rFonts w:ascii="Arial" w:hAnsi="Arial" w:cs="Arial"/>
          <w:color w:val="000000"/>
        </w:rPr>
        <w:t xml:space="preserve"> </w:t>
      </w:r>
      <w:r w:rsidR="002D6283" w:rsidRPr="005E4C2A">
        <w:rPr>
          <w:rFonts w:ascii="Arial" w:hAnsi="Arial" w:cs="Arial"/>
          <w:color w:val="000000"/>
        </w:rPr>
        <w:t>(Accessed: 1 October 2026).</w:t>
      </w:r>
    </w:p>
    <w:p w14:paraId="6DF73EA4" w14:textId="2DA33D68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Department for Education (2026)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Working Together to Safeguard Children 2026: A Guide to Multi-Agency Working to Help, Protect and Promote the Welfare of Children</w:t>
      </w:r>
      <w:r w:rsidRPr="005E4C2A">
        <w:rPr>
          <w:rFonts w:ascii="Arial" w:hAnsi="Arial" w:cs="Arial"/>
          <w:color w:val="000000"/>
        </w:rPr>
        <w:t>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1" w:history="1">
        <w:r w:rsidRPr="005E4C2A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5E4C2A">
        <w:rPr>
          <w:rFonts w:ascii="Arial" w:hAnsi="Arial" w:cs="Arial"/>
          <w:color w:val="000000"/>
        </w:rPr>
        <w:t>.</w:t>
      </w:r>
      <w:r w:rsidR="002D6283" w:rsidRPr="005E4C2A">
        <w:rPr>
          <w:rFonts w:ascii="Arial" w:hAnsi="Arial" w:cs="Arial"/>
          <w:color w:val="000000"/>
        </w:rPr>
        <w:t xml:space="preserve"> (Accessed: 1 October 2026).</w:t>
      </w:r>
    </w:p>
    <w:p w14:paraId="412B0B18" w14:textId="1253A30F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Felitti, V.J., Anda, R.F., Nordenberg, D., Williamson, D.F., Spitz, A.M., Edwards, V., Koss, M.P. and Marks, J.S. (1998) ‘Relationship of childhood abuse and household dysfunction to many of the leading causes of death in adults: The Adverse Childhood Experiences (ACE) Study’,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American Journal of Preventive Medicine</w:t>
      </w:r>
      <w:r w:rsidRPr="005E4C2A">
        <w:rPr>
          <w:rFonts w:ascii="Arial" w:hAnsi="Arial" w:cs="Arial"/>
          <w:color w:val="000000"/>
        </w:rPr>
        <w:t>, 14(4), pp. 245–258.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2" w:history="1">
        <w:r w:rsidRPr="005E4C2A">
          <w:rPr>
            <w:rStyle w:val="Hyperlink"/>
            <w:rFonts w:ascii="Arial" w:hAnsi="Arial" w:cs="Arial"/>
          </w:rPr>
          <w:t>https://doi.org/10.1016/S0749-3797(98)00017-8</w:t>
        </w:r>
      </w:hyperlink>
      <w:r w:rsidRPr="005E4C2A">
        <w:rPr>
          <w:rFonts w:ascii="Arial" w:hAnsi="Arial" w:cs="Arial"/>
          <w:color w:val="000000"/>
        </w:rPr>
        <w:t>.</w:t>
      </w:r>
      <w:r w:rsidR="002D6283" w:rsidRPr="005E4C2A">
        <w:rPr>
          <w:rFonts w:ascii="Arial" w:hAnsi="Arial" w:cs="Arial"/>
          <w:color w:val="000000"/>
        </w:rPr>
        <w:t xml:space="preserve"> (Accessed: 3 October 2026).</w:t>
      </w:r>
    </w:p>
    <w:p w14:paraId="2B5578C1" w14:textId="203E551B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Frost, N. (2021)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Safeguarding Children and Young People: A Guide for Professionals Working Together</w:t>
      </w:r>
      <w:r w:rsidRPr="005E4C2A">
        <w:rPr>
          <w:rFonts w:ascii="Arial" w:hAnsi="Arial" w:cs="Arial"/>
          <w:color w:val="000000"/>
        </w:rPr>
        <w:t>. London: SAGE Publications.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3" w:history="1">
        <w:r w:rsidRPr="005E4C2A">
          <w:rPr>
            <w:rStyle w:val="Hyperlink"/>
            <w:rFonts w:ascii="Arial" w:hAnsi="Arial" w:cs="Arial"/>
          </w:rPr>
          <w:t>https://contentstore-cla-co-uk.uwtsd.idm.oclc.org/anon/e-reader/7cc58392-f1ae-ee11-ad36-a04a5e5d2f8d</w:t>
        </w:r>
      </w:hyperlink>
      <w:r w:rsidRPr="005E4C2A">
        <w:rPr>
          <w:rFonts w:ascii="Arial" w:hAnsi="Arial" w:cs="Arial"/>
          <w:color w:val="000000"/>
        </w:rPr>
        <w:t>.</w:t>
      </w:r>
      <w:r w:rsidR="002D6283" w:rsidRPr="005E4C2A">
        <w:rPr>
          <w:rFonts w:ascii="Arial" w:hAnsi="Arial" w:cs="Arial"/>
          <w:color w:val="000000"/>
        </w:rPr>
        <w:t xml:space="preserve"> (Accessed: 3 October 2026).</w:t>
      </w:r>
    </w:p>
    <w:p w14:paraId="09064036" w14:textId="4C92366A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Great Britain (1989)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Children Act 1989</w:t>
      </w:r>
      <w:r w:rsidRPr="005E4C2A">
        <w:rPr>
          <w:rFonts w:ascii="Arial" w:hAnsi="Arial" w:cs="Arial"/>
          <w:color w:val="000000"/>
        </w:rPr>
        <w:t>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4" w:history="1">
        <w:r w:rsidRPr="005E4C2A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Fonts w:ascii="Arial" w:hAnsi="Arial" w:cs="Arial"/>
          <w:color w:val="000000"/>
        </w:rPr>
        <w:t xml:space="preserve">(Accessed: </w:t>
      </w:r>
      <w:r w:rsidR="002D6283" w:rsidRPr="005E4C2A">
        <w:rPr>
          <w:rFonts w:ascii="Arial" w:hAnsi="Arial" w:cs="Arial"/>
          <w:color w:val="000000"/>
        </w:rPr>
        <w:t>3</w:t>
      </w:r>
      <w:r w:rsidRPr="005E4C2A">
        <w:rPr>
          <w:rFonts w:ascii="Arial" w:hAnsi="Arial" w:cs="Arial"/>
          <w:color w:val="000000"/>
        </w:rPr>
        <w:t xml:space="preserve"> October 2026).</w:t>
      </w:r>
    </w:p>
    <w:p w14:paraId="4FD9FEA7" w14:textId="737FC2A1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Great Britain (2004)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Children Act 2004</w:t>
      </w:r>
      <w:r w:rsidRPr="005E4C2A">
        <w:rPr>
          <w:rFonts w:ascii="Arial" w:hAnsi="Arial" w:cs="Arial"/>
          <w:color w:val="000000"/>
        </w:rPr>
        <w:t>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5" w:history="1">
        <w:r w:rsidRPr="005E4C2A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Fonts w:ascii="Arial" w:hAnsi="Arial" w:cs="Arial"/>
          <w:color w:val="000000"/>
        </w:rPr>
        <w:t xml:space="preserve">(Accessed: </w:t>
      </w:r>
      <w:r w:rsidR="002D6283" w:rsidRPr="005E4C2A">
        <w:rPr>
          <w:rFonts w:ascii="Arial" w:hAnsi="Arial" w:cs="Arial"/>
          <w:color w:val="000000"/>
        </w:rPr>
        <w:t>20</w:t>
      </w:r>
      <w:r w:rsidRPr="005E4C2A">
        <w:rPr>
          <w:rFonts w:ascii="Arial" w:hAnsi="Arial" w:cs="Arial"/>
          <w:color w:val="000000"/>
        </w:rPr>
        <w:t xml:space="preserve"> </w:t>
      </w:r>
      <w:r w:rsidR="002D6283" w:rsidRPr="005E4C2A">
        <w:rPr>
          <w:rFonts w:ascii="Arial" w:hAnsi="Arial" w:cs="Arial"/>
          <w:color w:val="000000"/>
        </w:rPr>
        <w:t>September</w:t>
      </w:r>
      <w:r w:rsidRPr="005E4C2A">
        <w:rPr>
          <w:rFonts w:ascii="Arial" w:hAnsi="Arial" w:cs="Arial"/>
          <w:color w:val="000000"/>
        </w:rPr>
        <w:t xml:space="preserve"> 2026).</w:t>
      </w:r>
    </w:p>
    <w:p w14:paraId="790B3EDB" w14:textId="5024EB9E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Great Britain (2021)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Domestic Abuse Act 2021</w:t>
      </w:r>
      <w:r w:rsidRPr="005E4C2A">
        <w:rPr>
          <w:rFonts w:ascii="Arial" w:hAnsi="Arial" w:cs="Arial"/>
          <w:color w:val="000000"/>
        </w:rPr>
        <w:t>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6" w:history="1">
        <w:r w:rsidRPr="005E4C2A">
          <w:rPr>
            <w:rStyle w:val="Hyperlink"/>
            <w:rFonts w:ascii="Arial" w:hAnsi="Arial" w:cs="Arial"/>
          </w:rPr>
          <w:t>https://www.legislation.gov.uk/ukpga/2021/17/contents</w:t>
        </w:r>
      </w:hyperlink>
      <w:r w:rsidR="002D6283" w:rsidRPr="005E4C2A">
        <w:rPr>
          <w:rFonts w:ascii="Arial" w:hAnsi="Arial" w:cs="Arial"/>
          <w:color w:val="000000"/>
        </w:rPr>
        <w:t xml:space="preserve"> </w:t>
      </w:r>
      <w:r w:rsidR="005247B7" w:rsidRPr="005E4C2A">
        <w:rPr>
          <w:rFonts w:ascii="Arial" w:hAnsi="Arial" w:cs="Arial"/>
          <w:color w:val="000000"/>
        </w:rPr>
        <w:t xml:space="preserve"> </w:t>
      </w:r>
      <w:r w:rsidRPr="005E4C2A">
        <w:rPr>
          <w:rFonts w:ascii="Arial" w:hAnsi="Arial" w:cs="Arial"/>
          <w:color w:val="000000"/>
        </w:rPr>
        <w:t xml:space="preserve">(Accessed: </w:t>
      </w:r>
      <w:r w:rsidR="002D6283" w:rsidRPr="005E4C2A">
        <w:rPr>
          <w:rFonts w:ascii="Arial" w:hAnsi="Arial" w:cs="Arial"/>
          <w:color w:val="000000"/>
        </w:rPr>
        <w:t xml:space="preserve">20 September </w:t>
      </w:r>
      <w:r w:rsidRPr="005E4C2A">
        <w:rPr>
          <w:rFonts w:ascii="Arial" w:hAnsi="Arial" w:cs="Arial"/>
          <w:color w:val="000000"/>
        </w:rPr>
        <w:t>2026).</w:t>
      </w:r>
    </w:p>
    <w:p w14:paraId="3F7750DE" w14:textId="5330D960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Hughes, K., Bellis, M.A., Hardcastle, K.A., Sethi, D., Butchart, A., Mikton, C., Jones, L. and Dunne, M.P. (2017) ‘The effect of multiple adverse childhood experiences on health: A systematic review and meta-analysis’,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The Lancet Public Health</w:t>
      </w:r>
      <w:r w:rsidRPr="005E4C2A">
        <w:rPr>
          <w:rFonts w:ascii="Arial" w:hAnsi="Arial" w:cs="Arial"/>
          <w:color w:val="000000"/>
        </w:rPr>
        <w:t>, 2(8), pp. e356–e366.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7" w:history="1">
        <w:r w:rsidRPr="005E4C2A">
          <w:rPr>
            <w:rStyle w:val="Hyperlink"/>
            <w:rFonts w:ascii="Arial" w:hAnsi="Arial" w:cs="Arial"/>
          </w:rPr>
          <w:t>https://doi.org/10.1016/S2468-2667(17)30118-4</w:t>
        </w:r>
      </w:hyperlink>
      <w:r w:rsidRPr="005E4C2A">
        <w:rPr>
          <w:rFonts w:ascii="Arial" w:hAnsi="Arial" w:cs="Arial"/>
          <w:color w:val="000000"/>
        </w:rPr>
        <w:t>.</w:t>
      </w:r>
      <w:r w:rsidR="002D6283" w:rsidRPr="005E4C2A">
        <w:rPr>
          <w:rFonts w:ascii="Arial" w:hAnsi="Arial" w:cs="Arial"/>
          <w:color w:val="000000"/>
        </w:rPr>
        <w:t xml:space="preserve"> (Accessed: 20 September 2026).</w:t>
      </w:r>
    </w:p>
    <w:p w14:paraId="5F66317C" w14:textId="787F3324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lastRenderedPageBreak/>
        <w:t>United Nations (1989)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Convention on the Rights of the Child</w:t>
      </w:r>
      <w:r w:rsidRPr="005E4C2A">
        <w:rPr>
          <w:rFonts w:ascii="Arial" w:hAnsi="Arial" w:cs="Arial"/>
          <w:color w:val="000000"/>
        </w:rPr>
        <w:t>. Available at: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8" w:history="1">
        <w:r w:rsidRPr="005E4C2A">
          <w:rPr>
            <w:rStyle w:val="Hyperlink"/>
            <w:rFonts w:ascii="Arial" w:hAnsi="Arial" w:cs="Arial"/>
          </w:rPr>
          <w:t>https://www.ohchr.org/en/instruments-mechanisms/instruments/convention-rights-child</w:t>
        </w:r>
      </w:hyperlink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Fonts w:ascii="Arial" w:hAnsi="Arial" w:cs="Arial"/>
          <w:color w:val="000000"/>
        </w:rPr>
        <w:t xml:space="preserve">(Accessed: </w:t>
      </w:r>
      <w:r w:rsidR="002D6283" w:rsidRPr="005E4C2A">
        <w:rPr>
          <w:rFonts w:ascii="Arial" w:hAnsi="Arial" w:cs="Arial"/>
          <w:color w:val="000000"/>
        </w:rPr>
        <w:t xml:space="preserve">20 September </w:t>
      </w:r>
      <w:r w:rsidRPr="005E4C2A">
        <w:rPr>
          <w:rFonts w:ascii="Arial" w:hAnsi="Arial" w:cs="Arial"/>
          <w:color w:val="000000"/>
        </w:rPr>
        <w:t>2026).</w:t>
      </w:r>
    </w:p>
    <w:p w14:paraId="6E853DE8" w14:textId="7BAFBB85" w:rsidR="008745EA" w:rsidRPr="005E4C2A" w:rsidRDefault="008745EA" w:rsidP="008745EA">
      <w:pPr>
        <w:pStyle w:val="NormalWeb"/>
        <w:rPr>
          <w:rFonts w:ascii="Arial" w:hAnsi="Arial" w:cs="Arial"/>
          <w:color w:val="000000"/>
        </w:rPr>
      </w:pPr>
      <w:r w:rsidRPr="005E4C2A">
        <w:rPr>
          <w:rFonts w:ascii="Arial" w:hAnsi="Arial" w:cs="Arial"/>
          <w:color w:val="000000"/>
        </w:rPr>
        <w:t>Walker, G. (2018)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r w:rsidRPr="005E4C2A">
        <w:rPr>
          <w:rStyle w:val="Emphasis"/>
          <w:rFonts w:ascii="Arial" w:hAnsi="Arial" w:cs="Arial"/>
          <w:color w:val="000000"/>
        </w:rPr>
        <w:t>Working Together for Children: A Critical Introduction to Multi-Agency Working</w:t>
      </w:r>
      <w:r w:rsidRPr="005E4C2A">
        <w:rPr>
          <w:rFonts w:ascii="Arial" w:hAnsi="Arial" w:cs="Arial"/>
          <w:color w:val="000000"/>
        </w:rPr>
        <w:t xml:space="preserve">. 2nd </w:t>
      </w:r>
      <w:proofErr w:type="spellStart"/>
      <w:r w:rsidRPr="005E4C2A">
        <w:rPr>
          <w:rFonts w:ascii="Arial" w:hAnsi="Arial" w:cs="Arial"/>
          <w:color w:val="000000"/>
        </w:rPr>
        <w:t>edn</w:t>
      </w:r>
      <w:proofErr w:type="spellEnd"/>
      <w:r w:rsidRPr="005E4C2A">
        <w:rPr>
          <w:rFonts w:ascii="Arial" w:hAnsi="Arial" w:cs="Arial"/>
          <w:color w:val="000000"/>
        </w:rPr>
        <w:t>. London: Zed Books; Bloomsbury Publishing. Available through Ebook Central:</w:t>
      </w:r>
      <w:r w:rsidRPr="005E4C2A">
        <w:rPr>
          <w:rStyle w:val="apple-converted-space"/>
          <w:rFonts w:ascii="Arial" w:hAnsi="Arial" w:cs="Arial"/>
          <w:color w:val="000000"/>
        </w:rPr>
        <w:t> </w:t>
      </w:r>
      <w:hyperlink r:id="rId19" w:history="1">
        <w:r w:rsidRPr="005E4C2A">
          <w:rPr>
            <w:rStyle w:val="Hyperlink"/>
            <w:rFonts w:ascii="Arial" w:hAnsi="Arial" w:cs="Arial"/>
          </w:rPr>
          <w:t>https://clarivate.com/accessibility/ebook-central/</w:t>
        </w:r>
      </w:hyperlink>
      <w:r w:rsidRPr="005E4C2A">
        <w:rPr>
          <w:rFonts w:ascii="Arial" w:hAnsi="Arial" w:cs="Arial"/>
          <w:color w:val="000000"/>
        </w:rPr>
        <w:t>.</w:t>
      </w:r>
      <w:r w:rsidR="002D6283" w:rsidRPr="005E4C2A">
        <w:rPr>
          <w:rFonts w:ascii="Arial" w:hAnsi="Arial" w:cs="Arial"/>
          <w:color w:val="000000"/>
        </w:rPr>
        <w:t>(Accessed: 9 October 2026).</w:t>
      </w:r>
    </w:p>
    <w:p w14:paraId="218326DF" w14:textId="0BEB1F37" w:rsidR="00A66EF2" w:rsidRPr="005E4C2A" w:rsidRDefault="00A66EF2" w:rsidP="00A66EF2">
      <w:pPr>
        <w:pStyle w:val="NormalWeb"/>
        <w:rPr>
          <w:rFonts w:ascii="Arial" w:hAnsi="Arial" w:cs="Arial"/>
          <w:color w:val="000000"/>
        </w:rPr>
      </w:pPr>
    </w:p>
    <w:p w14:paraId="7EB8BF34" w14:textId="77777777" w:rsidR="00A66EF2" w:rsidRPr="00E6656C" w:rsidRDefault="00A66EF2">
      <w:pPr>
        <w:rPr>
          <w:rFonts w:ascii="Arial" w:hAnsi="Arial" w:cs="Arial"/>
        </w:rPr>
      </w:pPr>
    </w:p>
    <w:sectPr w:rsidR="00A66EF2" w:rsidRPr="00E6656C" w:rsidSect="00A66EF2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38BEBBB" w14:textId="77777777" w:rsidR="00F30AC3" w:rsidRDefault="00F30AC3" w:rsidP="005E4C2A">
      <w:pPr>
        <w:spacing w:after="0" w:line="240" w:lineRule="auto"/>
      </w:pPr>
      <w:r>
        <w:separator/>
      </w:r>
    </w:p>
  </w:endnote>
  <w:endnote w:type="continuationSeparator" w:id="0">
    <w:p w14:paraId="57D09D10" w14:textId="77777777" w:rsidR="00F30AC3" w:rsidRDefault="00F30AC3" w:rsidP="005E4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318030385"/>
      <w:docPartObj>
        <w:docPartGallery w:val="Page Numbers (Bottom of Page)"/>
        <w:docPartUnique/>
      </w:docPartObj>
    </w:sdtPr>
    <w:sdtContent>
      <w:p w14:paraId="160E5C2F" w14:textId="7057E203" w:rsidR="005E4C2A" w:rsidRDefault="005E4C2A" w:rsidP="00CE28F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5034D64E" w14:textId="77777777" w:rsidR="005E4C2A" w:rsidRDefault="005E4C2A" w:rsidP="005E4C2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166291409"/>
      <w:docPartObj>
        <w:docPartGallery w:val="Page Numbers (Bottom of Page)"/>
        <w:docPartUnique/>
      </w:docPartObj>
    </w:sdtPr>
    <w:sdtContent>
      <w:p w14:paraId="17CE10A9" w14:textId="34F313C6" w:rsidR="005E4C2A" w:rsidRDefault="005E4C2A" w:rsidP="00CE28F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62B57A5" w14:textId="77777777" w:rsidR="005E4C2A" w:rsidRDefault="005E4C2A" w:rsidP="005E4C2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BE137A0" w14:textId="77777777" w:rsidR="00F30AC3" w:rsidRDefault="00F30AC3" w:rsidP="005E4C2A">
      <w:pPr>
        <w:spacing w:after="0" w:line="240" w:lineRule="auto"/>
      </w:pPr>
      <w:r>
        <w:separator/>
      </w:r>
    </w:p>
  </w:footnote>
  <w:footnote w:type="continuationSeparator" w:id="0">
    <w:p w14:paraId="0E850BBD" w14:textId="77777777" w:rsidR="00F30AC3" w:rsidRDefault="00F30AC3" w:rsidP="005E4C2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EF2"/>
    <w:rsid w:val="00187CE3"/>
    <w:rsid w:val="002D6283"/>
    <w:rsid w:val="005247B7"/>
    <w:rsid w:val="005860EB"/>
    <w:rsid w:val="005D1739"/>
    <w:rsid w:val="005E4C2A"/>
    <w:rsid w:val="00723A5B"/>
    <w:rsid w:val="008745EA"/>
    <w:rsid w:val="008D4CA6"/>
    <w:rsid w:val="00A66EF2"/>
    <w:rsid w:val="00E6656C"/>
    <w:rsid w:val="00F30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CD9B6"/>
  <w15:chartTrackingRefBased/>
  <w15:docId w15:val="{68DF45F4-26AB-8F4F-BC86-EADD147F7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E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6E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6E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6E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6E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6E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6E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6E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6E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6E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6E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6E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6E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6E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6E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6E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6E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6E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6E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6E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6E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6E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6E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6E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6E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6E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6E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6E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6EF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66EF2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66EF2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66E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A66EF2"/>
    <w:rPr>
      <w:b/>
      <w:bCs/>
    </w:rPr>
  </w:style>
  <w:style w:type="character" w:customStyle="1" w:styleId="apple-converted-space">
    <w:name w:val="apple-converted-space"/>
    <w:basedOn w:val="DefaultParagraphFont"/>
    <w:rsid w:val="00A66EF2"/>
  </w:style>
  <w:style w:type="character" w:styleId="Emphasis">
    <w:name w:val="Emphasis"/>
    <w:basedOn w:val="DefaultParagraphFont"/>
    <w:uiPriority w:val="20"/>
    <w:qFormat/>
    <w:rsid w:val="00A66EF2"/>
    <w:rPr>
      <w:i/>
      <w:iCs/>
    </w:rPr>
  </w:style>
  <w:style w:type="character" w:styleId="Hyperlink">
    <w:name w:val="Hyperlink"/>
    <w:basedOn w:val="DefaultParagraphFont"/>
    <w:uiPriority w:val="99"/>
    <w:unhideWhenUsed/>
    <w:rsid w:val="00A66EF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66EF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6EF2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5E4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C2A"/>
  </w:style>
  <w:style w:type="character" w:styleId="PageNumber">
    <w:name w:val="page number"/>
    <w:basedOn w:val="DefaultParagraphFont"/>
    <w:uiPriority w:val="99"/>
    <w:semiHidden/>
    <w:unhideWhenUsed/>
    <w:rsid w:val="005E4C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contentstore-cla-co-uk.uwtsd.idm.oclc.org/anon/e-reader/7cc58392-f1ae-ee11-ad36-a04a5e5d2f8d" TargetMode="External"/><Relationship Id="rId18" Type="http://schemas.openxmlformats.org/officeDocument/2006/relationships/hyperlink" Target="https://www.ohchr.org/en/instruments-mechanisms/instruments/convention-rights-child" TargetMode="Externa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png"/><Relationship Id="rId12" Type="http://schemas.openxmlformats.org/officeDocument/2006/relationships/hyperlink" Target="https://doi.org/10.1016/S0749-3797(98)00017-8" TargetMode="External"/><Relationship Id="rId17" Type="http://schemas.openxmlformats.org/officeDocument/2006/relationships/hyperlink" Target="https://doi.org/10.1016/S2468-2667(17)30118-4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2021/17/contents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04/31/content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uowtsd-my.sharepoint.com/personal/2437713_student_uwtsd_ac_uk/Documents/Microsoft%20Copilot%20Chat%20Files/Theo%20-%202024%20Derby%20and%20Derbyshire%20CSPR.pdf" TargetMode="External"/><Relationship Id="rId19" Type="http://schemas.openxmlformats.org/officeDocument/2006/relationships/hyperlink" Target="https://clarivate.com/accessibility/ebook-centra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full/10.1080/03004279.2023.2279660" TargetMode="External"/><Relationship Id="rId14" Type="http://schemas.openxmlformats.org/officeDocument/2006/relationships/hyperlink" Target="https://www.legislation.gov.uk/ukpga/1989/41/content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Alisha Ali 2437713</Abstract>
  <CompanyAddress/>
  <CompanyPhone/>
  <CompanyFax/>
  <CompanyEmail>2437713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570</Words>
  <Characters>3253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Health and Social Care</dc:title>
  <dc:subject>BMHP5021: Protecting and Supporting Families in Health and Care</dc:subject>
  <dc:creator>Alisha Ali</dc:creator>
  <cp:keywords/>
  <dc:description/>
  <cp:lastModifiedBy>Alisha Ali</cp:lastModifiedBy>
  <cp:revision>2</cp:revision>
  <dcterms:created xsi:type="dcterms:W3CDTF">2026-10-16T22:37:00Z</dcterms:created>
  <dcterms:modified xsi:type="dcterms:W3CDTF">2026-10-16T22:37:00Z</dcterms:modified>
</cp:coreProperties>
</file>