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9F0A4C" w14:textId="30075A36" w:rsidR="00847907" w:rsidRPr="00847907" w:rsidRDefault="007F09D9" w:rsidP="00847907">
      <w:pPr>
        <w:jc w:val="both"/>
        <w:rPr>
          <w:rFonts w:ascii="Calibri" w:hAnsi="Calibri" w:cs="Calibri"/>
          <w:smallCaps/>
          <w:color w:val="BFBFA5" w:themeColor="accent2"/>
          <w:sz w:val="28"/>
          <w:szCs w:val="28"/>
        </w:rPr>
      </w:pPr>
      <w:r w:rsidRPr="00B8077E">
        <w:rPr>
          <w:rFonts w:ascii="Calibri" w:hAnsi="Calibri" w:cs="Calibri"/>
          <w:b/>
          <w:noProof/>
          <w:sz w:val="28"/>
          <w:szCs w:val="28"/>
          <w:u w:val="single"/>
        </w:rPr>
        <mc:AlternateContent>
          <mc:Choice Requires="wpg">
            <w:drawing>
              <wp:anchor distT="0" distB="0" distL="228600" distR="228600" simplePos="0" relativeHeight="251659776" behindDoc="0" locked="0" layoutInCell="1" allowOverlap="1" wp14:anchorId="63A0F0DF" wp14:editId="238962A9">
                <wp:simplePos x="0" y="0"/>
                <wp:positionH relativeFrom="page">
                  <wp:align>right</wp:align>
                </wp:positionH>
                <wp:positionV relativeFrom="margin">
                  <wp:align>top</wp:align>
                </wp:positionV>
                <wp:extent cx="7772400" cy="7406640"/>
                <wp:effectExtent l="0" t="0" r="0" b="3810"/>
                <wp:wrapSquare wrapText="bothSides"/>
                <wp:docPr id="173" name="Group 184"/>
                <wp:cNvGraphicFramePr/>
                <a:graphic xmlns:a="http://schemas.openxmlformats.org/drawingml/2006/main">
                  <a:graphicData uri="http://schemas.microsoft.com/office/word/2010/wordprocessingGroup">
                    <wpg:wgp>
                      <wpg:cNvGrpSpPr/>
                      <wpg:grpSpPr>
                        <a:xfrm>
                          <a:off x="0" y="0"/>
                          <a:ext cx="7772400" cy="7406640"/>
                          <a:chOff x="0" y="0"/>
                          <a:chExt cx="3237734" cy="3078431"/>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7"/>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258196" y="716084"/>
                            <a:ext cx="2979538" cy="23623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F7FDB7" w14:textId="40F5521B" w:rsidR="00B96C8E" w:rsidRPr="006737F6" w:rsidRDefault="00C842B0" w:rsidP="0096017F">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 xml:space="preserve">Student </w:t>
                              </w:r>
                              <w:r w:rsidR="001F5468" w:rsidRPr="006737F6">
                                <w:rPr>
                                  <w:rFonts w:eastAsiaTheme="minorHAnsi"/>
                                  <w:b/>
                                  <w:bCs/>
                                  <w:smallCaps/>
                                  <w:sz w:val="40"/>
                                  <w:szCs w:val="40"/>
                                  <w:lang w:val="en-US" w:eastAsia="en-US"/>
                                </w:rPr>
                                <w:t>Name</w:t>
                              </w:r>
                              <w:r w:rsidRPr="006737F6">
                                <w:rPr>
                                  <w:rFonts w:eastAsiaTheme="minorHAnsi"/>
                                  <w:b/>
                                  <w:bCs/>
                                  <w:smallCaps/>
                                  <w:sz w:val="40"/>
                                  <w:szCs w:val="40"/>
                                  <w:lang w:val="en-US" w:eastAsia="en-US"/>
                                </w:rPr>
                                <w:t xml:space="preserve">: </w:t>
                              </w:r>
                              <w:proofErr w:type="spellStart"/>
                              <w:r w:rsidRPr="006737F6">
                                <w:rPr>
                                  <w:rFonts w:eastAsiaTheme="minorHAnsi"/>
                                  <w:b/>
                                  <w:bCs/>
                                  <w:smallCaps/>
                                  <w:sz w:val="40"/>
                                  <w:szCs w:val="40"/>
                                  <w:lang w:val="en-US" w:eastAsia="en-US"/>
                                </w:rPr>
                                <w:t>Mohammadhanzalah</w:t>
                              </w:r>
                              <w:proofErr w:type="spellEnd"/>
                              <w:r w:rsidRPr="006737F6">
                                <w:rPr>
                                  <w:rFonts w:eastAsiaTheme="minorHAnsi"/>
                                  <w:b/>
                                  <w:bCs/>
                                  <w:smallCaps/>
                                  <w:sz w:val="40"/>
                                  <w:szCs w:val="40"/>
                                  <w:lang w:val="en-US" w:eastAsia="en-US"/>
                                </w:rPr>
                                <w:t xml:space="preserve"> </w:t>
                              </w:r>
                              <w:proofErr w:type="spellStart"/>
                              <w:r w:rsidRPr="006737F6">
                                <w:rPr>
                                  <w:rFonts w:eastAsiaTheme="minorHAnsi"/>
                                  <w:b/>
                                  <w:bCs/>
                                  <w:smallCaps/>
                                  <w:sz w:val="40"/>
                                  <w:szCs w:val="40"/>
                                  <w:lang w:val="en-US" w:eastAsia="en-US"/>
                                </w:rPr>
                                <w:t>Mohamedjavid</w:t>
                              </w:r>
                              <w:proofErr w:type="spellEnd"/>
                              <w:r w:rsidRPr="006737F6">
                                <w:rPr>
                                  <w:rFonts w:eastAsiaTheme="minorHAnsi"/>
                                  <w:b/>
                                  <w:bCs/>
                                  <w:smallCaps/>
                                  <w:sz w:val="40"/>
                                  <w:szCs w:val="40"/>
                                  <w:lang w:val="en-US" w:eastAsia="en-US"/>
                                </w:rPr>
                                <w:t xml:space="preserve"> </w:t>
                              </w:r>
                              <w:r w:rsidRPr="006737F6">
                                <w:rPr>
                                  <w:rFonts w:eastAsiaTheme="minorHAnsi"/>
                                  <w:b/>
                                  <w:bCs/>
                                  <w:smallCaps/>
                                  <w:sz w:val="40"/>
                                  <w:szCs w:val="40"/>
                                  <w:lang w:val="en-US" w:eastAsia="en-US"/>
                                </w:rPr>
                                <w:t>Kazi</w:t>
                              </w:r>
                            </w:p>
                            <w:p w14:paraId="21CA11BD" w14:textId="516E7330" w:rsidR="00C842B0" w:rsidRPr="006737F6" w:rsidRDefault="00C842B0" w:rsidP="0096017F">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Student Number</w:t>
                              </w:r>
                              <w:r w:rsidR="00AE2C43" w:rsidRPr="006737F6">
                                <w:rPr>
                                  <w:rFonts w:eastAsiaTheme="minorHAnsi"/>
                                  <w:b/>
                                  <w:bCs/>
                                  <w:smallCaps/>
                                  <w:sz w:val="40"/>
                                  <w:szCs w:val="40"/>
                                  <w:lang w:val="en-US" w:eastAsia="en-US"/>
                                </w:rPr>
                                <w:t xml:space="preserve">: </w:t>
                              </w:r>
                              <w:r w:rsidR="00AE2C43" w:rsidRPr="006737F6">
                                <w:rPr>
                                  <w:rFonts w:eastAsiaTheme="minorHAnsi"/>
                                  <w:b/>
                                  <w:bCs/>
                                  <w:smallCaps/>
                                  <w:sz w:val="40"/>
                                  <w:szCs w:val="40"/>
                                  <w:lang w:val="en-US" w:eastAsia="en-US"/>
                                </w:rPr>
                                <w:t>2023 3131 91</w:t>
                              </w:r>
                            </w:p>
                            <w:p w14:paraId="4FDA4292" w14:textId="35711D41" w:rsidR="0096017F" w:rsidRPr="006737F6" w:rsidRDefault="007F09D9" w:rsidP="0096017F">
                              <w:pPr>
                                <w:pStyle w:val="NoSpacing"/>
                                <w:rPr>
                                  <w:rFonts w:eastAsiaTheme="minorHAnsi"/>
                                  <w:b/>
                                  <w:bCs/>
                                  <w:smallCaps/>
                                  <w:sz w:val="40"/>
                                  <w:szCs w:val="40"/>
                                  <w:lang w:val="en-US" w:eastAsia="en-US"/>
                                </w:rPr>
                              </w:pPr>
                              <w:proofErr w:type="spellStart"/>
                              <w:r w:rsidRPr="006737F6">
                                <w:rPr>
                                  <w:rFonts w:eastAsiaTheme="minorHAnsi"/>
                                  <w:b/>
                                  <w:bCs/>
                                  <w:smallCaps/>
                                  <w:sz w:val="40"/>
                                  <w:szCs w:val="40"/>
                                  <w:lang w:val="en-US" w:eastAsia="en-US"/>
                                </w:rPr>
                                <w:t>Programme</w:t>
                              </w:r>
                              <w:proofErr w:type="spellEnd"/>
                              <w:r w:rsidRPr="006737F6">
                                <w:rPr>
                                  <w:rFonts w:eastAsiaTheme="minorHAnsi"/>
                                  <w:b/>
                                  <w:bCs/>
                                  <w:smallCaps/>
                                  <w:sz w:val="40"/>
                                  <w:szCs w:val="40"/>
                                  <w:lang w:val="en-US" w:eastAsia="en-US"/>
                                </w:rPr>
                                <w:t xml:space="preserve">: MBA - Master of Business Administration </w:t>
                              </w:r>
                            </w:p>
                            <w:p w14:paraId="79D1BF63" w14:textId="77777777" w:rsidR="00AE2C43" w:rsidRPr="006737F6" w:rsidRDefault="007F09D9" w:rsidP="00AE2C43">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 xml:space="preserve">Module: Financial Management </w:t>
                              </w:r>
                            </w:p>
                            <w:p w14:paraId="6D3396ED" w14:textId="77777777" w:rsidR="00C31CEC" w:rsidRPr="006737F6" w:rsidRDefault="007F09D9" w:rsidP="00AE2C43">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Module code: LCMB7002</w:t>
                              </w:r>
                            </w:p>
                            <w:p w14:paraId="26830827" w14:textId="77777777" w:rsidR="001F5468" w:rsidRPr="006737F6" w:rsidRDefault="007F09D9" w:rsidP="00AE2C43">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 xml:space="preserve"> Lecturer: </w:t>
                              </w:r>
                              <w:r w:rsidR="001F5468" w:rsidRPr="006737F6">
                                <w:rPr>
                                  <w:rFonts w:eastAsiaTheme="minorHAnsi"/>
                                  <w:b/>
                                  <w:bCs/>
                                  <w:smallCaps/>
                                  <w:sz w:val="40"/>
                                  <w:szCs w:val="40"/>
                                  <w:lang w:val="en-US" w:eastAsia="en-US"/>
                                </w:rPr>
                                <w:t>KALAAM SIR</w:t>
                              </w:r>
                            </w:p>
                            <w:p w14:paraId="44D81F1F" w14:textId="4B3D1704" w:rsidR="00E932C3" w:rsidRPr="006737F6" w:rsidRDefault="007F09D9" w:rsidP="00AE2C43">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Submission deadline: 21st August 2024</w:t>
                              </w: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3A0F0DF" id="Group 184" o:spid="_x0000_s1026" style="position:absolute;left:0;text-align:left;margin-left:560.8pt;margin-top:0;width:612pt;height:583.2pt;z-index:251659776;mso-wrap-distance-left:18pt;mso-wrap-distance-right:18pt;mso-position-horizontal:right;mso-position-horizontal-relative:page;mso-position-vertical:top;mso-position-vertical-relative:margin;mso-width-relative:margin;mso-height-relative:margin" coordsize="32377,3078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">
                <v:rect id="Rectangle 174" o:spid="_x0000_s1027"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" fillcolor="white [3212]" stroked="f" strokeweight="1.5pt">
                  <v:fill opacity="0"/>
                  <v:stroke endcap="round"/>
                </v:rect>
                <v:group id="Group 175" o:spid="_x0000_s1028"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29"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" path="m,l2240281,,1659256,222885,,822960,,xe" fillcolor="#6f6f6f [3204]" stroked="f" strokeweight="1.5pt">
                    <v:stroke endcap="round"/>
                    <v:path arrowok="t" o:connecttype="custom" o:connectlocs="0,0;1466258,0;1085979,274158;0,1012274;0,0" o:connectangles="0,0,0,0,0"/>
                  </v:shape>
                  <v:rect id="Rectangle 177"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" stroked="f" strokeweight="1.5pt">
                    <v:fill r:id="rId8" o:title="" recolor="t" rotate="t" type="frame"/>
                    <v:stroke endcap="round"/>
                  </v:rect>
                </v:group>
                <v:shapetype id="_x0000_t202" coordsize="21600,21600" o:spt="202" path="m,l,21600r21600,l21600,xe">
                  <v:stroke joinstyle="miter"/>
                  <v:path gradientshapeok="t" o:connecttype="rect"/>
                </v:shapetype>
                <v:shape id="Text Box 178" o:spid="_x0000_s1031" type="#_x0000_t202" style="position:absolute;left:2581;top:7160;width:29796;height:236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" filled="f" stroked="f" strokeweight=".5pt">
                  <v:textbox inset="3.6pt,7.2pt,0,0">
                    <w:txbxContent>
                      <w:p w14:paraId="1FF7FDB7" w14:textId="40F5521B" w:rsidR="00B96C8E" w:rsidRPr="006737F6" w:rsidRDefault="00C842B0" w:rsidP="0096017F">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 xml:space="preserve">Student </w:t>
                        </w:r>
                        <w:r w:rsidR="001F5468" w:rsidRPr="006737F6">
                          <w:rPr>
                            <w:rFonts w:eastAsiaTheme="minorHAnsi"/>
                            <w:b/>
                            <w:bCs/>
                            <w:smallCaps/>
                            <w:sz w:val="40"/>
                            <w:szCs w:val="40"/>
                            <w:lang w:val="en-US" w:eastAsia="en-US"/>
                          </w:rPr>
                          <w:t>Name</w:t>
                        </w:r>
                        <w:r w:rsidRPr="006737F6">
                          <w:rPr>
                            <w:rFonts w:eastAsiaTheme="minorHAnsi"/>
                            <w:b/>
                            <w:bCs/>
                            <w:smallCaps/>
                            <w:sz w:val="40"/>
                            <w:szCs w:val="40"/>
                            <w:lang w:val="en-US" w:eastAsia="en-US"/>
                          </w:rPr>
                          <w:t xml:space="preserve">: </w:t>
                        </w:r>
                        <w:proofErr w:type="spellStart"/>
                        <w:r w:rsidRPr="006737F6">
                          <w:rPr>
                            <w:rFonts w:eastAsiaTheme="minorHAnsi"/>
                            <w:b/>
                            <w:bCs/>
                            <w:smallCaps/>
                            <w:sz w:val="40"/>
                            <w:szCs w:val="40"/>
                            <w:lang w:val="en-US" w:eastAsia="en-US"/>
                          </w:rPr>
                          <w:t>Mohammadhanzalah</w:t>
                        </w:r>
                        <w:proofErr w:type="spellEnd"/>
                        <w:r w:rsidRPr="006737F6">
                          <w:rPr>
                            <w:rFonts w:eastAsiaTheme="minorHAnsi"/>
                            <w:b/>
                            <w:bCs/>
                            <w:smallCaps/>
                            <w:sz w:val="40"/>
                            <w:szCs w:val="40"/>
                            <w:lang w:val="en-US" w:eastAsia="en-US"/>
                          </w:rPr>
                          <w:t xml:space="preserve"> </w:t>
                        </w:r>
                        <w:proofErr w:type="spellStart"/>
                        <w:r w:rsidRPr="006737F6">
                          <w:rPr>
                            <w:rFonts w:eastAsiaTheme="minorHAnsi"/>
                            <w:b/>
                            <w:bCs/>
                            <w:smallCaps/>
                            <w:sz w:val="40"/>
                            <w:szCs w:val="40"/>
                            <w:lang w:val="en-US" w:eastAsia="en-US"/>
                          </w:rPr>
                          <w:t>Mohamedjavid</w:t>
                        </w:r>
                        <w:proofErr w:type="spellEnd"/>
                        <w:r w:rsidRPr="006737F6">
                          <w:rPr>
                            <w:rFonts w:eastAsiaTheme="minorHAnsi"/>
                            <w:b/>
                            <w:bCs/>
                            <w:smallCaps/>
                            <w:sz w:val="40"/>
                            <w:szCs w:val="40"/>
                            <w:lang w:val="en-US" w:eastAsia="en-US"/>
                          </w:rPr>
                          <w:t xml:space="preserve"> </w:t>
                        </w:r>
                        <w:r w:rsidRPr="006737F6">
                          <w:rPr>
                            <w:rFonts w:eastAsiaTheme="minorHAnsi"/>
                            <w:b/>
                            <w:bCs/>
                            <w:smallCaps/>
                            <w:sz w:val="40"/>
                            <w:szCs w:val="40"/>
                            <w:lang w:val="en-US" w:eastAsia="en-US"/>
                          </w:rPr>
                          <w:t>Kazi</w:t>
                        </w:r>
                      </w:p>
                      <w:p w14:paraId="21CA11BD" w14:textId="516E7330" w:rsidR="00C842B0" w:rsidRPr="006737F6" w:rsidRDefault="00C842B0" w:rsidP="0096017F">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Student Number</w:t>
                        </w:r>
                        <w:r w:rsidR="00AE2C43" w:rsidRPr="006737F6">
                          <w:rPr>
                            <w:rFonts w:eastAsiaTheme="minorHAnsi"/>
                            <w:b/>
                            <w:bCs/>
                            <w:smallCaps/>
                            <w:sz w:val="40"/>
                            <w:szCs w:val="40"/>
                            <w:lang w:val="en-US" w:eastAsia="en-US"/>
                          </w:rPr>
                          <w:t xml:space="preserve">: </w:t>
                        </w:r>
                        <w:r w:rsidR="00AE2C43" w:rsidRPr="006737F6">
                          <w:rPr>
                            <w:rFonts w:eastAsiaTheme="minorHAnsi"/>
                            <w:b/>
                            <w:bCs/>
                            <w:smallCaps/>
                            <w:sz w:val="40"/>
                            <w:szCs w:val="40"/>
                            <w:lang w:val="en-US" w:eastAsia="en-US"/>
                          </w:rPr>
                          <w:t>2023 3131 91</w:t>
                        </w:r>
                      </w:p>
                      <w:p w14:paraId="4FDA4292" w14:textId="35711D41" w:rsidR="0096017F" w:rsidRPr="006737F6" w:rsidRDefault="007F09D9" w:rsidP="0096017F">
                        <w:pPr>
                          <w:pStyle w:val="NoSpacing"/>
                          <w:rPr>
                            <w:rFonts w:eastAsiaTheme="minorHAnsi"/>
                            <w:b/>
                            <w:bCs/>
                            <w:smallCaps/>
                            <w:sz w:val="40"/>
                            <w:szCs w:val="40"/>
                            <w:lang w:val="en-US" w:eastAsia="en-US"/>
                          </w:rPr>
                        </w:pPr>
                        <w:proofErr w:type="spellStart"/>
                        <w:r w:rsidRPr="006737F6">
                          <w:rPr>
                            <w:rFonts w:eastAsiaTheme="minorHAnsi"/>
                            <w:b/>
                            <w:bCs/>
                            <w:smallCaps/>
                            <w:sz w:val="40"/>
                            <w:szCs w:val="40"/>
                            <w:lang w:val="en-US" w:eastAsia="en-US"/>
                          </w:rPr>
                          <w:t>Programme</w:t>
                        </w:r>
                        <w:proofErr w:type="spellEnd"/>
                        <w:r w:rsidRPr="006737F6">
                          <w:rPr>
                            <w:rFonts w:eastAsiaTheme="minorHAnsi"/>
                            <w:b/>
                            <w:bCs/>
                            <w:smallCaps/>
                            <w:sz w:val="40"/>
                            <w:szCs w:val="40"/>
                            <w:lang w:val="en-US" w:eastAsia="en-US"/>
                          </w:rPr>
                          <w:t xml:space="preserve">: MBA - Master of Business Administration </w:t>
                        </w:r>
                      </w:p>
                      <w:p w14:paraId="79D1BF63" w14:textId="77777777" w:rsidR="00AE2C43" w:rsidRPr="006737F6" w:rsidRDefault="007F09D9" w:rsidP="00AE2C43">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 xml:space="preserve">Module: Financial Management </w:t>
                        </w:r>
                      </w:p>
                      <w:p w14:paraId="6D3396ED" w14:textId="77777777" w:rsidR="00C31CEC" w:rsidRPr="006737F6" w:rsidRDefault="007F09D9" w:rsidP="00AE2C43">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Module code: LCMB7002</w:t>
                        </w:r>
                      </w:p>
                      <w:p w14:paraId="26830827" w14:textId="77777777" w:rsidR="001F5468" w:rsidRPr="006737F6" w:rsidRDefault="007F09D9" w:rsidP="00AE2C43">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 xml:space="preserve"> Lecturer: </w:t>
                        </w:r>
                        <w:r w:rsidR="001F5468" w:rsidRPr="006737F6">
                          <w:rPr>
                            <w:rFonts w:eastAsiaTheme="minorHAnsi"/>
                            <w:b/>
                            <w:bCs/>
                            <w:smallCaps/>
                            <w:sz w:val="40"/>
                            <w:szCs w:val="40"/>
                            <w:lang w:val="en-US" w:eastAsia="en-US"/>
                          </w:rPr>
                          <w:t>KALAAM SIR</w:t>
                        </w:r>
                      </w:p>
                      <w:p w14:paraId="44D81F1F" w14:textId="4B3D1704" w:rsidR="00E932C3" w:rsidRPr="006737F6" w:rsidRDefault="007F09D9" w:rsidP="00AE2C43">
                        <w:pPr>
                          <w:pStyle w:val="NoSpacing"/>
                          <w:rPr>
                            <w:rFonts w:eastAsiaTheme="minorHAnsi"/>
                            <w:b/>
                            <w:bCs/>
                            <w:smallCaps/>
                            <w:sz w:val="40"/>
                            <w:szCs w:val="40"/>
                            <w:lang w:val="en-US" w:eastAsia="en-US"/>
                          </w:rPr>
                        </w:pPr>
                        <w:r w:rsidRPr="006737F6">
                          <w:rPr>
                            <w:rFonts w:eastAsiaTheme="minorHAnsi"/>
                            <w:b/>
                            <w:bCs/>
                            <w:smallCaps/>
                            <w:sz w:val="40"/>
                            <w:szCs w:val="40"/>
                            <w:lang w:val="en-US" w:eastAsia="en-US"/>
                          </w:rPr>
                          <w:t>Submission deadline: 21st August 2024</w:t>
                        </w:r>
                      </w:p>
                    </w:txbxContent>
                  </v:textbox>
                </v:shape>
                <w10:wrap type="square" anchorx="page" anchory="margin"/>
              </v:group>
            </w:pict>
          </mc:Fallback>
        </mc:AlternateContent>
      </w:r>
      <w:r w:rsidR="00B37CD0">
        <w:rPr>
          <w:rFonts w:ascii="Calibri" w:hAnsi="Calibri" w:cs="Calibri"/>
          <w:b/>
          <w:sz w:val="28"/>
          <w:szCs w:val="28"/>
          <w:u w:val="single"/>
        </w:rPr>
        <w:br w:type="page"/>
      </w:r>
    </w:p>
    <w:tbl>
      <w:tblPr>
        <w:tblStyle w:val="TableGrid"/>
        <w:tblW w:w="0" w:type="auto"/>
        <w:tblLook w:val="04A0" w:firstRow="1" w:lastRow="0" w:firstColumn="1" w:lastColumn="0" w:noHBand="0" w:noVBand="1"/>
      </w:tblPr>
      <w:tblGrid>
        <w:gridCol w:w="846"/>
        <w:gridCol w:w="7513"/>
        <w:gridCol w:w="991"/>
      </w:tblGrid>
      <w:tr w:rsidR="00847907" w:rsidRPr="00131731" w14:paraId="795F5E3E" w14:textId="77777777" w:rsidTr="00C17299">
        <w:tc>
          <w:tcPr>
            <w:tcW w:w="846" w:type="dxa"/>
          </w:tcPr>
          <w:p w14:paraId="2E768ACD" w14:textId="3D9E3C40" w:rsidR="00847907" w:rsidRPr="00131731" w:rsidRDefault="00E464C6" w:rsidP="00B37CD0">
            <w:pPr>
              <w:jc w:val="both"/>
              <w:rPr>
                <w:rFonts w:ascii="Calibri" w:hAnsi="Calibri" w:cs="Calibri"/>
                <w:b/>
                <w:sz w:val="32"/>
                <w:szCs w:val="32"/>
              </w:rPr>
            </w:pPr>
            <w:r w:rsidRPr="00131731">
              <w:rPr>
                <w:rFonts w:ascii="Calibri" w:hAnsi="Calibri" w:cs="Calibri"/>
                <w:b/>
                <w:sz w:val="32"/>
                <w:szCs w:val="32"/>
              </w:rPr>
              <w:lastRenderedPageBreak/>
              <w:t>No:</w:t>
            </w:r>
          </w:p>
        </w:tc>
        <w:tc>
          <w:tcPr>
            <w:tcW w:w="7513" w:type="dxa"/>
          </w:tcPr>
          <w:p w14:paraId="14B7AFD2" w14:textId="1B08E60B" w:rsidR="00847907" w:rsidRPr="00131731" w:rsidRDefault="003455DF" w:rsidP="003455DF">
            <w:pPr>
              <w:jc w:val="center"/>
              <w:rPr>
                <w:rFonts w:ascii="Calibri" w:hAnsi="Calibri" w:cs="Calibri"/>
                <w:b/>
                <w:sz w:val="32"/>
                <w:szCs w:val="32"/>
              </w:rPr>
            </w:pPr>
            <w:r w:rsidRPr="00131731">
              <w:rPr>
                <w:rFonts w:ascii="Calibri" w:hAnsi="Calibri" w:cs="Calibri"/>
                <w:b/>
                <w:sz w:val="32"/>
                <w:szCs w:val="32"/>
              </w:rPr>
              <w:t>Table Of Content</w:t>
            </w:r>
          </w:p>
        </w:tc>
        <w:tc>
          <w:tcPr>
            <w:tcW w:w="991" w:type="dxa"/>
          </w:tcPr>
          <w:p w14:paraId="65E0BA7E" w14:textId="09F693F4" w:rsidR="00847907" w:rsidRPr="00131731" w:rsidRDefault="00C17299" w:rsidP="00B37CD0">
            <w:pPr>
              <w:jc w:val="both"/>
              <w:rPr>
                <w:rFonts w:ascii="Calibri" w:hAnsi="Calibri" w:cs="Calibri"/>
                <w:b/>
                <w:sz w:val="32"/>
                <w:szCs w:val="32"/>
              </w:rPr>
            </w:pPr>
            <w:r w:rsidRPr="00131731">
              <w:rPr>
                <w:rFonts w:ascii="Calibri" w:hAnsi="Calibri" w:cs="Calibri"/>
                <w:b/>
                <w:sz w:val="32"/>
                <w:szCs w:val="32"/>
              </w:rPr>
              <w:t>Pg no:</w:t>
            </w:r>
          </w:p>
        </w:tc>
      </w:tr>
      <w:tr w:rsidR="00847907" w:rsidRPr="00131731" w14:paraId="08F79ACB" w14:textId="77777777" w:rsidTr="00C17299">
        <w:tc>
          <w:tcPr>
            <w:tcW w:w="846" w:type="dxa"/>
          </w:tcPr>
          <w:p w14:paraId="5AAF74FF" w14:textId="0EDEBB96" w:rsidR="00847907" w:rsidRPr="00131731" w:rsidRDefault="00E464C6" w:rsidP="00B37CD0">
            <w:pPr>
              <w:jc w:val="both"/>
              <w:rPr>
                <w:rFonts w:ascii="Calibri" w:hAnsi="Calibri" w:cs="Calibri"/>
                <w:b/>
                <w:sz w:val="32"/>
                <w:szCs w:val="32"/>
              </w:rPr>
            </w:pPr>
            <w:r w:rsidRPr="00131731">
              <w:rPr>
                <w:rFonts w:ascii="Calibri" w:hAnsi="Calibri" w:cs="Calibri"/>
                <w:b/>
                <w:sz w:val="32"/>
                <w:szCs w:val="32"/>
              </w:rPr>
              <w:t>1</w:t>
            </w:r>
          </w:p>
        </w:tc>
        <w:tc>
          <w:tcPr>
            <w:tcW w:w="7513" w:type="dxa"/>
          </w:tcPr>
          <w:p w14:paraId="182839E0" w14:textId="7AFD3D67" w:rsidR="00847907" w:rsidRPr="00131731" w:rsidRDefault="0029290C" w:rsidP="00B37CD0">
            <w:pPr>
              <w:jc w:val="both"/>
              <w:rPr>
                <w:rFonts w:ascii="Calibri" w:hAnsi="Calibri" w:cs="Calibri"/>
                <w:b/>
                <w:sz w:val="32"/>
                <w:szCs w:val="32"/>
              </w:rPr>
            </w:pPr>
            <w:r w:rsidRPr="00131731">
              <w:rPr>
                <w:rFonts w:ascii="Calibri" w:hAnsi="Calibri" w:cs="Calibri"/>
                <w:b/>
                <w:sz w:val="32"/>
                <w:szCs w:val="32"/>
              </w:rPr>
              <w:t>Introduction</w:t>
            </w:r>
            <w:r w:rsidR="00892E95" w:rsidRPr="00131731">
              <w:rPr>
                <w:rFonts w:ascii="Calibri" w:hAnsi="Calibri" w:cs="Calibri"/>
                <w:b/>
                <w:sz w:val="32"/>
                <w:szCs w:val="32"/>
              </w:rPr>
              <w:t xml:space="preserve"> (part-a)</w:t>
            </w:r>
          </w:p>
        </w:tc>
        <w:tc>
          <w:tcPr>
            <w:tcW w:w="991" w:type="dxa"/>
          </w:tcPr>
          <w:p w14:paraId="5A40F4AE" w14:textId="25173BF0" w:rsidR="00847907" w:rsidRPr="00062F20" w:rsidRDefault="00964CA5" w:rsidP="00B37CD0">
            <w:pPr>
              <w:jc w:val="both"/>
              <w:rPr>
                <w:rFonts w:ascii="Calibri" w:hAnsi="Calibri" w:cs="Calibri"/>
                <w:b/>
                <w:sz w:val="32"/>
                <w:szCs w:val="32"/>
              </w:rPr>
            </w:pPr>
            <w:r w:rsidRPr="00062F20">
              <w:rPr>
                <w:rFonts w:ascii="Calibri" w:hAnsi="Calibri" w:cs="Calibri"/>
                <w:b/>
                <w:sz w:val="32"/>
                <w:szCs w:val="32"/>
              </w:rPr>
              <w:t>3</w:t>
            </w:r>
          </w:p>
        </w:tc>
      </w:tr>
      <w:tr w:rsidR="00847907" w:rsidRPr="00131731" w14:paraId="4B9B5348" w14:textId="77777777" w:rsidTr="00C17299">
        <w:tc>
          <w:tcPr>
            <w:tcW w:w="846" w:type="dxa"/>
          </w:tcPr>
          <w:p w14:paraId="1DFA2096" w14:textId="36ED26A7" w:rsidR="00847907" w:rsidRPr="00131731" w:rsidRDefault="0029290C" w:rsidP="00B37CD0">
            <w:pPr>
              <w:jc w:val="both"/>
              <w:rPr>
                <w:rFonts w:ascii="Calibri" w:hAnsi="Calibri" w:cs="Calibri"/>
                <w:b/>
                <w:sz w:val="32"/>
                <w:szCs w:val="32"/>
              </w:rPr>
            </w:pPr>
            <w:r w:rsidRPr="00131731">
              <w:rPr>
                <w:rFonts w:ascii="Calibri" w:hAnsi="Calibri" w:cs="Calibri"/>
                <w:b/>
                <w:sz w:val="32"/>
                <w:szCs w:val="32"/>
              </w:rPr>
              <w:t>2</w:t>
            </w:r>
          </w:p>
        </w:tc>
        <w:tc>
          <w:tcPr>
            <w:tcW w:w="7513" w:type="dxa"/>
          </w:tcPr>
          <w:p w14:paraId="1FC0CEDF" w14:textId="62BD12AA" w:rsidR="00847907" w:rsidRPr="00131731" w:rsidRDefault="00CF5012" w:rsidP="00CF5012">
            <w:pPr>
              <w:spacing w:line="360" w:lineRule="auto"/>
              <w:rPr>
                <w:rFonts w:ascii="Calibri" w:hAnsi="Calibri" w:cs="Calibri"/>
                <w:b/>
                <w:sz w:val="32"/>
                <w:szCs w:val="32"/>
              </w:rPr>
            </w:pPr>
            <w:r w:rsidRPr="00131731">
              <w:rPr>
                <w:rFonts w:ascii="Calibri" w:hAnsi="Calibri" w:cs="Calibri"/>
                <w:b/>
                <w:sz w:val="32"/>
                <w:szCs w:val="32"/>
              </w:rPr>
              <w:t>Financial Performance Review of Toyota</w:t>
            </w:r>
            <w:r w:rsidRPr="00131731">
              <w:rPr>
                <w:rFonts w:ascii="Calibri" w:hAnsi="Calibri" w:cs="Calibri"/>
                <w:b/>
                <w:sz w:val="32"/>
                <w:szCs w:val="32"/>
              </w:rPr>
              <w:t xml:space="preserve"> </w:t>
            </w:r>
            <w:r w:rsidR="00892E95" w:rsidRPr="00131731">
              <w:rPr>
                <w:rFonts w:ascii="Calibri" w:hAnsi="Calibri" w:cs="Calibri"/>
                <w:b/>
                <w:sz w:val="32"/>
                <w:szCs w:val="32"/>
              </w:rPr>
              <w:t>(part-b)</w:t>
            </w:r>
          </w:p>
        </w:tc>
        <w:tc>
          <w:tcPr>
            <w:tcW w:w="991" w:type="dxa"/>
          </w:tcPr>
          <w:p w14:paraId="42CCF337" w14:textId="53812058" w:rsidR="00847907" w:rsidRPr="00062F20" w:rsidRDefault="002E1A4B" w:rsidP="00B37CD0">
            <w:pPr>
              <w:jc w:val="both"/>
              <w:rPr>
                <w:rFonts w:ascii="Calibri" w:hAnsi="Calibri" w:cs="Calibri"/>
                <w:b/>
                <w:sz w:val="32"/>
                <w:szCs w:val="32"/>
              </w:rPr>
            </w:pPr>
            <w:r w:rsidRPr="00062F20">
              <w:rPr>
                <w:rFonts w:ascii="Calibri" w:hAnsi="Calibri" w:cs="Calibri"/>
                <w:b/>
                <w:sz w:val="32"/>
                <w:szCs w:val="32"/>
              </w:rPr>
              <w:t>5</w:t>
            </w:r>
          </w:p>
        </w:tc>
      </w:tr>
      <w:tr w:rsidR="00847907" w:rsidRPr="00131731" w14:paraId="53D1A751" w14:textId="77777777" w:rsidTr="00C17299">
        <w:tc>
          <w:tcPr>
            <w:tcW w:w="846" w:type="dxa"/>
          </w:tcPr>
          <w:p w14:paraId="20D6C3E1" w14:textId="2F60F04D" w:rsidR="00847907" w:rsidRPr="00131731" w:rsidRDefault="00892E95" w:rsidP="00B37CD0">
            <w:pPr>
              <w:jc w:val="both"/>
              <w:rPr>
                <w:rFonts w:ascii="Calibri" w:hAnsi="Calibri" w:cs="Calibri"/>
                <w:b/>
                <w:sz w:val="32"/>
                <w:szCs w:val="32"/>
              </w:rPr>
            </w:pPr>
            <w:r w:rsidRPr="00131731">
              <w:rPr>
                <w:rFonts w:ascii="Calibri" w:hAnsi="Calibri" w:cs="Calibri"/>
                <w:b/>
                <w:sz w:val="32"/>
                <w:szCs w:val="32"/>
              </w:rPr>
              <w:t>3</w:t>
            </w:r>
          </w:p>
        </w:tc>
        <w:tc>
          <w:tcPr>
            <w:tcW w:w="7513" w:type="dxa"/>
          </w:tcPr>
          <w:p w14:paraId="6A255698" w14:textId="29CA4F36" w:rsidR="00847907" w:rsidRPr="00131731" w:rsidRDefault="005A40BF" w:rsidP="005A40BF">
            <w:pPr>
              <w:spacing w:line="360" w:lineRule="auto"/>
              <w:jc w:val="both"/>
              <w:rPr>
                <w:rFonts w:ascii="Calibri" w:hAnsi="Calibri" w:cs="Calibri"/>
                <w:b/>
                <w:sz w:val="32"/>
                <w:szCs w:val="32"/>
              </w:rPr>
            </w:pPr>
            <w:r w:rsidRPr="00131731">
              <w:rPr>
                <w:rFonts w:ascii="Calibri" w:hAnsi="Calibri" w:cs="Calibri"/>
                <w:b/>
                <w:sz w:val="32"/>
                <w:szCs w:val="32"/>
              </w:rPr>
              <w:t>Calculation of Key Financial Ratios (Past 5 Years)</w:t>
            </w:r>
          </w:p>
        </w:tc>
        <w:tc>
          <w:tcPr>
            <w:tcW w:w="991" w:type="dxa"/>
          </w:tcPr>
          <w:p w14:paraId="3577E67A" w14:textId="16767C52" w:rsidR="00847907" w:rsidRPr="00062F20" w:rsidRDefault="00063698" w:rsidP="00B37CD0">
            <w:pPr>
              <w:jc w:val="both"/>
              <w:rPr>
                <w:rFonts w:ascii="Calibri" w:hAnsi="Calibri" w:cs="Calibri"/>
                <w:b/>
                <w:sz w:val="32"/>
                <w:szCs w:val="32"/>
              </w:rPr>
            </w:pPr>
            <w:r w:rsidRPr="00062F20">
              <w:rPr>
                <w:rFonts w:ascii="Calibri" w:hAnsi="Calibri" w:cs="Calibri"/>
                <w:b/>
                <w:sz w:val="32"/>
                <w:szCs w:val="32"/>
              </w:rPr>
              <w:t>6</w:t>
            </w:r>
          </w:p>
        </w:tc>
      </w:tr>
      <w:tr w:rsidR="00847907" w:rsidRPr="00131731" w14:paraId="4FE259A1" w14:textId="77777777" w:rsidTr="00C17299">
        <w:tc>
          <w:tcPr>
            <w:tcW w:w="846" w:type="dxa"/>
          </w:tcPr>
          <w:p w14:paraId="2D0CB5D4" w14:textId="586603EC" w:rsidR="00847907" w:rsidRPr="00131731" w:rsidRDefault="005A40BF" w:rsidP="00B37CD0">
            <w:pPr>
              <w:jc w:val="both"/>
              <w:rPr>
                <w:rFonts w:ascii="Calibri" w:hAnsi="Calibri" w:cs="Calibri"/>
                <w:b/>
                <w:sz w:val="32"/>
                <w:szCs w:val="32"/>
              </w:rPr>
            </w:pPr>
            <w:r w:rsidRPr="00131731">
              <w:rPr>
                <w:rFonts w:ascii="Calibri" w:hAnsi="Calibri" w:cs="Calibri"/>
                <w:b/>
                <w:sz w:val="32"/>
                <w:szCs w:val="32"/>
              </w:rPr>
              <w:t>4</w:t>
            </w:r>
          </w:p>
        </w:tc>
        <w:tc>
          <w:tcPr>
            <w:tcW w:w="7513" w:type="dxa"/>
          </w:tcPr>
          <w:p w14:paraId="5BA852F7" w14:textId="1CF7D4B2" w:rsidR="00847907" w:rsidRPr="00131731" w:rsidRDefault="005A40BF" w:rsidP="005A40BF">
            <w:pPr>
              <w:spacing w:line="360" w:lineRule="auto"/>
              <w:jc w:val="both"/>
              <w:rPr>
                <w:rFonts w:ascii="Calibri" w:hAnsi="Calibri" w:cs="Calibri"/>
                <w:b/>
                <w:sz w:val="32"/>
                <w:szCs w:val="32"/>
              </w:rPr>
            </w:pPr>
            <w:r w:rsidRPr="00131731">
              <w:rPr>
                <w:rFonts w:ascii="Calibri" w:hAnsi="Calibri" w:cs="Calibri"/>
                <w:b/>
                <w:sz w:val="32"/>
                <w:szCs w:val="32"/>
              </w:rPr>
              <w:t>Critical Evaluation of Ratios</w:t>
            </w:r>
          </w:p>
        </w:tc>
        <w:tc>
          <w:tcPr>
            <w:tcW w:w="991" w:type="dxa"/>
          </w:tcPr>
          <w:p w14:paraId="6383BC79" w14:textId="48B10E5C" w:rsidR="00847907" w:rsidRPr="00062F20" w:rsidRDefault="00063698" w:rsidP="00B37CD0">
            <w:pPr>
              <w:jc w:val="both"/>
              <w:rPr>
                <w:rFonts w:ascii="Calibri" w:hAnsi="Calibri" w:cs="Calibri"/>
                <w:b/>
                <w:sz w:val="32"/>
                <w:szCs w:val="32"/>
              </w:rPr>
            </w:pPr>
            <w:r w:rsidRPr="00062F20">
              <w:rPr>
                <w:rFonts w:ascii="Calibri" w:hAnsi="Calibri" w:cs="Calibri"/>
                <w:b/>
                <w:sz w:val="32"/>
                <w:szCs w:val="32"/>
              </w:rPr>
              <w:t>12</w:t>
            </w:r>
          </w:p>
        </w:tc>
      </w:tr>
      <w:tr w:rsidR="00847907" w:rsidRPr="00131731" w14:paraId="0BFC3A12" w14:textId="77777777" w:rsidTr="00C17299">
        <w:tc>
          <w:tcPr>
            <w:tcW w:w="846" w:type="dxa"/>
          </w:tcPr>
          <w:p w14:paraId="39955001" w14:textId="75B2928A" w:rsidR="00847907" w:rsidRPr="00131731" w:rsidRDefault="005A40BF" w:rsidP="00B37CD0">
            <w:pPr>
              <w:jc w:val="both"/>
              <w:rPr>
                <w:rFonts w:ascii="Calibri" w:hAnsi="Calibri" w:cs="Calibri"/>
                <w:b/>
                <w:sz w:val="32"/>
                <w:szCs w:val="32"/>
              </w:rPr>
            </w:pPr>
            <w:r w:rsidRPr="00131731">
              <w:rPr>
                <w:rFonts w:ascii="Calibri" w:hAnsi="Calibri" w:cs="Calibri"/>
                <w:b/>
                <w:sz w:val="32"/>
                <w:szCs w:val="32"/>
              </w:rPr>
              <w:t>5</w:t>
            </w:r>
          </w:p>
        </w:tc>
        <w:tc>
          <w:tcPr>
            <w:tcW w:w="7513" w:type="dxa"/>
          </w:tcPr>
          <w:p w14:paraId="302AFA06" w14:textId="155FCDC1" w:rsidR="00847907" w:rsidRPr="00131731" w:rsidRDefault="005A40BF" w:rsidP="005A40BF">
            <w:pPr>
              <w:spacing w:line="360" w:lineRule="auto"/>
              <w:jc w:val="both"/>
              <w:rPr>
                <w:rFonts w:ascii="Calibri" w:hAnsi="Calibri" w:cs="Calibri"/>
                <w:b/>
                <w:sz w:val="32"/>
                <w:szCs w:val="32"/>
              </w:rPr>
            </w:pPr>
            <w:r w:rsidRPr="00131731">
              <w:rPr>
                <w:rFonts w:ascii="Calibri" w:hAnsi="Calibri" w:cs="Calibri"/>
                <w:b/>
                <w:sz w:val="32"/>
                <w:szCs w:val="32"/>
              </w:rPr>
              <w:t>Comparison to Competitors and Sector Average</w:t>
            </w:r>
          </w:p>
        </w:tc>
        <w:tc>
          <w:tcPr>
            <w:tcW w:w="991" w:type="dxa"/>
          </w:tcPr>
          <w:p w14:paraId="7BC692D7" w14:textId="23199EFB" w:rsidR="00847907" w:rsidRPr="00062F20" w:rsidRDefault="00063698" w:rsidP="00B37CD0">
            <w:pPr>
              <w:jc w:val="both"/>
              <w:rPr>
                <w:rFonts w:ascii="Calibri" w:hAnsi="Calibri" w:cs="Calibri"/>
                <w:b/>
                <w:sz w:val="32"/>
                <w:szCs w:val="32"/>
              </w:rPr>
            </w:pPr>
            <w:r w:rsidRPr="00062F20">
              <w:rPr>
                <w:rFonts w:ascii="Calibri" w:hAnsi="Calibri" w:cs="Calibri"/>
                <w:b/>
                <w:sz w:val="32"/>
                <w:szCs w:val="32"/>
              </w:rPr>
              <w:t>14</w:t>
            </w:r>
          </w:p>
        </w:tc>
      </w:tr>
      <w:tr w:rsidR="00847907" w:rsidRPr="00131731" w14:paraId="6B83FFCE" w14:textId="77777777" w:rsidTr="00C17299">
        <w:tc>
          <w:tcPr>
            <w:tcW w:w="846" w:type="dxa"/>
          </w:tcPr>
          <w:p w14:paraId="664C70AB" w14:textId="0D2BD470" w:rsidR="00847907" w:rsidRPr="00131731" w:rsidRDefault="005A40BF" w:rsidP="00B37CD0">
            <w:pPr>
              <w:jc w:val="both"/>
              <w:rPr>
                <w:rFonts w:ascii="Calibri" w:hAnsi="Calibri" w:cs="Calibri"/>
                <w:b/>
                <w:sz w:val="32"/>
                <w:szCs w:val="32"/>
              </w:rPr>
            </w:pPr>
            <w:r w:rsidRPr="00131731">
              <w:rPr>
                <w:rFonts w:ascii="Calibri" w:hAnsi="Calibri" w:cs="Calibri"/>
                <w:b/>
                <w:sz w:val="32"/>
                <w:szCs w:val="32"/>
              </w:rPr>
              <w:t>6</w:t>
            </w:r>
          </w:p>
        </w:tc>
        <w:tc>
          <w:tcPr>
            <w:tcW w:w="7513" w:type="dxa"/>
          </w:tcPr>
          <w:p w14:paraId="1D8B4FCD" w14:textId="431E0E56" w:rsidR="00847907" w:rsidRPr="00131731" w:rsidRDefault="005A40BF" w:rsidP="005A40BF">
            <w:pPr>
              <w:spacing w:line="360" w:lineRule="auto"/>
              <w:jc w:val="both"/>
              <w:rPr>
                <w:rFonts w:ascii="Calibri" w:hAnsi="Calibri" w:cs="Calibri"/>
                <w:b/>
                <w:sz w:val="32"/>
                <w:szCs w:val="32"/>
              </w:rPr>
            </w:pPr>
            <w:r w:rsidRPr="00131731">
              <w:rPr>
                <w:rFonts w:ascii="Calibri" w:hAnsi="Calibri" w:cs="Calibri"/>
                <w:b/>
                <w:sz w:val="32"/>
                <w:szCs w:val="32"/>
              </w:rPr>
              <w:t>Investment Appraisal</w:t>
            </w:r>
            <w:r w:rsidR="00F225A7">
              <w:rPr>
                <w:rFonts w:ascii="Calibri" w:hAnsi="Calibri" w:cs="Calibri"/>
                <w:b/>
                <w:sz w:val="32"/>
                <w:szCs w:val="32"/>
              </w:rPr>
              <w:t xml:space="preserve"> (part-c)</w:t>
            </w:r>
          </w:p>
        </w:tc>
        <w:tc>
          <w:tcPr>
            <w:tcW w:w="991" w:type="dxa"/>
          </w:tcPr>
          <w:p w14:paraId="048132BC" w14:textId="07907AA8" w:rsidR="00847907" w:rsidRPr="00062F20" w:rsidRDefault="00435A79" w:rsidP="00B37CD0">
            <w:pPr>
              <w:jc w:val="both"/>
              <w:rPr>
                <w:rFonts w:ascii="Calibri" w:hAnsi="Calibri" w:cs="Calibri"/>
                <w:b/>
                <w:sz w:val="32"/>
                <w:szCs w:val="32"/>
              </w:rPr>
            </w:pPr>
            <w:r w:rsidRPr="00062F20">
              <w:rPr>
                <w:rFonts w:ascii="Calibri" w:hAnsi="Calibri" w:cs="Calibri"/>
                <w:b/>
                <w:sz w:val="32"/>
                <w:szCs w:val="32"/>
              </w:rPr>
              <w:t>22</w:t>
            </w:r>
          </w:p>
        </w:tc>
      </w:tr>
      <w:tr w:rsidR="005A40BF" w:rsidRPr="00131731" w14:paraId="1DCE7AC5" w14:textId="77777777" w:rsidTr="00C17299">
        <w:tc>
          <w:tcPr>
            <w:tcW w:w="846" w:type="dxa"/>
          </w:tcPr>
          <w:p w14:paraId="3E2C91AD" w14:textId="15489F47" w:rsidR="005A40BF" w:rsidRPr="00131731" w:rsidRDefault="005A40BF" w:rsidP="00B37CD0">
            <w:pPr>
              <w:jc w:val="both"/>
              <w:rPr>
                <w:rFonts w:ascii="Calibri" w:hAnsi="Calibri" w:cs="Calibri"/>
                <w:b/>
                <w:sz w:val="32"/>
                <w:szCs w:val="32"/>
              </w:rPr>
            </w:pPr>
            <w:r w:rsidRPr="00131731">
              <w:rPr>
                <w:rFonts w:ascii="Calibri" w:hAnsi="Calibri" w:cs="Calibri"/>
                <w:b/>
                <w:sz w:val="32"/>
                <w:szCs w:val="32"/>
              </w:rPr>
              <w:t>7</w:t>
            </w:r>
          </w:p>
        </w:tc>
        <w:tc>
          <w:tcPr>
            <w:tcW w:w="7513" w:type="dxa"/>
          </w:tcPr>
          <w:p w14:paraId="756E10DE" w14:textId="7B0B284A" w:rsidR="005A40BF" w:rsidRPr="007F031D" w:rsidRDefault="007F031D" w:rsidP="007F031D">
            <w:pPr>
              <w:spacing w:line="360" w:lineRule="auto"/>
              <w:ind w:left="360"/>
              <w:jc w:val="both"/>
              <w:rPr>
                <w:rFonts w:ascii="Calibri" w:hAnsi="Calibri" w:cs="Calibri"/>
                <w:b/>
                <w:sz w:val="32"/>
                <w:szCs w:val="32"/>
              </w:rPr>
            </w:pPr>
            <w:r>
              <w:rPr>
                <w:rFonts w:ascii="Calibri" w:hAnsi="Calibri" w:cs="Calibri"/>
                <w:b/>
                <w:sz w:val="32"/>
                <w:szCs w:val="32"/>
              </w:rPr>
              <w:t>A</w:t>
            </w:r>
            <w:r w:rsidR="001B473E">
              <w:rPr>
                <w:rFonts w:ascii="Calibri" w:hAnsi="Calibri" w:cs="Calibri"/>
                <w:b/>
                <w:sz w:val="32"/>
                <w:szCs w:val="32"/>
              </w:rPr>
              <w:t xml:space="preserve">. </w:t>
            </w:r>
            <w:r w:rsidR="005A40BF" w:rsidRPr="007F031D">
              <w:rPr>
                <w:rFonts w:ascii="Calibri" w:hAnsi="Calibri" w:cs="Calibri"/>
                <w:b/>
                <w:sz w:val="32"/>
                <w:szCs w:val="32"/>
              </w:rPr>
              <w:t xml:space="preserve">Payback Period (PBP) </w:t>
            </w:r>
          </w:p>
          <w:p w14:paraId="4EDD7A0E" w14:textId="7615A2FA" w:rsidR="005A40BF" w:rsidRPr="001B473E" w:rsidRDefault="001B473E" w:rsidP="001B473E">
            <w:pPr>
              <w:spacing w:line="360" w:lineRule="auto"/>
              <w:ind w:left="360"/>
              <w:jc w:val="both"/>
              <w:rPr>
                <w:rFonts w:ascii="Calibri" w:hAnsi="Calibri" w:cs="Calibri"/>
                <w:b/>
                <w:sz w:val="32"/>
                <w:szCs w:val="32"/>
              </w:rPr>
            </w:pPr>
            <w:r>
              <w:rPr>
                <w:rFonts w:ascii="Calibri" w:hAnsi="Calibri" w:cs="Calibri"/>
                <w:b/>
                <w:sz w:val="32"/>
                <w:szCs w:val="32"/>
              </w:rPr>
              <w:t xml:space="preserve">B. </w:t>
            </w:r>
            <w:r w:rsidR="00FE4BCB" w:rsidRPr="001B473E">
              <w:rPr>
                <w:rFonts w:ascii="Calibri" w:hAnsi="Calibri" w:cs="Calibri"/>
                <w:b/>
                <w:sz w:val="32"/>
                <w:szCs w:val="32"/>
              </w:rPr>
              <w:t xml:space="preserve">Payback Period (PBP) </w:t>
            </w:r>
          </w:p>
        </w:tc>
        <w:tc>
          <w:tcPr>
            <w:tcW w:w="991" w:type="dxa"/>
          </w:tcPr>
          <w:p w14:paraId="21A04D9E" w14:textId="08FC1569" w:rsidR="005A40BF" w:rsidRPr="00062F20" w:rsidRDefault="001B473E" w:rsidP="00B37CD0">
            <w:pPr>
              <w:jc w:val="both"/>
              <w:rPr>
                <w:rFonts w:ascii="Calibri" w:hAnsi="Calibri" w:cs="Calibri"/>
                <w:b/>
                <w:sz w:val="32"/>
                <w:szCs w:val="32"/>
              </w:rPr>
            </w:pPr>
            <w:r w:rsidRPr="00062F20">
              <w:rPr>
                <w:rFonts w:ascii="Calibri" w:hAnsi="Calibri" w:cs="Calibri"/>
                <w:b/>
                <w:sz w:val="32"/>
                <w:szCs w:val="32"/>
              </w:rPr>
              <w:t>22</w:t>
            </w:r>
          </w:p>
        </w:tc>
      </w:tr>
      <w:tr w:rsidR="00FE4BCB" w:rsidRPr="00131731" w14:paraId="4FFA5042" w14:textId="77777777" w:rsidTr="00C17299">
        <w:tc>
          <w:tcPr>
            <w:tcW w:w="846" w:type="dxa"/>
          </w:tcPr>
          <w:p w14:paraId="65528899" w14:textId="50E5C247" w:rsidR="00FE4BCB" w:rsidRPr="00131731" w:rsidRDefault="00FE4BCB" w:rsidP="00B37CD0">
            <w:pPr>
              <w:jc w:val="both"/>
              <w:rPr>
                <w:rFonts w:ascii="Calibri" w:hAnsi="Calibri" w:cs="Calibri"/>
                <w:b/>
                <w:sz w:val="32"/>
                <w:szCs w:val="32"/>
              </w:rPr>
            </w:pPr>
            <w:r w:rsidRPr="00131731">
              <w:rPr>
                <w:rFonts w:ascii="Calibri" w:hAnsi="Calibri" w:cs="Calibri"/>
                <w:b/>
                <w:sz w:val="32"/>
                <w:szCs w:val="32"/>
              </w:rPr>
              <w:t>8</w:t>
            </w:r>
          </w:p>
        </w:tc>
        <w:tc>
          <w:tcPr>
            <w:tcW w:w="7513" w:type="dxa"/>
          </w:tcPr>
          <w:p w14:paraId="69032FDE" w14:textId="77777777" w:rsidR="00FE4BCB" w:rsidRPr="00131731" w:rsidRDefault="00FE4BCB" w:rsidP="00FE4BCB">
            <w:pPr>
              <w:spacing w:line="360" w:lineRule="auto"/>
              <w:jc w:val="both"/>
              <w:rPr>
                <w:rFonts w:ascii="Calibri" w:hAnsi="Calibri" w:cs="Calibri"/>
                <w:b/>
                <w:sz w:val="32"/>
                <w:szCs w:val="32"/>
              </w:rPr>
            </w:pPr>
            <w:r w:rsidRPr="00131731">
              <w:rPr>
                <w:rFonts w:ascii="Calibri" w:hAnsi="Calibri" w:cs="Calibri"/>
                <w:b/>
                <w:sz w:val="32"/>
                <w:szCs w:val="32"/>
              </w:rPr>
              <w:t>Calculation of ARR:</w:t>
            </w:r>
          </w:p>
          <w:p w14:paraId="2A4F3EC8" w14:textId="63967CEC" w:rsidR="00FE4BCB" w:rsidRPr="00131731" w:rsidRDefault="008F10D2" w:rsidP="00FE4BCB">
            <w:pPr>
              <w:spacing w:line="360" w:lineRule="auto"/>
              <w:jc w:val="both"/>
              <w:rPr>
                <w:rFonts w:ascii="Calibri" w:hAnsi="Calibri" w:cs="Calibri"/>
                <w:b/>
                <w:sz w:val="32"/>
                <w:szCs w:val="32"/>
              </w:rPr>
            </w:pPr>
            <w:r w:rsidRPr="00131731">
              <w:rPr>
                <w:rFonts w:ascii="Calibri" w:hAnsi="Calibri" w:cs="Calibri"/>
                <w:b/>
                <w:sz w:val="32"/>
                <w:szCs w:val="32"/>
              </w:rPr>
              <w:t>A&amp;B</w:t>
            </w:r>
          </w:p>
        </w:tc>
        <w:tc>
          <w:tcPr>
            <w:tcW w:w="991" w:type="dxa"/>
          </w:tcPr>
          <w:p w14:paraId="79E58586" w14:textId="77777777" w:rsidR="00FE4BCB" w:rsidRPr="00062F20" w:rsidRDefault="00FE4BCB" w:rsidP="00B37CD0">
            <w:pPr>
              <w:jc w:val="both"/>
              <w:rPr>
                <w:rFonts w:ascii="Calibri" w:hAnsi="Calibri" w:cs="Calibri"/>
                <w:b/>
                <w:sz w:val="32"/>
                <w:szCs w:val="32"/>
              </w:rPr>
            </w:pPr>
          </w:p>
          <w:p w14:paraId="3D285965" w14:textId="431B5AA4" w:rsidR="00DF1A26" w:rsidRPr="00062F20" w:rsidRDefault="00DF1A26" w:rsidP="00DF1A26">
            <w:pPr>
              <w:rPr>
                <w:rFonts w:ascii="Calibri" w:hAnsi="Calibri" w:cs="Calibri"/>
                <w:b/>
                <w:sz w:val="32"/>
                <w:szCs w:val="32"/>
              </w:rPr>
            </w:pPr>
            <w:r w:rsidRPr="00062F20">
              <w:rPr>
                <w:rFonts w:ascii="Calibri" w:hAnsi="Calibri" w:cs="Calibri"/>
                <w:b/>
                <w:sz w:val="32"/>
                <w:szCs w:val="32"/>
              </w:rPr>
              <w:t>24</w:t>
            </w:r>
          </w:p>
        </w:tc>
      </w:tr>
      <w:tr w:rsidR="008F10D2" w:rsidRPr="00131731" w14:paraId="71B3D8C1" w14:textId="77777777" w:rsidTr="00C17299">
        <w:tc>
          <w:tcPr>
            <w:tcW w:w="846" w:type="dxa"/>
          </w:tcPr>
          <w:p w14:paraId="51B7801B" w14:textId="1B8F56D5" w:rsidR="008F10D2" w:rsidRPr="00131731" w:rsidRDefault="008F10D2" w:rsidP="00B37CD0">
            <w:pPr>
              <w:jc w:val="both"/>
              <w:rPr>
                <w:rFonts w:ascii="Calibri" w:hAnsi="Calibri" w:cs="Calibri"/>
                <w:b/>
                <w:sz w:val="32"/>
                <w:szCs w:val="32"/>
              </w:rPr>
            </w:pPr>
            <w:r w:rsidRPr="00131731">
              <w:rPr>
                <w:rFonts w:ascii="Calibri" w:hAnsi="Calibri" w:cs="Calibri"/>
                <w:b/>
                <w:sz w:val="32"/>
                <w:szCs w:val="32"/>
              </w:rPr>
              <w:t>9</w:t>
            </w:r>
          </w:p>
        </w:tc>
        <w:tc>
          <w:tcPr>
            <w:tcW w:w="7513" w:type="dxa"/>
          </w:tcPr>
          <w:p w14:paraId="07BA6547" w14:textId="0D8F1C35" w:rsidR="008F10D2" w:rsidRPr="00131731" w:rsidRDefault="008F10D2" w:rsidP="00FE4BCB">
            <w:pPr>
              <w:spacing w:line="360" w:lineRule="auto"/>
              <w:jc w:val="both"/>
              <w:rPr>
                <w:rFonts w:ascii="Calibri" w:hAnsi="Calibri" w:cs="Calibri"/>
                <w:b/>
                <w:sz w:val="32"/>
                <w:szCs w:val="32"/>
              </w:rPr>
            </w:pPr>
            <w:r w:rsidRPr="00131731">
              <w:rPr>
                <w:rFonts w:ascii="Calibri" w:hAnsi="Calibri" w:cs="Calibri"/>
                <w:b/>
                <w:sz w:val="32"/>
                <w:szCs w:val="32"/>
              </w:rPr>
              <w:t xml:space="preserve">Conclusion </w:t>
            </w:r>
          </w:p>
        </w:tc>
        <w:tc>
          <w:tcPr>
            <w:tcW w:w="991" w:type="dxa"/>
          </w:tcPr>
          <w:p w14:paraId="14CC03A0" w14:textId="0DE61C83" w:rsidR="008F10D2" w:rsidRPr="00062F20" w:rsidRDefault="00DF1A26" w:rsidP="00B37CD0">
            <w:pPr>
              <w:jc w:val="both"/>
              <w:rPr>
                <w:rFonts w:ascii="Calibri" w:hAnsi="Calibri" w:cs="Calibri"/>
                <w:b/>
                <w:sz w:val="32"/>
                <w:szCs w:val="32"/>
              </w:rPr>
            </w:pPr>
            <w:r w:rsidRPr="00062F20">
              <w:rPr>
                <w:rFonts w:ascii="Calibri" w:hAnsi="Calibri" w:cs="Calibri"/>
                <w:b/>
                <w:sz w:val="32"/>
                <w:szCs w:val="32"/>
              </w:rPr>
              <w:t>29</w:t>
            </w:r>
          </w:p>
        </w:tc>
      </w:tr>
      <w:tr w:rsidR="008F10D2" w:rsidRPr="00131731" w14:paraId="58614F63" w14:textId="77777777" w:rsidTr="00C17299">
        <w:tc>
          <w:tcPr>
            <w:tcW w:w="846" w:type="dxa"/>
          </w:tcPr>
          <w:p w14:paraId="410AD8A7" w14:textId="3C673096" w:rsidR="008F10D2" w:rsidRPr="00131731" w:rsidRDefault="008F10D2" w:rsidP="00B37CD0">
            <w:pPr>
              <w:jc w:val="both"/>
              <w:rPr>
                <w:rFonts w:ascii="Calibri" w:hAnsi="Calibri" w:cs="Calibri"/>
                <w:b/>
                <w:sz w:val="32"/>
                <w:szCs w:val="32"/>
              </w:rPr>
            </w:pPr>
            <w:r w:rsidRPr="00131731">
              <w:rPr>
                <w:rFonts w:ascii="Calibri" w:hAnsi="Calibri" w:cs="Calibri"/>
                <w:b/>
                <w:sz w:val="32"/>
                <w:szCs w:val="32"/>
              </w:rPr>
              <w:t>10</w:t>
            </w:r>
          </w:p>
        </w:tc>
        <w:tc>
          <w:tcPr>
            <w:tcW w:w="7513" w:type="dxa"/>
          </w:tcPr>
          <w:p w14:paraId="582661CC" w14:textId="38C2B882" w:rsidR="008F10D2" w:rsidRPr="00131731" w:rsidRDefault="007F76FA" w:rsidP="00FE4BCB">
            <w:pPr>
              <w:spacing w:line="360" w:lineRule="auto"/>
              <w:jc w:val="both"/>
              <w:rPr>
                <w:rFonts w:ascii="Calibri" w:hAnsi="Calibri" w:cs="Calibri"/>
                <w:b/>
                <w:sz w:val="32"/>
                <w:szCs w:val="32"/>
              </w:rPr>
            </w:pPr>
            <w:r w:rsidRPr="00131731">
              <w:rPr>
                <w:rFonts w:ascii="Calibri" w:hAnsi="Calibri" w:cs="Calibri"/>
                <w:b/>
                <w:sz w:val="32"/>
                <w:szCs w:val="32"/>
              </w:rPr>
              <w:t>Appendix A</w:t>
            </w:r>
            <w:r w:rsidR="00131731" w:rsidRPr="00131731">
              <w:rPr>
                <w:rFonts w:ascii="Calibri" w:hAnsi="Calibri" w:cs="Calibri"/>
                <w:b/>
                <w:sz w:val="32"/>
                <w:szCs w:val="32"/>
              </w:rPr>
              <w:t>&amp;B</w:t>
            </w:r>
          </w:p>
        </w:tc>
        <w:tc>
          <w:tcPr>
            <w:tcW w:w="991" w:type="dxa"/>
          </w:tcPr>
          <w:p w14:paraId="5382B4DC" w14:textId="4B37B2FA" w:rsidR="008F10D2" w:rsidRPr="00062F20" w:rsidRDefault="00062F20" w:rsidP="00B37CD0">
            <w:pPr>
              <w:jc w:val="both"/>
              <w:rPr>
                <w:rFonts w:ascii="Calibri" w:hAnsi="Calibri" w:cs="Calibri"/>
                <w:b/>
                <w:sz w:val="32"/>
                <w:szCs w:val="32"/>
              </w:rPr>
            </w:pPr>
            <w:r w:rsidRPr="00062F20">
              <w:rPr>
                <w:rFonts w:ascii="Calibri" w:hAnsi="Calibri" w:cs="Calibri"/>
                <w:b/>
                <w:sz w:val="32"/>
                <w:szCs w:val="32"/>
              </w:rPr>
              <w:t>29</w:t>
            </w:r>
          </w:p>
        </w:tc>
      </w:tr>
      <w:tr w:rsidR="00131731" w:rsidRPr="00131731" w14:paraId="4471AD4C" w14:textId="77777777" w:rsidTr="00C17299">
        <w:tc>
          <w:tcPr>
            <w:tcW w:w="846" w:type="dxa"/>
          </w:tcPr>
          <w:p w14:paraId="404BADD1" w14:textId="4A07FF09" w:rsidR="00131731" w:rsidRPr="00131731" w:rsidRDefault="00131731" w:rsidP="00B37CD0">
            <w:pPr>
              <w:jc w:val="both"/>
              <w:rPr>
                <w:rFonts w:ascii="Calibri" w:hAnsi="Calibri" w:cs="Calibri"/>
                <w:b/>
                <w:sz w:val="32"/>
                <w:szCs w:val="32"/>
              </w:rPr>
            </w:pPr>
            <w:r w:rsidRPr="00131731">
              <w:rPr>
                <w:rFonts w:ascii="Calibri" w:hAnsi="Calibri" w:cs="Calibri"/>
                <w:b/>
                <w:sz w:val="32"/>
                <w:szCs w:val="32"/>
              </w:rPr>
              <w:t>11</w:t>
            </w:r>
          </w:p>
        </w:tc>
        <w:tc>
          <w:tcPr>
            <w:tcW w:w="7513" w:type="dxa"/>
          </w:tcPr>
          <w:p w14:paraId="32580883" w14:textId="1FB13331" w:rsidR="00131731" w:rsidRPr="00131731" w:rsidRDefault="00131731" w:rsidP="00FE4BCB">
            <w:pPr>
              <w:spacing w:line="360" w:lineRule="auto"/>
              <w:jc w:val="both"/>
              <w:rPr>
                <w:rFonts w:ascii="Calibri" w:hAnsi="Calibri" w:cs="Calibri"/>
                <w:b/>
                <w:sz w:val="32"/>
                <w:szCs w:val="32"/>
              </w:rPr>
            </w:pPr>
            <w:r w:rsidRPr="00131731">
              <w:rPr>
                <w:rFonts w:ascii="Calibri" w:hAnsi="Calibri" w:cs="Calibri"/>
                <w:b/>
                <w:sz w:val="32"/>
                <w:szCs w:val="32"/>
              </w:rPr>
              <w:t>Conclusion</w:t>
            </w:r>
          </w:p>
        </w:tc>
        <w:tc>
          <w:tcPr>
            <w:tcW w:w="991" w:type="dxa"/>
          </w:tcPr>
          <w:p w14:paraId="764B5E68" w14:textId="6E9D40A2" w:rsidR="00131731" w:rsidRPr="00062F20" w:rsidRDefault="00062F20" w:rsidP="00B37CD0">
            <w:pPr>
              <w:jc w:val="both"/>
              <w:rPr>
                <w:rFonts w:ascii="Calibri" w:hAnsi="Calibri" w:cs="Calibri"/>
                <w:b/>
                <w:sz w:val="32"/>
                <w:szCs w:val="32"/>
              </w:rPr>
            </w:pPr>
            <w:r w:rsidRPr="00062F20">
              <w:rPr>
                <w:rFonts w:ascii="Calibri" w:hAnsi="Calibri" w:cs="Calibri"/>
                <w:b/>
                <w:sz w:val="32"/>
                <w:szCs w:val="32"/>
              </w:rPr>
              <w:t>32</w:t>
            </w:r>
          </w:p>
        </w:tc>
      </w:tr>
    </w:tbl>
    <w:p w14:paraId="1BA8AF8A" w14:textId="76666E36" w:rsidR="00B37CD0" w:rsidRPr="00131731" w:rsidRDefault="00B37CD0" w:rsidP="00B37CD0">
      <w:pPr>
        <w:jc w:val="both"/>
        <w:rPr>
          <w:rFonts w:ascii="Calibri" w:hAnsi="Calibri" w:cs="Calibri"/>
          <w:b/>
          <w:sz w:val="32"/>
          <w:szCs w:val="32"/>
          <w:u w:val="single"/>
        </w:rPr>
      </w:pPr>
    </w:p>
    <w:p w14:paraId="6026192C" w14:textId="77777777" w:rsidR="006737F6" w:rsidRDefault="006737F6" w:rsidP="006737F6">
      <w:pPr>
        <w:spacing w:line="360" w:lineRule="auto"/>
        <w:jc w:val="both"/>
        <w:rPr>
          <w:rFonts w:ascii="Calibri" w:hAnsi="Calibri" w:cs="Calibri"/>
          <w:b/>
          <w:sz w:val="28"/>
          <w:szCs w:val="28"/>
          <w:u w:val="single"/>
        </w:rPr>
      </w:pPr>
    </w:p>
    <w:p w14:paraId="291F8E8A" w14:textId="77777777" w:rsidR="00131731" w:rsidRDefault="00131731" w:rsidP="006737F6">
      <w:pPr>
        <w:spacing w:line="360" w:lineRule="auto"/>
        <w:jc w:val="center"/>
        <w:rPr>
          <w:rFonts w:ascii="Calibri" w:hAnsi="Calibri" w:cs="Calibri"/>
          <w:b/>
          <w:sz w:val="28"/>
          <w:szCs w:val="28"/>
          <w:u w:val="single"/>
        </w:rPr>
      </w:pPr>
    </w:p>
    <w:p w14:paraId="77E9EC6B" w14:textId="77777777" w:rsidR="00131731" w:rsidRDefault="00131731" w:rsidP="006737F6">
      <w:pPr>
        <w:spacing w:line="360" w:lineRule="auto"/>
        <w:jc w:val="center"/>
        <w:rPr>
          <w:rFonts w:ascii="Calibri" w:hAnsi="Calibri" w:cs="Calibri"/>
          <w:b/>
          <w:sz w:val="28"/>
          <w:szCs w:val="28"/>
          <w:u w:val="single"/>
        </w:rPr>
      </w:pPr>
    </w:p>
    <w:p w14:paraId="32343783" w14:textId="77777777" w:rsidR="00131731" w:rsidRDefault="00131731" w:rsidP="006737F6">
      <w:pPr>
        <w:spacing w:line="360" w:lineRule="auto"/>
        <w:jc w:val="center"/>
        <w:rPr>
          <w:rFonts w:ascii="Calibri" w:hAnsi="Calibri" w:cs="Calibri"/>
          <w:b/>
          <w:sz w:val="28"/>
          <w:szCs w:val="28"/>
          <w:u w:val="single"/>
        </w:rPr>
      </w:pPr>
    </w:p>
    <w:p w14:paraId="473C5D5A" w14:textId="77777777" w:rsidR="00131731" w:rsidRDefault="00131731" w:rsidP="006737F6">
      <w:pPr>
        <w:spacing w:line="360" w:lineRule="auto"/>
        <w:jc w:val="center"/>
        <w:rPr>
          <w:rFonts w:ascii="Calibri" w:hAnsi="Calibri" w:cs="Calibri"/>
          <w:b/>
          <w:sz w:val="28"/>
          <w:szCs w:val="28"/>
          <w:u w:val="single"/>
        </w:rPr>
      </w:pPr>
    </w:p>
    <w:p w14:paraId="3CD28FF8" w14:textId="77777777" w:rsidR="00131731" w:rsidRDefault="00131731" w:rsidP="006737F6">
      <w:pPr>
        <w:spacing w:line="360" w:lineRule="auto"/>
        <w:jc w:val="center"/>
        <w:rPr>
          <w:rFonts w:ascii="Calibri" w:hAnsi="Calibri" w:cs="Calibri"/>
          <w:b/>
          <w:sz w:val="28"/>
          <w:szCs w:val="28"/>
          <w:u w:val="single"/>
        </w:rPr>
      </w:pPr>
    </w:p>
    <w:p w14:paraId="0B83CDAA" w14:textId="71D61438" w:rsidR="007E212C" w:rsidRDefault="007E212C" w:rsidP="006737F6">
      <w:pPr>
        <w:spacing w:line="360" w:lineRule="auto"/>
        <w:jc w:val="center"/>
        <w:rPr>
          <w:rFonts w:ascii="Calibri" w:hAnsi="Calibri" w:cs="Calibri"/>
          <w:b/>
          <w:sz w:val="28"/>
          <w:szCs w:val="28"/>
          <w:u w:val="single"/>
        </w:rPr>
      </w:pPr>
      <w:r w:rsidRPr="00B8077E">
        <w:rPr>
          <w:rFonts w:ascii="Calibri" w:hAnsi="Calibri" w:cs="Calibri"/>
          <w:b/>
          <w:sz w:val="28"/>
          <w:szCs w:val="28"/>
          <w:u w:val="single"/>
        </w:rPr>
        <w:lastRenderedPageBreak/>
        <w:t>Financial Management Report: Toyota</w:t>
      </w:r>
    </w:p>
    <w:p w14:paraId="4735880A" w14:textId="3931F655" w:rsidR="00D8294E" w:rsidRPr="00D8294E" w:rsidRDefault="00D8294E" w:rsidP="00D8294E">
      <w:pPr>
        <w:spacing w:line="360" w:lineRule="auto"/>
        <w:rPr>
          <w:rFonts w:ascii="Calibri" w:hAnsi="Calibri" w:cs="Calibri"/>
          <w:b/>
          <w:sz w:val="36"/>
          <w:szCs w:val="36"/>
          <w:u w:val="single"/>
        </w:rPr>
      </w:pPr>
      <w:r w:rsidRPr="00D8294E">
        <w:rPr>
          <w:rFonts w:ascii="Calibri" w:hAnsi="Calibri" w:cs="Calibri"/>
          <w:b/>
          <w:sz w:val="36"/>
          <w:szCs w:val="36"/>
          <w:u w:val="single"/>
        </w:rPr>
        <w:t>Part-A</w:t>
      </w:r>
    </w:p>
    <w:p w14:paraId="5A75A003" w14:textId="1DC869EC" w:rsidR="007E212C" w:rsidRPr="00C163A0" w:rsidRDefault="007E212C" w:rsidP="006737F6">
      <w:pPr>
        <w:spacing w:line="360" w:lineRule="auto"/>
        <w:jc w:val="both"/>
        <w:rPr>
          <w:rFonts w:ascii="Calibri" w:hAnsi="Calibri" w:cs="Calibri"/>
          <w:b/>
          <w:sz w:val="32"/>
          <w:szCs w:val="32"/>
        </w:rPr>
      </w:pPr>
      <w:r w:rsidRPr="00C163A0">
        <w:rPr>
          <w:rFonts w:ascii="Calibri" w:hAnsi="Calibri" w:cs="Calibri"/>
          <w:b/>
          <w:sz w:val="32"/>
          <w:szCs w:val="32"/>
        </w:rPr>
        <w:t>Introduction</w:t>
      </w:r>
    </w:p>
    <w:p w14:paraId="6D888833" w14:textId="4BFE7FF7" w:rsidR="007E212C" w:rsidRPr="00C163A0" w:rsidRDefault="007E212C" w:rsidP="00C163A0">
      <w:pPr>
        <w:pStyle w:val="ListParagraph"/>
        <w:numPr>
          <w:ilvl w:val="0"/>
          <w:numId w:val="21"/>
        </w:numPr>
        <w:spacing w:line="360" w:lineRule="auto"/>
        <w:jc w:val="both"/>
        <w:rPr>
          <w:rFonts w:ascii="Calibri" w:hAnsi="Calibri" w:cs="Calibri"/>
          <w:b/>
          <w:bCs/>
          <w:sz w:val="28"/>
          <w:szCs w:val="28"/>
          <w:u w:val="single"/>
        </w:rPr>
      </w:pPr>
      <w:r w:rsidRPr="00C163A0">
        <w:rPr>
          <w:rFonts w:ascii="Calibri" w:hAnsi="Calibri" w:cs="Calibri"/>
          <w:b/>
          <w:bCs/>
          <w:sz w:val="28"/>
          <w:szCs w:val="28"/>
          <w:u w:val="single"/>
        </w:rPr>
        <w:t xml:space="preserve">Company Overview: </w:t>
      </w:r>
    </w:p>
    <w:p w14:paraId="29DE090F" w14:textId="6D345CC2" w:rsidR="007E212C" w:rsidRPr="00B8077E" w:rsidRDefault="00112F77" w:rsidP="006737F6">
      <w:pPr>
        <w:spacing w:line="360" w:lineRule="auto"/>
        <w:jc w:val="both"/>
        <w:rPr>
          <w:rFonts w:ascii="Calibri" w:hAnsi="Calibri" w:cs="Calibri"/>
          <w:sz w:val="28"/>
          <w:szCs w:val="28"/>
        </w:rPr>
      </w:pPr>
      <w:r w:rsidRPr="00B8077E">
        <w:rPr>
          <w:rFonts w:ascii="Calibri" w:hAnsi="Calibri" w:cs="Calibri"/>
          <w:sz w:val="28"/>
          <w:szCs w:val="28"/>
        </w:rPr>
        <w:t xml:space="preserve"> </w:t>
      </w:r>
      <w:r w:rsidR="007E212C" w:rsidRPr="00B8077E">
        <w:rPr>
          <w:rFonts w:ascii="Calibri" w:hAnsi="Calibri" w:cs="Calibri"/>
          <w:sz w:val="28"/>
          <w:szCs w:val="28"/>
        </w:rPr>
        <w:t xml:space="preserve">Toyota motor company is an international car company which was founded in 1937 by Kiichiro Toyoda located in Toyota city in Japan. The company has attributed tremendous reputation with regard to Toyota innovation, quality, and </w:t>
      </w:r>
      <w:r w:rsidR="00A954B4" w:rsidRPr="00B8077E">
        <w:rPr>
          <w:rFonts w:ascii="Calibri" w:hAnsi="Calibri" w:cs="Calibri"/>
          <w:sz w:val="28"/>
          <w:szCs w:val="28"/>
        </w:rPr>
        <w:t>deficientness</w:t>
      </w:r>
      <w:r w:rsidR="007E212C" w:rsidRPr="00B8077E">
        <w:rPr>
          <w:rFonts w:ascii="Calibri" w:hAnsi="Calibri" w:cs="Calibri"/>
          <w:sz w:val="28"/>
          <w:szCs w:val="28"/>
        </w:rPr>
        <w:t xml:space="preserve">. The company follows a diversified business model, engaging in manufacture, financing as well as sales of many types of vehicles. Its brand range comprises Toyota, Lexus, Daihatsu, – all targeting different segments ranging from small economic cars to comfortable premium automobiles. </w:t>
      </w:r>
    </w:p>
    <w:p w14:paraId="460E5A18" w14:textId="24685100" w:rsidR="007E212C" w:rsidRPr="00A954B4" w:rsidRDefault="007E212C" w:rsidP="00A954B4">
      <w:pPr>
        <w:pStyle w:val="ListParagraph"/>
        <w:numPr>
          <w:ilvl w:val="0"/>
          <w:numId w:val="21"/>
        </w:numPr>
        <w:spacing w:line="360" w:lineRule="auto"/>
        <w:jc w:val="both"/>
        <w:rPr>
          <w:rFonts w:ascii="Calibri" w:hAnsi="Calibri" w:cs="Calibri"/>
          <w:sz w:val="28"/>
          <w:szCs w:val="28"/>
          <w:u w:val="single"/>
        </w:rPr>
      </w:pPr>
      <w:r w:rsidRPr="00A954B4">
        <w:rPr>
          <w:rFonts w:ascii="Calibri" w:hAnsi="Calibri" w:cs="Calibri"/>
          <w:sz w:val="28"/>
          <w:szCs w:val="28"/>
          <w:u w:val="single"/>
        </w:rPr>
        <w:t xml:space="preserve">Business Model: </w:t>
      </w:r>
    </w:p>
    <w:p w14:paraId="2FA315CC" w14:textId="77777777" w:rsidR="007E212C" w:rsidRDefault="00112F77" w:rsidP="006737F6">
      <w:pPr>
        <w:spacing w:line="360" w:lineRule="auto"/>
        <w:jc w:val="both"/>
        <w:rPr>
          <w:rFonts w:ascii="Calibri" w:hAnsi="Calibri" w:cs="Calibri"/>
          <w:sz w:val="28"/>
          <w:szCs w:val="28"/>
        </w:rPr>
      </w:pPr>
      <w:r w:rsidRPr="00B8077E">
        <w:rPr>
          <w:rFonts w:ascii="Calibri" w:hAnsi="Calibri" w:cs="Calibri"/>
          <w:sz w:val="28"/>
          <w:szCs w:val="28"/>
        </w:rPr>
        <w:t xml:space="preserve"> </w:t>
      </w:r>
      <w:r w:rsidR="007E212C" w:rsidRPr="00B8077E">
        <w:rPr>
          <w:rFonts w:ascii="Calibri" w:hAnsi="Calibri" w:cs="Calibri"/>
          <w:sz w:val="28"/>
          <w:szCs w:val="28"/>
        </w:rPr>
        <w:t xml:space="preserve">The operation model that is central to Toyota Company’s success is the production system that encompasses the JIT manufacturing and lean production methods. The company’s strategic aim is to manufacture vehicles of the highest quality while at the same time achieving high operational efficiency. Since Toyota has a vast supply chain across the world and a significant focus on research and development programs, the company can sustain itself in the global car manufacturing and selling market. Also, its research focus has been associated with new technological developments such as the hybrid and electric vehicles. </w:t>
      </w:r>
    </w:p>
    <w:p w14:paraId="164D9479" w14:textId="77777777" w:rsidR="00D8294E" w:rsidRDefault="00D8294E" w:rsidP="006737F6">
      <w:pPr>
        <w:spacing w:line="360" w:lineRule="auto"/>
        <w:jc w:val="both"/>
        <w:rPr>
          <w:rFonts w:ascii="Calibri" w:hAnsi="Calibri" w:cs="Calibri"/>
          <w:sz w:val="28"/>
          <w:szCs w:val="28"/>
        </w:rPr>
      </w:pPr>
    </w:p>
    <w:p w14:paraId="400D529F" w14:textId="77777777" w:rsidR="00D8294E" w:rsidRPr="00B8077E" w:rsidRDefault="00D8294E" w:rsidP="006737F6">
      <w:pPr>
        <w:spacing w:line="360" w:lineRule="auto"/>
        <w:jc w:val="both"/>
        <w:rPr>
          <w:rFonts w:ascii="Calibri" w:hAnsi="Calibri" w:cs="Calibri"/>
          <w:sz w:val="28"/>
          <w:szCs w:val="28"/>
        </w:rPr>
      </w:pPr>
    </w:p>
    <w:p w14:paraId="1E880D1A" w14:textId="77777777" w:rsidR="007E212C" w:rsidRPr="00BD35FB" w:rsidRDefault="007E212C" w:rsidP="00BD35FB">
      <w:pPr>
        <w:pStyle w:val="ListParagraph"/>
        <w:numPr>
          <w:ilvl w:val="0"/>
          <w:numId w:val="21"/>
        </w:numPr>
        <w:spacing w:line="360" w:lineRule="auto"/>
        <w:jc w:val="both"/>
        <w:rPr>
          <w:rFonts w:ascii="Calibri" w:hAnsi="Calibri" w:cs="Calibri"/>
          <w:sz w:val="28"/>
          <w:szCs w:val="28"/>
          <w:u w:val="single"/>
        </w:rPr>
      </w:pPr>
      <w:r w:rsidRPr="00BD35FB">
        <w:rPr>
          <w:rFonts w:ascii="Calibri" w:hAnsi="Calibri" w:cs="Calibri"/>
          <w:sz w:val="28"/>
          <w:szCs w:val="28"/>
          <w:u w:val="single"/>
        </w:rPr>
        <w:lastRenderedPageBreak/>
        <w:t xml:space="preserve">Market Place: </w:t>
      </w:r>
    </w:p>
    <w:p w14:paraId="646B57B0" w14:textId="77777777" w:rsidR="007E212C" w:rsidRPr="00B8077E" w:rsidRDefault="00112F77" w:rsidP="006737F6">
      <w:pPr>
        <w:spacing w:line="360" w:lineRule="auto"/>
        <w:jc w:val="both"/>
        <w:rPr>
          <w:rFonts w:ascii="Calibri" w:hAnsi="Calibri" w:cs="Calibri"/>
          <w:sz w:val="28"/>
          <w:szCs w:val="28"/>
        </w:rPr>
      </w:pPr>
      <w:r w:rsidRPr="00B8077E">
        <w:rPr>
          <w:rFonts w:ascii="Calibri" w:hAnsi="Calibri" w:cs="Calibri"/>
          <w:sz w:val="28"/>
          <w:szCs w:val="28"/>
        </w:rPr>
        <w:t>T</w:t>
      </w:r>
      <w:r w:rsidR="007E212C" w:rsidRPr="00B8077E">
        <w:rPr>
          <w:rFonts w:ascii="Calibri" w:hAnsi="Calibri" w:cs="Calibri"/>
          <w:sz w:val="28"/>
          <w:szCs w:val="28"/>
        </w:rPr>
        <w:t xml:space="preserve">oyota has a multinational operation, which makes it produce cars in some of the leading car consuming regions in the world such as North America, Europe and Asia. The company enjoy a good market base as they have been known produce vehicles that are reliable, affordable and with good fuel economy. Toyota’s great understanding of market entry strategies and its emphasis on sustainability and innovation has anchored its base even more securely. </w:t>
      </w:r>
    </w:p>
    <w:p w14:paraId="050FF274" w14:textId="77777777" w:rsidR="007E212C" w:rsidRPr="00BD35FB" w:rsidRDefault="007E212C" w:rsidP="00BD35FB">
      <w:pPr>
        <w:pStyle w:val="ListParagraph"/>
        <w:numPr>
          <w:ilvl w:val="0"/>
          <w:numId w:val="21"/>
        </w:numPr>
        <w:spacing w:line="360" w:lineRule="auto"/>
        <w:jc w:val="both"/>
        <w:rPr>
          <w:rFonts w:ascii="Calibri" w:hAnsi="Calibri" w:cs="Calibri"/>
          <w:sz w:val="28"/>
          <w:szCs w:val="28"/>
        </w:rPr>
      </w:pPr>
      <w:r w:rsidRPr="00BD35FB">
        <w:rPr>
          <w:rFonts w:ascii="Calibri" w:hAnsi="Calibri" w:cs="Calibri"/>
          <w:sz w:val="28"/>
          <w:szCs w:val="28"/>
          <w:u w:val="single"/>
        </w:rPr>
        <w:t>Major Competitors</w:t>
      </w:r>
      <w:r w:rsidRPr="00BD35FB">
        <w:rPr>
          <w:rFonts w:ascii="Calibri" w:hAnsi="Calibri" w:cs="Calibri"/>
          <w:sz w:val="28"/>
          <w:szCs w:val="28"/>
        </w:rPr>
        <w:t xml:space="preserve">: </w:t>
      </w:r>
    </w:p>
    <w:p w14:paraId="4FD4F4C0" w14:textId="3C4377B9" w:rsidR="007E212C" w:rsidRPr="00B8077E" w:rsidRDefault="007E212C" w:rsidP="006737F6">
      <w:pPr>
        <w:spacing w:line="360" w:lineRule="auto"/>
        <w:jc w:val="both"/>
        <w:rPr>
          <w:rFonts w:ascii="Calibri" w:hAnsi="Calibri" w:cs="Calibri"/>
          <w:sz w:val="28"/>
          <w:szCs w:val="28"/>
        </w:rPr>
      </w:pPr>
      <w:r w:rsidRPr="00B8077E">
        <w:rPr>
          <w:rFonts w:ascii="Calibri" w:hAnsi="Calibri" w:cs="Calibri"/>
          <w:sz w:val="28"/>
          <w:szCs w:val="28"/>
        </w:rPr>
        <w:t xml:space="preserve">Competition: Toyota competes with other manufacturers of automobiles including Honda, Nissan, Ford, General Motors, Volkswagen amongst </w:t>
      </w:r>
      <w:r w:rsidR="00BD35FB" w:rsidRPr="00B8077E">
        <w:rPr>
          <w:rFonts w:ascii="Calibri" w:hAnsi="Calibri" w:cs="Calibri"/>
          <w:sz w:val="28"/>
          <w:szCs w:val="28"/>
        </w:rPr>
        <w:t>others.</w:t>
      </w:r>
      <w:r w:rsidRPr="00B8077E">
        <w:rPr>
          <w:rFonts w:ascii="Calibri" w:hAnsi="Calibri" w:cs="Calibri"/>
          <w:sz w:val="28"/>
          <w:szCs w:val="28"/>
        </w:rPr>
        <w:t xml:space="preserve"> Every player enjoys certain characteristics such as technology or marketing strategies among others. Toyota has achieved this by positioning itself as a brand with particular focus on hybrid technologies, quality products, and a </w:t>
      </w:r>
      <w:r w:rsidR="00BD35FB" w:rsidRPr="00B8077E">
        <w:rPr>
          <w:rFonts w:ascii="Calibri" w:hAnsi="Calibri" w:cs="Calibri"/>
          <w:sz w:val="28"/>
          <w:szCs w:val="28"/>
        </w:rPr>
        <w:t>forward-looking</w:t>
      </w:r>
      <w:r w:rsidRPr="00B8077E">
        <w:rPr>
          <w:rFonts w:ascii="Calibri" w:hAnsi="Calibri" w:cs="Calibri"/>
          <w:sz w:val="28"/>
          <w:szCs w:val="28"/>
        </w:rPr>
        <w:t xml:space="preserve"> approach than to the future of automobile, such as electric cars and auto pilot cars.</w:t>
      </w:r>
    </w:p>
    <w:p w14:paraId="37BE54D3" w14:textId="77777777" w:rsidR="007E212C" w:rsidRPr="00BD35FB" w:rsidRDefault="007E212C" w:rsidP="00BD35FB">
      <w:pPr>
        <w:pStyle w:val="ListParagraph"/>
        <w:numPr>
          <w:ilvl w:val="0"/>
          <w:numId w:val="21"/>
        </w:numPr>
        <w:spacing w:line="360" w:lineRule="auto"/>
        <w:jc w:val="both"/>
        <w:rPr>
          <w:rFonts w:ascii="Calibri" w:hAnsi="Calibri" w:cs="Calibri"/>
          <w:sz w:val="28"/>
          <w:szCs w:val="28"/>
          <w:u w:val="single"/>
        </w:rPr>
      </w:pPr>
      <w:r w:rsidRPr="00BD35FB">
        <w:rPr>
          <w:rFonts w:ascii="Calibri" w:hAnsi="Calibri" w:cs="Calibri"/>
          <w:sz w:val="28"/>
          <w:szCs w:val="28"/>
          <w:u w:val="single"/>
        </w:rPr>
        <w:t xml:space="preserve">Recent Events: </w:t>
      </w:r>
    </w:p>
    <w:p w14:paraId="1BC8EBC9" w14:textId="77777777" w:rsidR="007E212C" w:rsidRPr="00B8077E" w:rsidRDefault="007E212C" w:rsidP="006737F6">
      <w:pPr>
        <w:pStyle w:val="ListParagraph"/>
        <w:numPr>
          <w:ilvl w:val="0"/>
          <w:numId w:val="4"/>
        </w:numPr>
        <w:spacing w:line="360" w:lineRule="auto"/>
        <w:jc w:val="both"/>
        <w:rPr>
          <w:rFonts w:ascii="Calibri" w:hAnsi="Calibri" w:cs="Calibri"/>
          <w:sz w:val="28"/>
          <w:szCs w:val="28"/>
        </w:rPr>
      </w:pPr>
      <w:r w:rsidRPr="00B8077E">
        <w:rPr>
          <w:rFonts w:ascii="Calibri" w:hAnsi="Calibri" w:cs="Calibri"/>
          <w:sz w:val="28"/>
          <w:szCs w:val="28"/>
        </w:rPr>
        <w:t xml:space="preserve">Leadership Changes: Toyota has witnessed a change of guard that has occurred at the executive level and has affected the strategic course as well as the focusing of the organization. </w:t>
      </w:r>
    </w:p>
    <w:p w14:paraId="060A3C4A" w14:textId="77777777" w:rsidR="007E212C" w:rsidRPr="00B8077E" w:rsidRDefault="007E212C" w:rsidP="006737F6">
      <w:pPr>
        <w:pStyle w:val="ListParagraph"/>
        <w:numPr>
          <w:ilvl w:val="0"/>
          <w:numId w:val="4"/>
        </w:numPr>
        <w:spacing w:line="360" w:lineRule="auto"/>
        <w:jc w:val="both"/>
        <w:rPr>
          <w:rFonts w:ascii="Calibri" w:hAnsi="Calibri" w:cs="Calibri"/>
          <w:sz w:val="28"/>
          <w:szCs w:val="28"/>
        </w:rPr>
      </w:pPr>
      <w:r w:rsidRPr="00B8077E">
        <w:rPr>
          <w:rFonts w:ascii="Calibri" w:hAnsi="Calibri" w:cs="Calibri"/>
          <w:sz w:val="28"/>
          <w:szCs w:val="28"/>
        </w:rPr>
        <w:t xml:space="preserve">Profit Warnings: The company has been involved in giving out profit warning due to disruptions of supply chains internationally conforming to the global standards and change of demand patterns. </w:t>
      </w:r>
    </w:p>
    <w:p w14:paraId="51B7942F" w14:textId="77777777" w:rsidR="007E212C" w:rsidRPr="00B8077E" w:rsidRDefault="007E212C" w:rsidP="006737F6">
      <w:pPr>
        <w:pStyle w:val="ListParagraph"/>
        <w:numPr>
          <w:ilvl w:val="0"/>
          <w:numId w:val="4"/>
        </w:numPr>
        <w:spacing w:line="360" w:lineRule="auto"/>
        <w:jc w:val="both"/>
        <w:rPr>
          <w:rFonts w:ascii="Calibri" w:hAnsi="Calibri" w:cs="Calibri"/>
          <w:sz w:val="28"/>
          <w:szCs w:val="28"/>
        </w:rPr>
      </w:pPr>
      <w:r w:rsidRPr="00B8077E">
        <w:rPr>
          <w:rFonts w:ascii="Calibri" w:hAnsi="Calibri" w:cs="Calibri"/>
          <w:sz w:val="28"/>
          <w:szCs w:val="28"/>
        </w:rPr>
        <w:t xml:space="preserve">Legal Issues: Legal factors have affected Toyota through issues to do with recalls and safety regulations affecting its operational and financial performance. </w:t>
      </w:r>
    </w:p>
    <w:p w14:paraId="0ABCBCD9" w14:textId="77777777" w:rsidR="007E212C" w:rsidRPr="00B8077E" w:rsidRDefault="007E212C" w:rsidP="006737F6">
      <w:pPr>
        <w:pStyle w:val="ListParagraph"/>
        <w:numPr>
          <w:ilvl w:val="0"/>
          <w:numId w:val="4"/>
        </w:numPr>
        <w:spacing w:line="360" w:lineRule="auto"/>
        <w:jc w:val="both"/>
        <w:rPr>
          <w:rFonts w:ascii="Calibri" w:hAnsi="Calibri" w:cs="Calibri"/>
          <w:sz w:val="28"/>
          <w:szCs w:val="28"/>
        </w:rPr>
      </w:pPr>
      <w:r w:rsidRPr="00B8077E">
        <w:rPr>
          <w:rFonts w:ascii="Calibri" w:hAnsi="Calibri" w:cs="Calibri"/>
          <w:sz w:val="28"/>
          <w:szCs w:val="28"/>
        </w:rPr>
        <w:lastRenderedPageBreak/>
        <w:t xml:space="preserve">Mergers &amp; Acquisitions: It has been a part of Toyota to have long-term strategic partners and investing in other technology-savvy companies to boost its electric cars divisions. </w:t>
      </w:r>
    </w:p>
    <w:p w14:paraId="05A58848" w14:textId="77777777" w:rsidR="007E212C" w:rsidRPr="00B8077E" w:rsidRDefault="007E212C" w:rsidP="006737F6">
      <w:pPr>
        <w:pStyle w:val="ListParagraph"/>
        <w:numPr>
          <w:ilvl w:val="0"/>
          <w:numId w:val="4"/>
        </w:numPr>
        <w:spacing w:line="360" w:lineRule="auto"/>
        <w:jc w:val="both"/>
        <w:rPr>
          <w:rFonts w:ascii="Calibri" w:hAnsi="Calibri" w:cs="Calibri"/>
          <w:sz w:val="28"/>
          <w:szCs w:val="28"/>
        </w:rPr>
      </w:pPr>
      <w:r w:rsidRPr="00B8077E">
        <w:rPr>
          <w:rFonts w:ascii="Calibri" w:hAnsi="Calibri" w:cs="Calibri"/>
          <w:sz w:val="28"/>
          <w:szCs w:val="28"/>
        </w:rPr>
        <w:t xml:space="preserve">Strategic Changes: The described changes in the automobile market, such as the shift towards electric and autonomous cars, have contributed to Toyota’s transformation in that direction along with global tendencies and clients’ needs. </w:t>
      </w:r>
    </w:p>
    <w:p w14:paraId="3A69F584" w14:textId="7F644163" w:rsidR="00112F77" w:rsidRPr="00066120" w:rsidRDefault="007E212C" w:rsidP="00066120">
      <w:pPr>
        <w:spacing w:line="360" w:lineRule="auto"/>
        <w:jc w:val="both"/>
        <w:rPr>
          <w:rFonts w:ascii="Calibri" w:hAnsi="Calibri" w:cs="Calibri"/>
          <w:sz w:val="32"/>
          <w:szCs w:val="32"/>
        </w:rPr>
      </w:pPr>
      <w:r w:rsidRPr="00066120">
        <w:rPr>
          <w:rFonts w:ascii="Calibri" w:hAnsi="Calibri" w:cs="Calibri"/>
          <w:sz w:val="32"/>
          <w:szCs w:val="32"/>
        </w:rPr>
        <w:t xml:space="preserve"> Thus, this report will give a detail evaluation of Toyota’s financial performance in relation to its competitors and analysis of its investment projects.</w:t>
      </w:r>
      <w:r w:rsidR="00066120" w:rsidRPr="00066120">
        <w:rPr>
          <w:rFonts w:ascii="Calibri" w:hAnsi="Calibri" w:cs="Calibri"/>
          <w:sz w:val="32"/>
          <w:szCs w:val="32"/>
        </w:rPr>
        <w:t xml:space="preserve"> </w:t>
      </w:r>
      <w:r w:rsidRPr="00066120">
        <w:rPr>
          <w:rFonts w:ascii="Calibri" w:hAnsi="Calibri" w:cs="Calibri"/>
          <w:sz w:val="32"/>
          <w:szCs w:val="32"/>
        </w:rPr>
        <w:t>Recommendations will be made based on findings as follows to enhance on Toyot</w:t>
      </w:r>
      <w:r w:rsidR="00112F77" w:rsidRPr="00066120">
        <w:rPr>
          <w:rFonts w:ascii="Calibri" w:hAnsi="Calibri" w:cs="Calibri"/>
          <w:sz w:val="32"/>
          <w:szCs w:val="32"/>
        </w:rPr>
        <w:t>a success and strategic growth.</w:t>
      </w:r>
    </w:p>
    <w:p w14:paraId="7243C9EA" w14:textId="4C7FD902" w:rsidR="00FF034E" w:rsidRPr="00FD4B35" w:rsidRDefault="00284F71" w:rsidP="006737F6">
      <w:pPr>
        <w:spacing w:line="360" w:lineRule="auto"/>
        <w:jc w:val="both"/>
        <w:rPr>
          <w:rFonts w:ascii="Calibri" w:hAnsi="Calibri" w:cs="Calibri"/>
          <w:b/>
          <w:sz w:val="20"/>
          <w:szCs w:val="20"/>
        </w:rPr>
      </w:pPr>
      <w:r>
        <w:rPr>
          <w:rFonts w:ascii="Calibri" w:hAnsi="Calibri" w:cs="Calibri"/>
          <w:b/>
          <w:sz w:val="28"/>
          <w:szCs w:val="28"/>
        </w:rPr>
        <w:t>Source:</w:t>
      </w:r>
      <w:r w:rsidR="00FD4B35" w:rsidRPr="00FD4B35">
        <w:rPr>
          <w:rFonts w:ascii="Calibri" w:hAnsi="Calibri" w:cs="Calibri"/>
          <w:sz w:val="28"/>
          <w:szCs w:val="28"/>
        </w:rPr>
        <w:t xml:space="preserve"> </w:t>
      </w:r>
      <w:r w:rsidR="00FD4B35" w:rsidRPr="00B8077E">
        <w:rPr>
          <w:rFonts w:ascii="Calibri" w:hAnsi="Calibri" w:cs="Calibri"/>
          <w:sz w:val="28"/>
          <w:szCs w:val="28"/>
        </w:rPr>
        <w:t>Anoop, G.M. and Muhammed, V.S., 2020</w:t>
      </w:r>
    </w:p>
    <w:p w14:paraId="556A417D" w14:textId="2929CC33" w:rsidR="00FF034E" w:rsidRPr="00D8294E" w:rsidRDefault="00DA4FEA" w:rsidP="00D8294E">
      <w:pPr>
        <w:spacing w:line="360" w:lineRule="auto"/>
        <w:rPr>
          <w:rFonts w:ascii="Calibri" w:hAnsi="Calibri" w:cs="Calibri"/>
          <w:b/>
          <w:sz w:val="40"/>
          <w:szCs w:val="40"/>
          <w:u w:val="single"/>
        </w:rPr>
      </w:pPr>
      <w:r w:rsidRPr="00D8294E">
        <w:rPr>
          <w:rFonts w:ascii="Calibri" w:hAnsi="Calibri" w:cs="Calibri"/>
          <w:b/>
          <w:sz w:val="40"/>
          <w:szCs w:val="40"/>
          <w:u w:val="single"/>
        </w:rPr>
        <w:t>Part-B</w:t>
      </w:r>
    </w:p>
    <w:p w14:paraId="0DFCAE1C" w14:textId="2DA60713" w:rsidR="007E212C" w:rsidRPr="00B1303B" w:rsidRDefault="007E212C" w:rsidP="00B1303B">
      <w:pPr>
        <w:spacing w:line="360" w:lineRule="auto"/>
        <w:rPr>
          <w:rFonts w:ascii="Calibri" w:hAnsi="Calibri" w:cs="Calibri"/>
          <w:b/>
          <w:sz w:val="28"/>
          <w:szCs w:val="28"/>
        </w:rPr>
      </w:pPr>
      <w:r w:rsidRPr="00B1303B">
        <w:rPr>
          <w:rFonts w:ascii="Calibri" w:hAnsi="Calibri" w:cs="Calibri"/>
          <w:b/>
          <w:sz w:val="28"/>
          <w:szCs w:val="28"/>
        </w:rPr>
        <w:t>Financial Performance Review of Toyota</w:t>
      </w:r>
    </w:p>
    <w:p w14:paraId="142DF915" w14:textId="406BA843" w:rsidR="001938C1" w:rsidRPr="00B1303B" w:rsidRDefault="007E212C" w:rsidP="006737F6">
      <w:pPr>
        <w:spacing w:line="360" w:lineRule="auto"/>
        <w:jc w:val="both"/>
        <w:rPr>
          <w:rFonts w:ascii="Calibri" w:hAnsi="Calibri" w:cs="Calibri"/>
          <w:sz w:val="28"/>
          <w:szCs w:val="28"/>
        </w:rPr>
      </w:pPr>
      <w:r w:rsidRPr="00B8077E">
        <w:rPr>
          <w:rFonts w:ascii="Calibri" w:hAnsi="Calibri" w:cs="Calibri"/>
          <w:sz w:val="28"/>
          <w:szCs w:val="28"/>
        </w:rPr>
        <w:t xml:space="preserve">Toyota Motor Corporation, a leading global automotive manufacturer, has established itself as a benchmark for financial performance in the automotive industry. This review offers a detailed examination of Toyota's financial health through key financial ratios over the past five years. By analyzing profitability, liquidity, gearing, and efficiency ratios, we aim to provide a comprehensive view of Toyota’s financial stability, operational effectiveness, and strategic positioning. Additionally, this report compares Toyota’s financial metrics with those of major </w:t>
      </w:r>
      <w:r w:rsidRPr="00B8077E">
        <w:rPr>
          <w:rFonts w:ascii="Calibri" w:hAnsi="Calibri" w:cs="Calibri"/>
          <w:sz w:val="28"/>
          <w:szCs w:val="28"/>
        </w:rPr>
        <w:lastRenderedPageBreak/>
        <w:t>competitors and industry averages to contextualize its performance and offers recommendations for enhancing financial management.</w:t>
      </w:r>
    </w:p>
    <w:p w14:paraId="1E9F502F" w14:textId="159BC700" w:rsidR="007E212C" w:rsidRPr="005A40BF" w:rsidRDefault="007E212C" w:rsidP="005A40BF">
      <w:pPr>
        <w:pStyle w:val="ListParagraph"/>
        <w:numPr>
          <w:ilvl w:val="0"/>
          <w:numId w:val="21"/>
        </w:numPr>
        <w:spacing w:line="360" w:lineRule="auto"/>
        <w:jc w:val="both"/>
        <w:rPr>
          <w:rFonts w:ascii="Calibri" w:hAnsi="Calibri" w:cs="Calibri"/>
          <w:b/>
          <w:sz w:val="28"/>
          <w:szCs w:val="28"/>
          <w:u w:val="single"/>
        </w:rPr>
      </w:pPr>
      <w:r w:rsidRPr="005A40BF">
        <w:rPr>
          <w:rFonts w:ascii="Calibri" w:hAnsi="Calibri" w:cs="Calibri"/>
          <w:b/>
          <w:sz w:val="28"/>
          <w:szCs w:val="28"/>
          <w:u w:val="single"/>
        </w:rPr>
        <w:t>Calculation of Key Financial Ratios (Past 5 Years)</w:t>
      </w:r>
    </w:p>
    <w:p w14:paraId="60D3EC25" w14:textId="77777777" w:rsidR="007E212C" w:rsidRPr="00B8077E" w:rsidRDefault="007E212C"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Profitability Ratios</w:t>
      </w:r>
    </w:p>
    <w:p w14:paraId="3D1735D0" w14:textId="77777777" w:rsidR="007E212C" w:rsidRPr="00B8077E" w:rsidRDefault="007E212C" w:rsidP="006737F6">
      <w:pPr>
        <w:pStyle w:val="ListParagraph"/>
        <w:numPr>
          <w:ilvl w:val="0"/>
          <w:numId w:val="5"/>
        </w:numPr>
        <w:spacing w:line="360" w:lineRule="auto"/>
        <w:jc w:val="both"/>
        <w:rPr>
          <w:rFonts w:ascii="Calibri" w:hAnsi="Calibri" w:cs="Calibri"/>
          <w:sz w:val="28"/>
          <w:szCs w:val="28"/>
        </w:rPr>
      </w:pPr>
      <w:r w:rsidRPr="00B8077E">
        <w:rPr>
          <w:rFonts w:ascii="Calibri" w:hAnsi="Calibri" w:cs="Calibri"/>
          <w:sz w:val="28"/>
          <w:szCs w:val="28"/>
        </w:rPr>
        <w:t>Return on Assets (ROA)</w:t>
      </w:r>
    </w:p>
    <w:p w14:paraId="3E783565" w14:textId="77777777" w:rsidR="007E212C" w:rsidRPr="00B8077E" w:rsidRDefault="007E212C" w:rsidP="006737F6">
      <w:pPr>
        <w:spacing w:line="360" w:lineRule="auto"/>
        <w:jc w:val="both"/>
        <w:rPr>
          <w:rFonts w:ascii="Calibri" w:hAnsi="Calibri" w:cs="Calibri"/>
          <w:sz w:val="28"/>
          <w:szCs w:val="28"/>
        </w:rPr>
      </w:pPr>
      <w:r w:rsidRPr="00B8077E">
        <w:rPr>
          <w:rFonts w:ascii="Calibri" w:hAnsi="Calibri" w:cs="Calibri"/>
          <w:sz w:val="28"/>
          <w:szCs w:val="28"/>
        </w:rPr>
        <w:t>Formula:</w:t>
      </w:r>
    </w:p>
    <w:p w14:paraId="24A52C73" w14:textId="77777777" w:rsidR="007E212C" w:rsidRPr="00B8077E" w:rsidRDefault="007E212C" w:rsidP="006737F6">
      <w:pPr>
        <w:spacing w:line="360" w:lineRule="auto"/>
        <w:jc w:val="both"/>
        <w:rPr>
          <w:rFonts w:ascii="Calibri" w:hAnsi="Calibri" w:cs="Calibri"/>
          <w:sz w:val="28"/>
          <w:szCs w:val="28"/>
        </w:rPr>
      </w:pPr>
      <w:r w:rsidRPr="00B8077E">
        <w:rPr>
          <w:rFonts w:ascii="Calibri" w:hAnsi="Calibri" w:cs="Calibri"/>
          <w:sz w:val="28"/>
          <w:szCs w:val="28"/>
        </w:rPr>
        <w:t>ROA= Net Income/ Total Assets</w:t>
      </w:r>
    </w:p>
    <w:p w14:paraId="6FA6F990" w14:textId="77777777" w:rsidR="00474DEB" w:rsidRPr="00B8077E" w:rsidRDefault="00474DEB"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Hypothetical Data and Calculation:</w:t>
      </w:r>
    </w:p>
    <w:tbl>
      <w:tblPr>
        <w:tblStyle w:val="TableGrid"/>
        <w:tblW w:w="0" w:type="auto"/>
        <w:tblLook w:val="04A0" w:firstRow="1" w:lastRow="0" w:firstColumn="1" w:lastColumn="0" w:noHBand="0" w:noVBand="1"/>
      </w:tblPr>
      <w:tblGrid>
        <w:gridCol w:w="2332"/>
        <w:gridCol w:w="2332"/>
        <w:gridCol w:w="2333"/>
        <w:gridCol w:w="2333"/>
      </w:tblGrid>
      <w:tr w:rsidR="00474DEB" w:rsidRPr="00B8077E" w14:paraId="2CB42168" w14:textId="77777777" w:rsidTr="00474DEB">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73C0F595"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4C9A411A"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Net Income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54C0528B"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Total Assets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712B7F00"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ROA%</w:t>
            </w:r>
          </w:p>
        </w:tc>
      </w:tr>
      <w:tr w:rsidR="00474DEB" w:rsidRPr="00B8077E" w14:paraId="685D4DC2" w14:textId="77777777" w:rsidTr="00474DEB">
        <w:tc>
          <w:tcPr>
            <w:tcW w:w="2337" w:type="dxa"/>
            <w:tcBorders>
              <w:top w:val="single" w:sz="12" w:space="0" w:color="auto"/>
            </w:tcBorders>
          </w:tcPr>
          <w:p w14:paraId="157256BE"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2023</w:t>
            </w:r>
          </w:p>
        </w:tc>
        <w:tc>
          <w:tcPr>
            <w:tcW w:w="2337" w:type="dxa"/>
            <w:tcBorders>
              <w:top w:val="single" w:sz="12" w:space="0" w:color="auto"/>
            </w:tcBorders>
          </w:tcPr>
          <w:p w14:paraId="5E768732"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2200</w:t>
            </w:r>
          </w:p>
        </w:tc>
        <w:tc>
          <w:tcPr>
            <w:tcW w:w="2338" w:type="dxa"/>
            <w:tcBorders>
              <w:top w:val="single" w:sz="12" w:space="0" w:color="auto"/>
            </w:tcBorders>
          </w:tcPr>
          <w:p w14:paraId="042D70A5"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30000</w:t>
            </w:r>
          </w:p>
        </w:tc>
        <w:tc>
          <w:tcPr>
            <w:tcW w:w="2338" w:type="dxa"/>
            <w:tcBorders>
              <w:top w:val="single" w:sz="12" w:space="0" w:color="auto"/>
            </w:tcBorders>
          </w:tcPr>
          <w:p w14:paraId="5E47177F"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7.67%</w:t>
            </w:r>
          </w:p>
        </w:tc>
      </w:tr>
      <w:tr w:rsidR="00474DEB" w:rsidRPr="00B8077E" w14:paraId="39DB8B7E" w14:textId="77777777" w:rsidTr="00474DEB">
        <w:tc>
          <w:tcPr>
            <w:tcW w:w="2337" w:type="dxa"/>
          </w:tcPr>
          <w:p w14:paraId="5E7CF786"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2022</w:t>
            </w:r>
          </w:p>
        </w:tc>
        <w:tc>
          <w:tcPr>
            <w:tcW w:w="2337" w:type="dxa"/>
          </w:tcPr>
          <w:p w14:paraId="7B30A6AB"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2100</w:t>
            </w:r>
          </w:p>
        </w:tc>
        <w:tc>
          <w:tcPr>
            <w:tcW w:w="2338" w:type="dxa"/>
          </w:tcPr>
          <w:p w14:paraId="1476E9E8"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29000</w:t>
            </w:r>
          </w:p>
        </w:tc>
        <w:tc>
          <w:tcPr>
            <w:tcW w:w="2338" w:type="dxa"/>
          </w:tcPr>
          <w:p w14:paraId="30F81F75"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7.59%</w:t>
            </w:r>
          </w:p>
        </w:tc>
      </w:tr>
      <w:tr w:rsidR="00474DEB" w:rsidRPr="00B8077E" w14:paraId="63207CC0" w14:textId="77777777" w:rsidTr="00474DEB">
        <w:tc>
          <w:tcPr>
            <w:tcW w:w="2337" w:type="dxa"/>
          </w:tcPr>
          <w:p w14:paraId="36833F42"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2021</w:t>
            </w:r>
          </w:p>
        </w:tc>
        <w:tc>
          <w:tcPr>
            <w:tcW w:w="2337" w:type="dxa"/>
          </w:tcPr>
          <w:p w14:paraId="641EA2B0"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2000</w:t>
            </w:r>
          </w:p>
        </w:tc>
        <w:tc>
          <w:tcPr>
            <w:tcW w:w="2338" w:type="dxa"/>
          </w:tcPr>
          <w:p w14:paraId="0654205E"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28500</w:t>
            </w:r>
          </w:p>
        </w:tc>
        <w:tc>
          <w:tcPr>
            <w:tcW w:w="2338" w:type="dxa"/>
          </w:tcPr>
          <w:p w14:paraId="646A753C"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7.37%</w:t>
            </w:r>
          </w:p>
        </w:tc>
      </w:tr>
      <w:tr w:rsidR="00474DEB" w:rsidRPr="00B8077E" w14:paraId="4402FAA6" w14:textId="77777777" w:rsidTr="00474DEB">
        <w:tc>
          <w:tcPr>
            <w:tcW w:w="2337" w:type="dxa"/>
          </w:tcPr>
          <w:p w14:paraId="705EB88D"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2020</w:t>
            </w:r>
          </w:p>
        </w:tc>
        <w:tc>
          <w:tcPr>
            <w:tcW w:w="2337" w:type="dxa"/>
          </w:tcPr>
          <w:p w14:paraId="7CDADB27"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1900</w:t>
            </w:r>
          </w:p>
        </w:tc>
        <w:tc>
          <w:tcPr>
            <w:tcW w:w="2338" w:type="dxa"/>
          </w:tcPr>
          <w:p w14:paraId="73165097"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27500</w:t>
            </w:r>
          </w:p>
        </w:tc>
        <w:tc>
          <w:tcPr>
            <w:tcW w:w="2338" w:type="dxa"/>
          </w:tcPr>
          <w:p w14:paraId="3A1EA093"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7.04%</w:t>
            </w:r>
          </w:p>
        </w:tc>
      </w:tr>
      <w:tr w:rsidR="00474DEB" w:rsidRPr="00B8077E" w14:paraId="3C0AA3A3" w14:textId="77777777" w:rsidTr="00474DEB">
        <w:tc>
          <w:tcPr>
            <w:tcW w:w="2337" w:type="dxa"/>
          </w:tcPr>
          <w:p w14:paraId="41568494"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2019</w:t>
            </w:r>
          </w:p>
        </w:tc>
        <w:tc>
          <w:tcPr>
            <w:tcW w:w="2337" w:type="dxa"/>
          </w:tcPr>
          <w:p w14:paraId="2F28E62D"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1800</w:t>
            </w:r>
          </w:p>
        </w:tc>
        <w:tc>
          <w:tcPr>
            <w:tcW w:w="2338" w:type="dxa"/>
          </w:tcPr>
          <w:p w14:paraId="4F131FF8"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25500</w:t>
            </w:r>
          </w:p>
        </w:tc>
        <w:tc>
          <w:tcPr>
            <w:tcW w:w="2338" w:type="dxa"/>
          </w:tcPr>
          <w:p w14:paraId="2BBE3BD8"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7.06%</w:t>
            </w:r>
          </w:p>
        </w:tc>
      </w:tr>
    </w:tbl>
    <w:p w14:paraId="7F3479B4" w14:textId="77777777" w:rsidR="00900B36" w:rsidRPr="00B8077E" w:rsidRDefault="00900B36" w:rsidP="006737F6">
      <w:pPr>
        <w:spacing w:line="360" w:lineRule="auto"/>
        <w:jc w:val="both"/>
        <w:rPr>
          <w:rFonts w:ascii="Calibri" w:hAnsi="Calibri" w:cs="Calibri"/>
          <w:sz w:val="28"/>
          <w:szCs w:val="28"/>
        </w:rPr>
      </w:pPr>
    </w:p>
    <w:p w14:paraId="1B2DF843" w14:textId="77777777" w:rsidR="00474DEB" w:rsidRPr="00B8077E" w:rsidRDefault="00474DEB"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Interpretation:</w:t>
      </w:r>
    </w:p>
    <w:p w14:paraId="4D99DE35" w14:textId="77777777" w:rsidR="00474DEB"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The result presented about Toyota’s ROA indicates gradual year by year enhancement of the company’s efficiency in the management of assets for profit generation. ROA measures how well the management has utilized and what efficiency has been recorded in operations, and therefore a higher ROA is desirable.</w:t>
      </w:r>
    </w:p>
    <w:p w14:paraId="22EE761D" w14:textId="77777777" w:rsidR="00474DEB" w:rsidRPr="00B8077E" w:rsidRDefault="00474DEB" w:rsidP="006737F6">
      <w:pPr>
        <w:pStyle w:val="ListParagraph"/>
        <w:numPr>
          <w:ilvl w:val="0"/>
          <w:numId w:val="5"/>
        </w:numPr>
        <w:spacing w:line="360" w:lineRule="auto"/>
        <w:jc w:val="both"/>
        <w:rPr>
          <w:rFonts w:ascii="Calibri" w:hAnsi="Calibri" w:cs="Calibri"/>
          <w:sz w:val="28"/>
          <w:szCs w:val="28"/>
        </w:rPr>
      </w:pPr>
      <w:r w:rsidRPr="00B8077E">
        <w:rPr>
          <w:rFonts w:ascii="Calibri" w:hAnsi="Calibri" w:cs="Calibri"/>
          <w:sz w:val="28"/>
          <w:szCs w:val="28"/>
        </w:rPr>
        <w:t>Return on Equity (ROE)</w:t>
      </w:r>
    </w:p>
    <w:p w14:paraId="31360EBA"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lastRenderedPageBreak/>
        <w:t>Formula:</w:t>
      </w:r>
    </w:p>
    <w:p w14:paraId="01DFC765"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ROE=Net Income/ Shareholders’ Equity</w:t>
      </w:r>
    </w:p>
    <w:p w14:paraId="00F12EA9" w14:textId="77777777" w:rsidR="00474DEB" w:rsidRPr="00B8077E" w:rsidRDefault="00474DEB"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Hypothetical Data and Calculation:</w:t>
      </w:r>
    </w:p>
    <w:tbl>
      <w:tblPr>
        <w:tblStyle w:val="TableGrid"/>
        <w:tblW w:w="0" w:type="auto"/>
        <w:tblLook w:val="04A0" w:firstRow="1" w:lastRow="0" w:firstColumn="1" w:lastColumn="0" w:noHBand="0" w:noVBand="1"/>
      </w:tblPr>
      <w:tblGrid>
        <w:gridCol w:w="2330"/>
        <w:gridCol w:w="2332"/>
        <w:gridCol w:w="2336"/>
        <w:gridCol w:w="2332"/>
      </w:tblGrid>
      <w:tr w:rsidR="00474DEB" w:rsidRPr="00B8077E" w14:paraId="3EA13529" w14:textId="77777777" w:rsidTr="009128A5">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3F97A904"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383BE1F4"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Net Income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6C581CC3"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Shareholders’ Equity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0B545DDA"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ROE%</w:t>
            </w:r>
          </w:p>
        </w:tc>
      </w:tr>
      <w:tr w:rsidR="00474DEB" w:rsidRPr="00B8077E" w14:paraId="3C7F0A66" w14:textId="77777777" w:rsidTr="009128A5">
        <w:tc>
          <w:tcPr>
            <w:tcW w:w="2337" w:type="dxa"/>
            <w:tcBorders>
              <w:top w:val="single" w:sz="12" w:space="0" w:color="auto"/>
            </w:tcBorders>
          </w:tcPr>
          <w:p w14:paraId="49812BE1"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2023</w:t>
            </w:r>
          </w:p>
        </w:tc>
        <w:tc>
          <w:tcPr>
            <w:tcW w:w="2337" w:type="dxa"/>
            <w:tcBorders>
              <w:top w:val="single" w:sz="12" w:space="0" w:color="auto"/>
            </w:tcBorders>
          </w:tcPr>
          <w:p w14:paraId="7B7D233D"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2300</w:t>
            </w:r>
          </w:p>
        </w:tc>
        <w:tc>
          <w:tcPr>
            <w:tcW w:w="2338" w:type="dxa"/>
            <w:tcBorders>
              <w:top w:val="single" w:sz="12" w:space="0" w:color="auto"/>
            </w:tcBorders>
          </w:tcPr>
          <w:p w14:paraId="0ABDC676"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10000</w:t>
            </w:r>
          </w:p>
        </w:tc>
        <w:tc>
          <w:tcPr>
            <w:tcW w:w="2338" w:type="dxa"/>
            <w:tcBorders>
              <w:top w:val="single" w:sz="12" w:space="0" w:color="auto"/>
            </w:tcBorders>
          </w:tcPr>
          <w:p w14:paraId="2D73548A"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23.0</w:t>
            </w:r>
          </w:p>
        </w:tc>
      </w:tr>
      <w:tr w:rsidR="00474DEB" w:rsidRPr="00B8077E" w14:paraId="179F697E" w14:textId="77777777" w:rsidTr="009128A5">
        <w:tc>
          <w:tcPr>
            <w:tcW w:w="2337" w:type="dxa"/>
          </w:tcPr>
          <w:p w14:paraId="70BEC3D8"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2022</w:t>
            </w:r>
          </w:p>
        </w:tc>
        <w:tc>
          <w:tcPr>
            <w:tcW w:w="2337" w:type="dxa"/>
          </w:tcPr>
          <w:p w14:paraId="616C18AC"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2200</w:t>
            </w:r>
          </w:p>
        </w:tc>
        <w:tc>
          <w:tcPr>
            <w:tcW w:w="2338" w:type="dxa"/>
          </w:tcPr>
          <w:p w14:paraId="0AFB6B35"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9800</w:t>
            </w:r>
          </w:p>
        </w:tc>
        <w:tc>
          <w:tcPr>
            <w:tcW w:w="2338" w:type="dxa"/>
          </w:tcPr>
          <w:p w14:paraId="6A4C993B"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22.45</w:t>
            </w:r>
          </w:p>
        </w:tc>
      </w:tr>
      <w:tr w:rsidR="00474DEB" w:rsidRPr="00B8077E" w14:paraId="28BE41EA" w14:textId="77777777" w:rsidTr="009128A5">
        <w:tc>
          <w:tcPr>
            <w:tcW w:w="2337" w:type="dxa"/>
          </w:tcPr>
          <w:p w14:paraId="599EC051"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2021</w:t>
            </w:r>
          </w:p>
        </w:tc>
        <w:tc>
          <w:tcPr>
            <w:tcW w:w="2337" w:type="dxa"/>
          </w:tcPr>
          <w:p w14:paraId="3A44D072"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2100</w:t>
            </w:r>
          </w:p>
        </w:tc>
        <w:tc>
          <w:tcPr>
            <w:tcW w:w="2338" w:type="dxa"/>
          </w:tcPr>
          <w:p w14:paraId="7CFD8A44"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9500</w:t>
            </w:r>
          </w:p>
        </w:tc>
        <w:tc>
          <w:tcPr>
            <w:tcW w:w="2338" w:type="dxa"/>
          </w:tcPr>
          <w:p w14:paraId="25AE3F47"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22.11</w:t>
            </w:r>
          </w:p>
        </w:tc>
      </w:tr>
      <w:tr w:rsidR="00474DEB" w:rsidRPr="00B8077E" w14:paraId="40E73B57" w14:textId="77777777" w:rsidTr="009128A5">
        <w:tc>
          <w:tcPr>
            <w:tcW w:w="2337" w:type="dxa"/>
          </w:tcPr>
          <w:p w14:paraId="25F36D8D"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2020</w:t>
            </w:r>
          </w:p>
        </w:tc>
        <w:tc>
          <w:tcPr>
            <w:tcW w:w="2337" w:type="dxa"/>
          </w:tcPr>
          <w:p w14:paraId="06BE6EE7"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1900</w:t>
            </w:r>
          </w:p>
        </w:tc>
        <w:tc>
          <w:tcPr>
            <w:tcW w:w="2338" w:type="dxa"/>
          </w:tcPr>
          <w:p w14:paraId="52B13BA1"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9000</w:t>
            </w:r>
          </w:p>
        </w:tc>
        <w:tc>
          <w:tcPr>
            <w:tcW w:w="2338" w:type="dxa"/>
          </w:tcPr>
          <w:p w14:paraId="744973AA"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21.11</w:t>
            </w:r>
          </w:p>
        </w:tc>
      </w:tr>
      <w:tr w:rsidR="00474DEB" w:rsidRPr="00B8077E" w14:paraId="31D89F10" w14:textId="77777777" w:rsidTr="009128A5">
        <w:tc>
          <w:tcPr>
            <w:tcW w:w="2337" w:type="dxa"/>
          </w:tcPr>
          <w:p w14:paraId="01DC58BE"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2019</w:t>
            </w:r>
          </w:p>
        </w:tc>
        <w:tc>
          <w:tcPr>
            <w:tcW w:w="2337" w:type="dxa"/>
          </w:tcPr>
          <w:p w14:paraId="7D452638"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1800</w:t>
            </w:r>
          </w:p>
        </w:tc>
        <w:tc>
          <w:tcPr>
            <w:tcW w:w="2338" w:type="dxa"/>
          </w:tcPr>
          <w:p w14:paraId="60D83133"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8500</w:t>
            </w:r>
          </w:p>
        </w:tc>
        <w:tc>
          <w:tcPr>
            <w:tcW w:w="2338" w:type="dxa"/>
          </w:tcPr>
          <w:p w14:paraId="60E44FDC"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21.18</w:t>
            </w:r>
          </w:p>
        </w:tc>
      </w:tr>
    </w:tbl>
    <w:p w14:paraId="5E5AF11E" w14:textId="77777777" w:rsidR="007E212C" w:rsidRPr="00B8077E" w:rsidRDefault="007E212C" w:rsidP="006737F6">
      <w:pPr>
        <w:spacing w:line="360" w:lineRule="auto"/>
        <w:jc w:val="both"/>
        <w:rPr>
          <w:rFonts w:ascii="Calibri" w:hAnsi="Calibri" w:cs="Calibri"/>
          <w:sz w:val="28"/>
          <w:szCs w:val="28"/>
        </w:rPr>
      </w:pPr>
    </w:p>
    <w:p w14:paraId="61E0F09A" w14:textId="77777777" w:rsidR="00474DEB" w:rsidRPr="00B8077E" w:rsidRDefault="00474DEB"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Interpretation:</w:t>
      </w:r>
    </w:p>
    <w:p w14:paraId="0D7B2295" w14:textId="77777777" w:rsidR="00CC7BB6"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Toyota’s level of ROE is high and rising, thus showing the company’s excellent efficiency in the creation of the returns on shareholders’ equity. Higher ROE indicate efficient employ of equity funds in business therefore it is favorable.</w:t>
      </w:r>
    </w:p>
    <w:p w14:paraId="47EA716A" w14:textId="77777777" w:rsidR="00474DEB" w:rsidRPr="00B8077E" w:rsidRDefault="00474DEB" w:rsidP="006737F6">
      <w:pPr>
        <w:pStyle w:val="ListParagraph"/>
        <w:numPr>
          <w:ilvl w:val="0"/>
          <w:numId w:val="5"/>
        </w:numPr>
        <w:spacing w:line="360" w:lineRule="auto"/>
        <w:jc w:val="both"/>
        <w:rPr>
          <w:rFonts w:ascii="Calibri" w:hAnsi="Calibri" w:cs="Calibri"/>
          <w:sz w:val="28"/>
          <w:szCs w:val="28"/>
        </w:rPr>
      </w:pPr>
      <w:r w:rsidRPr="00B8077E">
        <w:rPr>
          <w:rFonts w:ascii="Calibri" w:hAnsi="Calibri" w:cs="Calibri"/>
          <w:sz w:val="28"/>
          <w:szCs w:val="28"/>
        </w:rPr>
        <w:t>Gross Profit Margin</w:t>
      </w:r>
    </w:p>
    <w:p w14:paraId="080DCDB2"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Formula:</w:t>
      </w:r>
    </w:p>
    <w:p w14:paraId="1498E582" w14:textId="77777777" w:rsidR="00474DEB" w:rsidRPr="00B8077E" w:rsidRDefault="00474DEB" w:rsidP="006737F6">
      <w:pPr>
        <w:spacing w:line="360" w:lineRule="auto"/>
        <w:jc w:val="both"/>
        <w:rPr>
          <w:rFonts w:ascii="Calibri" w:hAnsi="Calibri" w:cs="Calibri"/>
          <w:sz w:val="28"/>
          <w:szCs w:val="28"/>
        </w:rPr>
      </w:pPr>
      <w:r w:rsidRPr="00B8077E">
        <w:rPr>
          <w:rFonts w:ascii="Calibri" w:hAnsi="Calibri" w:cs="Calibri"/>
          <w:sz w:val="28"/>
          <w:szCs w:val="28"/>
        </w:rPr>
        <w:t>Gross Profit Margin= Gross Profit/ Revenue</w:t>
      </w:r>
    </w:p>
    <w:p w14:paraId="48A95669" w14:textId="77777777" w:rsidR="007E212C" w:rsidRPr="00B8077E" w:rsidRDefault="00474DEB"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Hypothetical Data and Calculation:</w:t>
      </w:r>
    </w:p>
    <w:tbl>
      <w:tblPr>
        <w:tblStyle w:val="TableGrid"/>
        <w:tblW w:w="0" w:type="auto"/>
        <w:tblLook w:val="04A0" w:firstRow="1" w:lastRow="0" w:firstColumn="1" w:lastColumn="0" w:noHBand="0" w:noVBand="1"/>
      </w:tblPr>
      <w:tblGrid>
        <w:gridCol w:w="2331"/>
        <w:gridCol w:w="2332"/>
        <w:gridCol w:w="2334"/>
        <w:gridCol w:w="2333"/>
      </w:tblGrid>
      <w:tr w:rsidR="009128A5" w:rsidRPr="00B8077E" w14:paraId="3341563F" w14:textId="77777777" w:rsidTr="009128A5">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2364DE1A"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6FA94AC2"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Gross Profit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4CA5E0F9"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Revenue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12B48AE6"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Gross Profit Margin (%)</w:t>
            </w:r>
          </w:p>
        </w:tc>
      </w:tr>
      <w:tr w:rsidR="009128A5" w:rsidRPr="00B8077E" w14:paraId="71F44AE6" w14:textId="77777777" w:rsidTr="009128A5">
        <w:tc>
          <w:tcPr>
            <w:tcW w:w="2337" w:type="dxa"/>
            <w:tcBorders>
              <w:top w:val="single" w:sz="12" w:space="0" w:color="auto"/>
            </w:tcBorders>
          </w:tcPr>
          <w:p w14:paraId="6C968DAB"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lastRenderedPageBreak/>
              <w:t>2023</w:t>
            </w:r>
          </w:p>
        </w:tc>
        <w:tc>
          <w:tcPr>
            <w:tcW w:w="2337" w:type="dxa"/>
            <w:tcBorders>
              <w:top w:val="single" w:sz="12" w:space="0" w:color="auto"/>
            </w:tcBorders>
          </w:tcPr>
          <w:p w14:paraId="66C5D0B4"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4500</w:t>
            </w:r>
          </w:p>
        </w:tc>
        <w:tc>
          <w:tcPr>
            <w:tcW w:w="2338" w:type="dxa"/>
            <w:tcBorders>
              <w:top w:val="single" w:sz="12" w:space="0" w:color="auto"/>
            </w:tcBorders>
          </w:tcPr>
          <w:p w14:paraId="4DE485B2"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30000</w:t>
            </w:r>
          </w:p>
        </w:tc>
        <w:tc>
          <w:tcPr>
            <w:tcW w:w="2338" w:type="dxa"/>
            <w:tcBorders>
              <w:top w:val="single" w:sz="12" w:space="0" w:color="auto"/>
            </w:tcBorders>
          </w:tcPr>
          <w:p w14:paraId="52E9E49D"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15.1</w:t>
            </w:r>
          </w:p>
        </w:tc>
      </w:tr>
      <w:tr w:rsidR="009128A5" w:rsidRPr="00B8077E" w14:paraId="28F63EE0" w14:textId="77777777" w:rsidTr="009128A5">
        <w:tc>
          <w:tcPr>
            <w:tcW w:w="2337" w:type="dxa"/>
          </w:tcPr>
          <w:p w14:paraId="43EA6106"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2022</w:t>
            </w:r>
          </w:p>
        </w:tc>
        <w:tc>
          <w:tcPr>
            <w:tcW w:w="2337" w:type="dxa"/>
          </w:tcPr>
          <w:p w14:paraId="11990C9B"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4400</w:t>
            </w:r>
          </w:p>
        </w:tc>
        <w:tc>
          <w:tcPr>
            <w:tcW w:w="2338" w:type="dxa"/>
          </w:tcPr>
          <w:p w14:paraId="37855F97"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29000</w:t>
            </w:r>
          </w:p>
        </w:tc>
        <w:tc>
          <w:tcPr>
            <w:tcW w:w="2338" w:type="dxa"/>
          </w:tcPr>
          <w:p w14:paraId="12B0F010"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15.17</w:t>
            </w:r>
          </w:p>
        </w:tc>
      </w:tr>
      <w:tr w:rsidR="009128A5" w:rsidRPr="00B8077E" w14:paraId="71F5D284" w14:textId="77777777" w:rsidTr="009128A5">
        <w:tc>
          <w:tcPr>
            <w:tcW w:w="2337" w:type="dxa"/>
          </w:tcPr>
          <w:p w14:paraId="09D6DF89"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2021</w:t>
            </w:r>
          </w:p>
        </w:tc>
        <w:tc>
          <w:tcPr>
            <w:tcW w:w="2337" w:type="dxa"/>
          </w:tcPr>
          <w:p w14:paraId="134A3B2D"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4200</w:t>
            </w:r>
          </w:p>
        </w:tc>
        <w:tc>
          <w:tcPr>
            <w:tcW w:w="2338" w:type="dxa"/>
          </w:tcPr>
          <w:p w14:paraId="21CCEDDD"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28500</w:t>
            </w:r>
          </w:p>
        </w:tc>
        <w:tc>
          <w:tcPr>
            <w:tcW w:w="2338" w:type="dxa"/>
          </w:tcPr>
          <w:p w14:paraId="4DCDF9D2"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14.74</w:t>
            </w:r>
          </w:p>
        </w:tc>
      </w:tr>
      <w:tr w:rsidR="009128A5" w:rsidRPr="00B8077E" w14:paraId="07292E81" w14:textId="77777777" w:rsidTr="009128A5">
        <w:tc>
          <w:tcPr>
            <w:tcW w:w="2337" w:type="dxa"/>
          </w:tcPr>
          <w:p w14:paraId="7E99FB00"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2020</w:t>
            </w:r>
          </w:p>
        </w:tc>
        <w:tc>
          <w:tcPr>
            <w:tcW w:w="2337" w:type="dxa"/>
          </w:tcPr>
          <w:p w14:paraId="743F2250"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4000</w:t>
            </w:r>
          </w:p>
        </w:tc>
        <w:tc>
          <w:tcPr>
            <w:tcW w:w="2338" w:type="dxa"/>
          </w:tcPr>
          <w:p w14:paraId="351445E2"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27500</w:t>
            </w:r>
          </w:p>
        </w:tc>
        <w:tc>
          <w:tcPr>
            <w:tcW w:w="2338" w:type="dxa"/>
          </w:tcPr>
          <w:p w14:paraId="65C9BB74"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14.55</w:t>
            </w:r>
          </w:p>
        </w:tc>
      </w:tr>
      <w:tr w:rsidR="009128A5" w:rsidRPr="00B8077E" w14:paraId="76695C20" w14:textId="77777777" w:rsidTr="009128A5">
        <w:tc>
          <w:tcPr>
            <w:tcW w:w="2337" w:type="dxa"/>
          </w:tcPr>
          <w:p w14:paraId="51E9CAC7"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2019</w:t>
            </w:r>
          </w:p>
        </w:tc>
        <w:tc>
          <w:tcPr>
            <w:tcW w:w="2337" w:type="dxa"/>
          </w:tcPr>
          <w:p w14:paraId="11150BD0"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3800</w:t>
            </w:r>
          </w:p>
        </w:tc>
        <w:tc>
          <w:tcPr>
            <w:tcW w:w="2338" w:type="dxa"/>
          </w:tcPr>
          <w:p w14:paraId="6F72E408"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26000</w:t>
            </w:r>
          </w:p>
        </w:tc>
        <w:tc>
          <w:tcPr>
            <w:tcW w:w="2338" w:type="dxa"/>
          </w:tcPr>
          <w:p w14:paraId="25A2ECF6"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14.62</w:t>
            </w:r>
          </w:p>
        </w:tc>
      </w:tr>
    </w:tbl>
    <w:p w14:paraId="430031C2" w14:textId="77777777" w:rsidR="009128A5" w:rsidRPr="00B8077E" w:rsidRDefault="009128A5" w:rsidP="006737F6">
      <w:pPr>
        <w:spacing w:line="360" w:lineRule="auto"/>
        <w:jc w:val="both"/>
        <w:rPr>
          <w:rFonts w:ascii="Calibri" w:hAnsi="Calibri" w:cs="Calibri"/>
          <w:sz w:val="28"/>
          <w:szCs w:val="28"/>
        </w:rPr>
      </w:pPr>
    </w:p>
    <w:p w14:paraId="7981BC4F" w14:textId="77777777" w:rsidR="009128A5" w:rsidRPr="00B8077E" w:rsidRDefault="009128A5"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Interpretation:</w:t>
      </w:r>
    </w:p>
    <w:p w14:paraId="012224EE" w14:textId="77777777" w:rsidR="009128A5"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The gross profit margin gives an insight on the extent to which Toyota controls its cost of production. Persistence at a certain level shows management ability of costs and overall pricing strategies.</w:t>
      </w:r>
    </w:p>
    <w:p w14:paraId="15EF6640" w14:textId="77777777" w:rsidR="009128A5" w:rsidRPr="00B8077E" w:rsidRDefault="009128A5" w:rsidP="006737F6">
      <w:pPr>
        <w:pStyle w:val="ListParagraph"/>
        <w:numPr>
          <w:ilvl w:val="0"/>
          <w:numId w:val="5"/>
        </w:numPr>
        <w:spacing w:line="360" w:lineRule="auto"/>
        <w:jc w:val="both"/>
        <w:rPr>
          <w:rFonts w:ascii="Calibri" w:hAnsi="Calibri" w:cs="Calibri"/>
          <w:sz w:val="28"/>
          <w:szCs w:val="28"/>
        </w:rPr>
      </w:pPr>
      <w:r w:rsidRPr="00B8077E">
        <w:rPr>
          <w:rFonts w:ascii="Calibri" w:hAnsi="Calibri" w:cs="Calibri"/>
          <w:sz w:val="28"/>
          <w:szCs w:val="28"/>
        </w:rPr>
        <w:t>Liquidity Ratios</w:t>
      </w:r>
    </w:p>
    <w:p w14:paraId="1C326A0A" w14:textId="77777777" w:rsidR="009128A5" w:rsidRPr="00B8077E" w:rsidRDefault="009128A5"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Current Ratio</w:t>
      </w:r>
    </w:p>
    <w:p w14:paraId="551AB6DE"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Formula:</w:t>
      </w:r>
    </w:p>
    <w:p w14:paraId="7CE651CD"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Current Ratio=Current Assets/Current Liabilities</w:t>
      </w:r>
    </w:p>
    <w:p w14:paraId="2ADD2441" w14:textId="77777777" w:rsidR="009128A5" w:rsidRPr="00B8077E" w:rsidRDefault="009128A5"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Hypothetical Data and Calculation:</w:t>
      </w:r>
    </w:p>
    <w:tbl>
      <w:tblPr>
        <w:tblStyle w:val="TableGrid"/>
        <w:tblW w:w="0" w:type="auto"/>
        <w:tblLook w:val="04A0" w:firstRow="1" w:lastRow="0" w:firstColumn="1" w:lastColumn="0" w:noHBand="0" w:noVBand="1"/>
      </w:tblPr>
      <w:tblGrid>
        <w:gridCol w:w="2331"/>
        <w:gridCol w:w="2332"/>
        <w:gridCol w:w="2334"/>
        <w:gridCol w:w="2333"/>
      </w:tblGrid>
      <w:tr w:rsidR="009128A5" w:rsidRPr="00B8077E" w14:paraId="1E7B270E" w14:textId="77777777" w:rsidTr="009128A5">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00C491FB"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1020FEC9"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Current Assets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5CDB2C20"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Current Liabilities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5F38BB6D"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Current Ratio</w:t>
            </w:r>
          </w:p>
        </w:tc>
      </w:tr>
      <w:tr w:rsidR="009128A5" w:rsidRPr="00B8077E" w14:paraId="25C17116" w14:textId="77777777" w:rsidTr="009128A5">
        <w:tc>
          <w:tcPr>
            <w:tcW w:w="2337" w:type="dxa"/>
            <w:tcBorders>
              <w:top w:val="single" w:sz="12" w:space="0" w:color="auto"/>
            </w:tcBorders>
          </w:tcPr>
          <w:p w14:paraId="7596117C"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2023</w:t>
            </w:r>
          </w:p>
        </w:tc>
        <w:tc>
          <w:tcPr>
            <w:tcW w:w="2337" w:type="dxa"/>
            <w:tcBorders>
              <w:top w:val="single" w:sz="12" w:space="0" w:color="auto"/>
            </w:tcBorders>
          </w:tcPr>
          <w:p w14:paraId="1929B43E"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6000</w:t>
            </w:r>
          </w:p>
        </w:tc>
        <w:tc>
          <w:tcPr>
            <w:tcW w:w="2338" w:type="dxa"/>
            <w:tcBorders>
              <w:top w:val="single" w:sz="12" w:space="0" w:color="auto"/>
            </w:tcBorders>
          </w:tcPr>
          <w:p w14:paraId="6FF45B1A"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3000</w:t>
            </w:r>
          </w:p>
        </w:tc>
        <w:tc>
          <w:tcPr>
            <w:tcW w:w="2338" w:type="dxa"/>
            <w:tcBorders>
              <w:top w:val="single" w:sz="12" w:space="0" w:color="auto"/>
            </w:tcBorders>
          </w:tcPr>
          <w:p w14:paraId="0C57F793"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w:t>
            </w:r>
          </w:p>
        </w:tc>
      </w:tr>
      <w:tr w:rsidR="009128A5" w:rsidRPr="00B8077E" w14:paraId="0A64984C" w14:textId="77777777" w:rsidTr="009128A5">
        <w:tc>
          <w:tcPr>
            <w:tcW w:w="2337" w:type="dxa"/>
          </w:tcPr>
          <w:p w14:paraId="091C12B1"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2022</w:t>
            </w:r>
          </w:p>
        </w:tc>
        <w:tc>
          <w:tcPr>
            <w:tcW w:w="2337" w:type="dxa"/>
          </w:tcPr>
          <w:p w14:paraId="1505BE89"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5800</w:t>
            </w:r>
          </w:p>
        </w:tc>
        <w:tc>
          <w:tcPr>
            <w:tcW w:w="2338" w:type="dxa"/>
          </w:tcPr>
          <w:p w14:paraId="186B4405"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2900</w:t>
            </w:r>
          </w:p>
        </w:tc>
        <w:tc>
          <w:tcPr>
            <w:tcW w:w="2338" w:type="dxa"/>
          </w:tcPr>
          <w:p w14:paraId="661D3AC6"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w:t>
            </w:r>
          </w:p>
        </w:tc>
      </w:tr>
      <w:tr w:rsidR="009128A5" w:rsidRPr="00B8077E" w14:paraId="03A2F6BC" w14:textId="77777777" w:rsidTr="009128A5">
        <w:tc>
          <w:tcPr>
            <w:tcW w:w="2337" w:type="dxa"/>
          </w:tcPr>
          <w:p w14:paraId="50335155"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2021</w:t>
            </w:r>
          </w:p>
        </w:tc>
        <w:tc>
          <w:tcPr>
            <w:tcW w:w="2337" w:type="dxa"/>
          </w:tcPr>
          <w:p w14:paraId="5BC40CC8"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5600</w:t>
            </w:r>
          </w:p>
        </w:tc>
        <w:tc>
          <w:tcPr>
            <w:tcW w:w="2338" w:type="dxa"/>
          </w:tcPr>
          <w:p w14:paraId="0B2B4BDF"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2800</w:t>
            </w:r>
          </w:p>
        </w:tc>
        <w:tc>
          <w:tcPr>
            <w:tcW w:w="2338" w:type="dxa"/>
          </w:tcPr>
          <w:p w14:paraId="170A5D1E"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w:t>
            </w:r>
          </w:p>
        </w:tc>
      </w:tr>
      <w:tr w:rsidR="009128A5" w:rsidRPr="00B8077E" w14:paraId="1E54F8AF" w14:textId="77777777" w:rsidTr="009128A5">
        <w:tc>
          <w:tcPr>
            <w:tcW w:w="2337" w:type="dxa"/>
          </w:tcPr>
          <w:p w14:paraId="1DE02B91"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2020</w:t>
            </w:r>
          </w:p>
        </w:tc>
        <w:tc>
          <w:tcPr>
            <w:tcW w:w="2337" w:type="dxa"/>
          </w:tcPr>
          <w:p w14:paraId="3BF42607"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5400</w:t>
            </w:r>
          </w:p>
        </w:tc>
        <w:tc>
          <w:tcPr>
            <w:tcW w:w="2338" w:type="dxa"/>
          </w:tcPr>
          <w:p w14:paraId="2063B7E8"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2700</w:t>
            </w:r>
          </w:p>
        </w:tc>
        <w:tc>
          <w:tcPr>
            <w:tcW w:w="2338" w:type="dxa"/>
          </w:tcPr>
          <w:p w14:paraId="2C92FF32"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w:t>
            </w:r>
          </w:p>
        </w:tc>
      </w:tr>
      <w:tr w:rsidR="009128A5" w:rsidRPr="00B8077E" w14:paraId="71A8F6D4" w14:textId="77777777" w:rsidTr="009128A5">
        <w:tc>
          <w:tcPr>
            <w:tcW w:w="2337" w:type="dxa"/>
          </w:tcPr>
          <w:p w14:paraId="3CD50B0B"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2019</w:t>
            </w:r>
          </w:p>
        </w:tc>
        <w:tc>
          <w:tcPr>
            <w:tcW w:w="2337" w:type="dxa"/>
          </w:tcPr>
          <w:p w14:paraId="54158B0C"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5200</w:t>
            </w:r>
          </w:p>
        </w:tc>
        <w:tc>
          <w:tcPr>
            <w:tcW w:w="2338" w:type="dxa"/>
          </w:tcPr>
          <w:p w14:paraId="59843455"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2600</w:t>
            </w:r>
          </w:p>
        </w:tc>
        <w:tc>
          <w:tcPr>
            <w:tcW w:w="2338" w:type="dxa"/>
          </w:tcPr>
          <w:p w14:paraId="3FD88D13"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w:t>
            </w:r>
          </w:p>
        </w:tc>
      </w:tr>
    </w:tbl>
    <w:p w14:paraId="7A12168D" w14:textId="77777777" w:rsidR="009128A5" w:rsidRPr="00B8077E" w:rsidRDefault="009128A5" w:rsidP="006737F6">
      <w:pPr>
        <w:spacing w:line="360" w:lineRule="auto"/>
        <w:jc w:val="both"/>
        <w:rPr>
          <w:rFonts w:ascii="Calibri" w:hAnsi="Calibri" w:cs="Calibri"/>
          <w:sz w:val="28"/>
          <w:szCs w:val="28"/>
        </w:rPr>
      </w:pPr>
    </w:p>
    <w:p w14:paraId="22F82306" w14:textId="77777777" w:rsidR="009128A5" w:rsidRPr="00B8077E" w:rsidRDefault="009128A5"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Interpretation:</w:t>
      </w:r>
    </w:p>
    <w:p w14:paraId="24646424" w14:textId="77777777" w:rsidR="009128A5"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Current ratio of 2:1. And a value of 0 reveals Toyota’s effectiveness of matching short-term assets to short-term liabilities. This measure of liquidity is usually regarded as a sound level or in other words, it is within the desirable range.</w:t>
      </w:r>
    </w:p>
    <w:p w14:paraId="3A626D14" w14:textId="77777777" w:rsidR="009128A5" w:rsidRPr="00B8077E" w:rsidRDefault="009128A5" w:rsidP="006737F6">
      <w:pPr>
        <w:pStyle w:val="ListParagraph"/>
        <w:numPr>
          <w:ilvl w:val="0"/>
          <w:numId w:val="5"/>
        </w:numPr>
        <w:spacing w:line="360" w:lineRule="auto"/>
        <w:jc w:val="both"/>
        <w:rPr>
          <w:rFonts w:ascii="Calibri" w:hAnsi="Calibri" w:cs="Calibri"/>
          <w:sz w:val="28"/>
          <w:szCs w:val="28"/>
        </w:rPr>
      </w:pPr>
      <w:r w:rsidRPr="00B8077E">
        <w:rPr>
          <w:rFonts w:ascii="Calibri" w:hAnsi="Calibri" w:cs="Calibri"/>
          <w:sz w:val="28"/>
          <w:szCs w:val="28"/>
        </w:rPr>
        <w:t>Quick Ratio</w:t>
      </w:r>
    </w:p>
    <w:p w14:paraId="6CFF745A"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Formula:</w:t>
      </w:r>
    </w:p>
    <w:p w14:paraId="1F1F839A"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Quick Ratio=Current Assets−Inventory/Current Liabilities</w:t>
      </w:r>
    </w:p>
    <w:p w14:paraId="17087BCC" w14:textId="77777777" w:rsidR="007E212C" w:rsidRPr="00B8077E" w:rsidRDefault="009128A5"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Hypothetical Data and Calculation:</w:t>
      </w:r>
    </w:p>
    <w:tbl>
      <w:tblPr>
        <w:tblStyle w:val="TableGrid"/>
        <w:tblW w:w="0" w:type="auto"/>
        <w:tblLook w:val="04A0" w:firstRow="1" w:lastRow="0" w:firstColumn="1" w:lastColumn="0" w:noHBand="0" w:noVBand="1"/>
      </w:tblPr>
      <w:tblGrid>
        <w:gridCol w:w="1776"/>
        <w:gridCol w:w="2002"/>
        <w:gridCol w:w="2143"/>
        <w:gridCol w:w="2002"/>
        <w:gridCol w:w="1363"/>
      </w:tblGrid>
      <w:tr w:rsidR="009128A5" w:rsidRPr="00B8077E" w14:paraId="4E3E3D57" w14:textId="77777777" w:rsidTr="009128A5">
        <w:trPr>
          <w:trHeight w:val="634"/>
        </w:trPr>
        <w:tc>
          <w:tcPr>
            <w:tcW w:w="1776" w:type="dxa"/>
            <w:tcBorders>
              <w:top w:val="single" w:sz="12" w:space="0" w:color="auto"/>
              <w:left w:val="single" w:sz="12" w:space="0" w:color="auto"/>
              <w:bottom w:val="single" w:sz="12" w:space="0" w:color="auto"/>
              <w:right w:val="single" w:sz="12" w:space="0" w:color="auto"/>
            </w:tcBorders>
            <w:shd w:val="clear" w:color="auto" w:fill="CF7133" w:themeFill="accent6"/>
          </w:tcPr>
          <w:p w14:paraId="3B81F436"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002" w:type="dxa"/>
            <w:tcBorders>
              <w:top w:val="single" w:sz="12" w:space="0" w:color="auto"/>
              <w:left w:val="single" w:sz="12" w:space="0" w:color="auto"/>
              <w:bottom w:val="single" w:sz="12" w:space="0" w:color="auto"/>
              <w:right w:val="single" w:sz="12" w:space="0" w:color="auto"/>
            </w:tcBorders>
            <w:shd w:val="clear" w:color="auto" w:fill="CF7133" w:themeFill="accent6"/>
          </w:tcPr>
          <w:p w14:paraId="038290D1"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Current Assets (¥B)</w:t>
            </w:r>
          </w:p>
        </w:tc>
        <w:tc>
          <w:tcPr>
            <w:tcW w:w="2143" w:type="dxa"/>
            <w:tcBorders>
              <w:top w:val="single" w:sz="12" w:space="0" w:color="auto"/>
              <w:left w:val="single" w:sz="12" w:space="0" w:color="auto"/>
              <w:bottom w:val="single" w:sz="12" w:space="0" w:color="auto"/>
              <w:right w:val="single" w:sz="12" w:space="0" w:color="auto"/>
            </w:tcBorders>
            <w:shd w:val="clear" w:color="auto" w:fill="CF7133" w:themeFill="accent6"/>
          </w:tcPr>
          <w:p w14:paraId="42FA4332"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Inventory (¥B)</w:t>
            </w:r>
          </w:p>
        </w:tc>
        <w:tc>
          <w:tcPr>
            <w:tcW w:w="2002" w:type="dxa"/>
            <w:tcBorders>
              <w:top w:val="single" w:sz="12" w:space="0" w:color="auto"/>
              <w:left w:val="single" w:sz="12" w:space="0" w:color="auto"/>
              <w:bottom w:val="single" w:sz="12" w:space="0" w:color="auto"/>
              <w:right w:val="single" w:sz="12" w:space="0" w:color="auto"/>
            </w:tcBorders>
            <w:shd w:val="clear" w:color="auto" w:fill="CF7133" w:themeFill="accent6"/>
          </w:tcPr>
          <w:p w14:paraId="15F0A185"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Current Liabilities (¥B)</w:t>
            </w:r>
          </w:p>
        </w:tc>
        <w:tc>
          <w:tcPr>
            <w:tcW w:w="1363" w:type="dxa"/>
            <w:tcBorders>
              <w:top w:val="single" w:sz="12" w:space="0" w:color="auto"/>
              <w:left w:val="single" w:sz="12" w:space="0" w:color="auto"/>
              <w:bottom w:val="single" w:sz="12" w:space="0" w:color="auto"/>
              <w:right w:val="single" w:sz="12" w:space="0" w:color="auto"/>
            </w:tcBorders>
            <w:shd w:val="clear" w:color="auto" w:fill="CF7133" w:themeFill="accent6"/>
          </w:tcPr>
          <w:p w14:paraId="4B712250"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Quick Ratio</w:t>
            </w:r>
          </w:p>
        </w:tc>
      </w:tr>
      <w:tr w:rsidR="009128A5" w:rsidRPr="00B8077E" w14:paraId="23191872" w14:textId="77777777" w:rsidTr="009128A5">
        <w:trPr>
          <w:trHeight w:val="317"/>
        </w:trPr>
        <w:tc>
          <w:tcPr>
            <w:tcW w:w="1776" w:type="dxa"/>
            <w:tcBorders>
              <w:top w:val="single" w:sz="12" w:space="0" w:color="auto"/>
            </w:tcBorders>
          </w:tcPr>
          <w:p w14:paraId="44C40A1F"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2023</w:t>
            </w:r>
          </w:p>
        </w:tc>
        <w:tc>
          <w:tcPr>
            <w:tcW w:w="2002" w:type="dxa"/>
            <w:tcBorders>
              <w:top w:val="single" w:sz="12" w:space="0" w:color="auto"/>
            </w:tcBorders>
          </w:tcPr>
          <w:p w14:paraId="2FC52719"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6000</w:t>
            </w:r>
          </w:p>
        </w:tc>
        <w:tc>
          <w:tcPr>
            <w:tcW w:w="2143" w:type="dxa"/>
            <w:tcBorders>
              <w:top w:val="single" w:sz="12" w:space="0" w:color="auto"/>
            </w:tcBorders>
          </w:tcPr>
          <w:p w14:paraId="3979A9C6" w14:textId="77777777" w:rsidR="009128A5"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w:t>
            </w:r>
            <w:r w:rsidR="009128A5" w:rsidRPr="00B8077E">
              <w:rPr>
                <w:rFonts w:ascii="Calibri" w:hAnsi="Calibri" w:cs="Calibri"/>
                <w:sz w:val="28"/>
                <w:szCs w:val="28"/>
              </w:rPr>
              <w:t>000</w:t>
            </w:r>
          </w:p>
        </w:tc>
        <w:tc>
          <w:tcPr>
            <w:tcW w:w="2002" w:type="dxa"/>
            <w:tcBorders>
              <w:top w:val="single" w:sz="12" w:space="0" w:color="auto"/>
            </w:tcBorders>
          </w:tcPr>
          <w:p w14:paraId="0B72D38B" w14:textId="77777777" w:rsidR="009128A5"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3000</w:t>
            </w:r>
          </w:p>
        </w:tc>
        <w:tc>
          <w:tcPr>
            <w:tcW w:w="1363" w:type="dxa"/>
            <w:tcBorders>
              <w:top w:val="single" w:sz="12" w:space="0" w:color="auto"/>
            </w:tcBorders>
          </w:tcPr>
          <w:p w14:paraId="4F2A4154"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1.33</w:t>
            </w:r>
          </w:p>
        </w:tc>
      </w:tr>
      <w:tr w:rsidR="009128A5" w:rsidRPr="00B8077E" w14:paraId="10655CFF" w14:textId="77777777" w:rsidTr="009128A5">
        <w:trPr>
          <w:trHeight w:val="299"/>
        </w:trPr>
        <w:tc>
          <w:tcPr>
            <w:tcW w:w="1776" w:type="dxa"/>
          </w:tcPr>
          <w:p w14:paraId="14CB9A98"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2022</w:t>
            </w:r>
          </w:p>
        </w:tc>
        <w:tc>
          <w:tcPr>
            <w:tcW w:w="2002" w:type="dxa"/>
          </w:tcPr>
          <w:p w14:paraId="61F67024"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5800</w:t>
            </w:r>
          </w:p>
        </w:tc>
        <w:tc>
          <w:tcPr>
            <w:tcW w:w="2143" w:type="dxa"/>
          </w:tcPr>
          <w:p w14:paraId="4638F463" w14:textId="77777777" w:rsidR="009128A5"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w:t>
            </w:r>
            <w:r w:rsidR="009128A5" w:rsidRPr="00B8077E">
              <w:rPr>
                <w:rFonts w:ascii="Calibri" w:hAnsi="Calibri" w:cs="Calibri"/>
                <w:sz w:val="28"/>
                <w:szCs w:val="28"/>
              </w:rPr>
              <w:t>900</w:t>
            </w:r>
          </w:p>
        </w:tc>
        <w:tc>
          <w:tcPr>
            <w:tcW w:w="2002" w:type="dxa"/>
          </w:tcPr>
          <w:p w14:paraId="1204559B" w14:textId="77777777" w:rsidR="009128A5"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2900</w:t>
            </w:r>
          </w:p>
        </w:tc>
        <w:tc>
          <w:tcPr>
            <w:tcW w:w="1363" w:type="dxa"/>
          </w:tcPr>
          <w:p w14:paraId="4B54D467"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1.34</w:t>
            </w:r>
          </w:p>
        </w:tc>
      </w:tr>
      <w:tr w:rsidR="009128A5" w:rsidRPr="00B8077E" w14:paraId="46CCD420" w14:textId="77777777" w:rsidTr="009128A5">
        <w:trPr>
          <w:trHeight w:val="317"/>
        </w:trPr>
        <w:tc>
          <w:tcPr>
            <w:tcW w:w="1776" w:type="dxa"/>
          </w:tcPr>
          <w:p w14:paraId="1BAD537E"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2021</w:t>
            </w:r>
          </w:p>
        </w:tc>
        <w:tc>
          <w:tcPr>
            <w:tcW w:w="2002" w:type="dxa"/>
          </w:tcPr>
          <w:p w14:paraId="6368CCBB"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5600</w:t>
            </w:r>
          </w:p>
        </w:tc>
        <w:tc>
          <w:tcPr>
            <w:tcW w:w="2143" w:type="dxa"/>
          </w:tcPr>
          <w:p w14:paraId="46831878" w14:textId="77777777" w:rsidR="009128A5"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w:t>
            </w:r>
            <w:r w:rsidR="009128A5" w:rsidRPr="00B8077E">
              <w:rPr>
                <w:rFonts w:ascii="Calibri" w:hAnsi="Calibri" w:cs="Calibri"/>
                <w:sz w:val="28"/>
                <w:szCs w:val="28"/>
              </w:rPr>
              <w:t>800</w:t>
            </w:r>
          </w:p>
        </w:tc>
        <w:tc>
          <w:tcPr>
            <w:tcW w:w="2002" w:type="dxa"/>
          </w:tcPr>
          <w:p w14:paraId="2E4E9B12" w14:textId="77777777" w:rsidR="009128A5"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2800</w:t>
            </w:r>
          </w:p>
        </w:tc>
        <w:tc>
          <w:tcPr>
            <w:tcW w:w="1363" w:type="dxa"/>
          </w:tcPr>
          <w:p w14:paraId="189FD576"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1.36</w:t>
            </w:r>
          </w:p>
        </w:tc>
      </w:tr>
      <w:tr w:rsidR="009128A5" w:rsidRPr="00B8077E" w14:paraId="4369BE96" w14:textId="77777777" w:rsidTr="009128A5">
        <w:trPr>
          <w:trHeight w:val="299"/>
        </w:trPr>
        <w:tc>
          <w:tcPr>
            <w:tcW w:w="1776" w:type="dxa"/>
          </w:tcPr>
          <w:p w14:paraId="3AF2BBAC"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2020</w:t>
            </w:r>
          </w:p>
        </w:tc>
        <w:tc>
          <w:tcPr>
            <w:tcW w:w="2002" w:type="dxa"/>
          </w:tcPr>
          <w:p w14:paraId="0D168C7B"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5400</w:t>
            </w:r>
          </w:p>
        </w:tc>
        <w:tc>
          <w:tcPr>
            <w:tcW w:w="2143" w:type="dxa"/>
          </w:tcPr>
          <w:p w14:paraId="3517F9BD" w14:textId="77777777" w:rsidR="009128A5"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w:t>
            </w:r>
            <w:r w:rsidR="009128A5" w:rsidRPr="00B8077E">
              <w:rPr>
                <w:rFonts w:ascii="Calibri" w:hAnsi="Calibri" w:cs="Calibri"/>
                <w:sz w:val="28"/>
                <w:szCs w:val="28"/>
              </w:rPr>
              <w:t>700</w:t>
            </w:r>
          </w:p>
        </w:tc>
        <w:tc>
          <w:tcPr>
            <w:tcW w:w="2002" w:type="dxa"/>
          </w:tcPr>
          <w:p w14:paraId="73D4A432" w14:textId="77777777" w:rsidR="009128A5"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2700</w:t>
            </w:r>
          </w:p>
        </w:tc>
        <w:tc>
          <w:tcPr>
            <w:tcW w:w="1363" w:type="dxa"/>
          </w:tcPr>
          <w:p w14:paraId="3FABF884"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1.37</w:t>
            </w:r>
          </w:p>
        </w:tc>
      </w:tr>
      <w:tr w:rsidR="009128A5" w:rsidRPr="00B8077E" w14:paraId="37C226F5" w14:textId="77777777" w:rsidTr="009128A5">
        <w:trPr>
          <w:trHeight w:val="317"/>
        </w:trPr>
        <w:tc>
          <w:tcPr>
            <w:tcW w:w="1776" w:type="dxa"/>
          </w:tcPr>
          <w:p w14:paraId="4AC16A24"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2019</w:t>
            </w:r>
          </w:p>
        </w:tc>
        <w:tc>
          <w:tcPr>
            <w:tcW w:w="2002" w:type="dxa"/>
          </w:tcPr>
          <w:p w14:paraId="7911C543"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5200</w:t>
            </w:r>
          </w:p>
        </w:tc>
        <w:tc>
          <w:tcPr>
            <w:tcW w:w="2143" w:type="dxa"/>
          </w:tcPr>
          <w:p w14:paraId="39C9818B" w14:textId="77777777" w:rsidR="009128A5"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w:t>
            </w:r>
            <w:r w:rsidR="009128A5" w:rsidRPr="00B8077E">
              <w:rPr>
                <w:rFonts w:ascii="Calibri" w:hAnsi="Calibri" w:cs="Calibri"/>
                <w:sz w:val="28"/>
                <w:szCs w:val="28"/>
              </w:rPr>
              <w:t>600</w:t>
            </w:r>
          </w:p>
        </w:tc>
        <w:tc>
          <w:tcPr>
            <w:tcW w:w="2002" w:type="dxa"/>
          </w:tcPr>
          <w:p w14:paraId="027B820C" w14:textId="77777777" w:rsidR="009128A5"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2600</w:t>
            </w:r>
          </w:p>
        </w:tc>
        <w:tc>
          <w:tcPr>
            <w:tcW w:w="1363" w:type="dxa"/>
          </w:tcPr>
          <w:p w14:paraId="5738C3F3" w14:textId="77777777" w:rsidR="009128A5" w:rsidRPr="00B8077E" w:rsidRDefault="009128A5" w:rsidP="006737F6">
            <w:pPr>
              <w:spacing w:line="360" w:lineRule="auto"/>
              <w:jc w:val="both"/>
              <w:rPr>
                <w:rFonts w:ascii="Calibri" w:hAnsi="Calibri" w:cs="Calibri"/>
                <w:sz w:val="28"/>
                <w:szCs w:val="28"/>
              </w:rPr>
            </w:pPr>
            <w:r w:rsidRPr="00B8077E">
              <w:rPr>
                <w:rFonts w:ascii="Calibri" w:hAnsi="Calibri" w:cs="Calibri"/>
                <w:sz w:val="28"/>
                <w:szCs w:val="28"/>
              </w:rPr>
              <w:t>1.38</w:t>
            </w:r>
          </w:p>
        </w:tc>
      </w:tr>
    </w:tbl>
    <w:p w14:paraId="2E5D6224" w14:textId="77777777" w:rsidR="009128A5" w:rsidRPr="00B8077E" w:rsidRDefault="009128A5" w:rsidP="006737F6">
      <w:pPr>
        <w:spacing w:line="360" w:lineRule="auto"/>
        <w:jc w:val="both"/>
        <w:rPr>
          <w:rFonts w:ascii="Calibri" w:hAnsi="Calibri" w:cs="Calibri"/>
          <w:sz w:val="28"/>
          <w:szCs w:val="28"/>
        </w:rPr>
      </w:pPr>
    </w:p>
    <w:p w14:paraId="4F8AD073" w14:textId="77777777" w:rsidR="005F4C4B" w:rsidRPr="00B8077E" w:rsidRDefault="005F4C4B"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Interpretation:</w:t>
      </w:r>
    </w:p>
    <w:p w14:paraId="1B6BAFA9" w14:textId="77777777" w:rsidR="00CC7BB6"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This ratio shows the company’s capacity to pay near-term financial obligations without having recourse to the sale of inventory. Consistent ratios above 1. While value ‘0’ as a result indicates weak Reinvestment management, values ‘1’ to ‘0’ signify similarly a weak Liquidity management.</w:t>
      </w:r>
    </w:p>
    <w:p w14:paraId="0D3E9EBE" w14:textId="77777777" w:rsidR="005F4C4B" w:rsidRPr="00B8077E" w:rsidRDefault="005F4C4B" w:rsidP="006737F6">
      <w:pPr>
        <w:pStyle w:val="ListParagraph"/>
        <w:numPr>
          <w:ilvl w:val="0"/>
          <w:numId w:val="5"/>
        </w:numPr>
        <w:spacing w:line="360" w:lineRule="auto"/>
        <w:jc w:val="both"/>
        <w:rPr>
          <w:rFonts w:ascii="Calibri" w:hAnsi="Calibri" w:cs="Calibri"/>
          <w:sz w:val="28"/>
          <w:szCs w:val="28"/>
        </w:rPr>
      </w:pPr>
      <w:r w:rsidRPr="00B8077E">
        <w:rPr>
          <w:rFonts w:ascii="Calibri" w:hAnsi="Calibri" w:cs="Calibri"/>
          <w:sz w:val="28"/>
          <w:szCs w:val="28"/>
        </w:rPr>
        <w:lastRenderedPageBreak/>
        <w:t>Gearing Ratios</w:t>
      </w:r>
    </w:p>
    <w:p w14:paraId="365CA947" w14:textId="77777777" w:rsidR="005F4C4B" w:rsidRPr="00B8077E" w:rsidRDefault="005F4C4B"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Debt to Equity Ratio</w:t>
      </w:r>
    </w:p>
    <w:p w14:paraId="1BD6E2DC"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Formula:</w:t>
      </w:r>
    </w:p>
    <w:p w14:paraId="1DC9D223"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Debt to Equity Ratio=Total Debt/Shareholders’ Equity</w:t>
      </w:r>
    </w:p>
    <w:p w14:paraId="628F55BD" w14:textId="77777777" w:rsidR="005F4C4B" w:rsidRPr="00B8077E" w:rsidRDefault="005F4C4B"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Hypothetical Data and Calculation:</w:t>
      </w:r>
    </w:p>
    <w:tbl>
      <w:tblPr>
        <w:tblStyle w:val="TableGrid"/>
        <w:tblW w:w="0" w:type="auto"/>
        <w:tblLook w:val="04A0" w:firstRow="1" w:lastRow="0" w:firstColumn="1" w:lastColumn="0" w:noHBand="0" w:noVBand="1"/>
      </w:tblPr>
      <w:tblGrid>
        <w:gridCol w:w="2331"/>
        <w:gridCol w:w="2331"/>
        <w:gridCol w:w="2336"/>
        <w:gridCol w:w="2332"/>
      </w:tblGrid>
      <w:tr w:rsidR="005F4C4B" w:rsidRPr="00B8077E" w14:paraId="16AFC978" w14:textId="77777777" w:rsidTr="00AA0AF4">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2FD92960"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39150910"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Total Debt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770985B3"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Shareholders’ Equity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435B0A88"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Debt to Equity Ratio</w:t>
            </w:r>
          </w:p>
        </w:tc>
      </w:tr>
      <w:tr w:rsidR="005F4C4B" w:rsidRPr="00B8077E" w14:paraId="294976EC" w14:textId="77777777" w:rsidTr="00AA0AF4">
        <w:tc>
          <w:tcPr>
            <w:tcW w:w="2337" w:type="dxa"/>
            <w:tcBorders>
              <w:top w:val="single" w:sz="12" w:space="0" w:color="auto"/>
            </w:tcBorders>
          </w:tcPr>
          <w:p w14:paraId="70D0ADB3"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2023</w:t>
            </w:r>
          </w:p>
        </w:tc>
        <w:tc>
          <w:tcPr>
            <w:tcW w:w="2337" w:type="dxa"/>
            <w:tcBorders>
              <w:top w:val="single" w:sz="12" w:space="0" w:color="auto"/>
            </w:tcBorders>
          </w:tcPr>
          <w:p w14:paraId="10A49335"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20000</w:t>
            </w:r>
          </w:p>
        </w:tc>
        <w:tc>
          <w:tcPr>
            <w:tcW w:w="2338" w:type="dxa"/>
            <w:tcBorders>
              <w:top w:val="single" w:sz="12" w:space="0" w:color="auto"/>
            </w:tcBorders>
          </w:tcPr>
          <w:p w14:paraId="14B01061"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10000</w:t>
            </w:r>
          </w:p>
        </w:tc>
        <w:tc>
          <w:tcPr>
            <w:tcW w:w="2338" w:type="dxa"/>
            <w:tcBorders>
              <w:top w:val="single" w:sz="12" w:space="0" w:color="auto"/>
            </w:tcBorders>
          </w:tcPr>
          <w:p w14:paraId="41710E96"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w:t>
            </w:r>
          </w:p>
        </w:tc>
      </w:tr>
      <w:tr w:rsidR="005F4C4B" w:rsidRPr="00B8077E" w14:paraId="61BE3246" w14:textId="77777777" w:rsidTr="00AA0AF4">
        <w:tc>
          <w:tcPr>
            <w:tcW w:w="2337" w:type="dxa"/>
          </w:tcPr>
          <w:p w14:paraId="0263FAD4"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2022</w:t>
            </w:r>
          </w:p>
        </w:tc>
        <w:tc>
          <w:tcPr>
            <w:tcW w:w="2337" w:type="dxa"/>
          </w:tcPr>
          <w:p w14:paraId="509A483E"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19000</w:t>
            </w:r>
          </w:p>
        </w:tc>
        <w:tc>
          <w:tcPr>
            <w:tcW w:w="2338" w:type="dxa"/>
          </w:tcPr>
          <w:p w14:paraId="49D25954"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9800</w:t>
            </w:r>
          </w:p>
        </w:tc>
        <w:tc>
          <w:tcPr>
            <w:tcW w:w="2338" w:type="dxa"/>
          </w:tcPr>
          <w:p w14:paraId="25B9BE17"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1.94</w:t>
            </w:r>
          </w:p>
        </w:tc>
      </w:tr>
      <w:tr w:rsidR="005F4C4B" w:rsidRPr="00B8077E" w14:paraId="34BB6F27" w14:textId="77777777" w:rsidTr="00AA0AF4">
        <w:tc>
          <w:tcPr>
            <w:tcW w:w="2337" w:type="dxa"/>
          </w:tcPr>
          <w:p w14:paraId="589B90ED"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2021</w:t>
            </w:r>
          </w:p>
        </w:tc>
        <w:tc>
          <w:tcPr>
            <w:tcW w:w="2337" w:type="dxa"/>
          </w:tcPr>
          <w:p w14:paraId="6313CAB5"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18000</w:t>
            </w:r>
          </w:p>
        </w:tc>
        <w:tc>
          <w:tcPr>
            <w:tcW w:w="2338" w:type="dxa"/>
          </w:tcPr>
          <w:p w14:paraId="09547034"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9500</w:t>
            </w:r>
          </w:p>
        </w:tc>
        <w:tc>
          <w:tcPr>
            <w:tcW w:w="2338" w:type="dxa"/>
          </w:tcPr>
          <w:p w14:paraId="07612454"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1.89</w:t>
            </w:r>
          </w:p>
        </w:tc>
      </w:tr>
      <w:tr w:rsidR="005F4C4B" w:rsidRPr="00B8077E" w14:paraId="6BF65ABA" w14:textId="77777777" w:rsidTr="00AA0AF4">
        <w:tc>
          <w:tcPr>
            <w:tcW w:w="2337" w:type="dxa"/>
          </w:tcPr>
          <w:p w14:paraId="15A3ED55"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2020</w:t>
            </w:r>
          </w:p>
        </w:tc>
        <w:tc>
          <w:tcPr>
            <w:tcW w:w="2337" w:type="dxa"/>
          </w:tcPr>
          <w:p w14:paraId="4CD49844"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17000</w:t>
            </w:r>
          </w:p>
        </w:tc>
        <w:tc>
          <w:tcPr>
            <w:tcW w:w="2338" w:type="dxa"/>
          </w:tcPr>
          <w:p w14:paraId="12E23FFF"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9000</w:t>
            </w:r>
          </w:p>
        </w:tc>
        <w:tc>
          <w:tcPr>
            <w:tcW w:w="2338" w:type="dxa"/>
          </w:tcPr>
          <w:p w14:paraId="0CBDE492"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1.89</w:t>
            </w:r>
          </w:p>
        </w:tc>
      </w:tr>
      <w:tr w:rsidR="005F4C4B" w:rsidRPr="00B8077E" w14:paraId="500C30D4" w14:textId="77777777" w:rsidTr="00AA0AF4">
        <w:tc>
          <w:tcPr>
            <w:tcW w:w="2337" w:type="dxa"/>
          </w:tcPr>
          <w:p w14:paraId="6503796B"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2019</w:t>
            </w:r>
          </w:p>
        </w:tc>
        <w:tc>
          <w:tcPr>
            <w:tcW w:w="2337" w:type="dxa"/>
          </w:tcPr>
          <w:p w14:paraId="5155F4C8"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16000</w:t>
            </w:r>
          </w:p>
        </w:tc>
        <w:tc>
          <w:tcPr>
            <w:tcW w:w="2338" w:type="dxa"/>
          </w:tcPr>
          <w:p w14:paraId="699C809C"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8500</w:t>
            </w:r>
          </w:p>
        </w:tc>
        <w:tc>
          <w:tcPr>
            <w:tcW w:w="2338" w:type="dxa"/>
          </w:tcPr>
          <w:p w14:paraId="33FEC65A"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1.88</w:t>
            </w:r>
          </w:p>
        </w:tc>
      </w:tr>
    </w:tbl>
    <w:p w14:paraId="7EBA0F73" w14:textId="77777777" w:rsidR="005F4C4B" w:rsidRPr="00B8077E" w:rsidRDefault="005F4C4B"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Interpretation:</w:t>
      </w:r>
    </w:p>
    <w:p w14:paraId="42EFB832" w14:textId="77777777" w:rsidR="00CC7BB6"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Toyota’s total debt to total equity ratio is, however, slightly above the industry average suggesting that the company relies on debts for financing its activities. To some extent, it is desirable to maintain a fairly high ratio because at least it is manageable, although it cannot be ruled out that if conditions for the economy deteriorate, certain risks may be increased.</w:t>
      </w:r>
    </w:p>
    <w:p w14:paraId="017A351A" w14:textId="77777777" w:rsidR="005F4C4B" w:rsidRPr="00B8077E" w:rsidRDefault="005F4C4B" w:rsidP="006737F6">
      <w:pPr>
        <w:pStyle w:val="ListParagraph"/>
        <w:numPr>
          <w:ilvl w:val="0"/>
          <w:numId w:val="5"/>
        </w:numPr>
        <w:spacing w:line="360" w:lineRule="auto"/>
        <w:jc w:val="both"/>
        <w:rPr>
          <w:rFonts w:ascii="Calibri" w:hAnsi="Calibri" w:cs="Calibri"/>
          <w:sz w:val="28"/>
          <w:szCs w:val="28"/>
        </w:rPr>
      </w:pPr>
      <w:r w:rsidRPr="00B8077E">
        <w:rPr>
          <w:rFonts w:ascii="Calibri" w:hAnsi="Calibri" w:cs="Calibri"/>
          <w:sz w:val="28"/>
          <w:szCs w:val="28"/>
        </w:rPr>
        <w:t>Efficiency Ratios</w:t>
      </w:r>
    </w:p>
    <w:p w14:paraId="4853DF3E" w14:textId="77777777" w:rsidR="005F4C4B" w:rsidRPr="00B8077E" w:rsidRDefault="005F4C4B"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Inventory Turnover Ratio</w:t>
      </w:r>
    </w:p>
    <w:p w14:paraId="54A81B39"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Formula:</w:t>
      </w:r>
    </w:p>
    <w:p w14:paraId="50294CDF"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Inventory Turnover Ratio=Cost of Goods Sold/Average Inventory</w:t>
      </w:r>
    </w:p>
    <w:p w14:paraId="5B76E7D1" w14:textId="77777777" w:rsidR="005F4C4B" w:rsidRPr="00B8077E" w:rsidRDefault="005F4C4B"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lastRenderedPageBreak/>
        <w:t>Hypothetical Data and Calculation:</w:t>
      </w:r>
    </w:p>
    <w:tbl>
      <w:tblPr>
        <w:tblStyle w:val="TableGrid"/>
        <w:tblW w:w="0" w:type="auto"/>
        <w:tblLook w:val="04A0" w:firstRow="1" w:lastRow="0" w:firstColumn="1" w:lastColumn="0" w:noHBand="0" w:noVBand="1"/>
      </w:tblPr>
      <w:tblGrid>
        <w:gridCol w:w="2331"/>
        <w:gridCol w:w="2331"/>
        <w:gridCol w:w="2334"/>
        <w:gridCol w:w="2334"/>
      </w:tblGrid>
      <w:tr w:rsidR="005F4C4B" w:rsidRPr="00B8077E" w14:paraId="2F6C38C7" w14:textId="77777777" w:rsidTr="00AA0AF4">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7BA830D6"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7E6681DE"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Cost of Goods Sold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3D9112DE"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Average Inventory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018D93D0"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Inventory Turnover Ratio</w:t>
            </w:r>
          </w:p>
        </w:tc>
      </w:tr>
      <w:tr w:rsidR="005F4C4B" w:rsidRPr="00B8077E" w14:paraId="613EC400" w14:textId="77777777" w:rsidTr="00AA0AF4">
        <w:tc>
          <w:tcPr>
            <w:tcW w:w="2337" w:type="dxa"/>
            <w:tcBorders>
              <w:top w:val="single" w:sz="12" w:space="0" w:color="auto"/>
            </w:tcBorders>
          </w:tcPr>
          <w:p w14:paraId="65CAF632"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2023</w:t>
            </w:r>
          </w:p>
        </w:tc>
        <w:tc>
          <w:tcPr>
            <w:tcW w:w="2337" w:type="dxa"/>
            <w:tcBorders>
              <w:top w:val="single" w:sz="12" w:space="0" w:color="auto"/>
            </w:tcBorders>
          </w:tcPr>
          <w:p w14:paraId="3653C195" w14:textId="77777777" w:rsidR="005F4C4B"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22</w:t>
            </w:r>
            <w:r w:rsidR="005F4C4B" w:rsidRPr="00B8077E">
              <w:rPr>
                <w:rFonts w:ascii="Calibri" w:hAnsi="Calibri" w:cs="Calibri"/>
                <w:sz w:val="28"/>
                <w:szCs w:val="28"/>
              </w:rPr>
              <w:t>000</w:t>
            </w:r>
          </w:p>
        </w:tc>
        <w:tc>
          <w:tcPr>
            <w:tcW w:w="2338" w:type="dxa"/>
            <w:tcBorders>
              <w:top w:val="single" w:sz="12" w:space="0" w:color="auto"/>
            </w:tcBorders>
          </w:tcPr>
          <w:p w14:paraId="46363204" w14:textId="77777777" w:rsidR="005F4C4B"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195</w:t>
            </w:r>
            <w:r w:rsidR="005F4C4B" w:rsidRPr="00B8077E">
              <w:rPr>
                <w:rFonts w:ascii="Calibri" w:hAnsi="Calibri" w:cs="Calibri"/>
                <w:sz w:val="28"/>
                <w:szCs w:val="28"/>
              </w:rPr>
              <w:t>0</w:t>
            </w:r>
          </w:p>
        </w:tc>
        <w:tc>
          <w:tcPr>
            <w:tcW w:w="2338" w:type="dxa"/>
            <w:tcBorders>
              <w:top w:val="single" w:sz="12" w:space="0" w:color="auto"/>
            </w:tcBorders>
          </w:tcPr>
          <w:p w14:paraId="2829A8D5"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11.28</w:t>
            </w:r>
          </w:p>
        </w:tc>
      </w:tr>
      <w:tr w:rsidR="005F4C4B" w:rsidRPr="00B8077E" w14:paraId="6E22EC5B" w14:textId="77777777" w:rsidTr="00AA0AF4">
        <w:tc>
          <w:tcPr>
            <w:tcW w:w="2337" w:type="dxa"/>
          </w:tcPr>
          <w:p w14:paraId="3FF21EEC"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2022</w:t>
            </w:r>
          </w:p>
        </w:tc>
        <w:tc>
          <w:tcPr>
            <w:tcW w:w="2337" w:type="dxa"/>
          </w:tcPr>
          <w:p w14:paraId="4699254A" w14:textId="77777777" w:rsidR="005F4C4B"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2150</w:t>
            </w:r>
            <w:r w:rsidR="005F4C4B" w:rsidRPr="00B8077E">
              <w:rPr>
                <w:rFonts w:ascii="Calibri" w:hAnsi="Calibri" w:cs="Calibri"/>
                <w:sz w:val="28"/>
                <w:szCs w:val="28"/>
              </w:rPr>
              <w:t>0</w:t>
            </w:r>
          </w:p>
        </w:tc>
        <w:tc>
          <w:tcPr>
            <w:tcW w:w="2338" w:type="dxa"/>
          </w:tcPr>
          <w:p w14:paraId="7C3874C0" w14:textId="77777777" w:rsidR="005F4C4B"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185</w:t>
            </w:r>
            <w:r w:rsidR="005F4C4B" w:rsidRPr="00B8077E">
              <w:rPr>
                <w:rFonts w:ascii="Calibri" w:hAnsi="Calibri" w:cs="Calibri"/>
                <w:sz w:val="28"/>
                <w:szCs w:val="28"/>
              </w:rPr>
              <w:t>0</w:t>
            </w:r>
          </w:p>
        </w:tc>
        <w:tc>
          <w:tcPr>
            <w:tcW w:w="2338" w:type="dxa"/>
          </w:tcPr>
          <w:p w14:paraId="1CE3E708"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11.62</w:t>
            </w:r>
          </w:p>
        </w:tc>
      </w:tr>
      <w:tr w:rsidR="005F4C4B" w:rsidRPr="00B8077E" w14:paraId="6E5E7B87" w14:textId="77777777" w:rsidTr="00AA0AF4">
        <w:tc>
          <w:tcPr>
            <w:tcW w:w="2337" w:type="dxa"/>
          </w:tcPr>
          <w:p w14:paraId="4CD23FB7"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2021</w:t>
            </w:r>
          </w:p>
        </w:tc>
        <w:tc>
          <w:tcPr>
            <w:tcW w:w="2337" w:type="dxa"/>
          </w:tcPr>
          <w:p w14:paraId="38E3359C" w14:textId="77777777" w:rsidR="005F4C4B"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21</w:t>
            </w:r>
            <w:r w:rsidR="005F4C4B" w:rsidRPr="00B8077E">
              <w:rPr>
                <w:rFonts w:ascii="Calibri" w:hAnsi="Calibri" w:cs="Calibri"/>
                <w:sz w:val="28"/>
                <w:szCs w:val="28"/>
              </w:rPr>
              <w:t>000</w:t>
            </w:r>
          </w:p>
        </w:tc>
        <w:tc>
          <w:tcPr>
            <w:tcW w:w="2338" w:type="dxa"/>
          </w:tcPr>
          <w:p w14:paraId="7F8C6B3F" w14:textId="77777777" w:rsidR="005F4C4B"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17</w:t>
            </w:r>
            <w:r w:rsidR="005F4C4B" w:rsidRPr="00B8077E">
              <w:rPr>
                <w:rFonts w:ascii="Calibri" w:hAnsi="Calibri" w:cs="Calibri"/>
                <w:sz w:val="28"/>
                <w:szCs w:val="28"/>
              </w:rPr>
              <w:t>50</w:t>
            </w:r>
          </w:p>
        </w:tc>
        <w:tc>
          <w:tcPr>
            <w:tcW w:w="2338" w:type="dxa"/>
          </w:tcPr>
          <w:p w14:paraId="48FB5E53"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12.00</w:t>
            </w:r>
          </w:p>
        </w:tc>
      </w:tr>
      <w:tr w:rsidR="005F4C4B" w:rsidRPr="00B8077E" w14:paraId="0F306AD3" w14:textId="77777777" w:rsidTr="00AA0AF4">
        <w:tc>
          <w:tcPr>
            <w:tcW w:w="2337" w:type="dxa"/>
          </w:tcPr>
          <w:p w14:paraId="39B5E108"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2020</w:t>
            </w:r>
          </w:p>
        </w:tc>
        <w:tc>
          <w:tcPr>
            <w:tcW w:w="2337" w:type="dxa"/>
          </w:tcPr>
          <w:p w14:paraId="1186B478" w14:textId="77777777" w:rsidR="005F4C4B"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20</w:t>
            </w:r>
            <w:r w:rsidR="005F4C4B" w:rsidRPr="00B8077E">
              <w:rPr>
                <w:rFonts w:ascii="Calibri" w:hAnsi="Calibri" w:cs="Calibri"/>
                <w:sz w:val="28"/>
                <w:szCs w:val="28"/>
              </w:rPr>
              <w:t>000</w:t>
            </w:r>
          </w:p>
        </w:tc>
        <w:tc>
          <w:tcPr>
            <w:tcW w:w="2338" w:type="dxa"/>
          </w:tcPr>
          <w:p w14:paraId="77C61AC9"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1650</w:t>
            </w:r>
          </w:p>
        </w:tc>
        <w:tc>
          <w:tcPr>
            <w:tcW w:w="2338" w:type="dxa"/>
          </w:tcPr>
          <w:p w14:paraId="05FE7DE5"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12.12</w:t>
            </w:r>
          </w:p>
        </w:tc>
      </w:tr>
      <w:tr w:rsidR="005F4C4B" w:rsidRPr="00B8077E" w14:paraId="33C721DF" w14:textId="77777777" w:rsidTr="00AA0AF4">
        <w:tc>
          <w:tcPr>
            <w:tcW w:w="2337" w:type="dxa"/>
          </w:tcPr>
          <w:p w14:paraId="4F7ECFB5"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2019</w:t>
            </w:r>
          </w:p>
        </w:tc>
        <w:tc>
          <w:tcPr>
            <w:tcW w:w="2337" w:type="dxa"/>
          </w:tcPr>
          <w:p w14:paraId="4EF32F4A" w14:textId="77777777" w:rsidR="005F4C4B"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19</w:t>
            </w:r>
            <w:r w:rsidR="005F4C4B" w:rsidRPr="00B8077E">
              <w:rPr>
                <w:rFonts w:ascii="Calibri" w:hAnsi="Calibri" w:cs="Calibri"/>
                <w:sz w:val="28"/>
                <w:szCs w:val="28"/>
              </w:rPr>
              <w:t>000</w:t>
            </w:r>
          </w:p>
        </w:tc>
        <w:tc>
          <w:tcPr>
            <w:tcW w:w="2338" w:type="dxa"/>
          </w:tcPr>
          <w:p w14:paraId="626A103C"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1600</w:t>
            </w:r>
          </w:p>
        </w:tc>
        <w:tc>
          <w:tcPr>
            <w:tcW w:w="2338" w:type="dxa"/>
          </w:tcPr>
          <w:p w14:paraId="19FDAC49" w14:textId="77777777" w:rsidR="005F4C4B" w:rsidRPr="00B8077E" w:rsidRDefault="005F4C4B" w:rsidP="006737F6">
            <w:pPr>
              <w:spacing w:line="360" w:lineRule="auto"/>
              <w:jc w:val="both"/>
              <w:rPr>
                <w:rFonts w:ascii="Calibri" w:hAnsi="Calibri" w:cs="Calibri"/>
                <w:sz w:val="28"/>
                <w:szCs w:val="28"/>
              </w:rPr>
            </w:pPr>
            <w:r w:rsidRPr="00B8077E">
              <w:rPr>
                <w:rFonts w:ascii="Calibri" w:hAnsi="Calibri" w:cs="Calibri"/>
                <w:sz w:val="28"/>
                <w:szCs w:val="28"/>
              </w:rPr>
              <w:t>11.88</w:t>
            </w:r>
          </w:p>
        </w:tc>
      </w:tr>
    </w:tbl>
    <w:p w14:paraId="796B2812" w14:textId="77777777" w:rsidR="005F4C4B" w:rsidRPr="00B8077E" w:rsidRDefault="005F4C4B" w:rsidP="006737F6">
      <w:pPr>
        <w:spacing w:line="360" w:lineRule="auto"/>
        <w:jc w:val="both"/>
        <w:rPr>
          <w:rFonts w:ascii="Calibri" w:hAnsi="Calibri" w:cs="Calibri"/>
          <w:sz w:val="28"/>
          <w:szCs w:val="28"/>
        </w:rPr>
      </w:pPr>
    </w:p>
    <w:p w14:paraId="1EED465C" w14:textId="77777777" w:rsidR="00303451" w:rsidRPr="00B8077E" w:rsidRDefault="00303451"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Interpretation:</w:t>
      </w:r>
    </w:p>
    <w:p w14:paraId="0FB0E8CE" w14:textId="77777777" w:rsidR="00CC7BB6"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 xml:space="preserve">Toyota’s inventory turnover ratio </w:t>
      </w:r>
      <w:r w:rsidR="00112F77" w:rsidRPr="00B8077E">
        <w:rPr>
          <w:rFonts w:ascii="Calibri" w:hAnsi="Calibri" w:cs="Calibri"/>
          <w:sz w:val="28"/>
          <w:szCs w:val="28"/>
        </w:rPr>
        <w:t>reveals</w:t>
      </w:r>
      <w:r w:rsidRPr="00B8077E">
        <w:rPr>
          <w:rFonts w:ascii="Calibri" w:hAnsi="Calibri" w:cs="Calibri"/>
          <w:sz w:val="28"/>
          <w:szCs w:val="28"/>
        </w:rPr>
        <w:t xml:space="preserve"> good stock management, whereby a high turnover value </w:t>
      </w:r>
      <w:r w:rsidR="00112F77" w:rsidRPr="00B8077E">
        <w:rPr>
          <w:rFonts w:ascii="Calibri" w:hAnsi="Calibri" w:cs="Calibri"/>
          <w:sz w:val="28"/>
          <w:szCs w:val="28"/>
        </w:rPr>
        <w:t>means</w:t>
      </w:r>
      <w:r w:rsidRPr="00B8077E">
        <w:rPr>
          <w:rFonts w:ascii="Calibri" w:hAnsi="Calibri" w:cs="Calibri"/>
          <w:sz w:val="28"/>
          <w:szCs w:val="28"/>
        </w:rPr>
        <w:t xml:space="preserve"> high stock management and low holding cost.</w:t>
      </w:r>
    </w:p>
    <w:p w14:paraId="10DFCEDA" w14:textId="77777777" w:rsidR="00303451" w:rsidRPr="00B8077E" w:rsidRDefault="00303451"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Receivables Turnover Ratio</w:t>
      </w:r>
    </w:p>
    <w:p w14:paraId="750F3485"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Formula:</w:t>
      </w:r>
    </w:p>
    <w:p w14:paraId="635EBC6A"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Receivables Turnover Ratio=Revenue/Average Accounts Receivable</w:t>
      </w:r>
    </w:p>
    <w:p w14:paraId="446F1024"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u w:val="single"/>
        </w:rPr>
        <w:t>Hypothetical Data and Calculation</w:t>
      </w:r>
      <w:r w:rsidRPr="00B8077E">
        <w:rPr>
          <w:rFonts w:ascii="Calibri" w:hAnsi="Calibri" w:cs="Calibri"/>
          <w:sz w:val="28"/>
          <w:szCs w:val="28"/>
        </w:rPr>
        <w:t>:</w:t>
      </w:r>
    </w:p>
    <w:tbl>
      <w:tblPr>
        <w:tblStyle w:val="TableGrid"/>
        <w:tblW w:w="0" w:type="auto"/>
        <w:tblLook w:val="04A0" w:firstRow="1" w:lastRow="0" w:firstColumn="1" w:lastColumn="0" w:noHBand="0" w:noVBand="1"/>
      </w:tblPr>
      <w:tblGrid>
        <w:gridCol w:w="2330"/>
        <w:gridCol w:w="2332"/>
        <w:gridCol w:w="2334"/>
        <w:gridCol w:w="2334"/>
      </w:tblGrid>
      <w:tr w:rsidR="00303451" w:rsidRPr="00B8077E" w14:paraId="5F97A38F" w14:textId="77777777" w:rsidTr="00AA0AF4">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73CB028D"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4E2DD462"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Revenue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4F398280"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Average Accounts Receivable (¥B)</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6C504C9A"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Receivables Turnover Ratio</w:t>
            </w:r>
          </w:p>
        </w:tc>
      </w:tr>
      <w:tr w:rsidR="00303451" w:rsidRPr="00B8077E" w14:paraId="257EDF46" w14:textId="77777777" w:rsidTr="00AA0AF4">
        <w:tc>
          <w:tcPr>
            <w:tcW w:w="2337" w:type="dxa"/>
            <w:tcBorders>
              <w:top w:val="single" w:sz="12" w:space="0" w:color="auto"/>
            </w:tcBorders>
          </w:tcPr>
          <w:p w14:paraId="576A8947"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2023</w:t>
            </w:r>
          </w:p>
        </w:tc>
        <w:tc>
          <w:tcPr>
            <w:tcW w:w="2337" w:type="dxa"/>
            <w:tcBorders>
              <w:top w:val="single" w:sz="12" w:space="0" w:color="auto"/>
            </w:tcBorders>
          </w:tcPr>
          <w:p w14:paraId="2D214AF3"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30000</w:t>
            </w:r>
          </w:p>
        </w:tc>
        <w:tc>
          <w:tcPr>
            <w:tcW w:w="2338" w:type="dxa"/>
            <w:tcBorders>
              <w:top w:val="single" w:sz="12" w:space="0" w:color="auto"/>
            </w:tcBorders>
          </w:tcPr>
          <w:p w14:paraId="7145242A"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3000</w:t>
            </w:r>
          </w:p>
        </w:tc>
        <w:tc>
          <w:tcPr>
            <w:tcW w:w="2338" w:type="dxa"/>
            <w:tcBorders>
              <w:top w:val="single" w:sz="12" w:space="0" w:color="auto"/>
            </w:tcBorders>
          </w:tcPr>
          <w:p w14:paraId="048961F0"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10.00</w:t>
            </w:r>
          </w:p>
        </w:tc>
      </w:tr>
      <w:tr w:rsidR="00303451" w:rsidRPr="00B8077E" w14:paraId="38C7FFDE" w14:textId="77777777" w:rsidTr="00AA0AF4">
        <w:tc>
          <w:tcPr>
            <w:tcW w:w="2337" w:type="dxa"/>
          </w:tcPr>
          <w:p w14:paraId="0F4844EB"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2022</w:t>
            </w:r>
          </w:p>
        </w:tc>
        <w:tc>
          <w:tcPr>
            <w:tcW w:w="2337" w:type="dxa"/>
          </w:tcPr>
          <w:p w14:paraId="62889F98"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29000</w:t>
            </w:r>
          </w:p>
        </w:tc>
        <w:tc>
          <w:tcPr>
            <w:tcW w:w="2338" w:type="dxa"/>
          </w:tcPr>
          <w:p w14:paraId="2E5F7B36"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2900</w:t>
            </w:r>
          </w:p>
        </w:tc>
        <w:tc>
          <w:tcPr>
            <w:tcW w:w="2338" w:type="dxa"/>
          </w:tcPr>
          <w:p w14:paraId="20069D29"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10.00</w:t>
            </w:r>
          </w:p>
        </w:tc>
      </w:tr>
      <w:tr w:rsidR="00303451" w:rsidRPr="00B8077E" w14:paraId="200FBCE1" w14:textId="77777777" w:rsidTr="00AA0AF4">
        <w:tc>
          <w:tcPr>
            <w:tcW w:w="2337" w:type="dxa"/>
          </w:tcPr>
          <w:p w14:paraId="6BAFB68C"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2021</w:t>
            </w:r>
          </w:p>
        </w:tc>
        <w:tc>
          <w:tcPr>
            <w:tcW w:w="2337" w:type="dxa"/>
          </w:tcPr>
          <w:p w14:paraId="4EFAFCF7"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28500</w:t>
            </w:r>
          </w:p>
        </w:tc>
        <w:tc>
          <w:tcPr>
            <w:tcW w:w="2338" w:type="dxa"/>
          </w:tcPr>
          <w:p w14:paraId="0DC75CFC"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2800</w:t>
            </w:r>
          </w:p>
        </w:tc>
        <w:tc>
          <w:tcPr>
            <w:tcW w:w="2338" w:type="dxa"/>
          </w:tcPr>
          <w:p w14:paraId="3446ED70"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10.18</w:t>
            </w:r>
          </w:p>
        </w:tc>
      </w:tr>
      <w:tr w:rsidR="00303451" w:rsidRPr="00B8077E" w14:paraId="6D9C290A" w14:textId="77777777" w:rsidTr="00AA0AF4">
        <w:tc>
          <w:tcPr>
            <w:tcW w:w="2337" w:type="dxa"/>
          </w:tcPr>
          <w:p w14:paraId="16CDB964"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2020</w:t>
            </w:r>
          </w:p>
        </w:tc>
        <w:tc>
          <w:tcPr>
            <w:tcW w:w="2337" w:type="dxa"/>
          </w:tcPr>
          <w:p w14:paraId="6D4DE6E6"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27500</w:t>
            </w:r>
          </w:p>
        </w:tc>
        <w:tc>
          <w:tcPr>
            <w:tcW w:w="2338" w:type="dxa"/>
          </w:tcPr>
          <w:p w14:paraId="60A000E3"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2700</w:t>
            </w:r>
          </w:p>
        </w:tc>
        <w:tc>
          <w:tcPr>
            <w:tcW w:w="2338" w:type="dxa"/>
          </w:tcPr>
          <w:p w14:paraId="754EDDB4"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10.19</w:t>
            </w:r>
          </w:p>
        </w:tc>
      </w:tr>
      <w:tr w:rsidR="00303451" w:rsidRPr="00B8077E" w14:paraId="13941B92" w14:textId="77777777" w:rsidTr="00AA0AF4">
        <w:tc>
          <w:tcPr>
            <w:tcW w:w="2337" w:type="dxa"/>
          </w:tcPr>
          <w:p w14:paraId="1ADF5F25"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lastRenderedPageBreak/>
              <w:t>2019</w:t>
            </w:r>
          </w:p>
        </w:tc>
        <w:tc>
          <w:tcPr>
            <w:tcW w:w="2337" w:type="dxa"/>
          </w:tcPr>
          <w:p w14:paraId="0651C152"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26000</w:t>
            </w:r>
          </w:p>
        </w:tc>
        <w:tc>
          <w:tcPr>
            <w:tcW w:w="2338" w:type="dxa"/>
          </w:tcPr>
          <w:p w14:paraId="09722715"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2600</w:t>
            </w:r>
          </w:p>
        </w:tc>
        <w:tc>
          <w:tcPr>
            <w:tcW w:w="2338" w:type="dxa"/>
          </w:tcPr>
          <w:p w14:paraId="7B51FE42" w14:textId="77777777" w:rsidR="00303451" w:rsidRPr="00B8077E" w:rsidRDefault="00303451" w:rsidP="006737F6">
            <w:pPr>
              <w:spacing w:line="360" w:lineRule="auto"/>
              <w:jc w:val="both"/>
              <w:rPr>
                <w:rFonts w:ascii="Calibri" w:hAnsi="Calibri" w:cs="Calibri"/>
                <w:sz w:val="28"/>
                <w:szCs w:val="28"/>
              </w:rPr>
            </w:pPr>
            <w:r w:rsidRPr="00B8077E">
              <w:rPr>
                <w:rFonts w:ascii="Calibri" w:hAnsi="Calibri" w:cs="Calibri"/>
                <w:sz w:val="28"/>
                <w:szCs w:val="28"/>
              </w:rPr>
              <w:t>10.00</w:t>
            </w:r>
          </w:p>
        </w:tc>
      </w:tr>
    </w:tbl>
    <w:p w14:paraId="33F2719A" w14:textId="77777777" w:rsidR="00303451" w:rsidRPr="00B8077E" w:rsidRDefault="00303451" w:rsidP="006737F6">
      <w:pPr>
        <w:spacing w:line="360" w:lineRule="auto"/>
        <w:jc w:val="both"/>
        <w:rPr>
          <w:rFonts w:ascii="Calibri" w:hAnsi="Calibri" w:cs="Calibri"/>
          <w:sz w:val="28"/>
          <w:szCs w:val="28"/>
        </w:rPr>
      </w:pPr>
    </w:p>
    <w:p w14:paraId="76FCF84F" w14:textId="77777777" w:rsidR="00303451" w:rsidRPr="00B8077E" w:rsidRDefault="00303451"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Interpretation:</w:t>
      </w:r>
    </w:p>
    <w:p w14:paraId="61CEE6F5" w14:textId="77777777" w:rsidR="00CC7BB6"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Receivables turnover indicate the speed at which Toyota collects its receivables, which is very important to ensure it has adequate cash flow proposed for the effective running of the company.</w:t>
      </w:r>
    </w:p>
    <w:p w14:paraId="597F335F" w14:textId="77777777" w:rsidR="007E212C" w:rsidRPr="00D617E1" w:rsidRDefault="007E212C" w:rsidP="00D617E1">
      <w:pPr>
        <w:pStyle w:val="ListParagraph"/>
        <w:numPr>
          <w:ilvl w:val="0"/>
          <w:numId w:val="21"/>
        </w:numPr>
        <w:spacing w:line="360" w:lineRule="auto"/>
        <w:jc w:val="both"/>
        <w:rPr>
          <w:rFonts w:ascii="Calibri" w:hAnsi="Calibri" w:cs="Calibri"/>
          <w:b/>
          <w:sz w:val="28"/>
          <w:szCs w:val="28"/>
        </w:rPr>
      </w:pPr>
      <w:r w:rsidRPr="00D617E1">
        <w:rPr>
          <w:rFonts w:ascii="Calibri" w:hAnsi="Calibri" w:cs="Calibri"/>
          <w:b/>
          <w:sz w:val="28"/>
          <w:szCs w:val="28"/>
        </w:rPr>
        <w:t>Critical Evaluation of Ratios</w:t>
      </w:r>
    </w:p>
    <w:p w14:paraId="7FE2B2B4" w14:textId="77777777" w:rsidR="007E212C" w:rsidRPr="00B8077E" w:rsidRDefault="00112F77"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 xml:space="preserve">Profitability Analysis </w:t>
      </w:r>
    </w:p>
    <w:p w14:paraId="36EE9283" w14:textId="77777777" w:rsidR="007E212C" w:rsidRPr="00B8077E" w:rsidRDefault="007E212C" w:rsidP="006737F6">
      <w:pPr>
        <w:spacing w:line="360" w:lineRule="auto"/>
        <w:jc w:val="both"/>
        <w:rPr>
          <w:rFonts w:ascii="Calibri" w:hAnsi="Calibri" w:cs="Calibri"/>
          <w:sz w:val="28"/>
          <w:szCs w:val="28"/>
        </w:rPr>
      </w:pPr>
      <w:r w:rsidRPr="00B8077E">
        <w:rPr>
          <w:rFonts w:ascii="Calibri" w:hAnsi="Calibri" w:cs="Calibri"/>
          <w:sz w:val="28"/>
          <w:szCs w:val="28"/>
        </w:rPr>
        <w:t xml:space="preserve"> Looking at Toyota profitability ratios it clearly </w:t>
      </w:r>
      <w:r w:rsidR="00112F77" w:rsidRPr="00B8077E">
        <w:rPr>
          <w:rFonts w:ascii="Calibri" w:hAnsi="Calibri" w:cs="Calibri"/>
          <w:sz w:val="28"/>
          <w:szCs w:val="28"/>
        </w:rPr>
        <w:t>depicts</w:t>
      </w:r>
      <w:r w:rsidRPr="00B8077E">
        <w:rPr>
          <w:rFonts w:ascii="Calibri" w:hAnsi="Calibri" w:cs="Calibri"/>
          <w:sz w:val="28"/>
          <w:szCs w:val="28"/>
        </w:rPr>
        <w:t xml:space="preserve"> ability of company to earn high profits on investments in fixed assets and equity. This dynamic of ROA implies the improvement of Toyota’s ability to deploy its assets and improve general company efficiency. The relative high figure of ROE reveals that shareholders are receiving a high return on the investment made, thus suggesting efficient management and strategic location of the business. </w:t>
      </w:r>
    </w:p>
    <w:p w14:paraId="79776D73" w14:textId="77777777" w:rsidR="007E212C" w:rsidRPr="00B8077E" w:rsidRDefault="007E212C" w:rsidP="006737F6">
      <w:pPr>
        <w:spacing w:line="360" w:lineRule="auto"/>
        <w:jc w:val="both"/>
        <w:rPr>
          <w:rFonts w:ascii="Calibri" w:hAnsi="Calibri" w:cs="Calibri"/>
          <w:sz w:val="28"/>
          <w:szCs w:val="28"/>
        </w:rPr>
      </w:pPr>
      <w:r w:rsidRPr="00B8077E">
        <w:rPr>
          <w:rFonts w:ascii="Calibri" w:hAnsi="Calibri" w:cs="Calibri"/>
          <w:sz w:val="28"/>
          <w:szCs w:val="28"/>
        </w:rPr>
        <w:t xml:space="preserve">Another pointer to this end is fluctuations in the gross profit margin are relatively low; this shows that Toyota has remained adept at controlling production costs and at the same time being able to post profits. It is helpful in maintaining long term profitability and standing in the competitive market of the automobile industry. </w:t>
      </w:r>
    </w:p>
    <w:p w14:paraId="75AEC804" w14:textId="77777777" w:rsidR="007E212C" w:rsidRPr="00B8077E" w:rsidRDefault="007E212C"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 xml:space="preserve">Liquidity Analysis </w:t>
      </w:r>
    </w:p>
    <w:p w14:paraId="4D3C2961" w14:textId="77777777" w:rsidR="007E212C" w:rsidRPr="00B8077E" w:rsidRDefault="007E212C" w:rsidP="006737F6">
      <w:pPr>
        <w:spacing w:line="360" w:lineRule="auto"/>
        <w:jc w:val="both"/>
        <w:rPr>
          <w:rFonts w:ascii="Calibri" w:hAnsi="Calibri" w:cs="Calibri"/>
          <w:sz w:val="28"/>
          <w:szCs w:val="28"/>
        </w:rPr>
      </w:pPr>
      <w:r w:rsidRPr="00B8077E">
        <w:rPr>
          <w:rFonts w:ascii="Calibri" w:hAnsi="Calibri" w:cs="Calibri"/>
          <w:sz w:val="28"/>
          <w:szCs w:val="28"/>
        </w:rPr>
        <w:t xml:space="preserve">The liquidity ratios of Toyota </w:t>
      </w:r>
      <w:r w:rsidR="00112F77" w:rsidRPr="00B8077E">
        <w:rPr>
          <w:rFonts w:ascii="Calibri" w:hAnsi="Calibri" w:cs="Calibri"/>
          <w:sz w:val="28"/>
          <w:szCs w:val="28"/>
        </w:rPr>
        <w:t>reveal</w:t>
      </w:r>
      <w:r w:rsidRPr="00B8077E">
        <w:rPr>
          <w:rFonts w:ascii="Calibri" w:hAnsi="Calibri" w:cs="Calibri"/>
          <w:sz w:val="28"/>
          <w:szCs w:val="28"/>
        </w:rPr>
        <w:t xml:space="preserve"> the </w:t>
      </w:r>
      <w:r w:rsidR="00112F77" w:rsidRPr="00B8077E">
        <w:rPr>
          <w:rFonts w:ascii="Calibri" w:hAnsi="Calibri" w:cs="Calibri"/>
          <w:sz w:val="28"/>
          <w:szCs w:val="28"/>
        </w:rPr>
        <w:t>organization</w:t>
      </w:r>
      <w:r w:rsidRPr="00B8077E">
        <w:rPr>
          <w:rFonts w:ascii="Calibri" w:hAnsi="Calibri" w:cs="Calibri"/>
          <w:sz w:val="28"/>
          <w:szCs w:val="28"/>
        </w:rPr>
        <w:t xml:space="preserve"> possesses a good ability to meet short-term commitments a factor that keeps it financially stable and operationally consistent. The current ratio is at 2.0.  A quick ratio, in which value equals zero, suggests that the company has enough assets to cover short-term </w:t>
      </w:r>
      <w:r w:rsidRPr="00B8077E">
        <w:rPr>
          <w:rFonts w:ascii="Calibri" w:hAnsi="Calibri" w:cs="Calibri"/>
          <w:sz w:val="28"/>
          <w:szCs w:val="28"/>
        </w:rPr>
        <w:lastRenderedPageBreak/>
        <w:t xml:space="preserve">liabilities, and the quick ratio proves that Toyota can manage to pay obligations without selling inventory. </w:t>
      </w:r>
    </w:p>
    <w:p w14:paraId="180C45AF" w14:textId="77777777" w:rsidR="007E212C" w:rsidRPr="00B8077E" w:rsidRDefault="007E212C" w:rsidP="006737F6">
      <w:pPr>
        <w:spacing w:line="360" w:lineRule="auto"/>
        <w:jc w:val="both"/>
        <w:rPr>
          <w:rFonts w:ascii="Calibri" w:hAnsi="Calibri" w:cs="Calibri"/>
          <w:sz w:val="28"/>
          <w:szCs w:val="28"/>
        </w:rPr>
      </w:pPr>
      <w:r w:rsidRPr="00B8077E">
        <w:rPr>
          <w:rFonts w:ascii="Calibri" w:hAnsi="Calibri" w:cs="Calibri"/>
          <w:sz w:val="28"/>
          <w:szCs w:val="28"/>
        </w:rPr>
        <w:t xml:space="preserve"> The liquidity strength put the Toyota in a better shape concerning operation flexibility and robustness in case of economic Volatility enabling the firm to exploit opportunities. </w:t>
      </w:r>
    </w:p>
    <w:p w14:paraId="29D9FD14" w14:textId="77777777" w:rsidR="007E212C" w:rsidRPr="00B8077E" w:rsidRDefault="007E212C" w:rsidP="006737F6">
      <w:pPr>
        <w:spacing w:line="360" w:lineRule="auto"/>
        <w:jc w:val="both"/>
        <w:rPr>
          <w:rFonts w:ascii="Calibri" w:hAnsi="Calibri" w:cs="Calibri"/>
          <w:sz w:val="28"/>
          <w:szCs w:val="28"/>
          <w:u w:val="single"/>
        </w:rPr>
      </w:pPr>
      <w:r w:rsidRPr="00B8077E">
        <w:rPr>
          <w:rFonts w:ascii="Calibri" w:hAnsi="Calibri" w:cs="Calibri"/>
          <w:sz w:val="28"/>
          <w:szCs w:val="28"/>
        </w:rPr>
        <w:t xml:space="preserve"> </w:t>
      </w:r>
      <w:r w:rsidRPr="00B8077E">
        <w:rPr>
          <w:rFonts w:ascii="Calibri" w:hAnsi="Calibri" w:cs="Calibri"/>
          <w:sz w:val="28"/>
          <w:szCs w:val="28"/>
          <w:u w:val="single"/>
        </w:rPr>
        <w:t xml:space="preserve">Gearing Analysis </w:t>
      </w:r>
    </w:p>
    <w:p w14:paraId="2ACEAC14" w14:textId="6FCE58ED" w:rsidR="007E212C" w:rsidRPr="00B8077E" w:rsidRDefault="007E212C" w:rsidP="006737F6">
      <w:pPr>
        <w:spacing w:line="360" w:lineRule="auto"/>
        <w:jc w:val="both"/>
        <w:rPr>
          <w:rFonts w:ascii="Calibri" w:hAnsi="Calibri" w:cs="Calibri"/>
          <w:sz w:val="28"/>
          <w:szCs w:val="28"/>
        </w:rPr>
      </w:pPr>
      <w:r w:rsidRPr="00B8077E">
        <w:rPr>
          <w:rFonts w:ascii="Calibri" w:hAnsi="Calibri" w:cs="Calibri"/>
          <w:sz w:val="28"/>
          <w:szCs w:val="28"/>
        </w:rPr>
        <w:t xml:space="preserve"> From the </w:t>
      </w:r>
      <w:r w:rsidR="001842FD" w:rsidRPr="00B8077E">
        <w:rPr>
          <w:rFonts w:ascii="Calibri" w:hAnsi="Calibri" w:cs="Calibri"/>
          <w:sz w:val="28"/>
          <w:szCs w:val="28"/>
        </w:rPr>
        <w:t>debt-to-equity</w:t>
      </w:r>
      <w:r w:rsidRPr="00B8077E">
        <w:rPr>
          <w:rFonts w:ascii="Calibri" w:hAnsi="Calibri" w:cs="Calibri"/>
          <w:sz w:val="28"/>
          <w:szCs w:val="28"/>
        </w:rPr>
        <w:t xml:space="preserve"> ratio, there is an implication that Toyota has been borrowing to finance its operations which is s typical in capital intensive industries. Nevertheless, considering that Toyota is tagged with moderate level of debt it will be important that this ratio is always scrutinized in order to avoid over leveraging which is bad for the </w:t>
      </w:r>
      <w:r w:rsidR="00112F77" w:rsidRPr="00B8077E">
        <w:rPr>
          <w:rFonts w:ascii="Calibri" w:hAnsi="Calibri" w:cs="Calibri"/>
          <w:sz w:val="28"/>
          <w:szCs w:val="28"/>
        </w:rPr>
        <w:t>firm’s</w:t>
      </w:r>
      <w:r w:rsidRPr="00B8077E">
        <w:rPr>
          <w:rFonts w:ascii="Calibri" w:hAnsi="Calibri" w:cs="Calibri"/>
          <w:sz w:val="28"/>
          <w:szCs w:val="28"/>
        </w:rPr>
        <w:t xml:space="preserve"> financial health. Appropriate approach to managing loans is important to ensure that the firms have an appropriate capital structure. Moreover, the proper exploitation of noncurrent liabilities as a kind of debt financing makes it possible to invest in growth and innovations, thus improving the competitive advantage of Toyota. However, to control the existing risks that can be associated with debts, it is necessary to pay attention to the changes in interest rates and other economic conditions. </w:t>
      </w:r>
    </w:p>
    <w:p w14:paraId="55AC3D80" w14:textId="77777777" w:rsidR="007E212C" w:rsidRPr="00B8077E" w:rsidRDefault="00112F77"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 xml:space="preserve"> </w:t>
      </w:r>
      <w:r w:rsidR="007E212C" w:rsidRPr="00B8077E">
        <w:rPr>
          <w:rFonts w:ascii="Calibri" w:hAnsi="Calibri" w:cs="Calibri"/>
          <w:sz w:val="28"/>
          <w:szCs w:val="28"/>
          <w:u w:val="single"/>
        </w:rPr>
        <w:t xml:space="preserve">Efficiency Analysis </w:t>
      </w:r>
    </w:p>
    <w:p w14:paraId="4BC04738" w14:textId="77777777" w:rsidR="007E212C" w:rsidRPr="00B8077E" w:rsidRDefault="007E212C" w:rsidP="006737F6">
      <w:pPr>
        <w:spacing w:line="360" w:lineRule="auto"/>
        <w:jc w:val="both"/>
        <w:rPr>
          <w:rFonts w:ascii="Calibri" w:hAnsi="Calibri" w:cs="Calibri"/>
          <w:sz w:val="28"/>
          <w:szCs w:val="28"/>
        </w:rPr>
      </w:pPr>
      <w:r w:rsidRPr="00B8077E">
        <w:rPr>
          <w:rFonts w:ascii="Calibri" w:hAnsi="Calibri" w:cs="Calibri"/>
          <w:sz w:val="28"/>
          <w:szCs w:val="28"/>
        </w:rPr>
        <w:t xml:space="preserve"> Toyota’s efficiency ratios speak of quite efficient management of operations and the use of its assets. A high inventory turnover ratio shows that Toyota has </w:t>
      </w:r>
      <w:r w:rsidR="00112F77" w:rsidRPr="00B8077E">
        <w:rPr>
          <w:rFonts w:ascii="Calibri" w:hAnsi="Calibri" w:cs="Calibri"/>
          <w:sz w:val="28"/>
          <w:szCs w:val="28"/>
        </w:rPr>
        <w:t>well-coordinated</w:t>
      </w:r>
      <w:r w:rsidRPr="00B8077E">
        <w:rPr>
          <w:rFonts w:ascii="Calibri" w:hAnsi="Calibri" w:cs="Calibri"/>
          <w:sz w:val="28"/>
          <w:szCs w:val="28"/>
        </w:rPr>
        <w:t xml:space="preserve"> the holding of inventory–minimal holding costs and proper business operations. It shows the management of receivables collection and prompt realization of receivables, thus placing focus on healthy cash flow ratios. Besides, the use of lean manufacturing principles at Toyota augments the total level of </w:t>
      </w:r>
      <w:r w:rsidRPr="00B8077E">
        <w:rPr>
          <w:rFonts w:ascii="Calibri" w:hAnsi="Calibri" w:cs="Calibri"/>
          <w:sz w:val="28"/>
          <w:szCs w:val="28"/>
        </w:rPr>
        <w:lastRenderedPageBreak/>
        <w:t>operation efficiency. Sustaining the improvement of the processes and the implementation of new technologies solidifies Toyota’s leadership in achieving operation excellence.</w:t>
      </w:r>
    </w:p>
    <w:p w14:paraId="2A790284" w14:textId="77777777" w:rsidR="007E212C" w:rsidRPr="001842FD" w:rsidRDefault="007E212C" w:rsidP="001842FD">
      <w:pPr>
        <w:pStyle w:val="ListParagraph"/>
        <w:numPr>
          <w:ilvl w:val="0"/>
          <w:numId w:val="21"/>
        </w:numPr>
        <w:spacing w:line="360" w:lineRule="auto"/>
        <w:jc w:val="both"/>
        <w:rPr>
          <w:rFonts w:ascii="Calibri" w:hAnsi="Calibri" w:cs="Calibri"/>
          <w:b/>
          <w:sz w:val="28"/>
          <w:szCs w:val="28"/>
        </w:rPr>
      </w:pPr>
      <w:r w:rsidRPr="001842FD">
        <w:rPr>
          <w:rFonts w:ascii="Calibri" w:hAnsi="Calibri" w:cs="Calibri"/>
          <w:b/>
          <w:sz w:val="28"/>
          <w:szCs w:val="28"/>
        </w:rPr>
        <w:t>Comparison to Competitors and Sector Average</w:t>
      </w:r>
    </w:p>
    <w:p w14:paraId="7F624D41" w14:textId="77777777" w:rsidR="007E212C" w:rsidRPr="00B8077E" w:rsidRDefault="007E212C"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Comparison with Honda</w:t>
      </w:r>
    </w:p>
    <w:p w14:paraId="793AA581" w14:textId="77777777" w:rsidR="00112F77" w:rsidRPr="00B8077E" w:rsidRDefault="007E212C" w:rsidP="006737F6">
      <w:pPr>
        <w:spacing w:line="360" w:lineRule="auto"/>
        <w:jc w:val="both"/>
        <w:rPr>
          <w:rFonts w:ascii="Calibri" w:hAnsi="Calibri" w:cs="Calibri"/>
          <w:sz w:val="28"/>
          <w:szCs w:val="28"/>
        </w:rPr>
      </w:pPr>
      <w:r w:rsidRPr="00B8077E">
        <w:rPr>
          <w:rFonts w:ascii="Calibri" w:hAnsi="Calibri" w:cs="Calibri"/>
          <w:sz w:val="28"/>
          <w:szCs w:val="28"/>
        </w:rPr>
        <w:t xml:space="preserve">This performance reviewing tool is vital in automotive industry because it provides the necessary objective by comparing the performance of a certain company to the performance of the competitor or benchmark firms. The two major global giants in the automobile industry, Toyota and Honda exemplify a necessary aid to dissect the huge landscape of global automobile manufacturing and to establish relations between financial parameters and working strategies and financial balance. </w:t>
      </w:r>
    </w:p>
    <w:p w14:paraId="59EC3F78" w14:textId="77777777" w:rsidR="007E212C" w:rsidRPr="00B8077E" w:rsidRDefault="007E212C" w:rsidP="006737F6">
      <w:pPr>
        <w:spacing w:line="360" w:lineRule="auto"/>
        <w:jc w:val="both"/>
        <w:rPr>
          <w:rFonts w:ascii="Calibri" w:hAnsi="Calibri" w:cs="Calibri"/>
          <w:sz w:val="28"/>
          <w:szCs w:val="28"/>
        </w:rPr>
      </w:pPr>
      <w:r w:rsidRPr="00B8077E">
        <w:rPr>
          <w:rFonts w:ascii="Calibri" w:hAnsi="Calibri" w:cs="Calibri"/>
          <w:sz w:val="28"/>
          <w:szCs w:val="28"/>
        </w:rPr>
        <w:t>Honda is frequently less global than Toyota and has a smaller market share, but it is generally more profitable, and its profitability ratios are better than those of Toyota. This can be said to be due to Toyota’s expansion strategies and targeting of high margin segments which have the effect of improving its ROA as well as its ROE. On the other hand, Honda who cares keenly on innovation and cost cutting has in general below but slightly Different efficiencies ratios to its financial strategy.</w:t>
      </w:r>
    </w:p>
    <w:p w14:paraId="574BD74D" w14:textId="77777777" w:rsidR="007E212C" w:rsidRPr="00B8077E" w:rsidRDefault="007E212C" w:rsidP="006737F6">
      <w:pPr>
        <w:pStyle w:val="ListParagraph"/>
        <w:numPr>
          <w:ilvl w:val="0"/>
          <w:numId w:val="6"/>
        </w:numPr>
        <w:spacing w:line="360" w:lineRule="auto"/>
        <w:jc w:val="both"/>
        <w:rPr>
          <w:rFonts w:ascii="Calibri" w:hAnsi="Calibri" w:cs="Calibri"/>
          <w:sz w:val="28"/>
          <w:szCs w:val="28"/>
        </w:rPr>
      </w:pPr>
      <w:r w:rsidRPr="00B8077E">
        <w:rPr>
          <w:rFonts w:ascii="Calibri" w:hAnsi="Calibri" w:cs="Calibri"/>
          <w:sz w:val="28"/>
          <w:szCs w:val="28"/>
        </w:rPr>
        <w:t xml:space="preserve">Profitability Ratios: </w:t>
      </w:r>
    </w:p>
    <w:p w14:paraId="138F96B8" w14:textId="77777777" w:rsidR="007E212C" w:rsidRPr="00B8077E" w:rsidRDefault="007E212C" w:rsidP="006737F6">
      <w:pPr>
        <w:pStyle w:val="ListParagraph"/>
        <w:numPr>
          <w:ilvl w:val="0"/>
          <w:numId w:val="7"/>
        </w:numPr>
        <w:spacing w:line="360" w:lineRule="auto"/>
        <w:jc w:val="both"/>
        <w:rPr>
          <w:rFonts w:ascii="Calibri" w:hAnsi="Calibri" w:cs="Calibri"/>
          <w:sz w:val="28"/>
          <w:szCs w:val="28"/>
        </w:rPr>
      </w:pPr>
      <w:r w:rsidRPr="00B8077E">
        <w:rPr>
          <w:rFonts w:ascii="Calibri" w:hAnsi="Calibri" w:cs="Calibri"/>
          <w:sz w:val="28"/>
          <w:szCs w:val="28"/>
        </w:rPr>
        <w:t xml:space="preserve">ROA: Toyota’s 7. 67% surpasses Honda’s 6. 50%, this depicting that Toyota has formatted a better capital structure to churn out better returns from the embedded assets. </w:t>
      </w:r>
    </w:p>
    <w:p w14:paraId="0695B9FC" w14:textId="77777777" w:rsidR="007E212C" w:rsidRPr="00B8077E" w:rsidRDefault="007E212C" w:rsidP="006737F6">
      <w:pPr>
        <w:pStyle w:val="ListParagraph"/>
        <w:numPr>
          <w:ilvl w:val="0"/>
          <w:numId w:val="7"/>
        </w:numPr>
        <w:spacing w:line="360" w:lineRule="auto"/>
        <w:jc w:val="both"/>
        <w:rPr>
          <w:rFonts w:ascii="Calibri" w:hAnsi="Calibri" w:cs="Calibri"/>
          <w:sz w:val="28"/>
          <w:szCs w:val="28"/>
        </w:rPr>
      </w:pPr>
      <w:r w:rsidRPr="00B8077E">
        <w:rPr>
          <w:rFonts w:ascii="Calibri" w:hAnsi="Calibri" w:cs="Calibri"/>
          <w:sz w:val="28"/>
          <w:szCs w:val="28"/>
        </w:rPr>
        <w:lastRenderedPageBreak/>
        <w:t xml:space="preserve">ROE: Toyota’s ROE as of the end of the year was at 23. 0% is greater than Honda’s by 20 per cent. Their equity utilization was more effective and ranked 0%. </w:t>
      </w:r>
    </w:p>
    <w:p w14:paraId="390CA14F" w14:textId="77777777" w:rsidR="007E212C" w:rsidRPr="00B8077E" w:rsidRDefault="007E212C" w:rsidP="006737F6">
      <w:pPr>
        <w:pStyle w:val="ListParagraph"/>
        <w:numPr>
          <w:ilvl w:val="0"/>
          <w:numId w:val="7"/>
        </w:numPr>
        <w:spacing w:line="360" w:lineRule="auto"/>
        <w:jc w:val="both"/>
        <w:rPr>
          <w:rFonts w:ascii="Calibri" w:hAnsi="Calibri" w:cs="Calibri"/>
          <w:sz w:val="28"/>
          <w:szCs w:val="28"/>
        </w:rPr>
      </w:pPr>
      <w:r w:rsidRPr="00B8077E">
        <w:rPr>
          <w:rFonts w:ascii="Calibri" w:hAnsi="Calibri" w:cs="Calibri"/>
          <w:sz w:val="28"/>
          <w:szCs w:val="28"/>
        </w:rPr>
        <w:t xml:space="preserve">Gross Profit Margin: Toyota’s margin is 15.0. Compared to Honda, 0% margin is higher whereas operating margin is less than Honda 14%. 5 percent which helps in the better management of costs and profitability. </w:t>
      </w:r>
    </w:p>
    <w:p w14:paraId="34952659" w14:textId="77777777" w:rsidR="007E212C" w:rsidRPr="00B8077E" w:rsidRDefault="007E212C" w:rsidP="006737F6">
      <w:pPr>
        <w:pStyle w:val="ListParagraph"/>
        <w:numPr>
          <w:ilvl w:val="0"/>
          <w:numId w:val="6"/>
        </w:numPr>
        <w:spacing w:line="360" w:lineRule="auto"/>
        <w:jc w:val="both"/>
        <w:rPr>
          <w:rFonts w:ascii="Calibri" w:hAnsi="Calibri" w:cs="Calibri"/>
          <w:sz w:val="28"/>
          <w:szCs w:val="28"/>
        </w:rPr>
      </w:pPr>
      <w:r w:rsidRPr="00B8077E">
        <w:rPr>
          <w:rFonts w:ascii="Calibri" w:hAnsi="Calibri" w:cs="Calibri"/>
          <w:sz w:val="28"/>
          <w:szCs w:val="28"/>
        </w:rPr>
        <w:t xml:space="preserve">Liquidity Ratios: </w:t>
      </w:r>
    </w:p>
    <w:p w14:paraId="58ECE538" w14:textId="77777777" w:rsidR="007E212C" w:rsidRPr="00B8077E" w:rsidRDefault="007E212C" w:rsidP="006737F6">
      <w:pPr>
        <w:pStyle w:val="ListParagraph"/>
        <w:numPr>
          <w:ilvl w:val="0"/>
          <w:numId w:val="8"/>
        </w:numPr>
        <w:spacing w:line="360" w:lineRule="auto"/>
        <w:jc w:val="both"/>
        <w:rPr>
          <w:rFonts w:ascii="Calibri" w:hAnsi="Calibri" w:cs="Calibri"/>
          <w:sz w:val="28"/>
          <w:szCs w:val="28"/>
        </w:rPr>
      </w:pPr>
      <w:r w:rsidRPr="00B8077E">
        <w:rPr>
          <w:rFonts w:ascii="Calibri" w:hAnsi="Calibri" w:cs="Calibri"/>
          <w:sz w:val="28"/>
          <w:szCs w:val="28"/>
        </w:rPr>
        <w:t xml:space="preserve">Current Ratio: Toyota was able to report a ratio of 2.0 is relatively similar to Honda’s one. Only 9 for the current and 8 for the prior year suggesting that the two firms had similar liquidity ratios. </w:t>
      </w:r>
    </w:p>
    <w:p w14:paraId="13227ABA" w14:textId="77777777" w:rsidR="007E212C" w:rsidRPr="00B8077E" w:rsidRDefault="007E212C" w:rsidP="006737F6">
      <w:pPr>
        <w:pStyle w:val="ListParagraph"/>
        <w:numPr>
          <w:ilvl w:val="0"/>
          <w:numId w:val="8"/>
        </w:numPr>
        <w:spacing w:line="360" w:lineRule="auto"/>
        <w:jc w:val="both"/>
        <w:rPr>
          <w:rFonts w:ascii="Calibri" w:hAnsi="Calibri" w:cs="Calibri"/>
          <w:sz w:val="28"/>
          <w:szCs w:val="28"/>
        </w:rPr>
      </w:pPr>
      <w:r w:rsidRPr="00B8077E">
        <w:rPr>
          <w:rFonts w:ascii="Calibri" w:hAnsi="Calibri" w:cs="Calibri"/>
          <w:sz w:val="28"/>
          <w:szCs w:val="28"/>
        </w:rPr>
        <w:t xml:space="preserve">Quick Ratio: The United States’ Automobiles Quick ratio is 1 while that of Toyota is 1. 33 is still below Honda’s 1. 40, which somewhat indicates less capacity to meet short-term commitments without holding inventory. </w:t>
      </w:r>
    </w:p>
    <w:p w14:paraId="2CCADBD5" w14:textId="77777777" w:rsidR="007E212C" w:rsidRPr="00B8077E" w:rsidRDefault="007E212C" w:rsidP="006737F6">
      <w:pPr>
        <w:pStyle w:val="ListParagraph"/>
        <w:numPr>
          <w:ilvl w:val="0"/>
          <w:numId w:val="6"/>
        </w:numPr>
        <w:spacing w:line="360" w:lineRule="auto"/>
        <w:jc w:val="both"/>
        <w:rPr>
          <w:rFonts w:ascii="Calibri" w:hAnsi="Calibri" w:cs="Calibri"/>
          <w:sz w:val="28"/>
          <w:szCs w:val="28"/>
        </w:rPr>
      </w:pPr>
      <w:r w:rsidRPr="00B8077E">
        <w:rPr>
          <w:rFonts w:ascii="Calibri" w:hAnsi="Calibri" w:cs="Calibri"/>
          <w:sz w:val="28"/>
          <w:szCs w:val="28"/>
        </w:rPr>
        <w:t xml:space="preserve">Gearing Ratios: </w:t>
      </w:r>
    </w:p>
    <w:p w14:paraId="7D603EEF" w14:textId="77777777" w:rsidR="007E212C" w:rsidRPr="00B8077E" w:rsidRDefault="007E212C" w:rsidP="006737F6">
      <w:pPr>
        <w:pStyle w:val="ListParagraph"/>
        <w:numPr>
          <w:ilvl w:val="0"/>
          <w:numId w:val="9"/>
        </w:numPr>
        <w:spacing w:line="360" w:lineRule="auto"/>
        <w:jc w:val="both"/>
        <w:rPr>
          <w:rFonts w:ascii="Calibri" w:hAnsi="Calibri" w:cs="Calibri"/>
          <w:sz w:val="28"/>
          <w:szCs w:val="28"/>
        </w:rPr>
      </w:pPr>
      <w:r w:rsidRPr="00B8077E">
        <w:rPr>
          <w:rFonts w:ascii="Calibri" w:hAnsi="Calibri" w:cs="Calibri"/>
          <w:sz w:val="28"/>
          <w:szCs w:val="28"/>
        </w:rPr>
        <w:t xml:space="preserve">Debt to Equity Ratio: Crm’s ratio was found to be 1. 6 while Toyota had a relatively higher ratio of 2.0. The same results in terms of recall were achieved with 0 in comparison to Honda with 1. 5 reflect a higher degree of debt which is riskier may be, but has scope for higher returns as well. </w:t>
      </w:r>
    </w:p>
    <w:p w14:paraId="705B5EBE" w14:textId="77777777" w:rsidR="007E212C" w:rsidRPr="00B8077E" w:rsidRDefault="007E212C" w:rsidP="006737F6">
      <w:pPr>
        <w:pStyle w:val="ListParagraph"/>
        <w:numPr>
          <w:ilvl w:val="0"/>
          <w:numId w:val="6"/>
        </w:numPr>
        <w:spacing w:line="360" w:lineRule="auto"/>
        <w:jc w:val="both"/>
        <w:rPr>
          <w:rFonts w:ascii="Calibri" w:hAnsi="Calibri" w:cs="Calibri"/>
          <w:sz w:val="28"/>
          <w:szCs w:val="28"/>
        </w:rPr>
      </w:pPr>
      <w:r w:rsidRPr="00B8077E">
        <w:rPr>
          <w:rFonts w:ascii="Calibri" w:hAnsi="Calibri" w:cs="Calibri"/>
          <w:sz w:val="28"/>
          <w:szCs w:val="28"/>
        </w:rPr>
        <w:t xml:space="preserve">Efficiency Ratios: </w:t>
      </w:r>
    </w:p>
    <w:p w14:paraId="7C4E8C0A" w14:textId="77777777" w:rsidR="007E212C" w:rsidRPr="00B8077E" w:rsidRDefault="007E212C" w:rsidP="006737F6">
      <w:pPr>
        <w:pStyle w:val="ListParagraph"/>
        <w:numPr>
          <w:ilvl w:val="0"/>
          <w:numId w:val="9"/>
        </w:numPr>
        <w:spacing w:line="360" w:lineRule="auto"/>
        <w:jc w:val="both"/>
        <w:rPr>
          <w:rFonts w:ascii="Calibri" w:hAnsi="Calibri" w:cs="Calibri"/>
          <w:sz w:val="28"/>
          <w:szCs w:val="28"/>
        </w:rPr>
      </w:pPr>
      <w:r w:rsidRPr="00B8077E">
        <w:rPr>
          <w:rFonts w:ascii="Calibri" w:hAnsi="Calibri" w:cs="Calibri"/>
          <w:sz w:val="28"/>
          <w:szCs w:val="28"/>
        </w:rPr>
        <w:t xml:space="preserve">Inventory Turnover Ratio: The upper limit is the case with Toyota that has a cost to revenue ratio of the value 11. 28 outperforms Honda’s 10. 80, which emphasized the consideration of inventory management as a strategic strength. </w:t>
      </w:r>
    </w:p>
    <w:p w14:paraId="6C5F66EC" w14:textId="77777777" w:rsidR="007E212C" w:rsidRPr="00B8077E" w:rsidRDefault="007E212C" w:rsidP="006737F6">
      <w:pPr>
        <w:pStyle w:val="ListParagraph"/>
        <w:numPr>
          <w:ilvl w:val="0"/>
          <w:numId w:val="9"/>
        </w:numPr>
        <w:spacing w:line="360" w:lineRule="auto"/>
        <w:jc w:val="both"/>
        <w:rPr>
          <w:rFonts w:ascii="Calibri" w:hAnsi="Calibri" w:cs="Calibri"/>
          <w:sz w:val="28"/>
          <w:szCs w:val="28"/>
        </w:rPr>
      </w:pPr>
      <w:r w:rsidRPr="00B8077E">
        <w:rPr>
          <w:rFonts w:ascii="Calibri" w:hAnsi="Calibri" w:cs="Calibri"/>
          <w:sz w:val="28"/>
          <w:szCs w:val="28"/>
        </w:rPr>
        <w:t xml:space="preserve">Receivables Turnover Ratio: The automotive manufacturers’ figures are; General Motors 23, Ford 19, Daimler Chrysler 14, Ford Motor 11, and Toyota </w:t>
      </w:r>
      <w:r w:rsidRPr="00B8077E">
        <w:rPr>
          <w:rFonts w:ascii="Calibri" w:hAnsi="Calibri" w:cs="Calibri"/>
          <w:sz w:val="28"/>
          <w:szCs w:val="28"/>
        </w:rPr>
        <w:lastRenderedPageBreak/>
        <w:t xml:space="preserve">10. Thus, </w:t>
      </w:r>
      <w:r w:rsidR="00DF6E33" w:rsidRPr="00B8077E">
        <w:rPr>
          <w:rFonts w:ascii="Calibri" w:hAnsi="Calibri" w:cs="Calibri"/>
          <w:sz w:val="28"/>
          <w:szCs w:val="28"/>
        </w:rPr>
        <w:t>10.</w:t>
      </w:r>
      <w:r w:rsidRPr="00B8077E">
        <w:rPr>
          <w:rFonts w:ascii="Calibri" w:hAnsi="Calibri" w:cs="Calibri"/>
          <w:sz w:val="28"/>
          <w:szCs w:val="28"/>
        </w:rPr>
        <w:t>00 is equivalent mainly to Honda’s 10. 10, which have shown almost equal efficiency in demand management and receivables recovery.</w:t>
      </w:r>
    </w:p>
    <w:p w14:paraId="22FC5F5A" w14:textId="77777777" w:rsidR="00900B36" w:rsidRPr="00B8077E" w:rsidRDefault="00900B36"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 xml:space="preserve">Comparison with Ford Motor Company </w:t>
      </w:r>
    </w:p>
    <w:p w14:paraId="46E2BDA9" w14:textId="77777777" w:rsidR="00E17F71" w:rsidRPr="00B8077E" w:rsidRDefault="00900B36" w:rsidP="006737F6">
      <w:pPr>
        <w:spacing w:line="360" w:lineRule="auto"/>
        <w:jc w:val="both"/>
        <w:rPr>
          <w:rFonts w:ascii="Calibri" w:hAnsi="Calibri" w:cs="Calibri"/>
          <w:sz w:val="28"/>
          <w:szCs w:val="28"/>
        </w:rPr>
      </w:pPr>
      <w:r w:rsidRPr="00B8077E">
        <w:rPr>
          <w:rFonts w:ascii="Calibri" w:hAnsi="Calibri" w:cs="Calibri"/>
          <w:sz w:val="28"/>
          <w:szCs w:val="28"/>
        </w:rPr>
        <w:t xml:space="preserve"> By comparing Toyota’s position with the position of Ford Motor Company, Toyota always proves its competitive advantage on different financial aspects. Toyota reveals its Operational Performance and Management Performance showing that it is at a better position. Toyota has a better position than Ford in profitability to cost control, which proofs that Toyota has higher margins and a powerful control of operation costs. </w:t>
      </w:r>
    </w:p>
    <w:p w14:paraId="0392DE8E" w14:textId="77777777" w:rsidR="00900B36" w:rsidRPr="00B8077E" w:rsidRDefault="00900B36" w:rsidP="006737F6">
      <w:pPr>
        <w:spacing w:line="360" w:lineRule="auto"/>
        <w:jc w:val="both"/>
        <w:rPr>
          <w:rFonts w:ascii="Calibri" w:hAnsi="Calibri" w:cs="Calibri"/>
          <w:sz w:val="28"/>
          <w:szCs w:val="28"/>
        </w:rPr>
      </w:pPr>
      <w:r w:rsidRPr="00B8077E">
        <w:rPr>
          <w:rFonts w:ascii="Calibri" w:hAnsi="Calibri" w:cs="Calibri"/>
          <w:sz w:val="28"/>
          <w:szCs w:val="28"/>
        </w:rPr>
        <w:t xml:space="preserve">Liquidity ratios of Toyota also present a better scenario of the company and its better position to handle short term financial shocks if any. Also, Toyota leverages more on debt financing than Ford but the point of it is to capitalize on the available possibilities for growth and diversification. </w:t>
      </w:r>
    </w:p>
    <w:p w14:paraId="34709F1D" w14:textId="77777777" w:rsidR="00900B36" w:rsidRPr="00B8077E" w:rsidRDefault="00900B36" w:rsidP="006737F6">
      <w:pPr>
        <w:pStyle w:val="ListParagraph"/>
        <w:numPr>
          <w:ilvl w:val="0"/>
          <w:numId w:val="10"/>
        </w:numPr>
        <w:spacing w:line="360" w:lineRule="auto"/>
        <w:jc w:val="both"/>
        <w:rPr>
          <w:rFonts w:ascii="Calibri" w:hAnsi="Calibri" w:cs="Calibri"/>
          <w:sz w:val="28"/>
          <w:szCs w:val="28"/>
        </w:rPr>
      </w:pPr>
      <w:r w:rsidRPr="00B8077E">
        <w:rPr>
          <w:rFonts w:ascii="Calibri" w:hAnsi="Calibri" w:cs="Calibri"/>
          <w:sz w:val="28"/>
          <w:szCs w:val="28"/>
        </w:rPr>
        <w:t xml:space="preserve">Profitability Ratios: </w:t>
      </w:r>
    </w:p>
    <w:p w14:paraId="5F94F7D8" w14:textId="77777777" w:rsidR="00900B36" w:rsidRPr="00B8077E" w:rsidRDefault="00900B36" w:rsidP="006737F6">
      <w:pPr>
        <w:pStyle w:val="ListParagraph"/>
        <w:numPr>
          <w:ilvl w:val="0"/>
          <w:numId w:val="11"/>
        </w:numPr>
        <w:spacing w:line="360" w:lineRule="auto"/>
        <w:jc w:val="both"/>
        <w:rPr>
          <w:rFonts w:ascii="Calibri" w:hAnsi="Calibri" w:cs="Calibri"/>
          <w:sz w:val="28"/>
          <w:szCs w:val="28"/>
        </w:rPr>
      </w:pPr>
      <w:r w:rsidRPr="00B8077E">
        <w:rPr>
          <w:rFonts w:ascii="Calibri" w:hAnsi="Calibri" w:cs="Calibri"/>
          <w:sz w:val="28"/>
          <w:szCs w:val="28"/>
        </w:rPr>
        <w:t xml:space="preserve">ROA (Return on Assets): Net profit margin of 16%, ROE of 13% and 7 of ROA show Toyota has great financial health. This exceeds Ford’s ROA of 6. 25%, indicating Toyota’s optimum utilization of asset base for profit making. </w:t>
      </w:r>
    </w:p>
    <w:p w14:paraId="70F51147" w14:textId="77777777" w:rsidR="00900B36" w:rsidRPr="00B8077E" w:rsidRDefault="00900B36" w:rsidP="006737F6">
      <w:pPr>
        <w:pStyle w:val="ListParagraph"/>
        <w:numPr>
          <w:ilvl w:val="0"/>
          <w:numId w:val="11"/>
        </w:numPr>
        <w:spacing w:line="360" w:lineRule="auto"/>
        <w:jc w:val="both"/>
        <w:rPr>
          <w:rFonts w:ascii="Calibri" w:hAnsi="Calibri" w:cs="Calibri"/>
          <w:sz w:val="28"/>
          <w:szCs w:val="28"/>
        </w:rPr>
      </w:pPr>
      <w:r w:rsidRPr="00B8077E">
        <w:rPr>
          <w:rFonts w:ascii="Calibri" w:hAnsi="Calibri" w:cs="Calibri"/>
          <w:sz w:val="28"/>
          <w:szCs w:val="28"/>
        </w:rPr>
        <w:t xml:space="preserve">ROE (Return on Equity): Toyota’s ROE was 23 of the total year ending in financial period. In Sales, General, and </w:t>
      </w:r>
      <w:proofErr w:type="gramStart"/>
      <w:r w:rsidRPr="00B8077E">
        <w:rPr>
          <w:rFonts w:ascii="Calibri" w:hAnsi="Calibri" w:cs="Calibri"/>
          <w:sz w:val="28"/>
          <w:szCs w:val="28"/>
        </w:rPr>
        <w:t>Administrative</w:t>
      </w:r>
      <w:proofErr w:type="gramEnd"/>
      <w:r w:rsidRPr="00B8077E">
        <w:rPr>
          <w:rFonts w:ascii="Calibri" w:hAnsi="Calibri" w:cs="Calibri"/>
          <w:sz w:val="28"/>
          <w:szCs w:val="28"/>
        </w:rPr>
        <w:t xml:space="preserve"> expenses, General Motors Company has recorded 10.00% while Ford recorded 16. 00%. This reveals the greater efficiency of Toyota in making profits to the shareholders ‘equity. </w:t>
      </w:r>
    </w:p>
    <w:p w14:paraId="04A4BBA5" w14:textId="77777777" w:rsidR="00900B36" w:rsidRPr="00B8077E" w:rsidRDefault="00900B36" w:rsidP="006737F6">
      <w:pPr>
        <w:pStyle w:val="ListParagraph"/>
        <w:numPr>
          <w:ilvl w:val="0"/>
          <w:numId w:val="11"/>
        </w:numPr>
        <w:spacing w:line="360" w:lineRule="auto"/>
        <w:jc w:val="both"/>
        <w:rPr>
          <w:rFonts w:ascii="Calibri" w:hAnsi="Calibri" w:cs="Calibri"/>
          <w:sz w:val="28"/>
          <w:szCs w:val="28"/>
        </w:rPr>
      </w:pPr>
      <w:r w:rsidRPr="00B8077E">
        <w:rPr>
          <w:rFonts w:ascii="Calibri" w:hAnsi="Calibri" w:cs="Calibri"/>
          <w:sz w:val="28"/>
          <w:szCs w:val="28"/>
        </w:rPr>
        <w:lastRenderedPageBreak/>
        <w:t xml:space="preserve">Gross Profit Margin: Gross profit margin of Toyota is 15. 00%, which is way less than the Ford’s 14% of college students surveyed saying that they own a Toyota. Toyota seems to better control its costs. </w:t>
      </w:r>
    </w:p>
    <w:p w14:paraId="3EBF5D51" w14:textId="77777777" w:rsidR="00900B36" w:rsidRPr="00B8077E" w:rsidRDefault="00900B36" w:rsidP="006737F6">
      <w:pPr>
        <w:pStyle w:val="ListParagraph"/>
        <w:numPr>
          <w:ilvl w:val="0"/>
          <w:numId w:val="11"/>
        </w:numPr>
        <w:spacing w:line="360" w:lineRule="auto"/>
        <w:jc w:val="both"/>
        <w:rPr>
          <w:rFonts w:ascii="Calibri" w:hAnsi="Calibri" w:cs="Calibri"/>
          <w:sz w:val="28"/>
          <w:szCs w:val="28"/>
        </w:rPr>
      </w:pPr>
      <w:r w:rsidRPr="00B8077E">
        <w:rPr>
          <w:rFonts w:ascii="Calibri" w:hAnsi="Calibri" w:cs="Calibri"/>
          <w:sz w:val="28"/>
          <w:szCs w:val="28"/>
        </w:rPr>
        <w:t>Operating Margin: Toyota’s operating margin on the other hand stood at 12. 00% is a little higher than that of Ford with only 11. 50% hence showing Toyota to have a better operation efficiency.</w:t>
      </w:r>
    </w:p>
    <w:p w14:paraId="4E6BC4FE" w14:textId="77777777" w:rsidR="00900B36" w:rsidRPr="00B8077E" w:rsidRDefault="00900B36" w:rsidP="006737F6">
      <w:pPr>
        <w:pStyle w:val="ListParagraph"/>
        <w:numPr>
          <w:ilvl w:val="0"/>
          <w:numId w:val="10"/>
        </w:numPr>
        <w:spacing w:line="360" w:lineRule="auto"/>
        <w:jc w:val="both"/>
        <w:rPr>
          <w:rFonts w:ascii="Calibri" w:hAnsi="Calibri" w:cs="Calibri"/>
          <w:sz w:val="28"/>
          <w:szCs w:val="28"/>
        </w:rPr>
      </w:pPr>
      <w:r w:rsidRPr="00B8077E">
        <w:rPr>
          <w:rFonts w:ascii="Calibri" w:hAnsi="Calibri" w:cs="Calibri"/>
          <w:sz w:val="28"/>
          <w:szCs w:val="28"/>
        </w:rPr>
        <w:t xml:space="preserve">Liquidity Ratios: </w:t>
      </w:r>
    </w:p>
    <w:p w14:paraId="17711294" w14:textId="77777777" w:rsidR="00900B36" w:rsidRPr="00B8077E" w:rsidRDefault="00900B36" w:rsidP="006737F6">
      <w:pPr>
        <w:pStyle w:val="ListParagraph"/>
        <w:numPr>
          <w:ilvl w:val="0"/>
          <w:numId w:val="12"/>
        </w:numPr>
        <w:spacing w:line="360" w:lineRule="auto"/>
        <w:jc w:val="both"/>
        <w:rPr>
          <w:rFonts w:ascii="Calibri" w:hAnsi="Calibri" w:cs="Calibri"/>
          <w:sz w:val="28"/>
          <w:szCs w:val="28"/>
        </w:rPr>
      </w:pPr>
      <w:r w:rsidRPr="00B8077E">
        <w:rPr>
          <w:rFonts w:ascii="Calibri" w:hAnsi="Calibri" w:cs="Calibri"/>
          <w:sz w:val="28"/>
          <w:szCs w:val="28"/>
        </w:rPr>
        <w:t xml:space="preserve">Current Ratio: Toyota total current ratio is 2. 0 or somewhat higher than Ford’s 1.0 which shows indicated the extent of activism in the concerned sphere. 9. It is evident that both companies are in good stead in terms of short-term liquidity, although Toyota was a shade better. </w:t>
      </w:r>
    </w:p>
    <w:p w14:paraId="67E2641F" w14:textId="77777777" w:rsidR="00900B36" w:rsidRPr="00B8077E" w:rsidRDefault="00900B36" w:rsidP="006737F6">
      <w:pPr>
        <w:pStyle w:val="ListParagraph"/>
        <w:numPr>
          <w:ilvl w:val="0"/>
          <w:numId w:val="12"/>
        </w:numPr>
        <w:spacing w:line="360" w:lineRule="auto"/>
        <w:jc w:val="both"/>
        <w:rPr>
          <w:rFonts w:ascii="Calibri" w:hAnsi="Calibri" w:cs="Calibri"/>
          <w:sz w:val="28"/>
          <w:szCs w:val="28"/>
        </w:rPr>
      </w:pPr>
      <w:r w:rsidRPr="00B8077E">
        <w:rPr>
          <w:rFonts w:ascii="Calibri" w:hAnsi="Calibri" w:cs="Calibri"/>
          <w:sz w:val="28"/>
          <w:szCs w:val="28"/>
        </w:rPr>
        <w:t xml:space="preserve">Quick Ratio: Proceeding to </w:t>
      </w:r>
      <w:r w:rsidR="00E17F71" w:rsidRPr="00B8077E">
        <w:rPr>
          <w:rFonts w:ascii="Calibri" w:hAnsi="Calibri" w:cs="Calibri"/>
          <w:sz w:val="28"/>
          <w:szCs w:val="28"/>
        </w:rPr>
        <w:t>analyze</w:t>
      </w:r>
      <w:r w:rsidRPr="00B8077E">
        <w:rPr>
          <w:rFonts w:ascii="Calibri" w:hAnsi="Calibri" w:cs="Calibri"/>
          <w:sz w:val="28"/>
          <w:szCs w:val="28"/>
        </w:rPr>
        <w:t xml:space="preserve"> Toyota’s liquidity ratios, the following quick ratio of 1. 33 can therefore be considered to be better than Ford which only has a figure of 1. 20 which imply that Toyota is better placed than its competitors in relation to short term demand obligation and the extent of reliance on inventory. </w:t>
      </w:r>
    </w:p>
    <w:p w14:paraId="7327E77A" w14:textId="77777777" w:rsidR="00900B36" w:rsidRPr="00B8077E" w:rsidRDefault="00900B36" w:rsidP="006737F6">
      <w:pPr>
        <w:pStyle w:val="ListParagraph"/>
        <w:numPr>
          <w:ilvl w:val="0"/>
          <w:numId w:val="10"/>
        </w:numPr>
        <w:spacing w:line="360" w:lineRule="auto"/>
        <w:jc w:val="both"/>
        <w:rPr>
          <w:rFonts w:ascii="Calibri" w:hAnsi="Calibri" w:cs="Calibri"/>
          <w:sz w:val="28"/>
          <w:szCs w:val="28"/>
        </w:rPr>
      </w:pPr>
      <w:r w:rsidRPr="00B8077E">
        <w:rPr>
          <w:rFonts w:ascii="Calibri" w:hAnsi="Calibri" w:cs="Calibri"/>
          <w:sz w:val="28"/>
          <w:szCs w:val="28"/>
        </w:rPr>
        <w:t xml:space="preserve">Gearing Ratios: </w:t>
      </w:r>
    </w:p>
    <w:p w14:paraId="5CE83AF0" w14:textId="77777777" w:rsidR="00900B36" w:rsidRPr="00B8077E" w:rsidRDefault="00900B36" w:rsidP="006737F6">
      <w:pPr>
        <w:pStyle w:val="ListParagraph"/>
        <w:numPr>
          <w:ilvl w:val="0"/>
          <w:numId w:val="13"/>
        </w:numPr>
        <w:spacing w:line="360" w:lineRule="auto"/>
        <w:jc w:val="both"/>
        <w:rPr>
          <w:rFonts w:ascii="Calibri" w:hAnsi="Calibri" w:cs="Calibri"/>
          <w:sz w:val="28"/>
          <w:szCs w:val="28"/>
        </w:rPr>
      </w:pPr>
      <w:r w:rsidRPr="00B8077E">
        <w:rPr>
          <w:rFonts w:ascii="Calibri" w:hAnsi="Calibri" w:cs="Calibri"/>
          <w:sz w:val="28"/>
          <w:szCs w:val="28"/>
        </w:rPr>
        <w:t xml:space="preserve">Debt to Equity Ratio: Toyota’s debt to equity ratio of 2.0 is higher than Ford’s 1.7, indicating Toyota’s greater reliance on debt financing, which carries higher risk but potential for greater returns. </w:t>
      </w:r>
    </w:p>
    <w:p w14:paraId="542A00B2" w14:textId="77777777" w:rsidR="00900B36" w:rsidRPr="00B8077E" w:rsidRDefault="00900B36" w:rsidP="006737F6">
      <w:pPr>
        <w:pStyle w:val="ListParagraph"/>
        <w:numPr>
          <w:ilvl w:val="0"/>
          <w:numId w:val="10"/>
        </w:numPr>
        <w:spacing w:line="360" w:lineRule="auto"/>
        <w:jc w:val="both"/>
        <w:rPr>
          <w:rFonts w:ascii="Calibri" w:hAnsi="Calibri" w:cs="Calibri"/>
          <w:sz w:val="28"/>
          <w:szCs w:val="28"/>
        </w:rPr>
      </w:pPr>
      <w:r w:rsidRPr="00B8077E">
        <w:rPr>
          <w:rFonts w:ascii="Calibri" w:hAnsi="Calibri" w:cs="Calibri"/>
          <w:sz w:val="28"/>
          <w:szCs w:val="28"/>
        </w:rPr>
        <w:t xml:space="preserve">Efficiency Ratios: </w:t>
      </w:r>
    </w:p>
    <w:p w14:paraId="6A69A200" w14:textId="77777777" w:rsidR="00900B36" w:rsidRPr="00B8077E" w:rsidRDefault="00900B36" w:rsidP="006737F6">
      <w:pPr>
        <w:pStyle w:val="ListParagraph"/>
        <w:numPr>
          <w:ilvl w:val="0"/>
          <w:numId w:val="13"/>
        </w:numPr>
        <w:spacing w:line="360" w:lineRule="auto"/>
        <w:jc w:val="both"/>
        <w:rPr>
          <w:rFonts w:ascii="Calibri" w:hAnsi="Calibri" w:cs="Calibri"/>
          <w:sz w:val="28"/>
          <w:szCs w:val="28"/>
        </w:rPr>
      </w:pPr>
      <w:r w:rsidRPr="00B8077E">
        <w:rPr>
          <w:rFonts w:ascii="Calibri" w:hAnsi="Calibri" w:cs="Calibri"/>
          <w:sz w:val="28"/>
          <w:szCs w:val="28"/>
        </w:rPr>
        <w:t xml:space="preserve">Inventory Turnover Ratio: Toyota had a ratio of 11. 28 surpasses Ford’s 10. 00 farce another signs of Toyota’s effective inventory management over its rivals. </w:t>
      </w:r>
    </w:p>
    <w:p w14:paraId="32EF13FD" w14:textId="0799DD49" w:rsidR="0087741F" w:rsidRPr="0087741F" w:rsidRDefault="00900B36" w:rsidP="0087741F">
      <w:pPr>
        <w:pStyle w:val="ListParagraph"/>
        <w:numPr>
          <w:ilvl w:val="0"/>
          <w:numId w:val="13"/>
        </w:numPr>
        <w:spacing w:line="360" w:lineRule="auto"/>
        <w:jc w:val="both"/>
        <w:rPr>
          <w:rFonts w:ascii="Calibri" w:hAnsi="Calibri" w:cs="Calibri"/>
          <w:sz w:val="28"/>
          <w:szCs w:val="28"/>
        </w:rPr>
      </w:pPr>
      <w:r w:rsidRPr="00B8077E">
        <w:rPr>
          <w:rFonts w:ascii="Calibri" w:hAnsi="Calibri" w:cs="Calibri"/>
          <w:sz w:val="28"/>
          <w:szCs w:val="28"/>
        </w:rPr>
        <w:lastRenderedPageBreak/>
        <w:t>Receivables Turnover Ratio: Toyota’s receivables turnover ratio of 10.00 is better than Ford’s 9.75, reflecting Toyota’s more efficient receivables collection.</w:t>
      </w:r>
    </w:p>
    <w:p w14:paraId="412D3308" w14:textId="3C841A3B" w:rsidR="007E212C" w:rsidRPr="0087741F" w:rsidRDefault="007E212C" w:rsidP="0087741F">
      <w:pPr>
        <w:pStyle w:val="ListParagraph"/>
        <w:numPr>
          <w:ilvl w:val="0"/>
          <w:numId w:val="21"/>
        </w:numPr>
        <w:spacing w:line="360" w:lineRule="auto"/>
        <w:jc w:val="both"/>
        <w:rPr>
          <w:rFonts w:ascii="Calibri" w:hAnsi="Calibri" w:cs="Calibri"/>
          <w:sz w:val="28"/>
          <w:szCs w:val="28"/>
          <w:u w:val="single"/>
        </w:rPr>
      </w:pPr>
      <w:r w:rsidRPr="0087741F">
        <w:rPr>
          <w:rFonts w:ascii="Calibri" w:hAnsi="Calibri" w:cs="Calibri"/>
          <w:sz w:val="28"/>
          <w:szCs w:val="28"/>
          <w:u w:val="single"/>
        </w:rPr>
        <w:t>Comparison with Sector Average</w:t>
      </w:r>
    </w:p>
    <w:p w14:paraId="7E0B9E88" w14:textId="77777777" w:rsidR="00E17F71" w:rsidRPr="00B8077E" w:rsidRDefault="00DF6E33" w:rsidP="006737F6">
      <w:pPr>
        <w:spacing w:line="360" w:lineRule="auto"/>
        <w:jc w:val="both"/>
        <w:rPr>
          <w:rFonts w:ascii="Calibri" w:hAnsi="Calibri" w:cs="Calibri"/>
          <w:sz w:val="28"/>
          <w:szCs w:val="28"/>
        </w:rPr>
      </w:pPr>
      <w:r w:rsidRPr="00B8077E">
        <w:rPr>
          <w:rFonts w:ascii="Calibri" w:hAnsi="Calibri" w:cs="Calibri"/>
          <w:sz w:val="28"/>
          <w:szCs w:val="28"/>
        </w:rPr>
        <w:t xml:space="preserve">Comparison of a company’s results to the sector average presents a clear picture in terms of competition and management efficiency. This paper seeks to examine those financial ratios that are considered vital for Toyota Motor Corporation, a giant in the global automotive industry, and compare their industry average to make suggestions for future enhancements. </w:t>
      </w:r>
    </w:p>
    <w:p w14:paraId="1ECDC570" w14:textId="77777777" w:rsidR="00DF6E33" w:rsidRPr="00B8077E" w:rsidRDefault="00DF6E33" w:rsidP="006737F6">
      <w:pPr>
        <w:spacing w:line="360" w:lineRule="auto"/>
        <w:jc w:val="both"/>
        <w:rPr>
          <w:rFonts w:ascii="Calibri" w:hAnsi="Calibri" w:cs="Calibri"/>
          <w:sz w:val="28"/>
          <w:szCs w:val="28"/>
        </w:rPr>
      </w:pPr>
      <w:r w:rsidRPr="00B8077E">
        <w:rPr>
          <w:rFonts w:ascii="Calibri" w:hAnsi="Calibri" w:cs="Calibri"/>
          <w:sz w:val="28"/>
          <w:szCs w:val="28"/>
        </w:rPr>
        <w:t xml:space="preserve">Toyota’s ratios of profitability, liquidity, gearing and efficiency will be compared with the average ratio common in the sector to see how well Toyota is operating. In this relative study, Toyota stands out well in terms of cost control, the efficient use of assets and, most importantly, its sound financial health. It also </w:t>
      </w:r>
      <w:r w:rsidR="00E17F71" w:rsidRPr="00B8077E">
        <w:rPr>
          <w:rFonts w:ascii="Calibri" w:hAnsi="Calibri" w:cs="Calibri"/>
          <w:sz w:val="28"/>
          <w:szCs w:val="28"/>
        </w:rPr>
        <w:t>alights</w:t>
      </w:r>
      <w:r w:rsidRPr="00B8077E">
        <w:rPr>
          <w:rFonts w:ascii="Calibri" w:hAnsi="Calibri" w:cs="Calibri"/>
          <w:sz w:val="28"/>
          <w:szCs w:val="28"/>
        </w:rPr>
        <w:t xml:space="preserve"> us how its financial strategies and operation functions meets or even surpasses industry norms.</w:t>
      </w:r>
    </w:p>
    <w:p w14:paraId="571C213E" w14:textId="77777777" w:rsidR="00DF6E33" w:rsidRPr="00B8077E" w:rsidRDefault="00DF6E33" w:rsidP="006737F6">
      <w:pPr>
        <w:pStyle w:val="ListParagraph"/>
        <w:numPr>
          <w:ilvl w:val="0"/>
          <w:numId w:val="14"/>
        </w:numPr>
        <w:spacing w:line="360" w:lineRule="auto"/>
        <w:jc w:val="both"/>
        <w:rPr>
          <w:rFonts w:ascii="Calibri" w:hAnsi="Calibri" w:cs="Calibri"/>
          <w:sz w:val="28"/>
          <w:szCs w:val="28"/>
        </w:rPr>
      </w:pPr>
      <w:r w:rsidRPr="00B8077E">
        <w:rPr>
          <w:rFonts w:ascii="Calibri" w:hAnsi="Calibri" w:cs="Calibri"/>
          <w:sz w:val="28"/>
          <w:szCs w:val="28"/>
        </w:rPr>
        <w:t xml:space="preserve">Profitability Ratios: </w:t>
      </w:r>
    </w:p>
    <w:p w14:paraId="6D343345" w14:textId="77777777" w:rsidR="00DF6E33" w:rsidRPr="00B8077E" w:rsidRDefault="00DF6E33" w:rsidP="006737F6">
      <w:pPr>
        <w:pStyle w:val="ListParagraph"/>
        <w:numPr>
          <w:ilvl w:val="0"/>
          <w:numId w:val="15"/>
        </w:numPr>
        <w:spacing w:line="360" w:lineRule="auto"/>
        <w:jc w:val="both"/>
        <w:rPr>
          <w:rFonts w:ascii="Calibri" w:hAnsi="Calibri" w:cs="Calibri"/>
          <w:sz w:val="28"/>
          <w:szCs w:val="28"/>
        </w:rPr>
      </w:pPr>
      <w:r w:rsidRPr="00B8077E">
        <w:rPr>
          <w:rFonts w:ascii="Calibri" w:hAnsi="Calibri" w:cs="Calibri"/>
          <w:sz w:val="28"/>
          <w:szCs w:val="28"/>
        </w:rPr>
        <w:t xml:space="preserve">ROA: Toyota’s 7.0 Out of all the factors, 67% is above the sector average of 6%. The average percentage of asset turnover in the aerospace industry is 0%, thus Illyrians Inc. has an even better result in this aspect. </w:t>
      </w:r>
    </w:p>
    <w:p w14:paraId="069FBF8D" w14:textId="77777777" w:rsidR="00DF6E33" w:rsidRPr="00B8077E" w:rsidRDefault="00DF6E33" w:rsidP="006737F6">
      <w:pPr>
        <w:pStyle w:val="ListParagraph"/>
        <w:numPr>
          <w:ilvl w:val="0"/>
          <w:numId w:val="15"/>
        </w:numPr>
        <w:spacing w:line="360" w:lineRule="auto"/>
        <w:jc w:val="both"/>
        <w:rPr>
          <w:rFonts w:ascii="Calibri" w:hAnsi="Calibri" w:cs="Calibri"/>
          <w:sz w:val="28"/>
          <w:szCs w:val="28"/>
        </w:rPr>
      </w:pPr>
      <w:r w:rsidRPr="00B8077E">
        <w:rPr>
          <w:rFonts w:ascii="Calibri" w:hAnsi="Calibri" w:cs="Calibri"/>
          <w:sz w:val="28"/>
          <w:szCs w:val="28"/>
        </w:rPr>
        <w:t xml:space="preserve">ROE: A shockingly low 0% as Toyota’s 23.0. is more favorable than the sector average of 18. At the same time, it has improved its equity base resulting to a return on equity of 0%. </w:t>
      </w:r>
    </w:p>
    <w:p w14:paraId="398443D6" w14:textId="77777777" w:rsidR="00DF6E33" w:rsidRPr="00B8077E" w:rsidRDefault="00DF6E33" w:rsidP="006737F6">
      <w:pPr>
        <w:pStyle w:val="ListParagraph"/>
        <w:numPr>
          <w:ilvl w:val="0"/>
          <w:numId w:val="15"/>
        </w:numPr>
        <w:spacing w:line="360" w:lineRule="auto"/>
        <w:jc w:val="both"/>
        <w:rPr>
          <w:rFonts w:ascii="Calibri" w:hAnsi="Calibri" w:cs="Calibri"/>
          <w:sz w:val="28"/>
          <w:szCs w:val="28"/>
        </w:rPr>
      </w:pPr>
      <w:r w:rsidRPr="00B8077E">
        <w:rPr>
          <w:rFonts w:ascii="Calibri" w:hAnsi="Calibri" w:cs="Calibri"/>
          <w:sz w:val="28"/>
          <w:szCs w:val="28"/>
        </w:rPr>
        <w:t>Gross Profit Margin: Toyota’s 15.0% margin is higher than the sector average of 13.0%, showing better cost control.</w:t>
      </w:r>
    </w:p>
    <w:p w14:paraId="222B4AC0" w14:textId="77777777" w:rsidR="00DF6E33" w:rsidRPr="00B8077E" w:rsidRDefault="00DF6E33" w:rsidP="006737F6">
      <w:pPr>
        <w:pStyle w:val="ListParagraph"/>
        <w:numPr>
          <w:ilvl w:val="0"/>
          <w:numId w:val="14"/>
        </w:numPr>
        <w:spacing w:line="360" w:lineRule="auto"/>
        <w:jc w:val="both"/>
        <w:rPr>
          <w:rFonts w:ascii="Calibri" w:hAnsi="Calibri" w:cs="Calibri"/>
          <w:sz w:val="28"/>
          <w:szCs w:val="28"/>
        </w:rPr>
      </w:pPr>
      <w:r w:rsidRPr="00B8077E">
        <w:rPr>
          <w:rFonts w:ascii="Calibri" w:hAnsi="Calibri" w:cs="Calibri"/>
          <w:sz w:val="28"/>
          <w:szCs w:val="28"/>
        </w:rPr>
        <w:lastRenderedPageBreak/>
        <w:t xml:space="preserve"> Liquidity Ratios: </w:t>
      </w:r>
    </w:p>
    <w:p w14:paraId="71DF71B4" w14:textId="77777777" w:rsidR="00DF6E33" w:rsidRPr="00B8077E" w:rsidRDefault="00DF6E33" w:rsidP="006737F6">
      <w:pPr>
        <w:pStyle w:val="ListParagraph"/>
        <w:numPr>
          <w:ilvl w:val="0"/>
          <w:numId w:val="16"/>
        </w:numPr>
        <w:spacing w:line="360" w:lineRule="auto"/>
        <w:jc w:val="both"/>
        <w:rPr>
          <w:rFonts w:ascii="Calibri" w:hAnsi="Calibri" w:cs="Calibri"/>
          <w:sz w:val="28"/>
          <w:szCs w:val="28"/>
        </w:rPr>
      </w:pPr>
      <w:r w:rsidRPr="00B8077E">
        <w:rPr>
          <w:rFonts w:ascii="Calibri" w:hAnsi="Calibri" w:cs="Calibri"/>
          <w:sz w:val="28"/>
          <w:szCs w:val="28"/>
        </w:rPr>
        <w:t xml:space="preserve">Current Ratio: Toyota’s current ratio is 2.0 This is far above the average of the sector with 1. 5, suggesting better liquidity. </w:t>
      </w:r>
    </w:p>
    <w:p w14:paraId="2419EAF2" w14:textId="77777777" w:rsidR="00DF6E33" w:rsidRPr="00B8077E" w:rsidRDefault="00DF6E33" w:rsidP="006737F6">
      <w:pPr>
        <w:pStyle w:val="ListParagraph"/>
        <w:numPr>
          <w:ilvl w:val="0"/>
          <w:numId w:val="16"/>
        </w:numPr>
        <w:spacing w:line="360" w:lineRule="auto"/>
        <w:jc w:val="both"/>
        <w:rPr>
          <w:rFonts w:ascii="Calibri" w:hAnsi="Calibri" w:cs="Calibri"/>
          <w:sz w:val="28"/>
          <w:szCs w:val="28"/>
        </w:rPr>
      </w:pPr>
      <w:r w:rsidRPr="00B8077E">
        <w:rPr>
          <w:rFonts w:ascii="Calibri" w:hAnsi="Calibri" w:cs="Calibri"/>
          <w:sz w:val="28"/>
          <w:szCs w:val="28"/>
        </w:rPr>
        <w:t xml:space="preserve">Quick Ratio: Toyota’s quick ratio of 1. 33 is even somewhat higher than the average for the sector, which stands at 1. 25, and thus has a good liquidity ratio without the substantial support of inventory. </w:t>
      </w:r>
    </w:p>
    <w:p w14:paraId="115716C4" w14:textId="77777777" w:rsidR="00DF6E33" w:rsidRPr="00B8077E" w:rsidRDefault="00DF6E33" w:rsidP="006737F6">
      <w:pPr>
        <w:pStyle w:val="ListParagraph"/>
        <w:numPr>
          <w:ilvl w:val="0"/>
          <w:numId w:val="14"/>
        </w:numPr>
        <w:spacing w:line="360" w:lineRule="auto"/>
        <w:jc w:val="both"/>
        <w:rPr>
          <w:rFonts w:ascii="Calibri" w:hAnsi="Calibri" w:cs="Calibri"/>
          <w:sz w:val="28"/>
          <w:szCs w:val="28"/>
        </w:rPr>
      </w:pPr>
      <w:r w:rsidRPr="00B8077E">
        <w:rPr>
          <w:rFonts w:ascii="Calibri" w:hAnsi="Calibri" w:cs="Calibri"/>
          <w:sz w:val="28"/>
          <w:szCs w:val="28"/>
        </w:rPr>
        <w:t xml:space="preserve">Gearing Ratios: </w:t>
      </w:r>
    </w:p>
    <w:p w14:paraId="5511104E" w14:textId="77777777" w:rsidR="00DF6E33" w:rsidRPr="00B8077E" w:rsidRDefault="00DF6E33" w:rsidP="006737F6">
      <w:pPr>
        <w:pStyle w:val="ListParagraph"/>
        <w:numPr>
          <w:ilvl w:val="0"/>
          <w:numId w:val="17"/>
        </w:numPr>
        <w:spacing w:line="360" w:lineRule="auto"/>
        <w:jc w:val="both"/>
        <w:rPr>
          <w:rFonts w:ascii="Calibri" w:hAnsi="Calibri" w:cs="Calibri"/>
          <w:sz w:val="28"/>
          <w:szCs w:val="28"/>
        </w:rPr>
      </w:pPr>
      <w:r w:rsidRPr="00B8077E">
        <w:rPr>
          <w:rFonts w:ascii="Calibri" w:hAnsi="Calibri" w:cs="Calibri"/>
          <w:sz w:val="28"/>
          <w:szCs w:val="28"/>
        </w:rPr>
        <w:t xml:space="preserve">Debt to Equity Ratio: Toyota’s 2.0. Here once again we find that 0 doing better than the sector average that is a score of 1. 8, implying a higher level of the use of credit, which may be seen as a higher risk taken in the firm’s financing strategy. </w:t>
      </w:r>
    </w:p>
    <w:p w14:paraId="0AAB5588" w14:textId="77777777" w:rsidR="00DF6E33" w:rsidRPr="00B8077E" w:rsidRDefault="00DF6E33" w:rsidP="006737F6">
      <w:pPr>
        <w:pStyle w:val="ListParagraph"/>
        <w:numPr>
          <w:ilvl w:val="0"/>
          <w:numId w:val="14"/>
        </w:numPr>
        <w:spacing w:line="360" w:lineRule="auto"/>
        <w:jc w:val="both"/>
        <w:rPr>
          <w:rFonts w:ascii="Calibri" w:hAnsi="Calibri" w:cs="Calibri"/>
          <w:sz w:val="28"/>
          <w:szCs w:val="28"/>
        </w:rPr>
      </w:pPr>
      <w:r w:rsidRPr="00B8077E">
        <w:rPr>
          <w:rFonts w:ascii="Calibri" w:hAnsi="Calibri" w:cs="Calibri"/>
          <w:sz w:val="28"/>
          <w:szCs w:val="28"/>
        </w:rPr>
        <w:t xml:space="preserve"> Efficiency Ratios: </w:t>
      </w:r>
    </w:p>
    <w:p w14:paraId="69FD0A09" w14:textId="77777777" w:rsidR="00DF6E33" w:rsidRPr="00B8077E" w:rsidRDefault="00DF6E33" w:rsidP="006737F6">
      <w:pPr>
        <w:pStyle w:val="ListParagraph"/>
        <w:numPr>
          <w:ilvl w:val="0"/>
          <w:numId w:val="17"/>
        </w:numPr>
        <w:spacing w:line="360" w:lineRule="auto"/>
        <w:jc w:val="both"/>
        <w:rPr>
          <w:rFonts w:ascii="Calibri" w:hAnsi="Calibri" w:cs="Calibri"/>
          <w:sz w:val="28"/>
          <w:szCs w:val="28"/>
        </w:rPr>
      </w:pPr>
      <w:r w:rsidRPr="00B8077E">
        <w:rPr>
          <w:rFonts w:ascii="Calibri" w:hAnsi="Calibri" w:cs="Calibri"/>
          <w:sz w:val="28"/>
          <w:szCs w:val="28"/>
        </w:rPr>
        <w:t>Inventory Turnover Ratio: Toyota’s 11.28 exceeds the sector average of 10.0, demonstrating efficient inventory management.</w:t>
      </w:r>
    </w:p>
    <w:p w14:paraId="2B76EDFC" w14:textId="77777777" w:rsidR="00DF6E33" w:rsidRPr="00B8077E" w:rsidRDefault="00DF6E33" w:rsidP="006737F6">
      <w:pPr>
        <w:pStyle w:val="ListParagraph"/>
        <w:numPr>
          <w:ilvl w:val="0"/>
          <w:numId w:val="17"/>
        </w:numPr>
        <w:spacing w:line="360" w:lineRule="auto"/>
        <w:jc w:val="both"/>
        <w:rPr>
          <w:rFonts w:ascii="Calibri" w:hAnsi="Calibri" w:cs="Calibri"/>
          <w:sz w:val="28"/>
          <w:szCs w:val="28"/>
        </w:rPr>
      </w:pPr>
      <w:r w:rsidRPr="00B8077E">
        <w:rPr>
          <w:rFonts w:ascii="Calibri" w:hAnsi="Calibri" w:cs="Calibri"/>
          <w:sz w:val="28"/>
          <w:szCs w:val="28"/>
        </w:rPr>
        <w:t>Receivables Turnover Ratio: Toyota’s ratio of 10.00 is better than the sector average of 9.50, reflecting effective receivables management.</w:t>
      </w:r>
    </w:p>
    <w:p w14:paraId="0C94B9E9" w14:textId="77777777" w:rsidR="007E212C" w:rsidRPr="007E3091" w:rsidRDefault="007E212C" w:rsidP="007E3091">
      <w:pPr>
        <w:pStyle w:val="ListParagraph"/>
        <w:numPr>
          <w:ilvl w:val="0"/>
          <w:numId w:val="21"/>
        </w:numPr>
        <w:spacing w:line="360" w:lineRule="auto"/>
        <w:jc w:val="both"/>
        <w:rPr>
          <w:rFonts w:ascii="Calibri" w:hAnsi="Calibri" w:cs="Calibri"/>
          <w:sz w:val="28"/>
          <w:szCs w:val="28"/>
          <w:u w:val="single"/>
        </w:rPr>
      </w:pPr>
      <w:r w:rsidRPr="007E3091">
        <w:rPr>
          <w:rFonts w:ascii="Calibri" w:hAnsi="Calibri" w:cs="Calibri"/>
          <w:sz w:val="28"/>
          <w:szCs w:val="28"/>
          <w:u w:val="single"/>
        </w:rPr>
        <w:t>Recommendations for Improvement</w:t>
      </w:r>
    </w:p>
    <w:p w14:paraId="40ACDF8F" w14:textId="77777777" w:rsidR="00DF6E33" w:rsidRPr="00B8077E" w:rsidRDefault="00DF6E33" w:rsidP="006737F6">
      <w:pPr>
        <w:pStyle w:val="ListParagraph"/>
        <w:numPr>
          <w:ilvl w:val="0"/>
          <w:numId w:val="18"/>
        </w:numPr>
        <w:spacing w:line="360" w:lineRule="auto"/>
        <w:jc w:val="both"/>
        <w:rPr>
          <w:rFonts w:ascii="Calibri" w:hAnsi="Calibri" w:cs="Calibri"/>
          <w:sz w:val="28"/>
          <w:szCs w:val="28"/>
        </w:rPr>
      </w:pPr>
      <w:r w:rsidRPr="00B8077E">
        <w:rPr>
          <w:rFonts w:ascii="Calibri" w:hAnsi="Calibri" w:cs="Calibri"/>
          <w:sz w:val="28"/>
          <w:szCs w:val="28"/>
        </w:rPr>
        <w:t xml:space="preserve">Optimize Debt Management: </w:t>
      </w:r>
    </w:p>
    <w:p w14:paraId="43094877" w14:textId="77777777" w:rsidR="00DF6E33" w:rsidRPr="00B8077E" w:rsidRDefault="00DF6E33" w:rsidP="006737F6">
      <w:pPr>
        <w:spacing w:line="360" w:lineRule="auto"/>
        <w:jc w:val="both"/>
        <w:rPr>
          <w:rFonts w:ascii="Calibri" w:hAnsi="Calibri" w:cs="Calibri"/>
          <w:sz w:val="28"/>
          <w:szCs w:val="28"/>
        </w:rPr>
      </w:pPr>
      <w:r w:rsidRPr="00B8077E">
        <w:rPr>
          <w:rFonts w:ascii="Calibri" w:hAnsi="Calibri" w:cs="Calibri"/>
          <w:sz w:val="28"/>
          <w:szCs w:val="28"/>
        </w:rPr>
        <w:t xml:space="preserve"> Regarding the second threat, that of a high debt to equity ratio, Toyota could think about re-financing existing debt; or taking up equity financing; or getting much more aggressive in its debt repayments. Decreasing the amount of debt can amount to a better quality of the financial position and interest costs. By enhancing the quality of debts, Toyota will avail more resources to growth and development and innovation. </w:t>
      </w:r>
    </w:p>
    <w:p w14:paraId="562DDD10" w14:textId="77777777" w:rsidR="00DF6E33" w:rsidRPr="00B8077E" w:rsidRDefault="00DF6E33" w:rsidP="006737F6">
      <w:pPr>
        <w:pStyle w:val="ListParagraph"/>
        <w:numPr>
          <w:ilvl w:val="0"/>
          <w:numId w:val="18"/>
        </w:numPr>
        <w:spacing w:line="360" w:lineRule="auto"/>
        <w:jc w:val="both"/>
        <w:rPr>
          <w:rFonts w:ascii="Calibri" w:hAnsi="Calibri" w:cs="Calibri"/>
          <w:sz w:val="28"/>
          <w:szCs w:val="28"/>
        </w:rPr>
      </w:pPr>
      <w:r w:rsidRPr="00B8077E">
        <w:rPr>
          <w:rFonts w:ascii="Calibri" w:hAnsi="Calibri" w:cs="Calibri"/>
          <w:sz w:val="28"/>
          <w:szCs w:val="28"/>
        </w:rPr>
        <w:lastRenderedPageBreak/>
        <w:t xml:space="preserve">Enhance Inventory Management: </w:t>
      </w:r>
    </w:p>
    <w:p w14:paraId="388694DE" w14:textId="77777777" w:rsidR="00E17F71" w:rsidRPr="00B8077E" w:rsidRDefault="00DF6E33" w:rsidP="006737F6">
      <w:pPr>
        <w:spacing w:line="360" w:lineRule="auto"/>
        <w:jc w:val="both"/>
        <w:rPr>
          <w:rFonts w:ascii="Calibri" w:hAnsi="Calibri" w:cs="Calibri"/>
          <w:sz w:val="28"/>
          <w:szCs w:val="28"/>
        </w:rPr>
      </w:pPr>
      <w:r w:rsidRPr="00B8077E">
        <w:rPr>
          <w:rFonts w:ascii="Calibri" w:hAnsi="Calibri" w:cs="Calibri"/>
          <w:sz w:val="28"/>
          <w:szCs w:val="28"/>
        </w:rPr>
        <w:t xml:space="preserve"> Other specific </w:t>
      </w:r>
      <w:r w:rsidR="00E17F71" w:rsidRPr="00B8077E">
        <w:rPr>
          <w:rFonts w:ascii="Calibri" w:hAnsi="Calibri" w:cs="Calibri"/>
          <w:sz w:val="28"/>
          <w:szCs w:val="28"/>
        </w:rPr>
        <w:t>recommendation</w:t>
      </w:r>
      <w:r w:rsidRPr="00B8077E">
        <w:rPr>
          <w:rFonts w:ascii="Calibri" w:hAnsi="Calibri" w:cs="Calibri"/>
          <w:sz w:val="28"/>
          <w:szCs w:val="28"/>
        </w:rPr>
        <w:t xml:space="preserve"> for Toyota to reduces inventory includes advanced inventory management system and consideration of just in time production systems. Hence investments in predictive analytics and in the supply chain and management can enable companies to increase the turnover of inventory and the reduction of holding costs. There is hardly any </w:t>
      </w:r>
      <w:r w:rsidR="00E17F71" w:rsidRPr="00B8077E">
        <w:rPr>
          <w:rFonts w:ascii="Calibri" w:hAnsi="Calibri" w:cs="Calibri"/>
          <w:sz w:val="28"/>
          <w:szCs w:val="28"/>
        </w:rPr>
        <w:t>organization</w:t>
      </w:r>
      <w:r w:rsidRPr="00B8077E">
        <w:rPr>
          <w:rFonts w:ascii="Calibri" w:hAnsi="Calibri" w:cs="Calibri"/>
          <w:sz w:val="28"/>
          <w:szCs w:val="28"/>
        </w:rPr>
        <w:t xml:space="preserve"> in the current world that fails to embrace inventory management for it helps in cutting c</w:t>
      </w:r>
      <w:r w:rsidR="00E17F71" w:rsidRPr="00B8077E">
        <w:rPr>
          <w:rFonts w:ascii="Calibri" w:hAnsi="Calibri" w:cs="Calibri"/>
          <w:sz w:val="28"/>
          <w:szCs w:val="28"/>
        </w:rPr>
        <w:t xml:space="preserve">osts and product overstocking. </w:t>
      </w:r>
    </w:p>
    <w:p w14:paraId="1E09CB43" w14:textId="77777777" w:rsidR="00DF6E33" w:rsidRPr="00B8077E" w:rsidRDefault="00DF6E33" w:rsidP="006737F6">
      <w:pPr>
        <w:pStyle w:val="ListParagraph"/>
        <w:numPr>
          <w:ilvl w:val="0"/>
          <w:numId w:val="18"/>
        </w:numPr>
        <w:spacing w:line="360" w:lineRule="auto"/>
        <w:jc w:val="both"/>
        <w:rPr>
          <w:rFonts w:ascii="Calibri" w:hAnsi="Calibri" w:cs="Calibri"/>
          <w:sz w:val="28"/>
          <w:szCs w:val="28"/>
        </w:rPr>
      </w:pPr>
      <w:r w:rsidRPr="00B8077E">
        <w:rPr>
          <w:rFonts w:ascii="Calibri" w:hAnsi="Calibri" w:cs="Calibri"/>
          <w:sz w:val="28"/>
          <w:szCs w:val="28"/>
        </w:rPr>
        <w:t xml:space="preserve">Expand Profitability Initiatives: </w:t>
      </w:r>
    </w:p>
    <w:p w14:paraId="78C78F2B" w14:textId="77777777" w:rsidR="00DF6E33" w:rsidRPr="00B8077E" w:rsidRDefault="00DF6E33" w:rsidP="006737F6">
      <w:pPr>
        <w:spacing w:line="360" w:lineRule="auto"/>
        <w:jc w:val="both"/>
        <w:rPr>
          <w:rFonts w:ascii="Calibri" w:hAnsi="Calibri" w:cs="Calibri"/>
          <w:sz w:val="28"/>
          <w:szCs w:val="28"/>
        </w:rPr>
      </w:pPr>
      <w:r w:rsidRPr="00B8077E">
        <w:rPr>
          <w:rFonts w:ascii="Calibri" w:hAnsi="Calibri" w:cs="Calibri"/>
          <w:sz w:val="28"/>
          <w:szCs w:val="28"/>
        </w:rPr>
        <w:t xml:space="preserve"> The key recommendations for Toyota include the widening of the company’s product portfolio and the entry into new lines of high-margin vehicles, the prospect of integral technological modernization of production facilities. Other opportunities that can also improve profitability and avoid market threats are venturing into new products, including electric and self-driving automobiles. The expansion into high growth areas is one way of opening up other sources of revenues hence enhancing the companies’ market positioning. </w:t>
      </w:r>
    </w:p>
    <w:p w14:paraId="1ACC6FEA" w14:textId="77777777" w:rsidR="00DF6E33" w:rsidRPr="00B8077E" w:rsidRDefault="00DF6E33" w:rsidP="006737F6">
      <w:pPr>
        <w:pStyle w:val="ListParagraph"/>
        <w:numPr>
          <w:ilvl w:val="0"/>
          <w:numId w:val="18"/>
        </w:numPr>
        <w:spacing w:line="360" w:lineRule="auto"/>
        <w:jc w:val="both"/>
        <w:rPr>
          <w:rFonts w:ascii="Calibri" w:hAnsi="Calibri" w:cs="Calibri"/>
          <w:sz w:val="28"/>
          <w:szCs w:val="28"/>
        </w:rPr>
      </w:pPr>
      <w:r w:rsidRPr="00B8077E">
        <w:rPr>
          <w:rFonts w:ascii="Calibri" w:hAnsi="Calibri" w:cs="Calibri"/>
          <w:sz w:val="28"/>
          <w:szCs w:val="28"/>
        </w:rPr>
        <w:t xml:space="preserve">Strengthen Cash Flow Management: </w:t>
      </w:r>
    </w:p>
    <w:p w14:paraId="2FEE3143" w14:textId="77777777" w:rsidR="00DF6E33" w:rsidRPr="00B8077E" w:rsidRDefault="00DF6E33" w:rsidP="006737F6">
      <w:pPr>
        <w:spacing w:line="360" w:lineRule="auto"/>
        <w:jc w:val="both"/>
        <w:rPr>
          <w:rFonts w:ascii="Calibri" w:hAnsi="Calibri" w:cs="Calibri"/>
          <w:sz w:val="28"/>
          <w:szCs w:val="28"/>
        </w:rPr>
      </w:pPr>
      <w:r w:rsidRPr="00B8077E">
        <w:rPr>
          <w:rFonts w:ascii="Calibri" w:hAnsi="Calibri" w:cs="Calibri"/>
          <w:sz w:val="28"/>
          <w:szCs w:val="28"/>
        </w:rPr>
        <w:t xml:space="preserve"> Managing of cash is critical to the liquidity of an organization and its operations. There is also need for improvement in the accounts receivable function, more so working capital management, and receivables collection together with proper management of cash. Management of cash flow has the potential of sustaining operations and providing for strategic investment. </w:t>
      </w:r>
    </w:p>
    <w:p w14:paraId="5FE4953B" w14:textId="77777777" w:rsidR="00DF6E33" w:rsidRPr="00B8077E" w:rsidRDefault="00DF6E33" w:rsidP="006737F6">
      <w:pPr>
        <w:pStyle w:val="ListParagraph"/>
        <w:numPr>
          <w:ilvl w:val="0"/>
          <w:numId w:val="18"/>
        </w:numPr>
        <w:spacing w:line="360" w:lineRule="auto"/>
        <w:jc w:val="both"/>
        <w:rPr>
          <w:rFonts w:ascii="Calibri" w:hAnsi="Calibri" w:cs="Calibri"/>
          <w:sz w:val="28"/>
          <w:szCs w:val="28"/>
        </w:rPr>
      </w:pPr>
      <w:r w:rsidRPr="00B8077E">
        <w:rPr>
          <w:rFonts w:ascii="Calibri" w:hAnsi="Calibri" w:cs="Calibri"/>
          <w:sz w:val="28"/>
          <w:szCs w:val="28"/>
        </w:rPr>
        <w:t xml:space="preserve">Invest in Sustainability: </w:t>
      </w:r>
    </w:p>
    <w:p w14:paraId="5F3DD39F" w14:textId="77777777" w:rsidR="00DF6E33" w:rsidRPr="00B8077E" w:rsidRDefault="00DF6E33" w:rsidP="006737F6">
      <w:pPr>
        <w:spacing w:line="360" w:lineRule="auto"/>
        <w:jc w:val="both"/>
        <w:rPr>
          <w:rFonts w:ascii="Calibri" w:hAnsi="Calibri" w:cs="Calibri"/>
          <w:sz w:val="28"/>
          <w:szCs w:val="28"/>
        </w:rPr>
      </w:pPr>
      <w:r w:rsidRPr="00B8077E">
        <w:rPr>
          <w:rFonts w:ascii="Calibri" w:hAnsi="Calibri" w:cs="Calibri"/>
          <w:sz w:val="28"/>
          <w:szCs w:val="28"/>
        </w:rPr>
        <w:lastRenderedPageBreak/>
        <w:t xml:space="preserve"> Pursuing environmental corporate social responsibilities could be rewarding for Toyota by establishing sustainable technologies and undertaking environmentally friendly practices in the long-run. This in turn will help Toyota to become market leader in designing environment friendly cars and technologies, gain green consumer segment for its cars, and possibly cut costs as well. Sustainability can also help Toyota to conform to the international environmental standards as well as improve on its brands image. </w:t>
      </w:r>
    </w:p>
    <w:p w14:paraId="61EC56C6" w14:textId="77777777" w:rsidR="00E17F71" w:rsidRPr="00B8077E" w:rsidRDefault="00E17F71" w:rsidP="006737F6">
      <w:pPr>
        <w:spacing w:line="360" w:lineRule="auto"/>
        <w:jc w:val="both"/>
        <w:rPr>
          <w:rFonts w:ascii="Calibri" w:hAnsi="Calibri" w:cs="Calibri"/>
          <w:sz w:val="28"/>
          <w:szCs w:val="28"/>
        </w:rPr>
      </w:pPr>
    </w:p>
    <w:p w14:paraId="42C9C5DE" w14:textId="77777777" w:rsidR="00900B36" w:rsidRPr="00B8077E" w:rsidRDefault="00900B36" w:rsidP="006737F6">
      <w:pPr>
        <w:spacing w:line="360" w:lineRule="auto"/>
        <w:jc w:val="both"/>
        <w:rPr>
          <w:rFonts w:ascii="Calibri" w:hAnsi="Calibri" w:cs="Calibri"/>
          <w:sz w:val="28"/>
          <w:szCs w:val="28"/>
        </w:rPr>
      </w:pPr>
      <w:r w:rsidRPr="00B8077E">
        <w:rPr>
          <w:rFonts w:ascii="Calibri" w:hAnsi="Calibri" w:cs="Calibri"/>
          <w:sz w:val="28"/>
          <w:szCs w:val="28"/>
        </w:rPr>
        <w:t xml:space="preserve">Altogether, the dynamics of Toyota in the past five years demonstrates high profitability, good solvency and, at the same time, good efficiency. Credit management, operational productivity and flexibility to changes contribute to debt management in the company and places it far ahead of industry benchmarks to competitors. And by running Debt management optimization, Improving Inventory &amp; Cash flow management, Extending Profitability management areas, Sustainable investments Toyota can build up the financial muscle and future proof the company in the volatile auto industry. </w:t>
      </w:r>
    </w:p>
    <w:p w14:paraId="51B8AA9E" w14:textId="77777777" w:rsidR="00900B36" w:rsidRDefault="00900B36" w:rsidP="006737F6">
      <w:pPr>
        <w:spacing w:line="360" w:lineRule="auto"/>
        <w:jc w:val="both"/>
        <w:rPr>
          <w:rFonts w:ascii="Calibri" w:hAnsi="Calibri" w:cs="Calibri"/>
          <w:sz w:val="28"/>
          <w:szCs w:val="28"/>
        </w:rPr>
      </w:pPr>
      <w:r w:rsidRPr="00B8077E">
        <w:rPr>
          <w:rFonts w:ascii="Calibri" w:hAnsi="Calibri" w:cs="Calibri"/>
          <w:sz w:val="28"/>
          <w:szCs w:val="28"/>
        </w:rPr>
        <w:t xml:space="preserve"> This comprehensive analysis comprises what can be called a rather detailed evaluation of all the financial aspects of Toyota, followed by suggestions for the improvements. Expansion of other specific financial processes and tendencies could improve this analysis, and gaining additional information about Toyota’s future financial performance. </w:t>
      </w:r>
    </w:p>
    <w:p w14:paraId="79689439" w14:textId="77777777" w:rsidR="00FA029B" w:rsidRDefault="00FA029B" w:rsidP="006737F6">
      <w:pPr>
        <w:spacing w:line="360" w:lineRule="auto"/>
        <w:jc w:val="both"/>
        <w:rPr>
          <w:rFonts w:ascii="Calibri" w:hAnsi="Calibri" w:cs="Calibri"/>
          <w:sz w:val="28"/>
          <w:szCs w:val="28"/>
        </w:rPr>
      </w:pPr>
    </w:p>
    <w:p w14:paraId="1A0CE4BD" w14:textId="77777777" w:rsidR="00FA029B" w:rsidRDefault="00FA029B" w:rsidP="006737F6">
      <w:pPr>
        <w:spacing w:line="360" w:lineRule="auto"/>
        <w:jc w:val="both"/>
        <w:rPr>
          <w:rFonts w:ascii="Calibri" w:hAnsi="Calibri" w:cs="Calibri"/>
          <w:sz w:val="28"/>
          <w:szCs w:val="28"/>
        </w:rPr>
      </w:pPr>
    </w:p>
    <w:p w14:paraId="2863B371" w14:textId="4A885059" w:rsidR="00FA029B" w:rsidRPr="00435A79" w:rsidRDefault="00435A79" w:rsidP="00435A79">
      <w:pPr>
        <w:spacing w:line="360" w:lineRule="auto"/>
        <w:rPr>
          <w:rFonts w:ascii="Calibri" w:hAnsi="Calibri" w:cs="Calibri"/>
          <w:b/>
          <w:bCs/>
          <w:sz w:val="36"/>
          <w:szCs w:val="36"/>
        </w:rPr>
      </w:pPr>
      <w:r w:rsidRPr="00435A79">
        <w:rPr>
          <w:rFonts w:ascii="Calibri" w:hAnsi="Calibri" w:cs="Calibri"/>
          <w:b/>
          <w:bCs/>
          <w:sz w:val="36"/>
          <w:szCs w:val="36"/>
        </w:rPr>
        <w:lastRenderedPageBreak/>
        <w:t>Part-c</w:t>
      </w:r>
    </w:p>
    <w:p w14:paraId="3476487D" w14:textId="77777777" w:rsidR="006E39F7" w:rsidRPr="007E3091" w:rsidRDefault="006E39F7" w:rsidP="007E3091">
      <w:pPr>
        <w:pStyle w:val="ListParagraph"/>
        <w:numPr>
          <w:ilvl w:val="0"/>
          <w:numId w:val="21"/>
        </w:numPr>
        <w:spacing w:line="360" w:lineRule="auto"/>
        <w:jc w:val="both"/>
        <w:rPr>
          <w:rFonts w:ascii="Calibri" w:hAnsi="Calibri" w:cs="Calibri"/>
          <w:b/>
          <w:sz w:val="28"/>
          <w:szCs w:val="28"/>
        </w:rPr>
      </w:pPr>
      <w:r w:rsidRPr="007E3091">
        <w:rPr>
          <w:rFonts w:ascii="Calibri" w:hAnsi="Calibri" w:cs="Calibri"/>
          <w:b/>
          <w:sz w:val="28"/>
          <w:szCs w:val="28"/>
        </w:rPr>
        <w:t>Investment Appraisal</w:t>
      </w:r>
    </w:p>
    <w:p w14:paraId="38C7BC20" w14:textId="77777777" w:rsidR="00112F77" w:rsidRPr="00B8077E" w:rsidRDefault="00112F77" w:rsidP="006737F6">
      <w:pPr>
        <w:spacing w:line="360" w:lineRule="auto"/>
        <w:jc w:val="both"/>
        <w:rPr>
          <w:rFonts w:ascii="Calibri" w:hAnsi="Calibri" w:cs="Calibri"/>
          <w:sz w:val="28"/>
          <w:szCs w:val="28"/>
        </w:rPr>
      </w:pPr>
      <w:r w:rsidRPr="00B8077E">
        <w:rPr>
          <w:rFonts w:ascii="Calibri" w:hAnsi="Calibri" w:cs="Calibri"/>
          <w:sz w:val="28"/>
          <w:szCs w:val="28"/>
        </w:rPr>
        <w:t xml:space="preserve">Appraisal of an investment project is a very important step in the investment decision making process that seeks to determine the feasibility of any capital project. It comprises of the appraisal of the financial accomplishment of projects along with other tools in an attempt to identify which venture will generate the highest returns. In this section, we'll evaluate two mutually exclusive projects, A and B, using three key investment appraisal techniques: PBP, ARR, and NPV are the mostly used techniques for deciding about investment proposals. The findings from these calculations will be assessed in order to prescribe the appropriate project which the company should embark on. Finally, cost of capital for the company is expected to be 9. 75%, and all cash flows are assumed at the year end and independent of taxes and inflationary factors. </w:t>
      </w:r>
    </w:p>
    <w:p w14:paraId="6188F3DC" w14:textId="77777777" w:rsidR="00112F77" w:rsidRPr="00B8077E" w:rsidRDefault="00112F77" w:rsidP="006737F6">
      <w:pPr>
        <w:pStyle w:val="ListParagraph"/>
        <w:numPr>
          <w:ilvl w:val="0"/>
          <w:numId w:val="19"/>
        </w:numPr>
        <w:spacing w:line="360" w:lineRule="auto"/>
        <w:jc w:val="both"/>
        <w:rPr>
          <w:rFonts w:ascii="Calibri" w:hAnsi="Calibri" w:cs="Calibri"/>
          <w:sz w:val="28"/>
          <w:szCs w:val="28"/>
        </w:rPr>
      </w:pPr>
      <w:r w:rsidRPr="00B8077E">
        <w:rPr>
          <w:rFonts w:ascii="Calibri" w:hAnsi="Calibri" w:cs="Calibri"/>
          <w:sz w:val="28"/>
          <w:szCs w:val="28"/>
        </w:rPr>
        <w:t xml:space="preserve">Payback Period (PBP) </w:t>
      </w:r>
    </w:p>
    <w:p w14:paraId="5E002FC3" w14:textId="77777777" w:rsidR="00112F77" w:rsidRPr="00B8077E" w:rsidRDefault="00112F77" w:rsidP="006737F6">
      <w:pPr>
        <w:spacing w:line="360" w:lineRule="auto"/>
        <w:jc w:val="both"/>
        <w:rPr>
          <w:rFonts w:ascii="Calibri" w:hAnsi="Calibri" w:cs="Calibri"/>
          <w:sz w:val="28"/>
          <w:szCs w:val="28"/>
        </w:rPr>
      </w:pPr>
      <w:r w:rsidRPr="00B8077E">
        <w:rPr>
          <w:rFonts w:ascii="Calibri" w:hAnsi="Calibri" w:cs="Calibri"/>
          <w:sz w:val="28"/>
          <w:szCs w:val="28"/>
        </w:rPr>
        <w:t xml:space="preserve"> Payback period is the number of years that would be taken by a project to pay back the initial cash outlay from the subsequent cash flows from the project. It is less complex than the other measures of risk with short pay back periods being generally more preferable due to the fact that they give the impression of early recovery of the amount that has been invested. </w:t>
      </w:r>
    </w:p>
    <w:p w14:paraId="48353ACF" w14:textId="77777777" w:rsidR="006E39F7" w:rsidRPr="00B8077E" w:rsidRDefault="006E39F7" w:rsidP="006737F6">
      <w:pPr>
        <w:spacing w:line="360" w:lineRule="auto"/>
        <w:jc w:val="both"/>
        <w:rPr>
          <w:rFonts w:ascii="Calibri" w:hAnsi="Calibri" w:cs="Calibri"/>
          <w:b/>
          <w:sz w:val="28"/>
          <w:szCs w:val="28"/>
        </w:rPr>
      </w:pPr>
      <w:r w:rsidRPr="00B8077E">
        <w:rPr>
          <w:rFonts w:ascii="Calibri" w:hAnsi="Calibri" w:cs="Calibri"/>
          <w:b/>
          <w:sz w:val="28"/>
          <w:szCs w:val="28"/>
        </w:rPr>
        <w:t>Project A:</w:t>
      </w:r>
    </w:p>
    <w:tbl>
      <w:tblPr>
        <w:tblStyle w:val="TableGrid"/>
        <w:tblW w:w="0" w:type="auto"/>
        <w:jc w:val="center"/>
        <w:tblLook w:val="04A0" w:firstRow="1" w:lastRow="0" w:firstColumn="1" w:lastColumn="0" w:noHBand="0" w:noVBand="1"/>
      </w:tblPr>
      <w:tblGrid>
        <w:gridCol w:w="2330"/>
        <w:gridCol w:w="2332"/>
        <w:gridCol w:w="2334"/>
      </w:tblGrid>
      <w:tr w:rsidR="006E39F7" w:rsidRPr="00B8077E" w14:paraId="1FCE51D0" w14:textId="77777777" w:rsidTr="00802E6B">
        <w:trPr>
          <w:jc w:val="center"/>
        </w:trPr>
        <w:tc>
          <w:tcPr>
            <w:tcW w:w="2330" w:type="dxa"/>
            <w:tcBorders>
              <w:top w:val="single" w:sz="12" w:space="0" w:color="auto"/>
              <w:left w:val="single" w:sz="12" w:space="0" w:color="auto"/>
              <w:bottom w:val="single" w:sz="12" w:space="0" w:color="auto"/>
              <w:right w:val="single" w:sz="12" w:space="0" w:color="auto"/>
            </w:tcBorders>
            <w:shd w:val="clear" w:color="auto" w:fill="CF7133" w:themeFill="accent6"/>
          </w:tcPr>
          <w:p w14:paraId="3D1DF16A"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2" w:type="dxa"/>
            <w:tcBorders>
              <w:top w:val="single" w:sz="12" w:space="0" w:color="auto"/>
              <w:left w:val="single" w:sz="12" w:space="0" w:color="auto"/>
              <w:bottom w:val="single" w:sz="12" w:space="0" w:color="auto"/>
              <w:right w:val="single" w:sz="12" w:space="0" w:color="auto"/>
            </w:tcBorders>
            <w:shd w:val="clear" w:color="auto" w:fill="CF7133" w:themeFill="accent6"/>
          </w:tcPr>
          <w:p w14:paraId="40C33DA9"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Cash Flow (£m)</w:t>
            </w:r>
          </w:p>
        </w:tc>
        <w:tc>
          <w:tcPr>
            <w:tcW w:w="2334" w:type="dxa"/>
            <w:tcBorders>
              <w:top w:val="single" w:sz="12" w:space="0" w:color="auto"/>
              <w:left w:val="single" w:sz="12" w:space="0" w:color="auto"/>
              <w:bottom w:val="single" w:sz="12" w:space="0" w:color="auto"/>
              <w:right w:val="single" w:sz="12" w:space="0" w:color="auto"/>
            </w:tcBorders>
            <w:shd w:val="clear" w:color="auto" w:fill="CF7133" w:themeFill="accent6"/>
          </w:tcPr>
          <w:p w14:paraId="1D21412E"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Cumulative Cash Flow (£m)</w:t>
            </w:r>
          </w:p>
        </w:tc>
      </w:tr>
      <w:tr w:rsidR="006E39F7" w:rsidRPr="00B8077E" w14:paraId="311569D8" w14:textId="77777777" w:rsidTr="00802E6B">
        <w:trPr>
          <w:jc w:val="center"/>
        </w:trPr>
        <w:tc>
          <w:tcPr>
            <w:tcW w:w="2330" w:type="dxa"/>
            <w:tcBorders>
              <w:top w:val="single" w:sz="12" w:space="0" w:color="auto"/>
            </w:tcBorders>
          </w:tcPr>
          <w:p w14:paraId="492552B5"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lastRenderedPageBreak/>
              <w:t>0</w:t>
            </w:r>
          </w:p>
        </w:tc>
        <w:tc>
          <w:tcPr>
            <w:tcW w:w="2332" w:type="dxa"/>
            <w:tcBorders>
              <w:top w:val="single" w:sz="12" w:space="0" w:color="auto"/>
            </w:tcBorders>
          </w:tcPr>
          <w:p w14:paraId="37E2C1CC"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-80</w:t>
            </w:r>
          </w:p>
        </w:tc>
        <w:tc>
          <w:tcPr>
            <w:tcW w:w="2334" w:type="dxa"/>
            <w:tcBorders>
              <w:top w:val="single" w:sz="12" w:space="0" w:color="auto"/>
            </w:tcBorders>
          </w:tcPr>
          <w:p w14:paraId="113172FF"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-80</w:t>
            </w:r>
          </w:p>
        </w:tc>
      </w:tr>
      <w:tr w:rsidR="006E39F7" w:rsidRPr="00B8077E" w14:paraId="13E99E63" w14:textId="77777777" w:rsidTr="00802E6B">
        <w:trPr>
          <w:jc w:val="center"/>
        </w:trPr>
        <w:tc>
          <w:tcPr>
            <w:tcW w:w="2330" w:type="dxa"/>
          </w:tcPr>
          <w:p w14:paraId="1D8A48B4"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1</w:t>
            </w:r>
          </w:p>
        </w:tc>
        <w:tc>
          <w:tcPr>
            <w:tcW w:w="2332" w:type="dxa"/>
          </w:tcPr>
          <w:p w14:paraId="5D13F4EF"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25</w:t>
            </w:r>
          </w:p>
        </w:tc>
        <w:tc>
          <w:tcPr>
            <w:tcW w:w="2334" w:type="dxa"/>
          </w:tcPr>
          <w:p w14:paraId="61A862F8"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-55</w:t>
            </w:r>
          </w:p>
        </w:tc>
      </w:tr>
      <w:tr w:rsidR="006E39F7" w:rsidRPr="00B8077E" w14:paraId="25BE7409" w14:textId="77777777" w:rsidTr="00802E6B">
        <w:trPr>
          <w:jc w:val="center"/>
        </w:trPr>
        <w:tc>
          <w:tcPr>
            <w:tcW w:w="2330" w:type="dxa"/>
          </w:tcPr>
          <w:p w14:paraId="046DEAB9"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2</w:t>
            </w:r>
          </w:p>
        </w:tc>
        <w:tc>
          <w:tcPr>
            <w:tcW w:w="2332" w:type="dxa"/>
          </w:tcPr>
          <w:p w14:paraId="07D27BE0"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25</w:t>
            </w:r>
          </w:p>
        </w:tc>
        <w:tc>
          <w:tcPr>
            <w:tcW w:w="2334" w:type="dxa"/>
          </w:tcPr>
          <w:p w14:paraId="30E6EA7C"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-30</w:t>
            </w:r>
          </w:p>
        </w:tc>
      </w:tr>
      <w:tr w:rsidR="006E39F7" w:rsidRPr="00B8077E" w14:paraId="7C7D2284" w14:textId="77777777" w:rsidTr="00802E6B">
        <w:trPr>
          <w:jc w:val="center"/>
        </w:trPr>
        <w:tc>
          <w:tcPr>
            <w:tcW w:w="2330" w:type="dxa"/>
          </w:tcPr>
          <w:p w14:paraId="167640B5"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3</w:t>
            </w:r>
          </w:p>
        </w:tc>
        <w:tc>
          <w:tcPr>
            <w:tcW w:w="2332" w:type="dxa"/>
          </w:tcPr>
          <w:p w14:paraId="519D2583"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2334" w:type="dxa"/>
          </w:tcPr>
          <w:p w14:paraId="14B4F08E"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-10</w:t>
            </w:r>
          </w:p>
        </w:tc>
      </w:tr>
      <w:tr w:rsidR="006E39F7" w:rsidRPr="00B8077E" w14:paraId="1537FEB3" w14:textId="77777777" w:rsidTr="00802E6B">
        <w:trPr>
          <w:jc w:val="center"/>
        </w:trPr>
        <w:tc>
          <w:tcPr>
            <w:tcW w:w="2330" w:type="dxa"/>
          </w:tcPr>
          <w:p w14:paraId="67A2253A"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4</w:t>
            </w:r>
          </w:p>
        </w:tc>
        <w:tc>
          <w:tcPr>
            <w:tcW w:w="2332" w:type="dxa"/>
          </w:tcPr>
          <w:p w14:paraId="527B04E6"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55</w:t>
            </w:r>
          </w:p>
        </w:tc>
        <w:tc>
          <w:tcPr>
            <w:tcW w:w="2334" w:type="dxa"/>
          </w:tcPr>
          <w:p w14:paraId="5477DBCC"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45</w:t>
            </w:r>
          </w:p>
        </w:tc>
      </w:tr>
    </w:tbl>
    <w:p w14:paraId="2032C77C" w14:textId="77777777" w:rsidR="00E17F71" w:rsidRPr="00B8077E" w:rsidRDefault="00E17F71" w:rsidP="006737F6">
      <w:pPr>
        <w:spacing w:line="360" w:lineRule="auto"/>
        <w:jc w:val="both"/>
        <w:rPr>
          <w:rFonts w:ascii="Calibri" w:hAnsi="Calibri" w:cs="Calibri"/>
          <w:sz w:val="28"/>
          <w:szCs w:val="28"/>
        </w:rPr>
      </w:pPr>
    </w:p>
    <w:p w14:paraId="571BAB33" w14:textId="77777777" w:rsidR="006E39F7" w:rsidRPr="00B8077E" w:rsidRDefault="006E39F7"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Payback Period for Project A:</w:t>
      </w:r>
    </w:p>
    <w:p w14:paraId="5B83A47C" w14:textId="77777777" w:rsidR="00112F77" w:rsidRPr="00B8077E" w:rsidRDefault="00112F77" w:rsidP="006737F6">
      <w:pPr>
        <w:spacing w:line="360" w:lineRule="auto"/>
        <w:jc w:val="both"/>
        <w:rPr>
          <w:rFonts w:ascii="Calibri" w:hAnsi="Calibri" w:cs="Calibri"/>
          <w:sz w:val="28"/>
          <w:szCs w:val="28"/>
        </w:rPr>
      </w:pPr>
      <w:r w:rsidRPr="00B8077E">
        <w:rPr>
          <w:rFonts w:ascii="Calibri" w:hAnsi="Calibri" w:cs="Calibri"/>
          <w:sz w:val="28"/>
          <w:szCs w:val="28"/>
        </w:rPr>
        <w:t>Project A recovers £70m of the £80m over three years. In year 4, an additional £10m is required, and since £55m is received in that year, the payback period can be calculated as:</w:t>
      </w:r>
    </w:p>
    <w:p w14:paraId="644A0488" w14:textId="77777777" w:rsidR="006E39F7" w:rsidRPr="00B8077E" w:rsidRDefault="006E39F7" w:rsidP="006737F6">
      <w:pPr>
        <w:spacing w:line="360" w:lineRule="auto"/>
        <w:jc w:val="both"/>
        <w:rPr>
          <w:rFonts w:ascii="Calibri" w:hAnsi="Calibri" w:cs="Calibri"/>
          <w:b/>
          <w:sz w:val="28"/>
          <w:szCs w:val="28"/>
        </w:rPr>
      </w:pPr>
      <w:r w:rsidRPr="00B8077E">
        <w:rPr>
          <w:rFonts w:ascii="Calibri" w:hAnsi="Calibri" w:cs="Calibri"/>
          <w:b/>
          <w:sz w:val="28"/>
          <w:szCs w:val="28"/>
        </w:rPr>
        <w:t>Payback Period (A)=3+10/55≈3.18 years</w:t>
      </w:r>
    </w:p>
    <w:p w14:paraId="069CCD4C" w14:textId="77777777" w:rsidR="009128A5" w:rsidRPr="00B8077E" w:rsidRDefault="006E39F7" w:rsidP="006737F6">
      <w:pPr>
        <w:spacing w:line="360" w:lineRule="auto"/>
        <w:jc w:val="both"/>
        <w:rPr>
          <w:rFonts w:ascii="Calibri" w:hAnsi="Calibri" w:cs="Calibri"/>
          <w:b/>
          <w:sz w:val="28"/>
          <w:szCs w:val="28"/>
        </w:rPr>
      </w:pPr>
      <w:r w:rsidRPr="00B8077E">
        <w:rPr>
          <w:rFonts w:ascii="Calibri" w:hAnsi="Calibri" w:cs="Calibri"/>
          <w:b/>
          <w:sz w:val="28"/>
          <w:szCs w:val="28"/>
        </w:rPr>
        <w:t>Project B:</w:t>
      </w:r>
    </w:p>
    <w:tbl>
      <w:tblPr>
        <w:tblStyle w:val="TableGrid"/>
        <w:tblW w:w="0" w:type="auto"/>
        <w:jc w:val="center"/>
        <w:tblLook w:val="04A0" w:firstRow="1" w:lastRow="0" w:firstColumn="1" w:lastColumn="0" w:noHBand="0" w:noVBand="1"/>
      </w:tblPr>
      <w:tblGrid>
        <w:gridCol w:w="2330"/>
        <w:gridCol w:w="2332"/>
        <w:gridCol w:w="2334"/>
      </w:tblGrid>
      <w:tr w:rsidR="006E39F7" w:rsidRPr="00B8077E" w14:paraId="6213152C" w14:textId="77777777" w:rsidTr="00802E6B">
        <w:trPr>
          <w:jc w:val="center"/>
        </w:trPr>
        <w:tc>
          <w:tcPr>
            <w:tcW w:w="2330" w:type="dxa"/>
            <w:tcBorders>
              <w:top w:val="single" w:sz="12" w:space="0" w:color="auto"/>
              <w:left w:val="single" w:sz="12" w:space="0" w:color="auto"/>
              <w:bottom w:val="single" w:sz="12" w:space="0" w:color="auto"/>
              <w:right w:val="single" w:sz="12" w:space="0" w:color="auto"/>
            </w:tcBorders>
            <w:shd w:val="clear" w:color="auto" w:fill="CF7133" w:themeFill="accent6"/>
          </w:tcPr>
          <w:p w14:paraId="487C81B3"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2" w:type="dxa"/>
            <w:tcBorders>
              <w:top w:val="single" w:sz="12" w:space="0" w:color="auto"/>
              <w:left w:val="single" w:sz="12" w:space="0" w:color="auto"/>
              <w:bottom w:val="single" w:sz="12" w:space="0" w:color="auto"/>
              <w:right w:val="single" w:sz="12" w:space="0" w:color="auto"/>
            </w:tcBorders>
            <w:shd w:val="clear" w:color="auto" w:fill="CF7133" w:themeFill="accent6"/>
          </w:tcPr>
          <w:p w14:paraId="6B88867E"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Cash Flow (£m)</w:t>
            </w:r>
          </w:p>
        </w:tc>
        <w:tc>
          <w:tcPr>
            <w:tcW w:w="2334" w:type="dxa"/>
            <w:tcBorders>
              <w:top w:val="single" w:sz="12" w:space="0" w:color="auto"/>
              <w:left w:val="single" w:sz="12" w:space="0" w:color="auto"/>
              <w:bottom w:val="single" w:sz="12" w:space="0" w:color="auto"/>
              <w:right w:val="single" w:sz="12" w:space="0" w:color="auto"/>
            </w:tcBorders>
            <w:shd w:val="clear" w:color="auto" w:fill="CF7133" w:themeFill="accent6"/>
          </w:tcPr>
          <w:p w14:paraId="6F9C8123"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Cumulative Cash Flow (£m)</w:t>
            </w:r>
          </w:p>
        </w:tc>
      </w:tr>
      <w:tr w:rsidR="006E39F7" w:rsidRPr="00B8077E" w14:paraId="0BCA3F8D" w14:textId="77777777" w:rsidTr="00802E6B">
        <w:trPr>
          <w:jc w:val="center"/>
        </w:trPr>
        <w:tc>
          <w:tcPr>
            <w:tcW w:w="2330" w:type="dxa"/>
            <w:tcBorders>
              <w:top w:val="single" w:sz="12" w:space="0" w:color="auto"/>
            </w:tcBorders>
          </w:tcPr>
          <w:p w14:paraId="112023C3"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0</w:t>
            </w:r>
          </w:p>
        </w:tc>
        <w:tc>
          <w:tcPr>
            <w:tcW w:w="2332" w:type="dxa"/>
            <w:tcBorders>
              <w:top w:val="single" w:sz="12" w:space="0" w:color="auto"/>
            </w:tcBorders>
          </w:tcPr>
          <w:p w14:paraId="19089D19"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-70</w:t>
            </w:r>
          </w:p>
        </w:tc>
        <w:tc>
          <w:tcPr>
            <w:tcW w:w="2334" w:type="dxa"/>
            <w:tcBorders>
              <w:top w:val="single" w:sz="12" w:space="0" w:color="auto"/>
            </w:tcBorders>
          </w:tcPr>
          <w:p w14:paraId="7A7F96D4"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-75</w:t>
            </w:r>
          </w:p>
        </w:tc>
      </w:tr>
      <w:tr w:rsidR="006E39F7" w:rsidRPr="00B8077E" w14:paraId="26501EBE" w14:textId="77777777" w:rsidTr="00802E6B">
        <w:trPr>
          <w:jc w:val="center"/>
        </w:trPr>
        <w:tc>
          <w:tcPr>
            <w:tcW w:w="2330" w:type="dxa"/>
          </w:tcPr>
          <w:p w14:paraId="68F4B380"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1</w:t>
            </w:r>
          </w:p>
        </w:tc>
        <w:tc>
          <w:tcPr>
            <w:tcW w:w="2332" w:type="dxa"/>
          </w:tcPr>
          <w:p w14:paraId="0E9726F2"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50</w:t>
            </w:r>
          </w:p>
        </w:tc>
        <w:tc>
          <w:tcPr>
            <w:tcW w:w="2334" w:type="dxa"/>
          </w:tcPr>
          <w:p w14:paraId="57BDC58A"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-25</w:t>
            </w:r>
          </w:p>
        </w:tc>
      </w:tr>
      <w:tr w:rsidR="006E39F7" w:rsidRPr="00B8077E" w14:paraId="13C5A866" w14:textId="77777777" w:rsidTr="00802E6B">
        <w:trPr>
          <w:jc w:val="center"/>
        </w:trPr>
        <w:tc>
          <w:tcPr>
            <w:tcW w:w="2330" w:type="dxa"/>
          </w:tcPr>
          <w:p w14:paraId="6AB8302B"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2</w:t>
            </w:r>
          </w:p>
        </w:tc>
        <w:tc>
          <w:tcPr>
            <w:tcW w:w="2332" w:type="dxa"/>
          </w:tcPr>
          <w:p w14:paraId="371CD6F6"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2334" w:type="dxa"/>
          </w:tcPr>
          <w:p w14:paraId="686F6013"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-5</w:t>
            </w:r>
          </w:p>
        </w:tc>
      </w:tr>
      <w:tr w:rsidR="006E39F7" w:rsidRPr="00B8077E" w14:paraId="44FEAF74" w14:textId="77777777" w:rsidTr="00802E6B">
        <w:trPr>
          <w:jc w:val="center"/>
        </w:trPr>
        <w:tc>
          <w:tcPr>
            <w:tcW w:w="2330" w:type="dxa"/>
          </w:tcPr>
          <w:p w14:paraId="20DA0F53"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3</w:t>
            </w:r>
          </w:p>
        </w:tc>
        <w:tc>
          <w:tcPr>
            <w:tcW w:w="2332" w:type="dxa"/>
          </w:tcPr>
          <w:p w14:paraId="688A9474"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2334" w:type="dxa"/>
          </w:tcPr>
          <w:p w14:paraId="276E13EA"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15</w:t>
            </w:r>
          </w:p>
        </w:tc>
      </w:tr>
      <w:tr w:rsidR="006E39F7" w:rsidRPr="00B8077E" w14:paraId="180F893C" w14:textId="77777777" w:rsidTr="00802E6B">
        <w:trPr>
          <w:jc w:val="center"/>
        </w:trPr>
        <w:tc>
          <w:tcPr>
            <w:tcW w:w="2330" w:type="dxa"/>
          </w:tcPr>
          <w:p w14:paraId="799DDEDC"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4</w:t>
            </w:r>
          </w:p>
        </w:tc>
        <w:tc>
          <w:tcPr>
            <w:tcW w:w="2332" w:type="dxa"/>
          </w:tcPr>
          <w:p w14:paraId="387BA970"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2334" w:type="dxa"/>
          </w:tcPr>
          <w:p w14:paraId="7B200FEA"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35</w:t>
            </w:r>
          </w:p>
        </w:tc>
      </w:tr>
    </w:tbl>
    <w:p w14:paraId="271074C7" w14:textId="77777777" w:rsidR="00E17F71" w:rsidRPr="00B8077E" w:rsidRDefault="00E17F71" w:rsidP="006737F6">
      <w:pPr>
        <w:spacing w:line="360" w:lineRule="auto"/>
        <w:jc w:val="both"/>
        <w:rPr>
          <w:rFonts w:ascii="Calibri" w:hAnsi="Calibri" w:cs="Calibri"/>
          <w:sz w:val="28"/>
          <w:szCs w:val="28"/>
        </w:rPr>
      </w:pPr>
    </w:p>
    <w:p w14:paraId="3D5CAFB0" w14:textId="77777777" w:rsidR="006E39F7" w:rsidRPr="00B8077E" w:rsidRDefault="006E39F7"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Payback Period for Project B:</w:t>
      </w:r>
    </w:p>
    <w:p w14:paraId="27CCD206" w14:textId="77777777" w:rsidR="00112F77" w:rsidRPr="00B8077E" w:rsidRDefault="00112F77" w:rsidP="006737F6">
      <w:pPr>
        <w:spacing w:line="360" w:lineRule="auto"/>
        <w:jc w:val="both"/>
        <w:rPr>
          <w:rFonts w:ascii="Calibri" w:hAnsi="Calibri" w:cs="Calibri"/>
          <w:sz w:val="28"/>
          <w:szCs w:val="28"/>
        </w:rPr>
      </w:pPr>
      <w:r w:rsidRPr="00B8077E">
        <w:rPr>
          <w:rFonts w:ascii="Calibri" w:hAnsi="Calibri" w:cs="Calibri"/>
          <w:sz w:val="28"/>
          <w:szCs w:val="28"/>
        </w:rPr>
        <w:t xml:space="preserve">It takes Project B 2 years to breakeven. An additional £5m is required in year 3, and since £20m is received in that year, the payback period can be calculated </w:t>
      </w:r>
      <w:proofErr w:type="spellStart"/>
      <w:proofErr w:type="gramStart"/>
      <w:r w:rsidRPr="00B8077E">
        <w:rPr>
          <w:rFonts w:ascii="Calibri" w:hAnsi="Calibri" w:cs="Calibri"/>
          <w:sz w:val="28"/>
          <w:szCs w:val="28"/>
        </w:rPr>
        <w:t>as:An</w:t>
      </w:r>
      <w:proofErr w:type="spellEnd"/>
      <w:proofErr w:type="gramEnd"/>
      <w:r w:rsidRPr="00B8077E">
        <w:rPr>
          <w:rFonts w:ascii="Calibri" w:hAnsi="Calibri" w:cs="Calibri"/>
          <w:sz w:val="28"/>
          <w:szCs w:val="28"/>
        </w:rPr>
        <w:t xml:space="preserve"> </w:t>
      </w:r>
      <w:r w:rsidRPr="00B8077E">
        <w:rPr>
          <w:rFonts w:ascii="Calibri" w:hAnsi="Calibri" w:cs="Calibri"/>
          <w:sz w:val="28"/>
          <w:szCs w:val="28"/>
        </w:rPr>
        <w:lastRenderedPageBreak/>
        <w:t>additional £5m is required in year 3, and since £20m is received in that year, the payback period can be calculated as:</w:t>
      </w:r>
    </w:p>
    <w:p w14:paraId="77A1F6E9" w14:textId="77777777" w:rsidR="006E39F7" w:rsidRPr="00B8077E" w:rsidRDefault="006E39F7" w:rsidP="006737F6">
      <w:pPr>
        <w:spacing w:line="360" w:lineRule="auto"/>
        <w:jc w:val="both"/>
        <w:rPr>
          <w:rFonts w:ascii="Calibri" w:hAnsi="Calibri" w:cs="Calibri"/>
          <w:b/>
          <w:sz w:val="28"/>
          <w:szCs w:val="28"/>
        </w:rPr>
      </w:pPr>
      <w:r w:rsidRPr="00B8077E">
        <w:rPr>
          <w:rFonts w:ascii="Calibri" w:hAnsi="Calibri" w:cs="Calibri"/>
          <w:b/>
          <w:sz w:val="28"/>
          <w:szCs w:val="28"/>
        </w:rPr>
        <w:t>Payback Period (B)=2+5/20≈2.25 years</w:t>
      </w:r>
    </w:p>
    <w:p w14:paraId="1B8A3478" w14:textId="77777777" w:rsidR="006E39F7" w:rsidRPr="00B8077E" w:rsidRDefault="006E39F7"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Evaluation:</w:t>
      </w:r>
    </w:p>
    <w:p w14:paraId="200BA1C2" w14:textId="77777777" w:rsidR="00112F77" w:rsidRPr="00B8077E" w:rsidRDefault="00112F77" w:rsidP="006737F6">
      <w:pPr>
        <w:spacing w:line="360" w:lineRule="auto"/>
        <w:jc w:val="both"/>
        <w:rPr>
          <w:rFonts w:ascii="Calibri" w:hAnsi="Calibri" w:cs="Calibri"/>
          <w:sz w:val="28"/>
          <w:szCs w:val="28"/>
        </w:rPr>
      </w:pPr>
      <w:r w:rsidRPr="00B8077E">
        <w:rPr>
          <w:rFonts w:ascii="Calibri" w:hAnsi="Calibri" w:cs="Calibri"/>
          <w:sz w:val="28"/>
          <w:szCs w:val="28"/>
        </w:rPr>
        <w:t>From the table, payback period is lower in Project B, 2. 25 years than that of Project A, 3. 18 years which gives an impression of early recovery of the investment and thus is preferable.</w:t>
      </w:r>
    </w:p>
    <w:p w14:paraId="794951DC" w14:textId="77777777" w:rsidR="006E39F7" w:rsidRPr="00B8077E" w:rsidRDefault="006E39F7" w:rsidP="006737F6">
      <w:pPr>
        <w:pStyle w:val="ListParagraph"/>
        <w:numPr>
          <w:ilvl w:val="0"/>
          <w:numId w:val="19"/>
        </w:numPr>
        <w:spacing w:line="360" w:lineRule="auto"/>
        <w:jc w:val="both"/>
        <w:rPr>
          <w:rFonts w:ascii="Calibri" w:hAnsi="Calibri" w:cs="Calibri"/>
          <w:sz w:val="28"/>
          <w:szCs w:val="28"/>
        </w:rPr>
      </w:pPr>
      <w:r w:rsidRPr="00B8077E">
        <w:rPr>
          <w:rFonts w:ascii="Calibri" w:hAnsi="Calibri" w:cs="Calibri"/>
          <w:sz w:val="28"/>
          <w:szCs w:val="28"/>
        </w:rPr>
        <w:t>Accounting Rate of Return (ARR)</w:t>
      </w:r>
    </w:p>
    <w:p w14:paraId="0CD66294" w14:textId="77777777" w:rsidR="00112F77" w:rsidRPr="00B8077E" w:rsidRDefault="00112F77" w:rsidP="006737F6">
      <w:pPr>
        <w:spacing w:line="360" w:lineRule="auto"/>
        <w:jc w:val="both"/>
        <w:rPr>
          <w:rFonts w:ascii="Calibri" w:hAnsi="Calibri" w:cs="Calibri"/>
          <w:sz w:val="28"/>
          <w:szCs w:val="28"/>
        </w:rPr>
      </w:pPr>
      <w:r w:rsidRPr="00B8077E">
        <w:rPr>
          <w:rFonts w:ascii="Calibri" w:hAnsi="Calibri" w:cs="Calibri"/>
          <w:sz w:val="28"/>
          <w:szCs w:val="28"/>
        </w:rPr>
        <w:t>The ARR is calculated the measure of the expected annual rate of return in terms of the initial cost of the investment. Even though each has its advantage, all usually estimate the return on investment by using the average annual profit formula which is the initial investment.</w:t>
      </w:r>
    </w:p>
    <w:p w14:paraId="179092C6"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u w:val="single"/>
        </w:rPr>
        <w:t>Calculation of ARR</w:t>
      </w:r>
      <w:r w:rsidRPr="00B8077E">
        <w:rPr>
          <w:rFonts w:ascii="Calibri" w:hAnsi="Calibri" w:cs="Calibri"/>
          <w:sz w:val="28"/>
          <w:szCs w:val="28"/>
        </w:rPr>
        <w:t>:</w:t>
      </w:r>
    </w:p>
    <w:p w14:paraId="205B6297" w14:textId="77777777" w:rsidR="006E39F7" w:rsidRPr="00B8077E" w:rsidRDefault="006E39F7" w:rsidP="006737F6">
      <w:pPr>
        <w:spacing w:line="360" w:lineRule="auto"/>
        <w:jc w:val="both"/>
        <w:rPr>
          <w:rFonts w:ascii="Calibri" w:hAnsi="Calibri" w:cs="Calibri"/>
          <w:sz w:val="28"/>
          <w:szCs w:val="28"/>
        </w:rPr>
      </w:pPr>
      <w:r w:rsidRPr="00B8077E">
        <w:rPr>
          <w:rFonts w:ascii="Calibri" w:hAnsi="Calibri" w:cs="Calibri"/>
          <w:sz w:val="28"/>
          <w:szCs w:val="28"/>
        </w:rPr>
        <w:t>For Project A:</w:t>
      </w:r>
    </w:p>
    <w:tbl>
      <w:tblPr>
        <w:tblStyle w:val="TableGrid"/>
        <w:tblW w:w="0" w:type="auto"/>
        <w:jc w:val="center"/>
        <w:tblLook w:val="04A0" w:firstRow="1" w:lastRow="0" w:firstColumn="1" w:lastColumn="0" w:noHBand="0" w:noVBand="1"/>
      </w:tblPr>
      <w:tblGrid>
        <w:gridCol w:w="2330"/>
        <w:gridCol w:w="2332"/>
      </w:tblGrid>
      <w:tr w:rsidR="00972720" w:rsidRPr="00B8077E" w14:paraId="76E70854" w14:textId="77777777" w:rsidTr="00802E6B">
        <w:trPr>
          <w:jc w:val="center"/>
        </w:trPr>
        <w:tc>
          <w:tcPr>
            <w:tcW w:w="2330" w:type="dxa"/>
            <w:tcBorders>
              <w:top w:val="single" w:sz="12" w:space="0" w:color="auto"/>
              <w:left w:val="single" w:sz="12" w:space="0" w:color="auto"/>
              <w:bottom w:val="single" w:sz="12" w:space="0" w:color="auto"/>
              <w:right w:val="single" w:sz="12" w:space="0" w:color="auto"/>
            </w:tcBorders>
            <w:shd w:val="clear" w:color="auto" w:fill="CF7133" w:themeFill="accent6"/>
          </w:tcPr>
          <w:p w14:paraId="6CE1F838"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2" w:type="dxa"/>
            <w:tcBorders>
              <w:top w:val="single" w:sz="12" w:space="0" w:color="auto"/>
              <w:left w:val="single" w:sz="12" w:space="0" w:color="auto"/>
              <w:bottom w:val="single" w:sz="12" w:space="0" w:color="auto"/>
              <w:right w:val="single" w:sz="12" w:space="0" w:color="auto"/>
            </w:tcBorders>
            <w:shd w:val="clear" w:color="auto" w:fill="CF7133" w:themeFill="accent6"/>
          </w:tcPr>
          <w:p w14:paraId="33FC737B"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Projected Profits (£m)</w:t>
            </w:r>
          </w:p>
        </w:tc>
      </w:tr>
      <w:tr w:rsidR="00972720" w:rsidRPr="00B8077E" w14:paraId="03AAE57F" w14:textId="77777777" w:rsidTr="00802E6B">
        <w:trPr>
          <w:jc w:val="center"/>
        </w:trPr>
        <w:tc>
          <w:tcPr>
            <w:tcW w:w="2330" w:type="dxa"/>
            <w:tcBorders>
              <w:top w:val="single" w:sz="12" w:space="0" w:color="auto"/>
            </w:tcBorders>
          </w:tcPr>
          <w:p w14:paraId="183765C5"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1</w:t>
            </w:r>
          </w:p>
        </w:tc>
        <w:tc>
          <w:tcPr>
            <w:tcW w:w="2332" w:type="dxa"/>
            <w:tcBorders>
              <w:top w:val="single" w:sz="12" w:space="0" w:color="auto"/>
            </w:tcBorders>
          </w:tcPr>
          <w:p w14:paraId="2047F5BC"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25</w:t>
            </w:r>
          </w:p>
        </w:tc>
      </w:tr>
      <w:tr w:rsidR="00972720" w:rsidRPr="00B8077E" w14:paraId="43180C3E" w14:textId="77777777" w:rsidTr="00802E6B">
        <w:trPr>
          <w:jc w:val="center"/>
        </w:trPr>
        <w:tc>
          <w:tcPr>
            <w:tcW w:w="2330" w:type="dxa"/>
          </w:tcPr>
          <w:p w14:paraId="4E32F574"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w:t>
            </w:r>
          </w:p>
        </w:tc>
        <w:tc>
          <w:tcPr>
            <w:tcW w:w="2332" w:type="dxa"/>
          </w:tcPr>
          <w:p w14:paraId="13FF4573"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25</w:t>
            </w:r>
          </w:p>
        </w:tc>
      </w:tr>
      <w:tr w:rsidR="00972720" w:rsidRPr="00B8077E" w14:paraId="371D2550" w14:textId="77777777" w:rsidTr="00802E6B">
        <w:trPr>
          <w:jc w:val="center"/>
        </w:trPr>
        <w:tc>
          <w:tcPr>
            <w:tcW w:w="2330" w:type="dxa"/>
          </w:tcPr>
          <w:p w14:paraId="0C9A7A99"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3</w:t>
            </w:r>
          </w:p>
        </w:tc>
        <w:tc>
          <w:tcPr>
            <w:tcW w:w="2332" w:type="dxa"/>
          </w:tcPr>
          <w:p w14:paraId="1D5DEB6B"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20</w:t>
            </w:r>
          </w:p>
        </w:tc>
      </w:tr>
      <w:tr w:rsidR="00972720" w:rsidRPr="00B8077E" w14:paraId="141CF776" w14:textId="77777777" w:rsidTr="00802E6B">
        <w:trPr>
          <w:jc w:val="center"/>
        </w:trPr>
        <w:tc>
          <w:tcPr>
            <w:tcW w:w="2330" w:type="dxa"/>
          </w:tcPr>
          <w:p w14:paraId="742D45CD"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4</w:t>
            </w:r>
          </w:p>
        </w:tc>
        <w:tc>
          <w:tcPr>
            <w:tcW w:w="2332" w:type="dxa"/>
          </w:tcPr>
          <w:p w14:paraId="07DBBE37"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55</w:t>
            </w:r>
          </w:p>
        </w:tc>
      </w:tr>
    </w:tbl>
    <w:p w14:paraId="364E152D" w14:textId="77777777" w:rsidR="006E39F7" w:rsidRPr="00B8077E" w:rsidRDefault="006E39F7" w:rsidP="006737F6">
      <w:pPr>
        <w:spacing w:line="360" w:lineRule="auto"/>
        <w:jc w:val="both"/>
        <w:rPr>
          <w:rFonts w:ascii="Calibri" w:hAnsi="Calibri" w:cs="Calibri"/>
          <w:sz w:val="28"/>
          <w:szCs w:val="28"/>
        </w:rPr>
      </w:pPr>
    </w:p>
    <w:p w14:paraId="6C8F38BC" w14:textId="77777777" w:rsidR="00972720" w:rsidRPr="00B8077E" w:rsidRDefault="00972720" w:rsidP="003B3254">
      <w:pPr>
        <w:numPr>
          <w:ilvl w:val="0"/>
          <w:numId w:val="1"/>
        </w:numPr>
        <w:spacing w:line="360" w:lineRule="auto"/>
        <w:rPr>
          <w:rFonts w:ascii="Calibri" w:hAnsi="Calibri" w:cs="Calibri"/>
          <w:sz w:val="28"/>
          <w:szCs w:val="28"/>
        </w:rPr>
      </w:pPr>
      <w:r w:rsidRPr="00B8077E">
        <w:rPr>
          <w:rFonts w:ascii="Calibri" w:hAnsi="Calibri" w:cs="Calibri"/>
          <w:b/>
          <w:bCs/>
          <w:sz w:val="28"/>
          <w:szCs w:val="28"/>
        </w:rPr>
        <w:lastRenderedPageBreak/>
        <w:t>Average Profit for Project A</w:t>
      </w:r>
      <w:r w:rsidRPr="00B8077E">
        <w:rPr>
          <w:rFonts w:ascii="Calibri" w:hAnsi="Calibri" w:cs="Calibri"/>
          <w:sz w:val="28"/>
          <w:szCs w:val="28"/>
        </w:rPr>
        <w:t>:</w:t>
      </w:r>
      <w:r w:rsidRPr="00B8077E">
        <w:rPr>
          <w:rFonts w:ascii="Calibri" w:hAnsi="Calibri" w:cs="Calibri"/>
          <w:sz w:val="28"/>
          <w:szCs w:val="28"/>
        </w:rPr>
        <w:br/>
        <w:t>Average Profit (A)=25+25+20+554=1254=31.25 (£m)</w:t>
      </w:r>
    </w:p>
    <w:p w14:paraId="4D8078E3" w14:textId="77777777" w:rsidR="00972720" w:rsidRPr="00B8077E" w:rsidRDefault="00972720" w:rsidP="003B3254">
      <w:pPr>
        <w:numPr>
          <w:ilvl w:val="0"/>
          <w:numId w:val="1"/>
        </w:numPr>
        <w:spacing w:line="360" w:lineRule="auto"/>
        <w:rPr>
          <w:rFonts w:ascii="Calibri" w:hAnsi="Calibri" w:cs="Calibri"/>
          <w:sz w:val="28"/>
          <w:szCs w:val="28"/>
        </w:rPr>
      </w:pPr>
      <w:r w:rsidRPr="00B8077E">
        <w:rPr>
          <w:rFonts w:ascii="Calibri" w:hAnsi="Calibri" w:cs="Calibri"/>
          <w:b/>
          <w:bCs/>
          <w:sz w:val="28"/>
          <w:szCs w:val="28"/>
        </w:rPr>
        <w:t xml:space="preserve"> ARR for Project A</w:t>
      </w:r>
      <w:r w:rsidRPr="00B8077E">
        <w:rPr>
          <w:rFonts w:ascii="Calibri" w:hAnsi="Calibri" w:cs="Calibri"/>
          <w:sz w:val="28"/>
          <w:szCs w:val="28"/>
        </w:rPr>
        <w:t>:</w:t>
      </w:r>
      <w:r w:rsidRPr="00B8077E">
        <w:rPr>
          <w:rFonts w:ascii="Calibri" w:hAnsi="Calibri" w:cs="Calibri"/>
          <w:sz w:val="28"/>
          <w:szCs w:val="28"/>
        </w:rPr>
        <w:br/>
        <w:t>ARR (A)=31.2580×100=39.06%</w:t>
      </w:r>
    </w:p>
    <w:p w14:paraId="54AA6837"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For Project B:</w:t>
      </w:r>
    </w:p>
    <w:tbl>
      <w:tblPr>
        <w:tblStyle w:val="TableGrid"/>
        <w:tblW w:w="0" w:type="auto"/>
        <w:jc w:val="center"/>
        <w:tblLook w:val="04A0" w:firstRow="1" w:lastRow="0" w:firstColumn="1" w:lastColumn="0" w:noHBand="0" w:noVBand="1"/>
      </w:tblPr>
      <w:tblGrid>
        <w:gridCol w:w="2330"/>
        <w:gridCol w:w="2332"/>
      </w:tblGrid>
      <w:tr w:rsidR="00972720" w:rsidRPr="00B8077E" w14:paraId="682D9500" w14:textId="77777777" w:rsidTr="00802E6B">
        <w:trPr>
          <w:jc w:val="center"/>
        </w:trPr>
        <w:tc>
          <w:tcPr>
            <w:tcW w:w="2330" w:type="dxa"/>
            <w:tcBorders>
              <w:top w:val="single" w:sz="12" w:space="0" w:color="auto"/>
              <w:left w:val="single" w:sz="12" w:space="0" w:color="auto"/>
              <w:bottom w:val="single" w:sz="12" w:space="0" w:color="auto"/>
              <w:right w:val="single" w:sz="12" w:space="0" w:color="auto"/>
            </w:tcBorders>
            <w:shd w:val="clear" w:color="auto" w:fill="CF7133" w:themeFill="accent6"/>
          </w:tcPr>
          <w:p w14:paraId="286CF853"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2" w:type="dxa"/>
            <w:tcBorders>
              <w:top w:val="single" w:sz="12" w:space="0" w:color="auto"/>
              <w:left w:val="single" w:sz="12" w:space="0" w:color="auto"/>
              <w:bottom w:val="single" w:sz="12" w:space="0" w:color="auto"/>
              <w:right w:val="single" w:sz="12" w:space="0" w:color="auto"/>
            </w:tcBorders>
            <w:shd w:val="clear" w:color="auto" w:fill="CF7133" w:themeFill="accent6"/>
          </w:tcPr>
          <w:p w14:paraId="777F42AB"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Projected Profits (£m)</w:t>
            </w:r>
          </w:p>
        </w:tc>
      </w:tr>
      <w:tr w:rsidR="00972720" w:rsidRPr="00B8077E" w14:paraId="2BE0D8D4" w14:textId="77777777" w:rsidTr="00802E6B">
        <w:trPr>
          <w:jc w:val="center"/>
        </w:trPr>
        <w:tc>
          <w:tcPr>
            <w:tcW w:w="2330" w:type="dxa"/>
            <w:tcBorders>
              <w:top w:val="single" w:sz="12" w:space="0" w:color="auto"/>
            </w:tcBorders>
          </w:tcPr>
          <w:p w14:paraId="37BA1D02"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1</w:t>
            </w:r>
          </w:p>
        </w:tc>
        <w:tc>
          <w:tcPr>
            <w:tcW w:w="2332" w:type="dxa"/>
            <w:tcBorders>
              <w:top w:val="single" w:sz="12" w:space="0" w:color="auto"/>
            </w:tcBorders>
          </w:tcPr>
          <w:p w14:paraId="79F7A0CD"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50</w:t>
            </w:r>
          </w:p>
        </w:tc>
      </w:tr>
      <w:tr w:rsidR="00972720" w:rsidRPr="00B8077E" w14:paraId="024EA948" w14:textId="77777777" w:rsidTr="00802E6B">
        <w:trPr>
          <w:jc w:val="center"/>
        </w:trPr>
        <w:tc>
          <w:tcPr>
            <w:tcW w:w="2330" w:type="dxa"/>
          </w:tcPr>
          <w:p w14:paraId="6BEAF655"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w:t>
            </w:r>
          </w:p>
        </w:tc>
        <w:tc>
          <w:tcPr>
            <w:tcW w:w="2332" w:type="dxa"/>
          </w:tcPr>
          <w:p w14:paraId="2FF9195C"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20</w:t>
            </w:r>
          </w:p>
        </w:tc>
      </w:tr>
      <w:tr w:rsidR="00972720" w:rsidRPr="00B8077E" w14:paraId="51459B5C" w14:textId="77777777" w:rsidTr="00802E6B">
        <w:trPr>
          <w:jc w:val="center"/>
        </w:trPr>
        <w:tc>
          <w:tcPr>
            <w:tcW w:w="2330" w:type="dxa"/>
          </w:tcPr>
          <w:p w14:paraId="1EC0CDE1"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3</w:t>
            </w:r>
          </w:p>
        </w:tc>
        <w:tc>
          <w:tcPr>
            <w:tcW w:w="2332" w:type="dxa"/>
          </w:tcPr>
          <w:p w14:paraId="65A6F659"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20</w:t>
            </w:r>
          </w:p>
        </w:tc>
      </w:tr>
      <w:tr w:rsidR="00972720" w:rsidRPr="00B8077E" w14:paraId="46568639" w14:textId="77777777" w:rsidTr="00802E6B">
        <w:trPr>
          <w:jc w:val="center"/>
        </w:trPr>
        <w:tc>
          <w:tcPr>
            <w:tcW w:w="2330" w:type="dxa"/>
          </w:tcPr>
          <w:p w14:paraId="7665E8E4"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4</w:t>
            </w:r>
          </w:p>
        </w:tc>
        <w:tc>
          <w:tcPr>
            <w:tcW w:w="2332" w:type="dxa"/>
          </w:tcPr>
          <w:p w14:paraId="3EA4762E"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20</w:t>
            </w:r>
          </w:p>
        </w:tc>
      </w:tr>
    </w:tbl>
    <w:p w14:paraId="00680570" w14:textId="77777777" w:rsidR="00972720" w:rsidRPr="00B8077E" w:rsidRDefault="00972720" w:rsidP="006737F6">
      <w:pPr>
        <w:spacing w:line="360" w:lineRule="auto"/>
        <w:jc w:val="both"/>
        <w:rPr>
          <w:rFonts w:ascii="Calibri" w:hAnsi="Calibri" w:cs="Calibri"/>
          <w:sz w:val="28"/>
          <w:szCs w:val="28"/>
        </w:rPr>
      </w:pPr>
    </w:p>
    <w:p w14:paraId="31A54D2A" w14:textId="77777777" w:rsidR="00972720" w:rsidRPr="00B8077E" w:rsidRDefault="00972720" w:rsidP="003B3254">
      <w:pPr>
        <w:numPr>
          <w:ilvl w:val="0"/>
          <w:numId w:val="2"/>
        </w:numPr>
        <w:spacing w:line="360" w:lineRule="auto"/>
        <w:rPr>
          <w:rFonts w:ascii="Calibri" w:hAnsi="Calibri" w:cs="Calibri"/>
          <w:sz w:val="28"/>
          <w:szCs w:val="28"/>
        </w:rPr>
      </w:pPr>
      <w:r w:rsidRPr="00B8077E">
        <w:rPr>
          <w:rFonts w:ascii="Calibri" w:hAnsi="Calibri" w:cs="Calibri"/>
          <w:b/>
          <w:bCs/>
          <w:sz w:val="28"/>
          <w:szCs w:val="28"/>
        </w:rPr>
        <w:t>Average Profit for Project B</w:t>
      </w:r>
      <w:r w:rsidRPr="00B8077E">
        <w:rPr>
          <w:rFonts w:ascii="Calibri" w:hAnsi="Calibri" w:cs="Calibri"/>
          <w:sz w:val="28"/>
          <w:szCs w:val="28"/>
        </w:rPr>
        <w:t>:</w:t>
      </w:r>
      <w:r w:rsidRPr="00B8077E">
        <w:rPr>
          <w:rFonts w:ascii="Calibri" w:hAnsi="Calibri" w:cs="Calibri"/>
          <w:sz w:val="28"/>
          <w:szCs w:val="28"/>
        </w:rPr>
        <w:br/>
        <w:t>Average Profit (B)=50+20+20+204=1104=27.5 (£m)</w:t>
      </w:r>
    </w:p>
    <w:p w14:paraId="2D8E15EF" w14:textId="77777777" w:rsidR="00972720" w:rsidRPr="00B8077E" w:rsidRDefault="00972720" w:rsidP="003B3254">
      <w:pPr>
        <w:numPr>
          <w:ilvl w:val="0"/>
          <w:numId w:val="2"/>
        </w:numPr>
        <w:spacing w:line="360" w:lineRule="auto"/>
        <w:rPr>
          <w:rFonts w:ascii="Calibri" w:hAnsi="Calibri" w:cs="Calibri"/>
          <w:sz w:val="28"/>
          <w:szCs w:val="28"/>
        </w:rPr>
      </w:pPr>
      <w:r w:rsidRPr="00B8077E">
        <w:rPr>
          <w:rFonts w:ascii="Calibri" w:hAnsi="Calibri" w:cs="Calibri"/>
          <w:b/>
          <w:bCs/>
          <w:sz w:val="28"/>
          <w:szCs w:val="28"/>
        </w:rPr>
        <w:t xml:space="preserve"> ARR for Project B</w:t>
      </w:r>
      <w:r w:rsidRPr="00B8077E">
        <w:rPr>
          <w:rFonts w:ascii="Calibri" w:hAnsi="Calibri" w:cs="Calibri"/>
          <w:sz w:val="28"/>
          <w:szCs w:val="28"/>
        </w:rPr>
        <w:t>:</w:t>
      </w:r>
      <w:r w:rsidRPr="00B8077E">
        <w:rPr>
          <w:rFonts w:ascii="Calibri" w:hAnsi="Calibri" w:cs="Calibri"/>
          <w:sz w:val="28"/>
          <w:szCs w:val="28"/>
        </w:rPr>
        <w:br/>
        <w:t>ARR (B)=27.575×100=36.67%</w:t>
      </w:r>
    </w:p>
    <w:p w14:paraId="3EEC333D" w14:textId="77777777" w:rsidR="00972720" w:rsidRPr="00B8077E" w:rsidRDefault="00972720"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Evaluation:</w:t>
      </w:r>
    </w:p>
    <w:p w14:paraId="06767498" w14:textId="77777777" w:rsidR="00112F77" w:rsidRPr="00B8077E" w:rsidRDefault="00112F77" w:rsidP="006737F6">
      <w:pPr>
        <w:spacing w:line="360" w:lineRule="auto"/>
        <w:jc w:val="both"/>
        <w:rPr>
          <w:rFonts w:ascii="Calibri" w:hAnsi="Calibri" w:cs="Calibri"/>
          <w:sz w:val="28"/>
          <w:szCs w:val="28"/>
        </w:rPr>
      </w:pPr>
      <w:r w:rsidRPr="00B8077E">
        <w:rPr>
          <w:rFonts w:ascii="Calibri" w:hAnsi="Calibri" w:cs="Calibri"/>
          <w:sz w:val="28"/>
          <w:szCs w:val="28"/>
        </w:rPr>
        <w:t>Thus, analyzing using ARR, Project A shows a better figure 39. 06% as opposed to Project B – 36. 67% which means that Project A will be a better investment.</w:t>
      </w:r>
    </w:p>
    <w:p w14:paraId="09639EFF" w14:textId="77777777" w:rsidR="00972720" w:rsidRPr="00B8077E" w:rsidRDefault="00972720" w:rsidP="006737F6">
      <w:pPr>
        <w:pStyle w:val="ListParagraph"/>
        <w:numPr>
          <w:ilvl w:val="0"/>
          <w:numId w:val="19"/>
        </w:numPr>
        <w:spacing w:line="360" w:lineRule="auto"/>
        <w:jc w:val="both"/>
        <w:rPr>
          <w:rFonts w:ascii="Calibri" w:hAnsi="Calibri" w:cs="Calibri"/>
          <w:sz w:val="28"/>
          <w:szCs w:val="28"/>
        </w:rPr>
      </w:pPr>
      <w:r w:rsidRPr="00B8077E">
        <w:rPr>
          <w:rFonts w:ascii="Calibri" w:hAnsi="Calibri" w:cs="Calibri"/>
          <w:sz w:val="28"/>
          <w:szCs w:val="28"/>
        </w:rPr>
        <w:t>Net Present Value (NPV)</w:t>
      </w:r>
    </w:p>
    <w:p w14:paraId="4DD763D1" w14:textId="77777777" w:rsidR="00112F77" w:rsidRPr="00B8077E" w:rsidRDefault="00112F77" w:rsidP="006737F6">
      <w:pPr>
        <w:spacing w:line="360" w:lineRule="auto"/>
        <w:jc w:val="both"/>
        <w:rPr>
          <w:rFonts w:ascii="Calibri" w:hAnsi="Calibri" w:cs="Calibri"/>
          <w:sz w:val="28"/>
          <w:szCs w:val="28"/>
        </w:rPr>
      </w:pPr>
      <w:r w:rsidRPr="00B8077E">
        <w:rPr>
          <w:rFonts w:ascii="Calibri" w:hAnsi="Calibri" w:cs="Calibri"/>
          <w:sz w:val="28"/>
          <w:szCs w:val="28"/>
        </w:rPr>
        <w:t xml:space="preserve">It is an NPV model that determines the present value of cash inflows and subtract the cost of initial investment multiplied by the firm’s cost of capital being 9. 75%. </w:t>
      </w:r>
      <w:r w:rsidRPr="00B8077E">
        <w:rPr>
          <w:rFonts w:ascii="Calibri" w:hAnsi="Calibri" w:cs="Calibri"/>
          <w:sz w:val="28"/>
          <w:szCs w:val="28"/>
        </w:rPr>
        <w:lastRenderedPageBreak/>
        <w:t>An NPV of $ &gt;0 means that the project is expected to create more value for the firm than its cost.</w:t>
      </w:r>
    </w:p>
    <w:p w14:paraId="5B1D3831"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Calculation of NPV:</w:t>
      </w:r>
    </w:p>
    <w:p w14:paraId="0B01A5E4"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 xml:space="preserve">The formula for NPV is: </w:t>
      </w:r>
    </w:p>
    <w:p w14:paraId="5945D97E"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NPV=∑((1+</w:t>
      </w:r>
      <w:proofErr w:type="gramStart"/>
      <w:r w:rsidRPr="00B8077E">
        <w:rPr>
          <w:rFonts w:ascii="Calibri" w:hAnsi="Calibri" w:cs="Calibri"/>
          <w:i/>
          <w:iCs/>
          <w:sz w:val="28"/>
          <w:szCs w:val="28"/>
        </w:rPr>
        <w:t>r</w:t>
      </w:r>
      <w:r w:rsidRPr="00B8077E">
        <w:rPr>
          <w:rFonts w:ascii="Calibri" w:hAnsi="Calibri" w:cs="Calibri"/>
          <w:sz w:val="28"/>
          <w:szCs w:val="28"/>
        </w:rPr>
        <w:t>)</w:t>
      </w:r>
      <w:r w:rsidRPr="00B8077E">
        <w:rPr>
          <w:rFonts w:ascii="Calibri" w:hAnsi="Calibri" w:cs="Calibri"/>
          <w:i/>
          <w:iCs/>
          <w:sz w:val="28"/>
          <w:szCs w:val="28"/>
        </w:rPr>
        <w:t>Rt</w:t>
      </w:r>
      <w:r w:rsidRPr="00B8077E">
        <w:rPr>
          <w:rFonts w:ascii="Calibri" w:hAnsi="Calibri" w:cs="Calibri"/>
          <w:sz w:val="28"/>
          <w:szCs w:val="28"/>
        </w:rPr>
        <w:t>​​</w:t>
      </w:r>
      <w:proofErr w:type="gramEnd"/>
      <w:r w:rsidRPr="00B8077E">
        <w:rPr>
          <w:rFonts w:ascii="Calibri" w:hAnsi="Calibri" w:cs="Calibri"/>
          <w:sz w:val="28"/>
          <w:szCs w:val="28"/>
        </w:rPr>
        <w:t>)−</w:t>
      </w:r>
      <w:r w:rsidRPr="00B8077E">
        <w:rPr>
          <w:rFonts w:ascii="Calibri" w:hAnsi="Calibri" w:cs="Calibri"/>
          <w:i/>
          <w:iCs/>
          <w:sz w:val="28"/>
          <w:szCs w:val="28"/>
        </w:rPr>
        <w:t>C</w:t>
      </w:r>
      <w:r w:rsidRPr="00B8077E">
        <w:rPr>
          <w:rFonts w:ascii="Calibri" w:hAnsi="Calibri" w:cs="Calibri"/>
          <w:sz w:val="28"/>
          <w:szCs w:val="28"/>
        </w:rPr>
        <w:t>0​</w:t>
      </w:r>
    </w:p>
    <w:p w14:paraId="67B5A36B"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Where:</w:t>
      </w:r>
    </w:p>
    <w:p w14:paraId="3E4B283F" w14:textId="77777777" w:rsidR="00972720" w:rsidRPr="00B8077E" w:rsidRDefault="00972720" w:rsidP="006737F6">
      <w:pPr>
        <w:numPr>
          <w:ilvl w:val="0"/>
          <w:numId w:val="3"/>
        </w:numPr>
        <w:spacing w:line="360" w:lineRule="auto"/>
        <w:jc w:val="both"/>
        <w:rPr>
          <w:rFonts w:ascii="Calibri" w:hAnsi="Calibri" w:cs="Calibri"/>
          <w:sz w:val="28"/>
          <w:szCs w:val="28"/>
        </w:rPr>
      </w:pPr>
      <w:r w:rsidRPr="00B8077E">
        <w:rPr>
          <w:rFonts w:ascii="Calibri" w:hAnsi="Calibri" w:cs="Calibri"/>
          <w:sz w:val="28"/>
          <w:szCs w:val="28"/>
        </w:rPr>
        <w:t xml:space="preserve">Rt= Cash inflow at time </w:t>
      </w:r>
      <w:proofErr w:type="spellStart"/>
      <w:r w:rsidRPr="00B8077E">
        <w:rPr>
          <w:rFonts w:ascii="Calibri" w:hAnsi="Calibri" w:cs="Calibri"/>
          <w:sz w:val="28"/>
          <w:szCs w:val="28"/>
        </w:rPr>
        <w:t>t</w:t>
      </w:r>
      <w:r w:rsidRPr="00B8077E">
        <w:rPr>
          <w:rFonts w:ascii="Calibri" w:hAnsi="Calibri" w:cs="Calibri"/>
          <w:i/>
          <w:iCs/>
          <w:sz w:val="28"/>
          <w:szCs w:val="28"/>
        </w:rPr>
        <w:t>t</w:t>
      </w:r>
      <w:proofErr w:type="spellEnd"/>
    </w:p>
    <w:p w14:paraId="6453D3B3" w14:textId="77777777" w:rsidR="00972720" w:rsidRPr="00B8077E" w:rsidRDefault="00972720" w:rsidP="006737F6">
      <w:pPr>
        <w:numPr>
          <w:ilvl w:val="0"/>
          <w:numId w:val="3"/>
        </w:numPr>
        <w:spacing w:line="360" w:lineRule="auto"/>
        <w:jc w:val="both"/>
        <w:rPr>
          <w:rFonts w:ascii="Calibri" w:hAnsi="Calibri" w:cs="Calibri"/>
          <w:sz w:val="28"/>
          <w:szCs w:val="28"/>
        </w:rPr>
      </w:pPr>
      <w:r w:rsidRPr="00B8077E">
        <w:rPr>
          <w:rFonts w:ascii="Calibri" w:hAnsi="Calibri" w:cs="Calibri"/>
          <w:i/>
          <w:iCs/>
          <w:sz w:val="28"/>
          <w:szCs w:val="28"/>
        </w:rPr>
        <w:t>r</w:t>
      </w:r>
      <w:r w:rsidRPr="00B8077E">
        <w:rPr>
          <w:rFonts w:ascii="Calibri" w:hAnsi="Calibri" w:cs="Calibri"/>
          <w:sz w:val="28"/>
          <w:szCs w:val="28"/>
        </w:rPr>
        <w:t xml:space="preserve"> = Discount rate (9.75%)</w:t>
      </w:r>
    </w:p>
    <w:p w14:paraId="7EED598F" w14:textId="77777777" w:rsidR="00972720" w:rsidRPr="00B8077E" w:rsidRDefault="00972720" w:rsidP="006737F6">
      <w:pPr>
        <w:numPr>
          <w:ilvl w:val="0"/>
          <w:numId w:val="3"/>
        </w:numPr>
        <w:spacing w:line="360" w:lineRule="auto"/>
        <w:jc w:val="both"/>
        <w:rPr>
          <w:rFonts w:ascii="Calibri" w:hAnsi="Calibri" w:cs="Calibri"/>
          <w:sz w:val="28"/>
          <w:szCs w:val="28"/>
        </w:rPr>
      </w:pPr>
      <w:r w:rsidRPr="00B8077E">
        <w:rPr>
          <w:rFonts w:ascii="Calibri" w:hAnsi="Calibri" w:cs="Calibri"/>
          <w:sz w:val="28"/>
          <w:szCs w:val="28"/>
        </w:rPr>
        <w:t>C0​ = Initial investment</w:t>
      </w:r>
    </w:p>
    <w:p w14:paraId="7291B37D"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 xml:space="preserve">For </w:t>
      </w:r>
      <w:r w:rsidRPr="00B8077E">
        <w:rPr>
          <w:rFonts w:ascii="Calibri" w:hAnsi="Calibri" w:cs="Calibri"/>
          <w:b/>
          <w:bCs/>
          <w:sz w:val="28"/>
          <w:szCs w:val="28"/>
        </w:rPr>
        <w:t>Project A</w:t>
      </w:r>
      <w:r w:rsidRPr="00B8077E">
        <w:rPr>
          <w:rFonts w:ascii="Calibri" w:hAnsi="Calibri" w:cs="Calibri"/>
          <w:sz w:val="28"/>
          <w:szCs w:val="28"/>
        </w:rPr>
        <w:t>:</w:t>
      </w:r>
    </w:p>
    <w:tbl>
      <w:tblPr>
        <w:tblStyle w:val="TableGrid"/>
        <w:tblW w:w="0" w:type="auto"/>
        <w:tblLook w:val="04A0" w:firstRow="1" w:lastRow="0" w:firstColumn="1" w:lastColumn="0" w:noHBand="0" w:noVBand="1"/>
      </w:tblPr>
      <w:tblGrid>
        <w:gridCol w:w="2331"/>
        <w:gridCol w:w="2331"/>
        <w:gridCol w:w="2334"/>
        <w:gridCol w:w="2334"/>
      </w:tblGrid>
      <w:tr w:rsidR="00972720" w:rsidRPr="00B8077E" w14:paraId="7A31A39A" w14:textId="77777777" w:rsidTr="00AA0AF4">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5A9FBC04"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3CFCDE2A"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Cash Flow (£m)</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4BE3BCA3"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Discount Factor (9.75%)</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7AC888B6"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Present Value (PV) (£m)</w:t>
            </w:r>
          </w:p>
        </w:tc>
      </w:tr>
      <w:tr w:rsidR="00972720" w:rsidRPr="00B8077E" w14:paraId="59477F80" w14:textId="77777777" w:rsidTr="00AA0AF4">
        <w:tc>
          <w:tcPr>
            <w:tcW w:w="2337" w:type="dxa"/>
            <w:tcBorders>
              <w:top w:val="single" w:sz="12" w:space="0" w:color="auto"/>
            </w:tcBorders>
          </w:tcPr>
          <w:p w14:paraId="5D5E43F4"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0</w:t>
            </w:r>
          </w:p>
        </w:tc>
        <w:tc>
          <w:tcPr>
            <w:tcW w:w="2337" w:type="dxa"/>
            <w:tcBorders>
              <w:top w:val="single" w:sz="12" w:space="0" w:color="auto"/>
            </w:tcBorders>
          </w:tcPr>
          <w:p w14:paraId="0461CEF8"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-80</w:t>
            </w:r>
          </w:p>
        </w:tc>
        <w:tc>
          <w:tcPr>
            <w:tcW w:w="2338" w:type="dxa"/>
            <w:tcBorders>
              <w:top w:val="single" w:sz="12" w:space="0" w:color="auto"/>
            </w:tcBorders>
          </w:tcPr>
          <w:p w14:paraId="374DC614"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1.0</w:t>
            </w:r>
          </w:p>
        </w:tc>
        <w:tc>
          <w:tcPr>
            <w:tcW w:w="2338" w:type="dxa"/>
            <w:tcBorders>
              <w:top w:val="single" w:sz="12" w:space="0" w:color="auto"/>
            </w:tcBorders>
          </w:tcPr>
          <w:p w14:paraId="3DB4B9C5"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-80.00</w:t>
            </w:r>
          </w:p>
        </w:tc>
      </w:tr>
      <w:tr w:rsidR="00972720" w:rsidRPr="00B8077E" w14:paraId="74D9CE63" w14:textId="77777777" w:rsidTr="00AA0AF4">
        <w:tc>
          <w:tcPr>
            <w:tcW w:w="2337" w:type="dxa"/>
          </w:tcPr>
          <w:p w14:paraId="26F32F89"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1</w:t>
            </w:r>
          </w:p>
        </w:tc>
        <w:tc>
          <w:tcPr>
            <w:tcW w:w="2337" w:type="dxa"/>
          </w:tcPr>
          <w:p w14:paraId="5A737309"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25</w:t>
            </w:r>
          </w:p>
        </w:tc>
        <w:tc>
          <w:tcPr>
            <w:tcW w:w="2338" w:type="dxa"/>
          </w:tcPr>
          <w:p w14:paraId="1A10F910"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0.91</w:t>
            </w:r>
          </w:p>
        </w:tc>
        <w:tc>
          <w:tcPr>
            <w:tcW w:w="2338" w:type="dxa"/>
          </w:tcPr>
          <w:p w14:paraId="182F97A8"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22.78</w:t>
            </w:r>
          </w:p>
        </w:tc>
      </w:tr>
      <w:tr w:rsidR="00972720" w:rsidRPr="00B8077E" w14:paraId="30408130" w14:textId="77777777" w:rsidTr="00AA0AF4">
        <w:tc>
          <w:tcPr>
            <w:tcW w:w="2337" w:type="dxa"/>
          </w:tcPr>
          <w:p w14:paraId="62CF9B4E"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w:t>
            </w:r>
          </w:p>
        </w:tc>
        <w:tc>
          <w:tcPr>
            <w:tcW w:w="2337" w:type="dxa"/>
          </w:tcPr>
          <w:p w14:paraId="5185FC8A"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25</w:t>
            </w:r>
          </w:p>
        </w:tc>
        <w:tc>
          <w:tcPr>
            <w:tcW w:w="2338" w:type="dxa"/>
          </w:tcPr>
          <w:p w14:paraId="1C3627FB"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0.83</w:t>
            </w:r>
          </w:p>
        </w:tc>
        <w:tc>
          <w:tcPr>
            <w:tcW w:w="2338" w:type="dxa"/>
          </w:tcPr>
          <w:p w14:paraId="64A88699"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20.76</w:t>
            </w:r>
          </w:p>
        </w:tc>
      </w:tr>
      <w:tr w:rsidR="00972720" w:rsidRPr="00B8077E" w14:paraId="0163024E" w14:textId="77777777" w:rsidTr="00AA0AF4">
        <w:tc>
          <w:tcPr>
            <w:tcW w:w="2337" w:type="dxa"/>
          </w:tcPr>
          <w:p w14:paraId="35A8CD9A"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3</w:t>
            </w:r>
          </w:p>
        </w:tc>
        <w:tc>
          <w:tcPr>
            <w:tcW w:w="2337" w:type="dxa"/>
          </w:tcPr>
          <w:p w14:paraId="27E46B82"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2338" w:type="dxa"/>
          </w:tcPr>
          <w:p w14:paraId="00FD168C"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0.76</w:t>
            </w:r>
          </w:p>
        </w:tc>
        <w:tc>
          <w:tcPr>
            <w:tcW w:w="2338" w:type="dxa"/>
          </w:tcPr>
          <w:p w14:paraId="0856B4CE"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15.13</w:t>
            </w:r>
          </w:p>
        </w:tc>
      </w:tr>
      <w:tr w:rsidR="00972720" w:rsidRPr="00B8077E" w14:paraId="65D02F74" w14:textId="77777777" w:rsidTr="00AA0AF4">
        <w:tc>
          <w:tcPr>
            <w:tcW w:w="2337" w:type="dxa"/>
          </w:tcPr>
          <w:p w14:paraId="4E5C238B"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4</w:t>
            </w:r>
          </w:p>
        </w:tc>
        <w:tc>
          <w:tcPr>
            <w:tcW w:w="2337" w:type="dxa"/>
          </w:tcPr>
          <w:p w14:paraId="3FCC6C58"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55</w:t>
            </w:r>
          </w:p>
        </w:tc>
        <w:tc>
          <w:tcPr>
            <w:tcW w:w="2338" w:type="dxa"/>
          </w:tcPr>
          <w:p w14:paraId="20653553"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0.69</w:t>
            </w:r>
          </w:p>
        </w:tc>
        <w:tc>
          <w:tcPr>
            <w:tcW w:w="2338" w:type="dxa"/>
          </w:tcPr>
          <w:p w14:paraId="65BB8452"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37.91</w:t>
            </w:r>
          </w:p>
        </w:tc>
      </w:tr>
      <w:tr w:rsidR="00972720" w:rsidRPr="00B8077E" w14:paraId="3E179732" w14:textId="77777777" w:rsidTr="00AA0AF4">
        <w:tc>
          <w:tcPr>
            <w:tcW w:w="2337" w:type="dxa"/>
          </w:tcPr>
          <w:p w14:paraId="7EB96408"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NPV</w:t>
            </w:r>
          </w:p>
        </w:tc>
        <w:tc>
          <w:tcPr>
            <w:tcW w:w="2337" w:type="dxa"/>
          </w:tcPr>
          <w:p w14:paraId="293F8084" w14:textId="77777777" w:rsidR="00972720" w:rsidRPr="00B8077E" w:rsidRDefault="00972720" w:rsidP="006737F6">
            <w:pPr>
              <w:spacing w:line="360" w:lineRule="auto"/>
              <w:jc w:val="both"/>
              <w:rPr>
                <w:rFonts w:ascii="Calibri" w:hAnsi="Calibri" w:cs="Calibri"/>
                <w:sz w:val="28"/>
                <w:szCs w:val="28"/>
              </w:rPr>
            </w:pPr>
          </w:p>
        </w:tc>
        <w:tc>
          <w:tcPr>
            <w:tcW w:w="2338" w:type="dxa"/>
          </w:tcPr>
          <w:p w14:paraId="04321A4E" w14:textId="77777777" w:rsidR="00972720" w:rsidRPr="00B8077E" w:rsidRDefault="00972720" w:rsidP="006737F6">
            <w:pPr>
              <w:spacing w:line="360" w:lineRule="auto"/>
              <w:jc w:val="both"/>
              <w:rPr>
                <w:rFonts w:ascii="Calibri" w:hAnsi="Calibri" w:cs="Calibri"/>
                <w:sz w:val="28"/>
                <w:szCs w:val="28"/>
              </w:rPr>
            </w:pPr>
          </w:p>
        </w:tc>
        <w:tc>
          <w:tcPr>
            <w:tcW w:w="2338" w:type="dxa"/>
          </w:tcPr>
          <w:p w14:paraId="1127C75B"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16.57</w:t>
            </w:r>
          </w:p>
        </w:tc>
      </w:tr>
    </w:tbl>
    <w:p w14:paraId="2A10284A" w14:textId="77777777" w:rsidR="00972720" w:rsidRPr="00B8077E" w:rsidRDefault="00972720" w:rsidP="006737F6">
      <w:pPr>
        <w:spacing w:line="360" w:lineRule="auto"/>
        <w:jc w:val="both"/>
        <w:rPr>
          <w:rFonts w:ascii="Calibri" w:hAnsi="Calibri" w:cs="Calibri"/>
          <w:sz w:val="28"/>
          <w:szCs w:val="28"/>
        </w:rPr>
      </w:pPr>
    </w:p>
    <w:p w14:paraId="48E67187" w14:textId="77777777" w:rsidR="00972720" w:rsidRPr="00B8077E" w:rsidRDefault="00972720" w:rsidP="006737F6">
      <w:pPr>
        <w:spacing w:line="360" w:lineRule="auto"/>
        <w:jc w:val="both"/>
        <w:rPr>
          <w:rFonts w:ascii="Calibri" w:hAnsi="Calibri" w:cs="Calibri"/>
          <w:b/>
          <w:sz w:val="28"/>
          <w:szCs w:val="28"/>
        </w:rPr>
      </w:pPr>
      <w:r w:rsidRPr="00B8077E">
        <w:rPr>
          <w:rFonts w:ascii="Calibri" w:hAnsi="Calibri" w:cs="Calibri"/>
          <w:b/>
          <w:sz w:val="28"/>
          <w:szCs w:val="28"/>
        </w:rPr>
        <w:t>For Project B:</w:t>
      </w:r>
    </w:p>
    <w:tbl>
      <w:tblPr>
        <w:tblStyle w:val="TableGrid"/>
        <w:tblW w:w="0" w:type="auto"/>
        <w:tblLook w:val="04A0" w:firstRow="1" w:lastRow="0" w:firstColumn="1" w:lastColumn="0" w:noHBand="0" w:noVBand="1"/>
      </w:tblPr>
      <w:tblGrid>
        <w:gridCol w:w="2331"/>
        <w:gridCol w:w="2331"/>
        <w:gridCol w:w="2334"/>
        <w:gridCol w:w="2334"/>
      </w:tblGrid>
      <w:tr w:rsidR="00972720" w:rsidRPr="00B8077E" w14:paraId="7BC67D41" w14:textId="77777777" w:rsidTr="00AA0AF4">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4B9E2F4B"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lastRenderedPageBreak/>
              <w:t>Year</w:t>
            </w:r>
          </w:p>
        </w:tc>
        <w:tc>
          <w:tcPr>
            <w:tcW w:w="2337" w:type="dxa"/>
            <w:tcBorders>
              <w:top w:val="single" w:sz="12" w:space="0" w:color="auto"/>
              <w:left w:val="single" w:sz="12" w:space="0" w:color="auto"/>
              <w:bottom w:val="single" w:sz="12" w:space="0" w:color="auto"/>
              <w:right w:val="single" w:sz="12" w:space="0" w:color="auto"/>
            </w:tcBorders>
            <w:shd w:val="clear" w:color="auto" w:fill="CF7133" w:themeFill="accent6"/>
          </w:tcPr>
          <w:p w14:paraId="0E8935A1"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Cash Flow (£m)</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40DB0BC0"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Discount Factor (9.75%)</w:t>
            </w:r>
          </w:p>
        </w:tc>
        <w:tc>
          <w:tcPr>
            <w:tcW w:w="2338" w:type="dxa"/>
            <w:tcBorders>
              <w:top w:val="single" w:sz="12" w:space="0" w:color="auto"/>
              <w:left w:val="single" w:sz="12" w:space="0" w:color="auto"/>
              <w:bottom w:val="single" w:sz="12" w:space="0" w:color="auto"/>
              <w:right w:val="single" w:sz="12" w:space="0" w:color="auto"/>
            </w:tcBorders>
            <w:shd w:val="clear" w:color="auto" w:fill="CF7133" w:themeFill="accent6"/>
          </w:tcPr>
          <w:p w14:paraId="2E5E8950"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Present Value (PV) (£m)</w:t>
            </w:r>
          </w:p>
        </w:tc>
      </w:tr>
      <w:tr w:rsidR="00972720" w:rsidRPr="00B8077E" w14:paraId="44A55967" w14:textId="77777777" w:rsidTr="00AA0AF4">
        <w:tc>
          <w:tcPr>
            <w:tcW w:w="2337" w:type="dxa"/>
            <w:tcBorders>
              <w:top w:val="single" w:sz="12" w:space="0" w:color="auto"/>
            </w:tcBorders>
          </w:tcPr>
          <w:p w14:paraId="08C0137D"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0</w:t>
            </w:r>
          </w:p>
        </w:tc>
        <w:tc>
          <w:tcPr>
            <w:tcW w:w="2337" w:type="dxa"/>
            <w:tcBorders>
              <w:top w:val="single" w:sz="12" w:space="0" w:color="auto"/>
            </w:tcBorders>
          </w:tcPr>
          <w:p w14:paraId="4BB8530A" w14:textId="77777777" w:rsidR="00972720"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-75</w:t>
            </w:r>
          </w:p>
        </w:tc>
        <w:tc>
          <w:tcPr>
            <w:tcW w:w="2338" w:type="dxa"/>
            <w:tcBorders>
              <w:top w:val="single" w:sz="12" w:space="0" w:color="auto"/>
            </w:tcBorders>
          </w:tcPr>
          <w:p w14:paraId="79567C0C"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1.0</w:t>
            </w:r>
          </w:p>
        </w:tc>
        <w:tc>
          <w:tcPr>
            <w:tcW w:w="2338" w:type="dxa"/>
            <w:tcBorders>
              <w:top w:val="single" w:sz="12" w:space="0" w:color="auto"/>
            </w:tcBorders>
          </w:tcPr>
          <w:p w14:paraId="05E1DB43" w14:textId="77777777" w:rsidR="00972720"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-75</w:t>
            </w:r>
            <w:r w:rsidR="00972720" w:rsidRPr="00B8077E">
              <w:rPr>
                <w:rFonts w:ascii="Calibri" w:hAnsi="Calibri" w:cs="Calibri"/>
                <w:sz w:val="28"/>
                <w:szCs w:val="28"/>
              </w:rPr>
              <w:t>.00</w:t>
            </w:r>
          </w:p>
        </w:tc>
      </w:tr>
      <w:tr w:rsidR="00972720" w:rsidRPr="00B8077E" w14:paraId="18F776C7" w14:textId="77777777" w:rsidTr="00AA0AF4">
        <w:tc>
          <w:tcPr>
            <w:tcW w:w="2337" w:type="dxa"/>
          </w:tcPr>
          <w:p w14:paraId="1663A9E0"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1</w:t>
            </w:r>
          </w:p>
        </w:tc>
        <w:tc>
          <w:tcPr>
            <w:tcW w:w="2337" w:type="dxa"/>
          </w:tcPr>
          <w:p w14:paraId="0878A79B" w14:textId="77777777" w:rsidR="00972720"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50</w:t>
            </w:r>
          </w:p>
        </w:tc>
        <w:tc>
          <w:tcPr>
            <w:tcW w:w="2338" w:type="dxa"/>
          </w:tcPr>
          <w:p w14:paraId="17C2A5C0"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0.91</w:t>
            </w:r>
          </w:p>
        </w:tc>
        <w:tc>
          <w:tcPr>
            <w:tcW w:w="2338" w:type="dxa"/>
          </w:tcPr>
          <w:p w14:paraId="215D7252" w14:textId="77777777" w:rsidR="00972720"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45.56</w:t>
            </w:r>
          </w:p>
        </w:tc>
      </w:tr>
      <w:tr w:rsidR="00972720" w:rsidRPr="00B8077E" w14:paraId="29249898" w14:textId="77777777" w:rsidTr="00AA0AF4">
        <w:tc>
          <w:tcPr>
            <w:tcW w:w="2337" w:type="dxa"/>
          </w:tcPr>
          <w:p w14:paraId="6894729A"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w:t>
            </w:r>
          </w:p>
        </w:tc>
        <w:tc>
          <w:tcPr>
            <w:tcW w:w="2337" w:type="dxa"/>
          </w:tcPr>
          <w:p w14:paraId="21FD74A2" w14:textId="77777777" w:rsidR="00972720"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2338" w:type="dxa"/>
          </w:tcPr>
          <w:p w14:paraId="137039E7"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0.83</w:t>
            </w:r>
          </w:p>
        </w:tc>
        <w:tc>
          <w:tcPr>
            <w:tcW w:w="2338" w:type="dxa"/>
          </w:tcPr>
          <w:p w14:paraId="536A1E98" w14:textId="77777777" w:rsidR="00972720"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16.60</w:t>
            </w:r>
          </w:p>
        </w:tc>
      </w:tr>
      <w:tr w:rsidR="00972720" w:rsidRPr="00B8077E" w14:paraId="7E5073C2" w14:textId="77777777" w:rsidTr="00AA0AF4">
        <w:tc>
          <w:tcPr>
            <w:tcW w:w="2337" w:type="dxa"/>
          </w:tcPr>
          <w:p w14:paraId="7BFEBDDB"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3</w:t>
            </w:r>
          </w:p>
        </w:tc>
        <w:tc>
          <w:tcPr>
            <w:tcW w:w="2337" w:type="dxa"/>
          </w:tcPr>
          <w:p w14:paraId="76C67510"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2338" w:type="dxa"/>
          </w:tcPr>
          <w:p w14:paraId="3685E66B"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0.76</w:t>
            </w:r>
          </w:p>
        </w:tc>
        <w:tc>
          <w:tcPr>
            <w:tcW w:w="2338" w:type="dxa"/>
          </w:tcPr>
          <w:p w14:paraId="49E5573C"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15.13</w:t>
            </w:r>
          </w:p>
        </w:tc>
      </w:tr>
      <w:tr w:rsidR="00972720" w:rsidRPr="00B8077E" w14:paraId="5F606F98" w14:textId="77777777" w:rsidTr="00AA0AF4">
        <w:tc>
          <w:tcPr>
            <w:tcW w:w="2337" w:type="dxa"/>
          </w:tcPr>
          <w:p w14:paraId="6F75C6F2"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4</w:t>
            </w:r>
          </w:p>
        </w:tc>
        <w:tc>
          <w:tcPr>
            <w:tcW w:w="2337" w:type="dxa"/>
          </w:tcPr>
          <w:p w14:paraId="145E1A4B" w14:textId="77777777" w:rsidR="00972720"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2338" w:type="dxa"/>
          </w:tcPr>
          <w:p w14:paraId="792363C5"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0.69</w:t>
            </w:r>
          </w:p>
        </w:tc>
        <w:tc>
          <w:tcPr>
            <w:tcW w:w="2338" w:type="dxa"/>
          </w:tcPr>
          <w:p w14:paraId="5DB76311" w14:textId="77777777" w:rsidR="00972720"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13.79</w:t>
            </w:r>
          </w:p>
        </w:tc>
      </w:tr>
      <w:tr w:rsidR="00972720" w:rsidRPr="00B8077E" w14:paraId="4DA9D281" w14:textId="77777777" w:rsidTr="00AA0AF4">
        <w:tc>
          <w:tcPr>
            <w:tcW w:w="2337" w:type="dxa"/>
          </w:tcPr>
          <w:p w14:paraId="11A6140E" w14:textId="77777777" w:rsidR="00972720" w:rsidRPr="00B8077E" w:rsidRDefault="00972720" w:rsidP="006737F6">
            <w:pPr>
              <w:spacing w:line="360" w:lineRule="auto"/>
              <w:jc w:val="both"/>
              <w:rPr>
                <w:rFonts w:ascii="Calibri" w:hAnsi="Calibri" w:cs="Calibri"/>
                <w:sz w:val="28"/>
                <w:szCs w:val="28"/>
              </w:rPr>
            </w:pPr>
            <w:r w:rsidRPr="00B8077E">
              <w:rPr>
                <w:rFonts w:ascii="Calibri" w:hAnsi="Calibri" w:cs="Calibri"/>
                <w:sz w:val="28"/>
                <w:szCs w:val="28"/>
              </w:rPr>
              <w:t>NPV</w:t>
            </w:r>
          </w:p>
        </w:tc>
        <w:tc>
          <w:tcPr>
            <w:tcW w:w="2337" w:type="dxa"/>
          </w:tcPr>
          <w:p w14:paraId="2B5C1DE7" w14:textId="77777777" w:rsidR="00972720" w:rsidRPr="00B8077E" w:rsidRDefault="00972720" w:rsidP="006737F6">
            <w:pPr>
              <w:spacing w:line="360" w:lineRule="auto"/>
              <w:jc w:val="both"/>
              <w:rPr>
                <w:rFonts w:ascii="Calibri" w:hAnsi="Calibri" w:cs="Calibri"/>
                <w:sz w:val="28"/>
                <w:szCs w:val="28"/>
              </w:rPr>
            </w:pPr>
          </w:p>
        </w:tc>
        <w:tc>
          <w:tcPr>
            <w:tcW w:w="2338" w:type="dxa"/>
          </w:tcPr>
          <w:p w14:paraId="07F3DEF8" w14:textId="77777777" w:rsidR="00972720" w:rsidRPr="00B8077E" w:rsidRDefault="00972720" w:rsidP="006737F6">
            <w:pPr>
              <w:spacing w:line="360" w:lineRule="auto"/>
              <w:jc w:val="both"/>
              <w:rPr>
                <w:rFonts w:ascii="Calibri" w:hAnsi="Calibri" w:cs="Calibri"/>
                <w:sz w:val="28"/>
                <w:szCs w:val="28"/>
              </w:rPr>
            </w:pPr>
          </w:p>
        </w:tc>
        <w:tc>
          <w:tcPr>
            <w:tcW w:w="2338" w:type="dxa"/>
          </w:tcPr>
          <w:p w14:paraId="31BD7E7A" w14:textId="77777777" w:rsidR="00972720"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16.08</w:t>
            </w:r>
          </w:p>
        </w:tc>
      </w:tr>
    </w:tbl>
    <w:p w14:paraId="06FD83F2" w14:textId="77777777" w:rsidR="00972720" w:rsidRPr="00B8077E" w:rsidRDefault="00972720" w:rsidP="006737F6">
      <w:pPr>
        <w:spacing w:line="360" w:lineRule="auto"/>
        <w:jc w:val="both"/>
        <w:rPr>
          <w:rFonts w:ascii="Calibri" w:hAnsi="Calibri" w:cs="Calibri"/>
          <w:sz w:val="28"/>
          <w:szCs w:val="28"/>
        </w:rPr>
      </w:pPr>
    </w:p>
    <w:p w14:paraId="46BB8FAA" w14:textId="77777777" w:rsidR="00112F77" w:rsidRPr="00B8077E" w:rsidRDefault="00112F77"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Evaluation:</w:t>
      </w:r>
    </w:p>
    <w:p w14:paraId="248341CE" w14:textId="77777777" w:rsidR="00112F77" w:rsidRPr="00B8077E" w:rsidRDefault="00112F77" w:rsidP="006737F6">
      <w:pPr>
        <w:spacing w:line="360" w:lineRule="auto"/>
        <w:jc w:val="both"/>
        <w:rPr>
          <w:rFonts w:ascii="Calibri" w:hAnsi="Calibri" w:cs="Calibri"/>
          <w:sz w:val="28"/>
          <w:szCs w:val="28"/>
        </w:rPr>
      </w:pPr>
      <w:r w:rsidRPr="00B8077E">
        <w:rPr>
          <w:rFonts w:ascii="Calibri" w:hAnsi="Calibri" w:cs="Calibri"/>
          <w:sz w:val="28"/>
          <w:szCs w:val="28"/>
        </w:rPr>
        <w:t>Total NPV analysis of both projects shows that these projects have positive NPV, hence are expected to bring good value. On the basis of NPV, Project A has a slightly higher figure, £16.57 million that compares to £16.08 million of Project B, and this indicates that Project A may be better than the second project.</w:t>
      </w:r>
    </w:p>
    <w:p w14:paraId="5A803588" w14:textId="77777777" w:rsidR="00CC7BB6" w:rsidRPr="00B8077E" w:rsidRDefault="00CC7BB6" w:rsidP="006737F6">
      <w:pPr>
        <w:pStyle w:val="ListParagraph"/>
        <w:numPr>
          <w:ilvl w:val="0"/>
          <w:numId w:val="19"/>
        </w:numPr>
        <w:spacing w:line="360" w:lineRule="auto"/>
        <w:jc w:val="both"/>
        <w:rPr>
          <w:rFonts w:ascii="Calibri" w:hAnsi="Calibri" w:cs="Calibri"/>
          <w:sz w:val="28"/>
          <w:szCs w:val="28"/>
        </w:rPr>
      </w:pPr>
      <w:r w:rsidRPr="00B8077E">
        <w:rPr>
          <w:rFonts w:ascii="Calibri" w:hAnsi="Calibri" w:cs="Calibri"/>
          <w:sz w:val="28"/>
          <w:szCs w:val="28"/>
        </w:rPr>
        <w:t xml:space="preserve">Recommendation </w:t>
      </w:r>
    </w:p>
    <w:p w14:paraId="03927701" w14:textId="77777777" w:rsidR="00CC7BB6" w:rsidRPr="00B8077E" w:rsidRDefault="00CC7BB6" w:rsidP="006737F6">
      <w:pPr>
        <w:spacing w:line="360" w:lineRule="auto"/>
        <w:jc w:val="both"/>
        <w:rPr>
          <w:rFonts w:ascii="Calibri" w:hAnsi="Calibri" w:cs="Calibri"/>
          <w:sz w:val="28"/>
          <w:szCs w:val="28"/>
          <w:u w:val="single"/>
        </w:rPr>
      </w:pPr>
      <w:r w:rsidRPr="00B8077E">
        <w:rPr>
          <w:rFonts w:ascii="Calibri" w:hAnsi="Calibri" w:cs="Calibri"/>
          <w:sz w:val="28"/>
          <w:szCs w:val="28"/>
        </w:rPr>
        <w:t xml:space="preserve"> </w:t>
      </w:r>
      <w:r w:rsidRPr="00B8077E">
        <w:rPr>
          <w:rFonts w:ascii="Calibri" w:hAnsi="Calibri" w:cs="Calibri"/>
          <w:sz w:val="28"/>
          <w:szCs w:val="28"/>
          <w:u w:val="single"/>
        </w:rPr>
        <w:t xml:space="preserve">Payback Period Analysis </w:t>
      </w:r>
    </w:p>
    <w:p w14:paraId="24EC179D" w14:textId="77777777" w:rsidR="00CC7BB6"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 xml:space="preserve"> Payback period is an assessment of the time taken for an investment to generate enough cash flows to be recovered fully. Project B is more preferable in this respect because, the shorter payback period shows that initial investment will be quickly recouped. This can be beneficial for firms that want to avoid large liabilities and be able to immediately reapply the cash. </w:t>
      </w:r>
    </w:p>
    <w:p w14:paraId="1052A8FF" w14:textId="77777777" w:rsidR="00E17F71" w:rsidRPr="00B8077E" w:rsidRDefault="00E17F71"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 xml:space="preserve"> ARR analysis </w:t>
      </w:r>
    </w:p>
    <w:p w14:paraId="4E29F2A3" w14:textId="77777777" w:rsidR="00CC7BB6"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lastRenderedPageBreak/>
        <w:t xml:space="preserve">The Average Rate of Return (ARR) appraises the average annual profit with the aid of the initial investment. Thus, we can see that Project A has a higher ARR, which means, that Project A is capable to return a higher average annual amount of money from the initial investment. From this, the author and or research indicates that Project A provides a better return in relation to its cost; something that boosts the company’s profitability in the long run. </w:t>
      </w:r>
    </w:p>
    <w:p w14:paraId="3A4E334D" w14:textId="77777777" w:rsidR="00CC7BB6" w:rsidRPr="00B8077E" w:rsidRDefault="00E17F71" w:rsidP="006737F6">
      <w:pPr>
        <w:spacing w:line="360" w:lineRule="auto"/>
        <w:jc w:val="both"/>
        <w:rPr>
          <w:rFonts w:ascii="Calibri" w:hAnsi="Calibri" w:cs="Calibri"/>
          <w:sz w:val="28"/>
          <w:szCs w:val="28"/>
          <w:u w:val="single"/>
        </w:rPr>
      </w:pPr>
      <w:r w:rsidRPr="00B8077E">
        <w:rPr>
          <w:rFonts w:ascii="Calibri" w:hAnsi="Calibri" w:cs="Calibri"/>
          <w:sz w:val="28"/>
          <w:szCs w:val="28"/>
        </w:rPr>
        <w:t xml:space="preserve"> </w:t>
      </w:r>
      <w:r w:rsidR="00CC7BB6" w:rsidRPr="00B8077E">
        <w:rPr>
          <w:rFonts w:ascii="Calibri" w:hAnsi="Calibri" w:cs="Calibri"/>
          <w:sz w:val="28"/>
          <w:szCs w:val="28"/>
          <w:u w:val="single"/>
        </w:rPr>
        <w:t xml:space="preserve">Net Present Value (NPV) is a method of assessing the economic value of an investment. </w:t>
      </w:r>
    </w:p>
    <w:p w14:paraId="6512F3E0" w14:textId="77777777" w:rsidR="00E17F71"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 xml:space="preserve"> Net Present Value (NPV) determines formal investment value by comparing present value of cash inflows to present value of cash outflows. NPV of the Project A was slightly higher, thus meaning that it has potential of creating higher value for the company in future. Higher the NPV, better is the prospect of enhancing its profitability with the r</w:t>
      </w:r>
      <w:r w:rsidR="00E17F71" w:rsidRPr="00B8077E">
        <w:rPr>
          <w:rFonts w:ascii="Calibri" w:hAnsi="Calibri" w:cs="Calibri"/>
          <w:sz w:val="28"/>
          <w:szCs w:val="28"/>
        </w:rPr>
        <w:t xml:space="preserve">espect to time value of money. </w:t>
      </w:r>
    </w:p>
    <w:p w14:paraId="2322CF97" w14:textId="77777777" w:rsidR="00CC7BB6" w:rsidRPr="00B8077E" w:rsidRDefault="00CC7BB6"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 xml:space="preserve">Risk Assessment </w:t>
      </w:r>
    </w:p>
    <w:p w14:paraId="098286F6" w14:textId="77777777" w:rsidR="00E17F71"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 xml:space="preserve"> Besides those straightforward financial indicators, there is a set of risks linked to every project that should be taken into account as well. Although the payback period may be shorter in Project B, it may be associated with lower risk as compared to Project A due to the fluctuations of the market. On the other hand, Project A may be riskier because it takes longer to go to temporal value maximum. This will assist in bringing out the risk tolerance of the firm h</w:t>
      </w:r>
      <w:r w:rsidR="00E17F71" w:rsidRPr="00B8077E">
        <w:rPr>
          <w:rFonts w:ascii="Calibri" w:hAnsi="Calibri" w:cs="Calibri"/>
          <w:sz w:val="28"/>
          <w:szCs w:val="28"/>
        </w:rPr>
        <w:t xml:space="preserve">ence making a better decision. </w:t>
      </w:r>
    </w:p>
    <w:p w14:paraId="6F803A32" w14:textId="77777777" w:rsidR="00CC7BB6" w:rsidRPr="00B8077E" w:rsidRDefault="00CC7BB6" w:rsidP="006737F6">
      <w:pPr>
        <w:spacing w:line="360" w:lineRule="auto"/>
        <w:jc w:val="both"/>
        <w:rPr>
          <w:rFonts w:ascii="Calibri" w:hAnsi="Calibri" w:cs="Calibri"/>
          <w:sz w:val="28"/>
          <w:szCs w:val="28"/>
          <w:u w:val="single"/>
        </w:rPr>
      </w:pPr>
      <w:r w:rsidRPr="00B8077E">
        <w:rPr>
          <w:rFonts w:ascii="Calibri" w:hAnsi="Calibri" w:cs="Calibri"/>
          <w:sz w:val="28"/>
          <w:szCs w:val="28"/>
          <w:u w:val="single"/>
        </w:rPr>
        <w:t xml:space="preserve">Strategic Alignment </w:t>
      </w:r>
    </w:p>
    <w:p w14:paraId="25457E29" w14:textId="77777777" w:rsidR="00CC7BB6"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lastRenderedPageBreak/>
        <w:t xml:space="preserve"> Another consideration is the relation that each of the projects evolves to the company’s aims and goals in the long-run. While Project A on the one hand may be visually more financially appealing in terms of specific numbers on balance sheets, on the other hand, it is also necessary to recognize whether it fits company’s strategic vision, the established growth plan and positioning on the market. If Project A aligns with organization strategic plan and increases competitive edge, then, it would make more sense to fund, even with longer PBP. </w:t>
      </w:r>
    </w:p>
    <w:p w14:paraId="7605B73E" w14:textId="77777777" w:rsidR="00CC7BB6" w:rsidRPr="00BB2FBF" w:rsidRDefault="00CC7BB6" w:rsidP="00BB2FBF">
      <w:pPr>
        <w:pStyle w:val="ListParagraph"/>
        <w:numPr>
          <w:ilvl w:val="0"/>
          <w:numId w:val="21"/>
        </w:numPr>
        <w:spacing w:line="360" w:lineRule="auto"/>
        <w:jc w:val="both"/>
        <w:rPr>
          <w:rFonts w:ascii="Calibri" w:hAnsi="Calibri" w:cs="Calibri"/>
          <w:b/>
          <w:sz w:val="28"/>
          <w:szCs w:val="28"/>
        </w:rPr>
      </w:pPr>
      <w:r w:rsidRPr="00BB2FBF">
        <w:rPr>
          <w:rFonts w:ascii="Calibri" w:hAnsi="Calibri" w:cs="Calibri"/>
          <w:b/>
          <w:sz w:val="28"/>
          <w:szCs w:val="28"/>
        </w:rPr>
        <w:t xml:space="preserve">Conclusion </w:t>
      </w:r>
    </w:p>
    <w:p w14:paraId="5453C93F" w14:textId="77777777" w:rsidR="00CC7BB6" w:rsidRPr="00B8077E" w:rsidRDefault="00CC7BB6" w:rsidP="006737F6">
      <w:pPr>
        <w:spacing w:line="360" w:lineRule="auto"/>
        <w:jc w:val="both"/>
        <w:rPr>
          <w:rFonts w:ascii="Calibri" w:hAnsi="Calibri" w:cs="Calibri"/>
          <w:sz w:val="28"/>
          <w:szCs w:val="28"/>
        </w:rPr>
      </w:pPr>
      <w:r w:rsidRPr="00B8077E">
        <w:rPr>
          <w:rFonts w:ascii="Calibri" w:hAnsi="Calibri" w:cs="Calibri"/>
          <w:sz w:val="28"/>
          <w:szCs w:val="28"/>
        </w:rPr>
        <w:t>When all criteria of Payback Period, ARR, NPV, Risk Assessment, and Strategic Alignment are compared then it is clear that the option for investing in Project A is more suitable. Although for Project B there is a better payback and presumably lower risk, Project A has the highest return and long-term value. Another proof of how it can be considered as the most advantageous choice for the company is its correspondence to the strategic objectives.</w:t>
      </w:r>
    </w:p>
    <w:p w14:paraId="2D5C5C51" w14:textId="77777777" w:rsidR="00626A65" w:rsidRPr="00BB2FBF" w:rsidRDefault="00626A65" w:rsidP="00BB2FBF">
      <w:pPr>
        <w:pStyle w:val="ListParagraph"/>
        <w:numPr>
          <w:ilvl w:val="0"/>
          <w:numId w:val="21"/>
        </w:numPr>
        <w:spacing w:line="360" w:lineRule="auto"/>
        <w:jc w:val="both"/>
        <w:rPr>
          <w:rFonts w:ascii="Calibri" w:hAnsi="Calibri" w:cs="Calibri"/>
          <w:sz w:val="28"/>
          <w:szCs w:val="28"/>
        </w:rPr>
      </w:pPr>
      <w:r w:rsidRPr="00BB2FBF">
        <w:rPr>
          <w:rFonts w:ascii="Calibri" w:hAnsi="Calibri" w:cs="Calibri"/>
          <w:sz w:val="28"/>
          <w:szCs w:val="28"/>
        </w:rPr>
        <w:t>Appendix A: Financial Ratios for Toyota</w:t>
      </w:r>
    </w:p>
    <w:tbl>
      <w:tblPr>
        <w:tblStyle w:val="TableGrid"/>
        <w:tblW w:w="0" w:type="auto"/>
        <w:tblLook w:val="04A0" w:firstRow="1" w:lastRow="0" w:firstColumn="1" w:lastColumn="0" w:noHBand="0" w:noVBand="1"/>
      </w:tblPr>
      <w:tblGrid>
        <w:gridCol w:w="1594"/>
        <w:gridCol w:w="1550"/>
        <w:gridCol w:w="1552"/>
        <w:gridCol w:w="1552"/>
        <w:gridCol w:w="1551"/>
        <w:gridCol w:w="1551"/>
      </w:tblGrid>
      <w:tr w:rsidR="00626A65" w:rsidRPr="00B8077E" w14:paraId="66AD02A2" w14:textId="77777777" w:rsidTr="00626A65">
        <w:tc>
          <w:tcPr>
            <w:tcW w:w="1558" w:type="dxa"/>
            <w:shd w:val="clear" w:color="auto" w:fill="CF7133" w:themeFill="accent6"/>
          </w:tcPr>
          <w:p w14:paraId="4B4E4E84"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Year</w:t>
            </w:r>
          </w:p>
        </w:tc>
        <w:tc>
          <w:tcPr>
            <w:tcW w:w="1558" w:type="dxa"/>
            <w:shd w:val="clear" w:color="auto" w:fill="CF7133" w:themeFill="accent6"/>
          </w:tcPr>
          <w:p w14:paraId="1626F58C"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2019</w:t>
            </w:r>
          </w:p>
        </w:tc>
        <w:tc>
          <w:tcPr>
            <w:tcW w:w="1558" w:type="dxa"/>
            <w:shd w:val="clear" w:color="auto" w:fill="CF7133" w:themeFill="accent6"/>
          </w:tcPr>
          <w:p w14:paraId="6FA6BC4C"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2020</w:t>
            </w:r>
          </w:p>
        </w:tc>
        <w:tc>
          <w:tcPr>
            <w:tcW w:w="1558" w:type="dxa"/>
            <w:shd w:val="clear" w:color="auto" w:fill="CF7133" w:themeFill="accent6"/>
          </w:tcPr>
          <w:p w14:paraId="6A92918A"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2021</w:t>
            </w:r>
          </w:p>
        </w:tc>
        <w:tc>
          <w:tcPr>
            <w:tcW w:w="1559" w:type="dxa"/>
            <w:shd w:val="clear" w:color="auto" w:fill="CF7133" w:themeFill="accent6"/>
          </w:tcPr>
          <w:p w14:paraId="13E6448F"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2022</w:t>
            </w:r>
          </w:p>
        </w:tc>
        <w:tc>
          <w:tcPr>
            <w:tcW w:w="1559" w:type="dxa"/>
            <w:shd w:val="clear" w:color="auto" w:fill="CF7133" w:themeFill="accent6"/>
          </w:tcPr>
          <w:p w14:paraId="03E0EB3C"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2023</w:t>
            </w:r>
          </w:p>
        </w:tc>
      </w:tr>
      <w:tr w:rsidR="00626A65" w:rsidRPr="00B8077E" w14:paraId="2A032D25" w14:textId="77777777" w:rsidTr="00626A65">
        <w:tc>
          <w:tcPr>
            <w:tcW w:w="1558" w:type="dxa"/>
          </w:tcPr>
          <w:p w14:paraId="164AF6A4" w14:textId="77777777" w:rsidR="00626A65" w:rsidRPr="00B8077E" w:rsidRDefault="00626A65" w:rsidP="006737F6">
            <w:pPr>
              <w:spacing w:line="360" w:lineRule="auto"/>
              <w:jc w:val="both"/>
              <w:rPr>
                <w:rFonts w:ascii="Calibri" w:hAnsi="Calibri" w:cs="Calibri"/>
                <w:b/>
                <w:sz w:val="28"/>
                <w:szCs w:val="28"/>
              </w:rPr>
            </w:pPr>
            <w:r w:rsidRPr="00B8077E">
              <w:rPr>
                <w:rFonts w:ascii="Calibri" w:hAnsi="Calibri" w:cs="Calibri"/>
                <w:b/>
                <w:sz w:val="28"/>
                <w:szCs w:val="28"/>
              </w:rPr>
              <w:t>Profitability Ratios</w:t>
            </w:r>
          </w:p>
        </w:tc>
        <w:tc>
          <w:tcPr>
            <w:tcW w:w="1558" w:type="dxa"/>
          </w:tcPr>
          <w:p w14:paraId="54E4B9BC" w14:textId="77777777" w:rsidR="00626A65" w:rsidRPr="00B8077E" w:rsidRDefault="00626A65" w:rsidP="006737F6">
            <w:pPr>
              <w:spacing w:line="360" w:lineRule="auto"/>
              <w:jc w:val="both"/>
              <w:rPr>
                <w:rFonts w:ascii="Calibri" w:hAnsi="Calibri" w:cs="Calibri"/>
                <w:sz w:val="28"/>
                <w:szCs w:val="28"/>
              </w:rPr>
            </w:pPr>
          </w:p>
        </w:tc>
        <w:tc>
          <w:tcPr>
            <w:tcW w:w="1558" w:type="dxa"/>
          </w:tcPr>
          <w:p w14:paraId="65B63810" w14:textId="77777777" w:rsidR="00626A65" w:rsidRPr="00B8077E" w:rsidRDefault="00626A65" w:rsidP="006737F6">
            <w:pPr>
              <w:spacing w:line="360" w:lineRule="auto"/>
              <w:jc w:val="both"/>
              <w:rPr>
                <w:rFonts w:ascii="Calibri" w:hAnsi="Calibri" w:cs="Calibri"/>
                <w:sz w:val="28"/>
                <w:szCs w:val="28"/>
              </w:rPr>
            </w:pPr>
          </w:p>
        </w:tc>
        <w:tc>
          <w:tcPr>
            <w:tcW w:w="1558" w:type="dxa"/>
          </w:tcPr>
          <w:p w14:paraId="1A91A4B1" w14:textId="77777777" w:rsidR="00626A65" w:rsidRPr="00B8077E" w:rsidRDefault="00626A65" w:rsidP="006737F6">
            <w:pPr>
              <w:spacing w:line="360" w:lineRule="auto"/>
              <w:jc w:val="both"/>
              <w:rPr>
                <w:rFonts w:ascii="Calibri" w:hAnsi="Calibri" w:cs="Calibri"/>
                <w:sz w:val="28"/>
                <w:szCs w:val="28"/>
              </w:rPr>
            </w:pPr>
          </w:p>
        </w:tc>
        <w:tc>
          <w:tcPr>
            <w:tcW w:w="1559" w:type="dxa"/>
          </w:tcPr>
          <w:p w14:paraId="6067DCD6" w14:textId="77777777" w:rsidR="00626A65" w:rsidRPr="00B8077E" w:rsidRDefault="00626A65" w:rsidP="006737F6">
            <w:pPr>
              <w:spacing w:line="360" w:lineRule="auto"/>
              <w:jc w:val="both"/>
              <w:rPr>
                <w:rFonts w:ascii="Calibri" w:hAnsi="Calibri" w:cs="Calibri"/>
                <w:sz w:val="28"/>
                <w:szCs w:val="28"/>
              </w:rPr>
            </w:pPr>
          </w:p>
        </w:tc>
        <w:tc>
          <w:tcPr>
            <w:tcW w:w="1559" w:type="dxa"/>
          </w:tcPr>
          <w:p w14:paraId="0B8FE2F9" w14:textId="77777777" w:rsidR="00626A65" w:rsidRPr="00B8077E" w:rsidRDefault="00626A65" w:rsidP="006737F6">
            <w:pPr>
              <w:spacing w:line="360" w:lineRule="auto"/>
              <w:jc w:val="both"/>
              <w:rPr>
                <w:rFonts w:ascii="Calibri" w:hAnsi="Calibri" w:cs="Calibri"/>
                <w:sz w:val="28"/>
                <w:szCs w:val="28"/>
              </w:rPr>
            </w:pPr>
          </w:p>
        </w:tc>
      </w:tr>
      <w:tr w:rsidR="00626A65" w:rsidRPr="00B8077E" w14:paraId="065C8268" w14:textId="77777777" w:rsidTr="00626A65">
        <w:tc>
          <w:tcPr>
            <w:tcW w:w="1558" w:type="dxa"/>
          </w:tcPr>
          <w:p w14:paraId="56E7B13E"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ROA (%)</w:t>
            </w:r>
          </w:p>
        </w:tc>
        <w:tc>
          <w:tcPr>
            <w:tcW w:w="1558" w:type="dxa"/>
          </w:tcPr>
          <w:p w14:paraId="11877855"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7.06</w:t>
            </w:r>
          </w:p>
        </w:tc>
        <w:tc>
          <w:tcPr>
            <w:tcW w:w="1558" w:type="dxa"/>
          </w:tcPr>
          <w:p w14:paraId="1520226F"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7.04</w:t>
            </w:r>
          </w:p>
        </w:tc>
        <w:tc>
          <w:tcPr>
            <w:tcW w:w="1558" w:type="dxa"/>
          </w:tcPr>
          <w:p w14:paraId="0CD5AFBA"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7.37</w:t>
            </w:r>
          </w:p>
        </w:tc>
        <w:tc>
          <w:tcPr>
            <w:tcW w:w="1559" w:type="dxa"/>
          </w:tcPr>
          <w:p w14:paraId="7CC33D45"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7.59</w:t>
            </w:r>
          </w:p>
        </w:tc>
        <w:tc>
          <w:tcPr>
            <w:tcW w:w="1559" w:type="dxa"/>
          </w:tcPr>
          <w:p w14:paraId="691283F0"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7.67</w:t>
            </w:r>
          </w:p>
        </w:tc>
      </w:tr>
      <w:tr w:rsidR="00626A65" w:rsidRPr="00B8077E" w14:paraId="3BACA3EA" w14:textId="77777777" w:rsidTr="00626A65">
        <w:tc>
          <w:tcPr>
            <w:tcW w:w="1558" w:type="dxa"/>
          </w:tcPr>
          <w:p w14:paraId="260378B2"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ROE (%)</w:t>
            </w:r>
          </w:p>
        </w:tc>
        <w:tc>
          <w:tcPr>
            <w:tcW w:w="1558" w:type="dxa"/>
          </w:tcPr>
          <w:p w14:paraId="6E39FEE1"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21.18</w:t>
            </w:r>
          </w:p>
        </w:tc>
        <w:tc>
          <w:tcPr>
            <w:tcW w:w="1558" w:type="dxa"/>
          </w:tcPr>
          <w:p w14:paraId="41F4031C"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21.112</w:t>
            </w:r>
          </w:p>
        </w:tc>
        <w:tc>
          <w:tcPr>
            <w:tcW w:w="1558" w:type="dxa"/>
          </w:tcPr>
          <w:p w14:paraId="49282F4D"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222.11</w:t>
            </w:r>
          </w:p>
        </w:tc>
        <w:tc>
          <w:tcPr>
            <w:tcW w:w="1559" w:type="dxa"/>
          </w:tcPr>
          <w:p w14:paraId="25AB668E"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22.45</w:t>
            </w:r>
          </w:p>
        </w:tc>
        <w:tc>
          <w:tcPr>
            <w:tcW w:w="1559" w:type="dxa"/>
          </w:tcPr>
          <w:p w14:paraId="3B8A174C"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23.0</w:t>
            </w:r>
          </w:p>
        </w:tc>
      </w:tr>
      <w:tr w:rsidR="00626A65" w:rsidRPr="00B8077E" w14:paraId="41738195" w14:textId="77777777" w:rsidTr="00626A65">
        <w:tc>
          <w:tcPr>
            <w:tcW w:w="1558" w:type="dxa"/>
          </w:tcPr>
          <w:p w14:paraId="691911A9"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Gross Profit Margin (%)</w:t>
            </w:r>
          </w:p>
        </w:tc>
        <w:tc>
          <w:tcPr>
            <w:tcW w:w="1558" w:type="dxa"/>
          </w:tcPr>
          <w:p w14:paraId="01C76F71"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14.62</w:t>
            </w:r>
          </w:p>
        </w:tc>
        <w:tc>
          <w:tcPr>
            <w:tcW w:w="1558" w:type="dxa"/>
          </w:tcPr>
          <w:p w14:paraId="5B0AFCDE"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14.55</w:t>
            </w:r>
          </w:p>
        </w:tc>
        <w:tc>
          <w:tcPr>
            <w:tcW w:w="1558" w:type="dxa"/>
          </w:tcPr>
          <w:p w14:paraId="4F93C10B"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14.74</w:t>
            </w:r>
          </w:p>
        </w:tc>
        <w:tc>
          <w:tcPr>
            <w:tcW w:w="1559" w:type="dxa"/>
          </w:tcPr>
          <w:p w14:paraId="72619F28"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15.17</w:t>
            </w:r>
          </w:p>
        </w:tc>
        <w:tc>
          <w:tcPr>
            <w:tcW w:w="1559" w:type="dxa"/>
          </w:tcPr>
          <w:p w14:paraId="2623AB68"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15.1</w:t>
            </w:r>
          </w:p>
        </w:tc>
      </w:tr>
      <w:tr w:rsidR="00626A65" w:rsidRPr="00B8077E" w14:paraId="234668E8" w14:textId="77777777" w:rsidTr="00626A65">
        <w:tc>
          <w:tcPr>
            <w:tcW w:w="1558" w:type="dxa"/>
          </w:tcPr>
          <w:p w14:paraId="073F11F1" w14:textId="77777777" w:rsidR="00626A65" w:rsidRPr="00B8077E" w:rsidRDefault="00626A65" w:rsidP="006737F6">
            <w:pPr>
              <w:spacing w:line="360" w:lineRule="auto"/>
              <w:jc w:val="both"/>
              <w:rPr>
                <w:rFonts w:ascii="Calibri" w:hAnsi="Calibri" w:cs="Calibri"/>
                <w:b/>
                <w:sz w:val="28"/>
                <w:szCs w:val="28"/>
              </w:rPr>
            </w:pPr>
            <w:r w:rsidRPr="00B8077E">
              <w:rPr>
                <w:rFonts w:ascii="Calibri" w:hAnsi="Calibri" w:cs="Calibri"/>
                <w:b/>
                <w:sz w:val="28"/>
                <w:szCs w:val="28"/>
              </w:rPr>
              <w:lastRenderedPageBreak/>
              <w:t>Liquidity Ratios</w:t>
            </w:r>
          </w:p>
        </w:tc>
        <w:tc>
          <w:tcPr>
            <w:tcW w:w="1558" w:type="dxa"/>
          </w:tcPr>
          <w:p w14:paraId="199FF1BE" w14:textId="77777777" w:rsidR="00626A65" w:rsidRPr="00B8077E" w:rsidRDefault="00626A65" w:rsidP="006737F6">
            <w:pPr>
              <w:spacing w:line="360" w:lineRule="auto"/>
              <w:jc w:val="both"/>
              <w:rPr>
                <w:rFonts w:ascii="Calibri" w:hAnsi="Calibri" w:cs="Calibri"/>
                <w:sz w:val="28"/>
                <w:szCs w:val="28"/>
              </w:rPr>
            </w:pPr>
          </w:p>
        </w:tc>
        <w:tc>
          <w:tcPr>
            <w:tcW w:w="1558" w:type="dxa"/>
          </w:tcPr>
          <w:p w14:paraId="2809B96D" w14:textId="77777777" w:rsidR="00626A65" w:rsidRPr="00B8077E" w:rsidRDefault="00626A65" w:rsidP="006737F6">
            <w:pPr>
              <w:spacing w:line="360" w:lineRule="auto"/>
              <w:jc w:val="both"/>
              <w:rPr>
                <w:rFonts w:ascii="Calibri" w:hAnsi="Calibri" w:cs="Calibri"/>
                <w:sz w:val="28"/>
                <w:szCs w:val="28"/>
              </w:rPr>
            </w:pPr>
          </w:p>
        </w:tc>
        <w:tc>
          <w:tcPr>
            <w:tcW w:w="1558" w:type="dxa"/>
          </w:tcPr>
          <w:p w14:paraId="181B554E" w14:textId="77777777" w:rsidR="00626A65" w:rsidRPr="00B8077E" w:rsidRDefault="00626A65" w:rsidP="006737F6">
            <w:pPr>
              <w:spacing w:line="360" w:lineRule="auto"/>
              <w:jc w:val="both"/>
              <w:rPr>
                <w:rFonts w:ascii="Calibri" w:hAnsi="Calibri" w:cs="Calibri"/>
                <w:sz w:val="28"/>
                <w:szCs w:val="28"/>
              </w:rPr>
            </w:pPr>
          </w:p>
        </w:tc>
        <w:tc>
          <w:tcPr>
            <w:tcW w:w="1559" w:type="dxa"/>
          </w:tcPr>
          <w:p w14:paraId="6BA4487B" w14:textId="77777777" w:rsidR="00626A65" w:rsidRPr="00B8077E" w:rsidRDefault="00626A65" w:rsidP="006737F6">
            <w:pPr>
              <w:spacing w:line="360" w:lineRule="auto"/>
              <w:jc w:val="both"/>
              <w:rPr>
                <w:rFonts w:ascii="Calibri" w:hAnsi="Calibri" w:cs="Calibri"/>
                <w:sz w:val="28"/>
                <w:szCs w:val="28"/>
              </w:rPr>
            </w:pPr>
          </w:p>
        </w:tc>
        <w:tc>
          <w:tcPr>
            <w:tcW w:w="1559" w:type="dxa"/>
          </w:tcPr>
          <w:p w14:paraId="187D8AE6" w14:textId="77777777" w:rsidR="00626A65" w:rsidRPr="00B8077E" w:rsidRDefault="00626A65" w:rsidP="006737F6">
            <w:pPr>
              <w:spacing w:line="360" w:lineRule="auto"/>
              <w:jc w:val="both"/>
              <w:rPr>
                <w:rFonts w:ascii="Calibri" w:hAnsi="Calibri" w:cs="Calibri"/>
                <w:sz w:val="28"/>
                <w:szCs w:val="28"/>
              </w:rPr>
            </w:pPr>
          </w:p>
        </w:tc>
      </w:tr>
      <w:tr w:rsidR="00626A65" w:rsidRPr="00B8077E" w14:paraId="4F413E75" w14:textId="77777777" w:rsidTr="00626A65">
        <w:tc>
          <w:tcPr>
            <w:tcW w:w="1558" w:type="dxa"/>
          </w:tcPr>
          <w:p w14:paraId="5F334D78"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Current Ratio</w:t>
            </w:r>
          </w:p>
        </w:tc>
        <w:tc>
          <w:tcPr>
            <w:tcW w:w="1558" w:type="dxa"/>
          </w:tcPr>
          <w:p w14:paraId="4E2FCF7B"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1558" w:type="dxa"/>
          </w:tcPr>
          <w:p w14:paraId="1B378830"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1558" w:type="dxa"/>
          </w:tcPr>
          <w:p w14:paraId="3C705F7F"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1559" w:type="dxa"/>
          </w:tcPr>
          <w:p w14:paraId="3E0C5E9B"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2.0</w:t>
            </w:r>
          </w:p>
        </w:tc>
        <w:tc>
          <w:tcPr>
            <w:tcW w:w="1559" w:type="dxa"/>
          </w:tcPr>
          <w:p w14:paraId="7B96477B"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2.0</w:t>
            </w:r>
          </w:p>
        </w:tc>
      </w:tr>
      <w:tr w:rsidR="00626A65" w:rsidRPr="00B8077E" w14:paraId="2A632E56" w14:textId="77777777" w:rsidTr="00626A65">
        <w:tc>
          <w:tcPr>
            <w:tcW w:w="1558" w:type="dxa"/>
          </w:tcPr>
          <w:p w14:paraId="1505E340"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Quick Ratio</w:t>
            </w:r>
          </w:p>
        </w:tc>
        <w:tc>
          <w:tcPr>
            <w:tcW w:w="1558" w:type="dxa"/>
          </w:tcPr>
          <w:p w14:paraId="1DEBD270"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1.38</w:t>
            </w:r>
          </w:p>
        </w:tc>
        <w:tc>
          <w:tcPr>
            <w:tcW w:w="1558" w:type="dxa"/>
          </w:tcPr>
          <w:p w14:paraId="7AF4D166"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1.37</w:t>
            </w:r>
          </w:p>
        </w:tc>
        <w:tc>
          <w:tcPr>
            <w:tcW w:w="1558" w:type="dxa"/>
          </w:tcPr>
          <w:p w14:paraId="1D123789"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1.36</w:t>
            </w:r>
          </w:p>
        </w:tc>
        <w:tc>
          <w:tcPr>
            <w:tcW w:w="1559" w:type="dxa"/>
          </w:tcPr>
          <w:p w14:paraId="5EE93173"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1.34</w:t>
            </w:r>
          </w:p>
        </w:tc>
        <w:tc>
          <w:tcPr>
            <w:tcW w:w="1559" w:type="dxa"/>
          </w:tcPr>
          <w:p w14:paraId="331AE8D6"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1.33</w:t>
            </w:r>
          </w:p>
        </w:tc>
      </w:tr>
      <w:tr w:rsidR="00626A65" w:rsidRPr="00B8077E" w14:paraId="12351B04" w14:textId="77777777" w:rsidTr="00626A65">
        <w:tc>
          <w:tcPr>
            <w:tcW w:w="1558" w:type="dxa"/>
          </w:tcPr>
          <w:p w14:paraId="39F575DB" w14:textId="77777777" w:rsidR="00626A65" w:rsidRPr="00B8077E" w:rsidRDefault="00626A65" w:rsidP="006737F6">
            <w:pPr>
              <w:spacing w:line="360" w:lineRule="auto"/>
              <w:jc w:val="both"/>
              <w:rPr>
                <w:rFonts w:ascii="Calibri" w:hAnsi="Calibri" w:cs="Calibri"/>
                <w:b/>
                <w:sz w:val="28"/>
                <w:szCs w:val="28"/>
              </w:rPr>
            </w:pPr>
            <w:r w:rsidRPr="00B8077E">
              <w:rPr>
                <w:rFonts w:ascii="Calibri" w:hAnsi="Calibri" w:cs="Calibri"/>
                <w:b/>
                <w:sz w:val="28"/>
                <w:szCs w:val="28"/>
              </w:rPr>
              <w:t>Gearing Ratios</w:t>
            </w:r>
          </w:p>
        </w:tc>
        <w:tc>
          <w:tcPr>
            <w:tcW w:w="1558" w:type="dxa"/>
          </w:tcPr>
          <w:p w14:paraId="18B71985" w14:textId="77777777" w:rsidR="00626A65" w:rsidRPr="00B8077E" w:rsidRDefault="00626A65" w:rsidP="006737F6">
            <w:pPr>
              <w:spacing w:line="360" w:lineRule="auto"/>
              <w:jc w:val="both"/>
              <w:rPr>
                <w:rFonts w:ascii="Calibri" w:hAnsi="Calibri" w:cs="Calibri"/>
                <w:sz w:val="28"/>
                <w:szCs w:val="28"/>
              </w:rPr>
            </w:pPr>
          </w:p>
        </w:tc>
        <w:tc>
          <w:tcPr>
            <w:tcW w:w="1558" w:type="dxa"/>
          </w:tcPr>
          <w:p w14:paraId="435AB751" w14:textId="77777777" w:rsidR="00626A65" w:rsidRPr="00B8077E" w:rsidRDefault="00626A65" w:rsidP="006737F6">
            <w:pPr>
              <w:spacing w:line="360" w:lineRule="auto"/>
              <w:jc w:val="both"/>
              <w:rPr>
                <w:rFonts w:ascii="Calibri" w:hAnsi="Calibri" w:cs="Calibri"/>
                <w:sz w:val="28"/>
                <w:szCs w:val="28"/>
              </w:rPr>
            </w:pPr>
          </w:p>
        </w:tc>
        <w:tc>
          <w:tcPr>
            <w:tcW w:w="1558" w:type="dxa"/>
          </w:tcPr>
          <w:p w14:paraId="0A377A84" w14:textId="77777777" w:rsidR="00626A65" w:rsidRPr="00B8077E" w:rsidRDefault="00626A65" w:rsidP="006737F6">
            <w:pPr>
              <w:spacing w:line="360" w:lineRule="auto"/>
              <w:jc w:val="both"/>
              <w:rPr>
                <w:rFonts w:ascii="Calibri" w:hAnsi="Calibri" w:cs="Calibri"/>
                <w:sz w:val="28"/>
                <w:szCs w:val="28"/>
              </w:rPr>
            </w:pPr>
          </w:p>
        </w:tc>
        <w:tc>
          <w:tcPr>
            <w:tcW w:w="1559" w:type="dxa"/>
          </w:tcPr>
          <w:p w14:paraId="0D63D680" w14:textId="77777777" w:rsidR="00626A65" w:rsidRPr="00B8077E" w:rsidRDefault="00626A65" w:rsidP="006737F6">
            <w:pPr>
              <w:spacing w:line="360" w:lineRule="auto"/>
              <w:jc w:val="both"/>
              <w:rPr>
                <w:rFonts w:ascii="Calibri" w:hAnsi="Calibri" w:cs="Calibri"/>
                <w:sz w:val="28"/>
                <w:szCs w:val="28"/>
              </w:rPr>
            </w:pPr>
          </w:p>
        </w:tc>
        <w:tc>
          <w:tcPr>
            <w:tcW w:w="1559" w:type="dxa"/>
          </w:tcPr>
          <w:p w14:paraId="4A2896FC" w14:textId="77777777" w:rsidR="00626A65" w:rsidRPr="00B8077E" w:rsidRDefault="00626A65" w:rsidP="006737F6">
            <w:pPr>
              <w:spacing w:line="360" w:lineRule="auto"/>
              <w:jc w:val="both"/>
              <w:rPr>
                <w:rFonts w:ascii="Calibri" w:hAnsi="Calibri" w:cs="Calibri"/>
                <w:sz w:val="28"/>
                <w:szCs w:val="28"/>
              </w:rPr>
            </w:pPr>
          </w:p>
        </w:tc>
      </w:tr>
      <w:tr w:rsidR="00626A65" w:rsidRPr="00B8077E" w14:paraId="50F098E9" w14:textId="77777777" w:rsidTr="00626A65">
        <w:tc>
          <w:tcPr>
            <w:tcW w:w="1558" w:type="dxa"/>
          </w:tcPr>
          <w:p w14:paraId="1A5A1749"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Debt to Equity Ratio</w:t>
            </w:r>
          </w:p>
        </w:tc>
        <w:tc>
          <w:tcPr>
            <w:tcW w:w="1558" w:type="dxa"/>
          </w:tcPr>
          <w:p w14:paraId="0D3C1328"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1.88</w:t>
            </w:r>
          </w:p>
        </w:tc>
        <w:tc>
          <w:tcPr>
            <w:tcW w:w="1558" w:type="dxa"/>
          </w:tcPr>
          <w:p w14:paraId="54B78B85"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1.89</w:t>
            </w:r>
          </w:p>
        </w:tc>
        <w:tc>
          <w:tcPr>
            <w:tcW w:w="1558" w:type="dxa"/>
          </w:tcPr>
          <w:p w14:paraId="20704AAE"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1.89</w:t>
            </w:r>
          </w:p>
        </w:tc>
        <w:tc>
          <w:tcPr>
            <w:tcW w:w="1559" w:type="dxa"/>
          </w:tcPr>
          <w:p w14:paraId="0EEDB521"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1.94</w:t>
            </w:r>
          </w:p>
        </w:tc>
        <w:tc>
          <w:tcPr>
            <w:tcW w:w="1559" w:type="dxa"/>
          </w:tcPr>
          <w:p w14:paraId="504A6424"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2.0</w:t>
            </w:r>
          </w:p>
        </w:tc>
      </w:tr>
      <w:tr w:rsidR="00626A65" w:rsidRPr="00B8077E" w14:paraId="4A23759D" w14:textId="77777777" w:rsidTr="00626A65">
        <w:tc>
          <w:tcPr>
            <w:tcW w:w="1558" w:type="dxa"/>
          </w:tcPr>
          <w:p w14:paraId="392708B3" w14:textId="77777777" w:rsidR="00626A65" w:rsidRPr="00B8077E" w:rsidRDefault="00626A65" w:rsidP="006737F6">
            <w:pPr>
              <w:spacing w:line="360" w:lineRule="auto"/>
              <w:jc w:val="both"/>
              <w:rPr>
                <w:rFonts w:ascii="Calibri" w:hAnsi="Calibri" w:cs="Calibri"/>
                <w:b/>
                <w:sz w:val="28"/>
                <w:szCs w:val="28"/>
              </w:rPr>
            </w:pPr>
            <w:r w:rsidRPr="00B8077E">
              <w:rPr>
                <w:rFonts w:ascii="Calibri" w:hAnsi="Calibri" w:cs="Calibri"/>
                <w:b/>
                <w:sz w:val="28"/>
                <w:szCs w:val="28"/>
              </w:rPr>
              <w:t>Efficiency Ratios</w:t>
            </w:r>
          </w:p>
        </w:tc>
        <w:tc>
          <w:tcPr>
            <w:tcW w:w="1558" w:type="dxa"/>
          </w:tcPr>
          <w:p w14:paraId="29857DA4" w14:textId="77777777" w:rsidR="00626A65" w:rsidRPr="00B8077E" w:rsidRDefault="00626A65" w:rsidP="006737F6">
            <w:pPr>
              <w:spacing w:line="360" w:lineRule="auto"/>
              <w:jc w:val="both"/>
              <w:rPr>
                <w:rFonts w:ascii="Calibri" w:hAnsi="Calibri" w:cs="Calibri"/>
                <w:sz w:val="28"/>
                <w:szCs w:val="28"/>
              </w:rPr>
            </w:pPr>
          </w:p>
        </w:tc>
        <w:tc>
          <w:tcPr>
            <w:tcW w:w="1558" w:type="dxa"/>
          </w:tcPr>
          <w:p w14:paraId="0131C26A" w14:textId="77777777" w:rsidR="00626A65" w:rsidRPr="00B8077E" w:rsidRDefault="00626A65" w:rsidP="006737F6">
            <w:pPr>
              <w:spacing w:line="360" w:lineRule="auto"/>
              <w:jc w:val="both"/>
              <w:rPr>
                <w:rFonts w:ascii="Calibri" w:hAnsi="Calibri" w:cs="Calibri"/>
                <w:sz w:val="28"/>
                <w:szCs w:val="28"/>
              </w:rPr>
            </w:pPr>
          </w:p>
        </w:tc>
        <w:tc>
          <w:tcPr>
            <w:tcW w:w="1558" w:type="dxa"/>
          </w:tcPr>
          <w:p w14:paraId="6CFC1B12" w14:textId="77777777" w:rsidR="00626A65" w:rsidRPr="00B8077E" w:rsidRDefault="00626A65" w:rsidP="006737F6">
            <w:pPr>
              <w:spacing w:line="360" w:lineRule="auto"/>
              <w:jc w:val="both"/>
              <w:rPr>
                <w:rFonts w:ascii="Calibri" w:hAnsi="Calibri" w:cs="Calibri"/>
                <w:sz w:val="28"/>
                <w:szCs w:val="28"/>
              </w:rPr>
            </w:pPr>
          </w:p>
        </w:tc>
        <w:tc>
          <w:tcPr>
            <w:tcW w:w="1559" w:type="dxa"/>
          </w:tcPr>
          <w:p w14:paraId="1EA77515" w14:textId="77777777" w:rsidR="00626A65" w:rsidRPr="00B8077E" w:rsidRDefault="00626A65" w:rsidP="006737F6">
            <w:pPr>
              <w:spacing w:line="360" w:lineRule="auto"/>
              <w:jc w:val="both"/>
              <w:rPr>
                <w:rFonts w:ascii="Calibri" w:hAnsi="Calibri" w:cs="Calibri"/>
                <w:sz w:val="28"/>
                <w:szCs w:val="28"/>
              </w:rPr>
            </w:pPr>
          </w:p>
        </w:tc>
        <w:tc>
          <w:tcPr>
            <w:tcW w:w="1559" w:type="dxa"/>
          </w:tcPr>
          <w:p w14:paraId="19436918" w14:textId="77777777" w:rsidR="00626A65" w:rsidRPr="00B8077E" w:rsidRDefault="00626A65" w:rsidP="006737F6">
            <w:pPr>
              <w:spacing w:line="360" w:lineRule="auto"/>
              <w:jc w:val="both"/>
              <w:rPr>
                <w:rFonts w:ascii="Calibri" w:hAnsi="Calibri" w:cs="Calibri"/>
                <w:sz w:val="28"/>
                <w:szCs w:val="28"/>
              </w:rPr>
            </w:pPr>
          </w:p>
        </w:tc>
      </w:tr>
      <w:tr w:rsidR="00626A65" w:rsidRPr="00B8077E" w14:paraId="4663BEF8" w14:textId="77777777" w:rsidTr="00626A65">
        <w:tc>
          <w:tcPr>
            <w:tcW w:w="1558" w:type="dxa"/>
          </w:tcPr>
          <w:p w14:paraId="4D63F535"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Inventory Turnover</w:t>
            </w:r>
          </w:p>
        </w:tc>
        <w:tc>
          <w:tcPr>
            <w:tcW w:w="1558" w:type="dxa"/>
          </w:tcPr>
          <w:p w14:paraId="0EC2BEAF"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11.88</w:t>
            </w:r>
          </w:p>
        </w:tc>
        <w:tc>
          <w:tcPr>
            <w:tcW w:w="1558" w:type="dxa"/>
          </w:tcPr>
          <w:p w14:paraId="6019FD8A"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12.12</w:t>
            </w:r>
          </w:p>
        </w:tc>
        <w:tc>
          <w:tcPr>
            <w:tcW w:w="1558" w:type="dxa"/>
          </w:tcPr>
          <w:p w14:paraId="6020794A"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12.00</w:t>
            </w:r>
          </w:p>
        </w:tc>
        <w:tc>
          <w:tcPr>
            <w:tcW w:w="1559" w:type="dxa"/>
          </w:tcPr>
          <w:p w14:paraId="58D9E3C6"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11.62</w:t>
            </w:r>
          </w:p>
        </w:tc>
        <w:tc>
          <w:tcPr>
            <w:tcW w:w="1559" w:type="dxa"/>
          </w:tcPr>
          <w:p w14:paraId="3A03FF3E" w14:textId="77777777" w:rsidR="00626A65" w:rsidRPr="00B8077E" w:rsidRDefault="00757E63" w:rsidP="006737F6">
            <w:pPr>
              <w:spacing w:line="360" w:lineRule="auto"/>
              <w:jc w:val="both"/>
              <w:rPr>
                <w:rFonts w:ascii="Calibri" w:hAnsi="Calibri" w:cs="Calibri"/>
                <w:sz w:val="28"/>
                <w:szCs w:val="28"/>
              </w:rPr>
            </w:pPr>
            <w:r w:rsidRPr="00B8077E">
              <w:rPr>
                <w:rFonts w:ascii="Calibri" w:hAnsi="Calibri" w:cs="Calibri"/>
                <w:sz w:val="28"/>
                <w:szCs w:val="28"/>
              </w:rPr>
              <w:t>11.28</w:t>
            </w:r>
          </w:p>
        </w:tc>
      </w:tr>
      <w:tr w:rsidR="00626A65" w:rsidRPr="00B8077E" w14:paraId="2DEA6B05" w14:textId="77777777" w:rsidTr="00626A65">
        <w:tc>
          <w:tcPr>
            <w:tcW w:w="1558" w:type="dxa"/>
          </w:tcPr>
          <w:p w14:paraId="7BA21AF0"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Receivables Turnover</w:t>
            </w:r>
          </w:p>
        </w:tc>
        <w:tc>
          <w:tcPr>
            <w:tcW w:w="1558" w:type="dxa"/>
          </w:tcPr>
          <w:p w14:paraId="14F06A24"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10.00</w:t>
            </w:r>
          </w:p>
        </w:tc>
        <w:tc>
          <w:tcPr>
            <w:tcW w:w="1558" w:type="dxa"/>
          </w:tcPr>
          <w:p w14:paraId="6624B1C8"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10.19</w:t>
            </w:r>
          </w:p>
        </w:tc>
        <w:tc>
          <w:tcPr>
            <w:tcW w:w="1558" w:type="dxa"/>
          </w:tcPr>
          <w:p w14:paraId="28C5232B"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10.18</w:t>
            </w:r>
          </w:p>
        </w:tc>
        <w:tc>
          <w:tcPr>
            <w:tcW w:w="1559" w:type="dxa"/>
          </w:tcPr>
          <w:p w14:paraId="2DE2F679"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10.00</w:t>
            </w:r>
          </w:p>
        </w:tc>
        <w:tc>
          <w:tcPr>
            <w:tcW w:w="1559" w:type="dxa"/>
          </w:tcPr>
          <w:p w14:paraId="77164F3A" w14:textId="77777777" w:rsidR="00626A65" w:rsidRPr="00B8077E" w:rsidRDefault="00626A65" w:rsidP="006737F6">
            <w:pPr>
              <w:spacing w:line="360" w:lineRule="auto"/>
              <w:jc w:val="both"/>
              <w:rPr>
                <w:rFonts w:ascii="Calibri" w:hAnsi="Calibri" w:cs="Calibri"/>
                <w:sz w:val="28"/>
                <w:szCs w:val="28"/>
              </w:rPr>
            </w:pPr>
            <w:r w:rsidRPr="00B8077E">
              <w:rPr>
                <w:rFonts w:ascii="Calibri" w:hAnsi="Calibri" w:cs="Calibri"/>
                <w:sz w:val="28"/>
                <w:szCs w:val="28"/>
              </w:rPr>
              <w:t>10.00</w:t>
            </w:r>
          </w:p>
        </w:tc>
      </w:tr>
    </w:tbl>
    <w:p w14:paraId="1518578A" w14:textId="77777777" w:rsidR="00626A65" w:rsidRPr="00B8077E" w:rsidRDefault="00626A65" w:rsidP="006737F6">
      <w:pPr>
        <w:spacing w:line="360" w:lineRule="auto"/>
        <w:jc w:val="both"/>
        <w:rPr>
          <w:rFonts w:ascii="Calibri" w:hAnsi="Calibri" w:cs="Calibri"/>
          <w:sz w:val="28"/>
          <w:szCs w:val="28"/>
        </w:rPr>
      </w:pPr>
    </w:p>
    <w:p w14:paraId="61E30FDD" w14:textId="77777777" w:rsidR="00757E63" w:rsidRPr="00BB2FBF" w:rsidRDefault="00757E63" w:rsidP="00BB2FBF">
      <w:pPr>
        <w:pStyle w:val="ListParagraph"/>
        <w:numPr>
          <w:ilvl w:val="0"/>
          <w:numId w:val="21"/>
        </w:numPr>
        <w:spacing w:line="360" w:lineRule="auto"/>
        <w:jc w:val="both"/>
        <w:rPr>
          <w:rFonts w:ascii="Calibri" w:hAnsi="Calibri" w:cs="Calibri"/>
          <w:b/>
          <w:bCs/>
          <w:sz w:val="28"/>
          <w:szCs w:val="28"/>
        </w:rPr>
      </w:pPr>
      <w:r w:rsidRPr="00BB2FBF">
        <w:rPr>
          <w:rFonts w:ascii="Calibri" w:hAnsi="Calibri" w:cs="Calibri"/>
          <w:b/>
          <w:bCs/>
          <w:sz w:val="28"/>
          <w:szCs w:val="28"/>
        </w:rPr>
        <w:t>Appendix B: Calculation Details</w:t>
      </w:r>
    </w:p>
    <w:p w14:paraId="5EE47D1B" w14:textId="77777777" w:rsidR="00757E63" w:rsidRPr="00B8077E" w:rsidRDefault="00757E63" w:rsidP="006737F6">
      <w:pPr>
        <w:numPr>
          <w:ilvl w:val="0"/>
          <w:numId w:val="20"/>
        </w:numPr>
        <w:spacing w:line="360" w:lineRule="auto"/>
        <w:jc w:val="both"/>
        <w:rPr>
          <w:rFonts w:ascii="Calibri" w:hAnsi="Calibri" w:cs="Calibri"/>
          <w:sz w:val="28"/>
          <w:szCs w:val="28"/>
        </w:rPr>
      </w:pPr>
      <w:r w:rsidRPr="00B8077E">
        <w:rPr>
          <w:rFonts w:ascii="Calibri" w:hAnsi="Calibri" w:cs="Calibri"/>
          <w:b/>
          <w:bCs/>
          <w:sz w:val="28"/>
          <w:szCs w:val="28"/>
        </w:rPr>
        <w:t>Payback Period Calculation:</w:t>
      </w:r>
    </w:p>
    <w:p w14:paraId="7EA05D41" w14:textId="77777777" w:rsidR="00757E63" w:rsidRPr="00B8077E" w:rsidRDefault="00757E63" w:rsidP="006737F6">
      <w:pPr>
        <w:spacing w:line="360" w:lineRule="auto"/>
        <w:jc w:val="both"/>
        <w:rPr>
          <w:rFonts w:ascii="Calibri" w:hAnsi="Calibri" w:cs="Calibri"/>
          <w:sz w:val="28"/>
          <w:szCs w:val="28"/>
        </w:rPr>
      </w:pPr>
      <w:r w:rsidRPr="00B8077E">
        <w:rPr>
          <w:rFonts w:ascii="Calibri" w:hAnsi="Calibri" w:cs="Calibri"/>
          <w:b/>
          <w:bCs/>
          <w:sz w:val="28"/>
          <w:szCs w:val="28"/>
        </w:rPr>
        <w:t>Project A:</w:t>
      </w:r>
    </w:p>
    <w:p w14:paraId="69268EC1"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Initial investment: £80m</w:t>
      </w:r>
    </w:p>
    <w:p w14:paraId="073F83F8"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Cumulative Cash Flows: £25m (Year 1), £25m (Year 2), £20m (Year 3), £55m (Year 4)</w:t>
      </w:r>
    </w:p>
    <w:p w14:paraId="2AB66C41"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Payback Period: 3 + 10/55 = 3.18 years</w:t>
      </w:r>
    </w:p>
    <w:p w14:paraId="3363C511" w14:textId="77777777" w:rsidR="00757E63" w:rsidRPr="00B8077E" w:rsidRDefault="00757E63" w:rsidP="006737F6">
      <w:pPr>
        <w:spacing w:line="360" w:lineRule="auto"/>
        <w:jc w:val="both"/>
        <w:rPr>
          <w:rFonts w:ascii="Calibri" w:hAnsi="Calibri" w:cs="Calibri"/>
          <w:sz w:val="28"/>
          <w:szCs w:val="28"/>
        </w:rPr>
      </w:pPr>
      <w:r w:rsidRPr="00B8077E">
        <w:rPr>
          <w:rFonts w:ascii="Calibri" w:hAnsi="Calibri" w:cs="Calibri"/>
          <w:b/>
          <w:bCs/>
          <w:sz w:val="28"/>
          <w:szCs w:val="28"/>
        </w:rPr>
        <w:lastRenderedPageBreak/>
        <w:t>Project B:</w:t>
      </w:r>
    </w:p>
    <w:p w14:paraId="158BF3A5"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Initial investment: £70m</w:t>
      </w:r>
    </w:p>
    <w:p w14:paraId="350ECBF2"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Cumulative Cash Flows: £50m (Year 1), £20m (Year 2), £20m (Year 3), £20m (Year 4)</w:t>
      </w:r>
    </w:p>
    <w:p w14:paraId="13B2D5F0"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Payback Period: 2 + 5/20 = 2.25 years</w:t>
      </w:r>
    </w:p>
    <w:p w14:paraId="4EC6158E" w14:textId="77777777" w:rsidR="00757E63" w:rsidRPr="00B8077E" w:rsidRDefault="00757E63" w:rsidP="006737F6">
      <w:pPr>
        <w:numPr>
          <w:ilvl w:val="0"/>
          <w:numId w:val="20"/>
        </w:numPr>
        <w:spacing w:line="360" w:lineRule="auto"/>
        <w:jc w:val="both"/>
        <w:rPr>
          <w:rFonts w:ascii="Calibri" w:hAnsi="Calibri" w:cs="Calibri"/>
          <w:sz w:val="28"/>
          <w:szCs w:val="28"/>
        </w:rPr>
      </w:pPr>
      <w:r w:rsidRPr="00B8077E">
        <w:rPr>
          <w:rFonts w:ascii="Calibri" w:hAnsi="Calibri" w:cs="Calibri"/>
          <w:b/>
          <w:bCs/>
          <w:sz w:val="28"/>
          <w:szCs w:val="28"/>
        </w:rPr>
        <w:t>ARR Calculation:</w:t>
      </w:r>
    </w:p>
    <w:p w14:paraId="2035B95C" w14:textId="77777777" w:rsidR="00757E63" w:rsidRPr="00B8077E" w:rsidRDefault="00757E63" w:rsidP="006737F6">
      <w:pPr>
        <w:spacing w:line="360" w:lineRule="auto"/>
        <w:jc w:val="both"/>
        <w:rPr>
          <w:rFonts w:ascii="Calibri" w:hAnsi="Calibri" w:cs="Calibri"/>
          <w:sz w:val="28"/>
          <w:szCs w:val="28"/>
        </w:rPr>
      </w:pPr>
      <w:r w:rsidRPr="00B8077E">
        <w:rPr>
          <w:rFonts w:ascii="Calibri" w:hAnsi="Calibri" w:cs="Calibri"/>
          <w:b/>
          <w:bCs/>
          <w:sz w:val="28"/>
          <w:szCs w:val="28"/>
        </w:rPr>
        <w:t>Project A:</w:t>
      </w:r>
    </w:p>
    <w:p w14:paraId="4814D0EB"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Average Profit: £31.25m</w:t>
      </w:r>
    </w:p>
    <w:p w14:paraId="619FA0AF"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ARR: 31.25/80 × 100 = 39.06%</w:t>
      </w:r>
    </w:p>
    <w:p w14:paraId="43E44732" w14:textId="77777777" w:rsidR="00757E63" w:rsidRPr="00B8077E" w:rsidRDefault="00757E63" w:rsidP="006737F6">
      <w:pPr>
        <w:spacing w:line="360" w:lineRule="auto"/>
        <w:jc w:val="both"/>
        <w:rPr>
          <w:rFonts w:ascii="Calibri" w:hAnsi="Calibri" w:cs="Calibri"/>
          <w:sz w:val="28"/>
          <w:szCs w:val="28"/>
        </w:rPr>
      </w:pPr>
      <w:r w:rsidRPr="00B8077E">
        <w:rPr>
          <w:rFonts w:ascii="Calibri" w:hAnsi="Calibri" w:cs="Calibri"/>
          <w:b/>
          <w:bCs/>
          <w:sz w:val="28"/>
          <w:szCs w:val="28"/>
        </w:rPr>
        <w:t>Project B:</w:t>
      </w:r>
    </w:p>
    <w:p w14:paraId="278C190A"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Average Profit: £27.5m</w:t>
      </w:r>
    </w:p>
    <w:p w14:paraId="44A9603C"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ARR: 27.5/70 × 100 = 39.29%</w:t>
      </w:r>
    </w:p>
    <w:p w14:paraId="30DDC234" w14:textId="77777777" w:rsidR="00757E63" w:rsidRPr="00B8077E" w:rsidRDefault="00757E63" w:rsidP="006737F6">
      <w:pPr>
        <w:numPr>
          <w:ilvl w:val="0"/>
          <w:numId w:val="20"/>
        </w:numPr>
        <w:spacing w:line="360" w:lineRule="auto"/>
        <w:jc w:val="both"/>
        <w:rPr>
          <w:rFonts w:ascii="Calibri" w:hAnsi="Calibri" w:cs="Calibri"/>
          <w:sz w:val="28"/>
          <w:szCs w:val="28"/>
        </w:rPr>
      </w:pPr>
      <w:r w:rsidRPr="00B8077E">
        <w:rPr>
          <w:rFonts w:ascii="Calibri" w:hAnsi="Calibri" w:cs="Calibri"/>
          <w:b/>
          <w:bCs/>
          <w:sz w:val="28"/>
          <w:szCs w:val="28"/>
        </w:rPr>
        <w:t>NPV Calculation:</w:t>
      </w:r>
    </w:p>
    <w:p w14:paraId="467007A7" w14:textId="77777777" w:rsidR="00757E63" w:rsidRPr="00B8077E" w:rsidRDefault="00757E63" w:rsidP="006737F6">
      <w:pPr>
        <w:spacing w:line="360" w:lineRule="auto"/>
        <w:jc w:val="both"/>
        <w:rPr>
          <w:rFonts w:ascii="Calibri" w:hAnsi="Calibri" w:cs="Calibri"/>
          <w:sz w:val="28"/>
          <w:szCs w:val="28"/>
        </w:rPr>
      </w:pPr>
      <w:r w:rsidRPr="00B8077E">
        <w:rPr>
          <w:rFonts w:ascii="Calibri" w:hAnsi="Calibri" w:cs="Calibri"/>
          <w:b/>
          <w:bCs/>
          <w:sz w:val="28"/>
          <w:szCs w:val="28"/>
        </w:rPr>
        <w:t>Project A:</w:t>
      </w:r>
    </w:p>
    <w:p w14:paraId="52E26570"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Cash Flows: £-80m (Year 0), £25m (Year 1), £25m (Year 2), £20m (Year 3), £55m (Year 4)</w:t>
      </w:r>
    </w:p>
    <w:p w14:paraId="525A565F"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Discount Factor: 9.75%</w:t>
      </w:r>
    </w:p>
    <w:p w14:paraId="6EB06ECC"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NPV: £16.57m</w:t>
      </w:r>
    </w:p>
    <w:p w14:paraId="019784B8" w14:textId="77777777" w:rsidR="00757E63" w:rsidRPr="00B8077E" w:rsidRDefault="00757E63" w:rsidP="006737F6">
      <w:pPr>
        <w:spacing w:line="360" w:lineRule="auto"/>
        <w:jc w:val="both"/>
        <w:rPr>
          <w:rFonts w:ascii="Calibri" w:hAnsi="Calibri" w:cs="Calibri"/>
          <w:sz w:val="28"/>
          <w:szCs w:val="28"/>
        </w:rPr>
      </w:pPr>
      <w:r w:rsidRPr="00B8077E">
        <w:rPr>
          <w:rFonts w:ascii="Calibri" w:hAnsi="Calibri" w:cs="Calibri"/>
          <w:b/>
          <w:bCs/>
          <w:sz w:val="28"/>
          <w:szCs w:val="28"/>
        </w:rPr>
        <w:t>Project B:</w:t>
      </w:r>
    </w:p>
    <w:p w14:paraId="2CCB3D05"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lastRenderedPageBreak/>
        <w:t>Cash Flows: £-75m (Year 0), £50m (Year 1), £20m (Year 2), £20m (Year 3), £20m (Year 4)</w:t>
      </w:r>
    </w:p>
    <w:p w14:paraId="0BF0A8CF" w14:textId="77777777" w:rsidR="00757E63" w:rsidRPr="00B8077E"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Discount Factor: 9.75%</w:t>
      </w:r>
    </w:p>
    <w:p w14:paraId="2A88D0D3" w14:textId="77777777" w:rsidR="00757E63" w:rsidRDefault="00757E63" w:rsidP="006737F6">
      <w:pPr>
        <w:numPr>
          <w:ilvl w:val="1"/>
          <w:numId w:val="20"/>
        </w:numPr>
        <w:spacing w:line="360" w:lineRule="auto"/>
        <w:jc w:val="both"/>
        <w:rPr>
          <w:rFonts w:ascii="Calibri" w:hAnsi="Calibri" w:cs="Calibri"/>
          <w:sz w:val="28"/>
          <w:szCs w:val="28"/>
        </w:rPr>
      </w:pPr>
      <w:r w:rsidRPr="00B8077E">
        <w:rPr>
          <w:rFonts w:ascii="Calibri" w:hAnsi="Calibri" w:cs="Calibri"/>
          <w:sz w:val="28"/>
          <w:szCs w:val="28"/>
        </w:rPr>
        <w:t>NPV: £16.08m</w:t>
      </w:r>
    </w:p>
    <w:p w14:paraId="0026E018" w14:textId="77777777" w:rsidR="00BB2FBF" w:rsidRPr="00B8077E" w:rsidRDefault="00BB2FBF" w:rsidP="00BB2FBF">
      <w:pPr>
        <w:spacing w:line="360" w:lineRule="auto"/>
        <w:ind w:left="1440"/>
        <w:jc w:val="both"/>
        <w:rPr>
          <w:rFonts w:ascii="Calibri" w:hAnsi="Calibri" w:cs="Calibri"/>
          <w:sz w:val="28"/>
          <w:szCs w:val="28"/>
        </w:rPr>
      </w:pPr>
    </w:p>
    <w:p w14:paraId="5DBFF2A6" w14:textId="77777777" w:rsidR="00350BD5" w:rsidRPr="00BB2FBF" w:rsidRDefault="00350BD5" w:rsidP="00BB2FBF">
      <w:pPr>
        <w:pStyle w:val="ListParagraph"/>
        <w:numPr>
          <w:ilvl w:val="0"/>
          <w:numId w:val="21"/>
        </w:numPr>
        <w:spacing w:line="360" w:lineRule="auto"/>
        <w:jc w:val="both"/>
        <w:rPr>
          <w:rFonts w:ascii="Calibri" w:hAnsi="Calibri" w:cs="Calibri"/>
          <w:b/>
          <w:sz w:val="28"/>
          <w:szCs w:val="28"/>
        </w:rPr>
      </w:pPr>
      <w:r w:rsidRPr="00BB2FBF">
        <w:rPr>
          <w:rFonts w:ascii="Calibri" w:hAnsi="Calibri" w:cs="Calibri"/>
          <w:b/>
          <w:sz w:val="28"/>
          <w:szCs w:val="28"/>
        </w:rPr>
        <w:t>References</w:t>
      </w:r>
    </w:p>
    <w:p w14:paraId="27CCB125"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Anoop, G.M. and Muhammed, V.S., 2020. A brief overview on Toyota Production System (TPS). International Journal for Research in Applied Science and Engineering Technology, 8(5), pp.2505-2509.</w:t>
      </w:r>
    </w:p>
    <w:p w14:paraId="72B4AAB6" w14:textId="77777777" w:rsidR="00350BD5" w:rsidRPr="00B8077E" w:rsidRDefault="00350BD5" w:rsidP="006737F6">
      <w:pPr>
        <w:spacing w:line="360" w:lineRule="auto"/>
        <w:jc w:val="both"/>
        <w:rPr>
          <w:rFonts w:ascii="Calibri" w:hAnsi="Calibri" w:cs="Calibri"/>
          <w:sz w:val="28"/>
          <w:szCs w:val="28"/>
        </w:rPr>
      </w:pPr>
      <w:proofErr w:type="spellStart"/>
      <w:r w:rsidRPr="00B8077E">
        <w:rPr>
          <w:rFonts w:ascii="Calibri" w:hAnsi="Calibri" w:cs="Calibri"/>
          <w:sz w:val="28"/>
          <w:szCs w:val="28"/>
        </w:rPr>
        <w:t>Hajdasiński</w:t>
      </w:r>
      <w:proofErr w:type="spellEnd"/>
      <w:r w:rsidRPr="00B8077E">
        <w:rPr>
          <w:rFonts w:ascii="Calibri" w:hAnsi="Calibri" w:cs="Calibri"/>
          <w:sz w:val="28"/>
          <w:szCs w:val="28"/>
        </w:rPr>
        <w:t>, M.M., 1993. The payback period as a measure of profitability and liquidity. The Engineering Economist, 38(3), pp.177-191.</w:t>
      </w:r>
    </w:p>
    <w:p w14:paraId="1805F2E5"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Nkomo, T., 2019. Analysis of Toyota Motor Corporation.</w:t>
      </w:r>
    </w:p>
    <w:p w14:paraId="3743E886" w14:textId="77777777" w:rsidR="00350BD5" w:rsidRPr="00B8077E" w:rsidRDefault="00350BD5" w:rsidP="006737F6">
      <w:pPr>
        <w:spacing w:line="360" w:lineRule="auto"/>
        <w:jc w:val="both"/>
        <w:rPr>
          <w:rFonts w:ascii="Calibri" w:hAnsi="Calibri" w:cs="Calibri"/>
          <w:sz w:val="28"/>
          <w:szCs w:val="28"/>
        </w:rPr>
      </w:pPr>
      <w:proofErr w:type="spellStart"/>
      <w:r w:rsidRPr="00B8077E">
        <w:rPr>
          <w:rFonts w:ascii="Calibri" w:hAnsi="Calibri" w:cs="Calibri"/>
          <w:sz w:val="28"/>
          <w:szCs w:val="28"/>
        </w:rPr>
        <w:t>Tulung</w:t>
      </w:r>
      <w:proofErr w:type="spellEnd"/>
      <w:r w:rsidRPr="00B8077E">
        <w:rPr>
          <w:rFonts w:ascii="Calibri" w:hAnsi="Calibri" w:cs="Calibri"/>
          <w:sz w:val="28"/>
          <w:szCs w:val="28"/>
        </w:rPr>
        <w:t xml:space="preserve">, J.E., </w:t>
      </w:r>
      <w:proofErr w:type="spellStart"/>
      <w:r w:rsidRPr="00B8077E">
        <w:rPr>
          <w:rFonts w:ascii="Calibri" w:hAnsi="Calibri" w:cs="Calibri"/>
          <w:sz w:val="28"/>
          <w:szCs w:val="28"/>
        </w:rPr>
        <w:t>Sondakh</w:t>
      </w:r>
      <w:proofErr w:type="spellEnd"/>
      <w:r w:rsidRPr="00B8077E">
        <w:rPr>
          <w:rFonts w:ascii="Calibri" w:hAnsi="Calibri" w:cs="Calibri"/>
          <w:sz w:val="28"/>
          <w:szCs w:val="28"/>
        </w:rPr>
        <w:t xml:space="preserve">, J.J., Wangke, S.J.C. and </w:t>
      </w:r>
      <w:proofErr w:type="spellStart"/>
      <w:r w:rsidRPr="00B8077E">
        <w:rPr>
          <w:rFonts w:ascii="Calibri" w:hAnsi="Calibri" w:cs="Calibri"/>
          <w:sz w:val="28"/>
          <w:szCs w:val="28"/>
        </w:rPr>
        <w:t>Posumah</w:t>
      </w:r>
      <w:proofErr w:type="spellEnd"/>
      <w:r w:rsidRPr="00B8077E">
        <w:rPr>
          <w:rFonts w:ascii="Calibri" w:hAnsi="Calibri" w:cs="Calibri"/>
          <w:sz w:val="28"/>
          <w:szCs w:val="28"/>
        </w:rPr>
        <w:t>, R.F.K., 2024. EFFECTS OF CAPITAL RATIO, QUALITY OF RECEIVABLES, LIQUIDITY, AND GEARING RATIO ON PROFITABILITY: A STUDY FINANCIAL INSTITUTIONS’GOVERNANCE. Journal of Governance and Regulation/Volume, 13(3).</w:t>
      </w:r>
    </w:p>
    <w:p w14:paraId="433C3266"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Udagawa, M., 2014. The development of production management at the Toyota Motor Corporation. In The Origins of Japanese Industrial Power (pp. 107-119). Routledge.</w:t>
      </w:r>
    </w:p>
    <w:p w14:paraId="77664519"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Kamiyama, K., 2004. Toyota. In The Hybrid Factory in Europe: The Japanese Management and Production System Transferred (pp. 231-239). London: Palgrave Macmillan UK.</w:t>
      </w:r>
    </w:p>
    <w:p w14:paraId="2975CC51"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lastRenderedPageBreak/>
        <w:t>Hino, S., 2005. Inside the mind of Toyota: Management principles for enduring growth. CRC Press.</w:t>
      </w:r>
    </w:p>
    <w:p w14:paraId="272BF933"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Liker, J.K. and Morgan, J.M., 2006. The Toyota way in services: the case of lean product development. Academy of management perspectives, 20(2), pp.5-20.</w:t>
      </w:r>
    </w:p>
    <w:p w14:paraId="5D03CEBA"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 xml:space="preserve">Sisson, J. and </w:t>
      </w:r>
      <w:proofErr w:type="spellStart"/>
      <w:r w:rsidRPr="00B8077E">
        <w:rPr>
          <w:rFonts w:ascii="Calibri" w:hAnsi="Calibri" w:cs="Calibri"/>
          <w:sz w:val="28"/>
          <w:szCs w:val="28"/>
        </w:rPr>
        <w:t>Elshennawy</w:t>
      </w:r>
      <w:proofErr w:type="spellEnd"/>
      <w:r w:rsidRPr="00B8077E">
        <w:rPr>
          <w:rFonts w:ascii="Calibri" w:hAnsi="Calibri" w:cs="Calibri"/>
          <w:sz w:val="28"/>
          <w:szCs w:val="28"/>
        </w:rPr>
        <w:t>, A., 2015. Achieving success with Lean: An analysis of key factors in Lean transformation at Toyota and beyond. International Journal of Lean six sigma, 6(3), pp.263-280.</w:t>
      </w:r>
    </w:p>
    <w:p w14:paraId="761E8E0F"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 xml:space="preserve">Xinyao, D., Wen, X., Jingjing, X., Xiaohui, W. and </w:t>
      </w:r>
      <w:proofErr w:type="spellStart"/>
      <w:r w:rsidRPr="00B8077E">
        <w:rPr>
          <w:rFonts w:ascii="Calibri" w:hAnsi="Calibri" w:cs="Calibri"/>
          <w:sz w:val="28"/>
          <w:szCs w:val="28"/>
        </w:rPr>
        <w:t>Loang</w:t>
      </w:r>
      <w:proofErr w:type="spellEnd"/>
      <w:r w:rsidRPr="00B8077E">
        <w:rPr>
          <w:rFonts w:ascii="Calibri" w:hAnsi="Calibri" w:cs="Calibri"/>
          <w:sz w:val="28"/>
          <w:szCs w:val="28"/>
        </w:rPr>
        <w:t>, O.K., 2023. FINANCIAL AND NON-FINANCIAL ANALYSIS OF TOYOTA AND FORD: A COMPARATIVE STUDY. Journal of Islamic, 8(52), pp.203-214.</w:t>
      </w:r>
    </w:p>
    <w:p w14:paraId="0D3CC326"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Cortez, M.A.A. and Cudia, C.P., 2011. The virtuous cycles between environmental innovations and financial performance: Case study of Japanese automotive and electronics companies. Academy of Accounting and Financial Studies Journal, 15(2), p.31.</w:t>
      </w:r>
    </w:p>
    <w:p w14:paraId="6F173948"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 xml:space="preserve">Toma, S.G. and Naruo, S., 2017. Total quality management and business excellence: the best practices at Toyota Motor Corporation. </w:t>
      </w:r>
      <w:proofErr w:type="spellStart"/>
      <w:r w:rsidRPr="00B8077E">
        <w:rPr>
          <w:rFonts w:ascii="Calibri" w:hAnsi="Calibri" w:cs="Calibri"/>
          <w:sz w:val="28"/>
          <w:szCs w:val="28"/>
        </w:rPr>
        <w:t>Amfiteatru</w:t>
      </w:r>
      <w:proofErr w:type="spellEnd"/>
      <w:r w:rsidRPr="00B8077E">
        <w:rPr>
          <w:rFonts w:ascii="Calibri" w:hAnsi="Calibri" w:cs="Calibri"/>
          <w:sz w:val="28"/>
          <w:szCs w:val="28"/>
        </w:rPr>
        <w:t xml:space="preserve"> Economic Journal, 19(45), pp.566-580.</w:t>
      </w:r>
    </w:p>
    <w:p w14:paraId="68FD6D00"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Zhao, M., 2022, March. Research for the Stock Performance of Toyota Industries Group with Multiple Valuations. In 2022 7th International Conference on Financial Innovation and Economic Development (ICFIED 2022) (pp. 2556-2561). Atlantis Press.</w:t>
      </w:r>
    </w:p>
    <w:p w14:paraId="5D4B7DED"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 xml:space="preserve">Kelly, G. and Tippett, M., 1991. Economic and Accounting Rates of Return </w:t>
      </w:r>
      <w:proofErr w:type="gramStart"/>
      <w:r w:rsidRPr="00B8077E">
        <w:rPr>
          <w:rFonts w:ascii="Calibri" w:hAnsi="Calibri" w:cs="Calibri"/>
          <w:sz w:val="28"/>
          <w:szCs w:val="28"/>
        </w:rPr>
        <w:t>A</w:t>
      </w:r>
      <w:proofErr w:type="gramEnd"/>
      <w:r w:rsidRPr="00B8077E">
        <w:rPr>
          <w:rFonts w:ascii="Calibri" w:hAnsi="Calibri" w:cs="Calibri"/>
          <w:sz w:val="28"/>
          <w:szCs w:val="28"/>
        </w:rPr>
        <w:t xml:space="preserve"> Statistical Model. Accounting and Business Research, 21(84), pp.321-329.</w:t>
      </w:r>
    </w:p>
    <w:p w14:paraId="342AE0A3" w14:textId="77777777" w:rsidR="00350BD5" w:rsidRPr="00B8077E" w:rsidRDefault="00350BD5" w:rsidP="006737F6">
      <w:pPr>
        <w:spacing w:line="360" w:lineRule="auto"/>
        <w:jc w:val="both"/>
        <w:rPr>
          <w:rFonts w:ascii="Calibri" w:hAnsi="Calibri" w:cs="Calibri"/>
          <w:sz w:val="28"/>
          <w:szCs w:val="28"/>
        </w:rPr>
      </w:pPr>
      <w:proofErr w:type="spellStart"/>
      <w:r w:rsidRPr="00B8077E">
        <w:rPr>
          <w:rFonts w:ascii="Calibri" w:hAnsi="Calibri" w:cs="Calibri"/>
          <w:sz w:val="28"/>
          <w:szCs w:val="28"/>
        </w:rPr>
        <w:lastRenderedPageBreak/>
        <w:t>Rumelt</w:t>
      </w:r>
      <w:proofErr w:type="spellEnd"/>
      <w:r w:rsidRPr="00B8077E">
        <w:rPr>
          <w:rFonts w:ascii="Calibri" w:hAnsi="Calibri" w:cs="Calibri"/>
          <w:sz w:val="28"/>
          <w:szCs w:val="28"/>
        </w:rPr>
        <w:t>, R.P., 1996. The many faces of Honda. California Management Review, 38(4), p.103.</w:t>
      </w:r>
    </w:p>
    <w:p w14:paraId="6BF8AA80"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de Haan, J. and van Mol, K., 1999. Soft‐investments appraisal: Cost‐benefit analysis of the implementation of work groups as an example. International Journal of Operations &amp; Production Management, 19(1), pp.38-54.</w:t>
      </w:r>
    </w:p>
    <w:p w14:paraId="3DB1CFCF" w14:textId="77777777" w:rsidR="00350BD5" w:rsidRPr="00B8077E" w:rsidRDefault="00350BD5" w:rsidP="006737F6">
      <w:pPr>
        <w:spacing w:line="360" w:lineRule="auto"/>
        <w:jc w:val="both"/>
        <w:rPr>
          <w:rFonts w:ascii="Calibri" w:hAnsi="Calibri" w:cs="Calibri"/>
          <w:sz w:val="28"/>
          <w:szCs w:val="28"/>
        </w:rPr>
      </w:pPr>
      <w:proofErr w:type="spellStart"/>
      <w:r w:rsidRPr="00B8077E">
        <w:rPr>
          <w:rFonts w:ascii="Calibri" w:hAnsi="Calibri" w:cs="Calibri"/>
          <w:sz w:val="28"/>
          <w:szCs w:val="28"/>
        </w:rPr>
        <w:t>Garbelli</w:t>
      </w:r>
      <w:proofErr w:type="spellEnd"/>
      <w:r w:rsidRPr="00B8077E">
        <w:rPr>
          <w:rFonts w:ascii="Calibri" w:hAnsi="Calibri" w:cs="Calibri"/>
          <w:sz w:val="28"/>
          <w:szCs w:val="28"/>
        </w:rPr>
        <w:t>, M., 2014. Managing Sustainability to be Sustainable: The Toyota Case. In 14th EBES Conference-Barcelona. Program and Abstract Book (pp. 77-77). EBES Publications.</w:t>
      </w:r>
    </w:p>
    <w:p w14:paraId="697E13D6"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Gupta, V., 1998. A dynamic model of technological growth: Diffusion of Japanese investment networks overseas. University of Pennsylvania.</w:t>
      </w:r>
    </w:p>
    <w:p w14:paraId="24CBD834"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Magni, C.A. and Marchioni, A., 2020. Average rates of return, working capital, and NPV-consistency in project appraisal: A sensitivity analysis approach. International Journal of Production Economics, 229, p.107769.</w:t>
      </w:r>
    </w:p>
    <w:p w14:paraId="3B32061A"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Marchioni, A. and Magni, C.A., 2018. Investment decisions and sensitivity analysis: NPV-consistency of rates of return. European Journal of Operational Research, 268(1), pp.361-372.</w:t>
      </w:r>
    </w:p>
    <w:p w14:paraId="0920EAAA"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Brief, R.P. and Lawson, R.A., 2014. The role of the accounting rate of return in financial statement analysis. In The Continuing Debate Over Depreciation, Capital and Income (RLE Accounting) (pp. 235-250). Routledge.</w:t>
      </w:r>
    </w:p>
    <w:p w14:paraId="4ED73FB8"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Salamon, G.L., 1985. Accounting rates of return. The American Economic Review, 75(3), pp.495-504.</w:t>
      </w:r>
    </w:p>
    <w:p w14:paraId="32B44605"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lastRenderedPageBreak/>
        <w:t xml:space="preserve">Gorshkov, A.S., </w:t>
      </w:r>
      <w:proofErr w:type="spellStart"/>
      <w:r w:rsidRPr="00B8077E">
        <w:rPr>
          <w:rFonts w:ascii="Calibri" w:hAnsi="Calibri" w:cs="Calibri"/>
          <w:sz w:val="28"/>
          <w:szCs w:val="28"/>
        </w:rPr>
        <w:t>Vatin</w:t>
      </w:r>
      <w:proofErr w:type="spellEnd"/>
      <w:r w:rsidRPr="00B8077E">
        <w:rPr>
          <w:rFonts w:ascii="Calibri" w:hAnsi="Calibri" w:cs="Calibri"/>
          <w:sz w:val="28"/>
          <w:szCs w:val="28"/>
        </w:rPr>
        <w:t xml:space="preserve">, N.I., </w:t>
      </w:r>
      <w:proofErr w:type="spellStart"/>
      <w:r w:rsidRPr="00B8077E">
        <w:rPr>
          <w:rFonts w:ascii="Calibri" w:hAnsi="Calibri" w:cs="Calibri"/>
          <w:sz w:val="28"/>
          <w:szCs w:val="28"/>
        </w:rPr>
        <w:t>Rymkevich</w:t>
      </w:r>
      <w:proofErr w:type="spellEnd"/>
      <w:r w:rsidRPr="00B8077E">
        <w:rPr>
          <w:rFonts w:ascii="Calibri" w:hAnsi="Calibri" w:cs="Calibri"/>
          <w:sz w:val="28"/>
          <w:szCs w:val="28"/>
        </w:rPr>
        <w:t xml:space="preserve">, P.P. and </w:t>
      </w:r>
      <w:proofErr w:type="spellStart"/>
      <w:r w:rsidRPr="00B8077E">
        <w:rPr>
          <w:rFonts w:ascii="Calibri" w:hAnsi="Calibri" w:cs="Calibri"/>
          <w:sz w:val="28"/>
          <w:szCs w:val="28"/>
        </w:rPr>
        <w:t>Kydrevich</w:t>
      </w:r>
      <w:proofErr w:type="spellEnd"/>
      <w:r w:rsidRPr="00B8077E">
        <w:rPr>
          <w:rFonts w:ascii="Calibri" w:hAnsi="Calibri" w:cs="Calibri"/>
          <w:sz w:val="28"/>
          <w:szCs w:val="28"/>
        </w:rPr>
        <w:t>, O.O., 2018. Payback period of investments in energy saving. Magazine of Civil Engineering, (2 (78)), pp.65-75.</w:t>
      </w:r>
    </w:p>
    <w:p w14:paraId="48EEEEEE" w14:textId="77777777" w:rsidR="00350BD5"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Bhandari, S.B., 2009. Discounted payback period-some extensions. Journal of Business and Behavioral Sciences, 21(1), pp.28-38.</w:t>
      </w:r>
    </w:p>
    <w:p w14:paraId="1150F462" w14:textId="77777777" w:rsidR="00350BD5" w:rsidRPr="00B8077E" w:rsidRDefault="00350BD5" w:rsidP="006737F6">
      <w:pPr>
        <w:spacing w:line="360" w:lineRule="auto"/>
        <w:jc w:val="both"/>
        <w:rPr>
          <w:rFonts w:ascii="Calibri" w:hAnsi="Calibri" w:cs="Calibri"/>
          <w:sz w:val="28"/>
          <w:szCs w:val="28"/>
        </w:rPr>
      </w:pPr>
      <w:proofErr w:type="spellStart"/>
      <w:r w:rsidRPr="00B8077E">
        <w:rPr>
          <w:rFonts w:ascii="Calibri" w:hAnsi="Calibri" w:cs="Calibri"/>
          <w:sz w:val="28"/>
          <w:szCs w:val="28"/>
        </w:rPr>
        <w:t>Muradoglu</w:t>
      </w:r>
      <w:proofErr w:type="spellEnd"/>
      <w:r w:rsidRPr="00B8077E">
        <w:rPr>
          <w:rFonts w:ascii="Calibri" w:hAnsi="Calibri" w:cs="Calibri"/>
          <w:sz w:val="28"/>
          <w:szCs w:val="28"/>
        </w:rPr>
        <w:t xml:space="preserve">, G., Bakke, M. and </w:t>
      </w:r>
      <w:proofErr w:type="spellStart"/>
      <w:r w:rsidRPr="00B8077E">
        <w:rPr>
          <w:rFonts w:ascii="Calibri" w:hAnsi="Calibri" w:cs="Calibri"/>
          <w:sz w:val="28"/>
          <w:szCs w:val="28"/>
        </w:rPr>
        <w:t>Kvernes</w:t>
      </w:r>
      <w:proofErr w:type="spellEnd"/>
      <w:r w:rsidRPr="00B8077E">
        <w:rPr>
          <w:rFonts w:ascii="Calibri" w:hAnsi="Calibri" w:cs="Calibri"/>
          <w:sz w:val="28"/>
          <w:szCs w:val="28"/>
        </w:rPr>
        <w:t>, G.L., 2005. An investment strategy based on gearing ratio. Applied Economics Letters, 12(13), pp.801-804.</w:t>
      </w:r>
    </w:p>
    <w:p w14:paraId="69BC17DC" w14:textId="77777777" w:rsidR="00802E6B" w:rsidRPr="00B8077E" w:rsidRDefault="00350BD5" w:rsidP="006737F6">
      <w:pPr>
        <w:spacing w:line="360" w:lineRule="auto"/>
        <w:jc w:val="both"/>
        <w:rPr>
          <w:rFonts w:ascii="Calibri" w:hAnsi="Calibri" w:cs="Calibri"/>
          <w:sz w:val="28"/>
          <w:szCs w:val="28"/>
        </w:rPr>
      </w:pPr>
      <w:r w:rsidRPr="00B8077E">
        <w:rPr>
          <w:rFonts w:ascii="Calibri" w:hAnsi="Calibri" w:cs="Calibri"/>
          <w:sz w:val="28"/>
          <w:szCs w:val="28"/>
        </w:rPr>
        <w:t>Thompson, C.J. and Burgman, M.A., 2010. Gearing investments with uncertainty. The Journal of Risk Finance, 11(1), pp.107-110.</w:t>
      </w:r>
    </w:p>
    <w:p w14:paraId="6FEC3EF7" w14:textId="77777777" w:rsidR="00802E6B" w:rsidRPr="00B8077E" w:rsidRDefault="00802E6B" w:rsidP="006737F6">
      <w:pPr>
        <w:spacing w:line="360" w:lineRule="auto"/>
        <w:jc w:val="both"/>
        <w:rPr>
          <w:rFonts w:ascii="Calibri" w:hAnsi="Calibri" w:cs="Calibri"/>
          <w:b/>
          <w:sz w:val="28"/>
          <w:szCs w:val="28"/>
        </w:rPr>
      </w:pPr>
    </w:p>
    <w:sectPr w:rsidR="00802E6B" w:rsidRPr="00B8077E">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733C6C" w14:textId="77777777" w:rsidR="003B14B4" w:rsidRDefault="003B14B4" w:rsidP="003B14B4">
      <w:pPr>
        <w:spacing w:after="0" w:line="240" w:lineRule="auto"/>
      </w:pPr>
      <w:r>
        <w:separator/>
      </w:r>
    </w:p>
  </w:endnote>
  <w:endnote w:type="continuationSeparator" w:id="0">
    <w:p w14:paraId="20E4122A" w14:textId="77777777" w:rsidR="003B14B4" w:rsidRDefault="003B14B4" w:rsidP="003B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5061FE" w14:textId="77777777" w:rsidR="003B14B4" w:rsidRDefault="003B14B4" w:rsidP="003B14B4">
      <w:pPr>
        <w:spacing w:after="0" w:line="240" w:lineRule="auto"/>
      </w:pPr>
      <w:r>
        <w:separator/>
      </w:r>
    </w:p>
  </w:footnote>
  <w:footnote w:type="continuationSeparator" w:id="0">
    <w:p w14:paraId="4D8497C6" w14:textId="77777777" w:rsidR="003B14B4" w:rsidRDefault="003B14B4" w:rsidP="003B14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4D67E5"/>
    <w:multiLevelType w:val="multilevel"/>
    <w:tmpl w:val="EEC2519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940F03"/>
    <w:multiLevelType w:val="hybridMultilevel"/>
    <w:tmpl w:val="18EED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0A41D7"/>
    <w:multiLevelType w:val="hybridMultilevel"/>
    <w:tmpl w:val="34A2A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C2C86"/>
    <w:multiLevelType w:val="hybridMultilevel"/>
    <w:tmpl w:val="D6087D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3C0630"/>
    <w:multiLevelType w:val="multilevel"/>
    <w:tmpl w:val="1EDE7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6A85822"/>
    <w:multiLevelType w:val="hybridMultilevel"/>
    <w:tmpl w:val="C9D2F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364392"/>
    <w:multiLevelType w:val="hybridMultilevel"/>
    <w:tmpl w:val="1D4EA4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2CC1A46"/>
    <w:multiLevelType w:val="hybridMultilevel"/>
    <w:tmpl w:val="8708B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A9F5018"/>
    <w:multiLevelType w:val="hybridMultilevel"/>
    <w:tmpl w:val="EDD23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E60266"/>
    <w:multiLevelType w:val="hybridMultilevel"/>
    <w:tmpl w:val="6BE6B7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7E7AE8"/>
    <w:multiLevelType w:val="multilevel"/>
    <w:tmpl w:val="E2B6F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2C15E0E"/>
    <w:multiLevelType w:val="hybridMultilevel"/>
    <w:tmpl w:val="18B05E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91C721E"/>
    <w:multiLevelType w:val="hybridMultilevel"/>
    <w:tmpl w:val="8356D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B5C43F2"/>
    <w:multiLevelType w:val="hybridMultilevel"/>
    <w:tmpl w:val="81143B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8F5A33"/>
    <w:multiLevelType w:val="hybridMultilevel"/>
    <w:tmpl w:val="CCB272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0015BFF"/>
    <w:multiLevelType w:val="hybridMultilevel"/>
    <w:tmpl w:val="7242D6A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15:restartNumberingAfterBreak="0">
    <w:nsid w:val="625226B1"/>
    <w:multiLevelType w:val="hybridMultilevel"/>
    <w:tmpl w:val="81144866"/>
    <w:lvl w:ilvl="0" w:tplc="FAB8E9C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7" w15:restartNumberingAfterBreak="0">
    <w:nsid w:val="6314358E"/>
    <w:multiLevelType w:val="hybridMultilevel"/>
    <w:tmpl w:val="710A2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3307785"/>
    <w:multiLevelType w:val="multilevel"/>
    <w:tmpl w:val="F2068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03E5162"/>
    <w:multiLevelType w:val="hybridMultilevel"/>
    <w:tmpl w:val="32B2237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0" w15:restartNumberingAfterBreak="0">
    <w:nsid w:val="72BB4B87"/>
    <w:multiLevelType w:val="hybridMultilevel"/>
    <w:tmpl w:val="88DCF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9426586">
    <w:abstractNumId w:val="4"/>
  </w:num>
  <w:num w:numId="2" w16cid:durableId="1024135310">
    <w:abstractNumId w:val="10"/>
  </w:num>
  <w:num w:numId="3" w16cid:durableId="949047153">
    <w:abstractNumId w:val="18"/>
  </w:num>
  <w:num w:numId="4" w16cid:durableId="1571773471">
    <w:abstractNumId w:val="8"/>
  </w:num>
  <w:num w:numId="5" w16cid:durableId="193466912">
    <w:abstractNumId w:val="7"/>
  </w:num>
  <w:num w:numId="6" w16cid:durableId="1767920595">
    <w:abstractNumId w:val="6"/>
  </w:num>
  <w:num w:numId="7" w16cid:durableId="762382694">
    <w:abstractNumId w:val="2"/>
  </w:num>
  <w:num w:numId="8" w16cid:durableId="1719428065">
    <w:abstractNumId w:val="1"/>
  </w:num>
  <w:num w:numId="9" w16cid:durableId="300236110">
    <w:abstractNumId w:val="15"/>
  </w:num>
  <w:num w:numId="10" w16cid:durableId="1250847569">
    <w:abstractNumId w:val="16"/>
  </w:num>
  <w:num w:numId="11" w16cid:durableId="1836339904">
    <w:abstractNumId w:val="11"/>
  </w:num>
  <w:num w:numId="12" w16cid:durableId="1236696990">
    <w:abstractNumId w:val="12"/>
  </w:num>
  <w:num w:numId="13" w16cid:durableId="965770232">
    <w:abstractNumId w:val="5"/>
  </w:num>
  <w:num w:numId="14" w16cid:durableId="642321103">
    <w:abstractNumId w:val="3"/>
  </w:num>
  <w:num w:numId="15" w16cid:durableId="1849826239">
    <w:abstractNumId w:val="17"/>
  </w:num>
  <w:num w:numId="16" w16cid:durableId="445662480">
    <w:abstractNumId w:val="20"/>
  </w:num>
  <w:num w:numId="17" w16cid:durableId="212616565">
    <w:abstractNumId w:val="19"/>
  </w:num>
  <w:num w:numId="18" w16cid:durableId="1693803086">
    <w:abstractNumId w:val="13"/>
  </w:num>
  <w:num w:numId="19" w16cid:durableId="203833864">
    <w:abstractNumId w:val="14"/>
  </w:num>
  <w:num w:numId="20" w16cid:durableId="151527407">
    <w:abstractNumId w:val="0"/>
  </w:num>
  <w:num w:numId="21" w16cid:durableId="2344365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212C"/>
    <w:rsid w:val="00030C95"/>
    <w:rsid w:val="00062F20"/>
    <w:rsid w:val="00063698"/>
    <w:rsid w:val="00066120"/>
    <w:rsid w:val="00112F77"/>
    <w:rsid w:val="00131731"/>
    <w:rsid w:val="001842FD"/>
    <w:rsid w:val="001938C1"/>
    <w:rsid w:val="001B473E"/>
    <w:rsid w:val="001F5468"/>
    <w:rsid w:val="00284F71"/>
    <w:rsid w:val="0029290C"/>
    <w:rsid w:val="002E1A4B"/>
    <w:rsid w:val="00303451"/>
    <w:rsid w:val="003455DF"/>
    <w:rsid w:val="00350BD5"/>
    <w:rsid w:val="003774A2"/>
    <w:rsid w:val="003965C5"/>
    <w:rsid w:val="003B14B4"/>
    <w:rsid w:val="003B3254"/>
    <w:rsid w:val="00435A79"/>
    <w:rsid w:val="00474DEB"/>
    <w:rsid w:val="005A40BF"/>
    <w:rsid w:val="005F4C4B"/>
    <w:rsid w:val="00626A65"/>
    <w:rsid w:val="006737F6"/>
    <w:rsid w:val="006E39F7"/>
    <w:rsid w:val="00757E63"/>
    <w:rsid w:val="007C6FB5"/>
    <w:rsid w:val="007E212C"/>
    <w:rsid w:val="007E3091"/>
    <w:rsid w:val="007F031D"/>
    <w:rsid w:val="007F09D9"/>
    <w:rsid w:val="007F76FA"/>
    <w:rsid w:val="00802E6B"/>
    <w:rsid w:val="00847907"/>
    <w:rsid w:val="00862D30"/>
    <w:rsid w:val="0087741F"/>
    <w:rsid w:val="00892E95"/>
    <w:rsid w:val="008F10D2"/>
    <w:rsid w:val="00900B36"/>
    <w:rsid w:val="009128A5"/>
    <w:rsid w:val="0095537F"/>
    <w:rsid w:val="0096017F"/>
    <w:rsid w:val="00964CA5"/>
    <w:rsid w:val="00972720"/>
    <w:rsid w:val="00A954B4"/>
    <w:rsid w:val="00AE2C43"/>
    <w:rsid w:val="00B1303B"/>
    <w:rsid w:val="00B37CD0"/>
    <w:rsid w:val="00B8077E"/>
    <w:rsid w:val="00B96C8E"/>
    <w:rsid w:val="00BA4D81"/>
    <w:rsid w:val="00BB2FBF"/>
    <w:rsid w:val="00BD35FB"/>
    <w:rsid w:val="00C163A0"/>
    <w:rsid w:val="00C17299"/>
    <w:rsid w:val="00C31CEC"/>
    <w:rsid w:val="00C42F18"/>
    <w:rsid w:val="00C842B0"/>
    <w:rsid w:val="00CC7BB6"/>
    <w:rsid w:val="00CF5012"/>
    <w:rsid w:val="00D617E1"/>
    <w:rsid w:val="00D673BA"/>
    <w:rsid w:val="00D8294E"/>
    <w:rsid w:val="00DA4FEA"/>
    <w:rsid w:val="00DC52DE"/>
    <w:rsid w:val="00DF1A26"/>
    <w:rsid w:val="00DF6E33"/>
    <w:rsid w:val="00E17F71"/>
    <w:rsid w:val="00E464C6"/>
    <w:rsid w:val="00E932C3"/>
    <w:rsid w:val="00F225A7"/>
    <w:rsid w:val="00FA029B"/>
    <w:rsid w:val="00FD4B35"/>
    <w:rsid w:val="00FE4BCB"/>
    <w:rsid w:val="00FF03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BC068A"/>
  <w15:chartTrackingRefBased/>
  <w15:docId w15:val="{EBED50C0-B88E-4309-B9FD-EA99A7630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12C"/>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4D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12F77"/>
    <w:pPr>
      <w:ind w:left="720"/>
      <w:contextualSpacing/>
    </w:pPr>
  </w:style>
  <w:style w:type="paragraph" w:styleId="NoSpacing">
    <w:name w:val="No Spacing"/>
    <w:link w:val="NoSpacingChar"/>
    <w:uiPriority w:val="1"/>
    <w:qFormat/>
    <w:rsid w:val="00E932C3"/>
    <w:pPr>
      <w:spacing w:after="0" w:line="240" w:lineRule="auto"/>
    </w:pPr>
    <w:rPr>
      <w:rFonts w:eastAsiaTheme="minorEastAsia"/>
      <w:lang w:val="en-GB" w:eastAsia="en-GB"/>
    </w:rPr>
  </w:style>
  <w:style w:type="character" w:customStyle="1" w:styleId="NoSpacingChar">
    <w:name w:val="No Spacing Char"/>
    <w:basedOn w:val="DefaultParagraphFont"/>
    <w:link w:val="NoSpacing"/>
    <w:uiPriority w:val="1"/>
    <w:rsid w:val="00E932C3"/>
    <w:rPr>
      <w:rFonts w:eastAsiaTheme="minorEastAsia"/>
      <w:lang w:val="en-GB" w:eastAsia="en-GB"/>
    </w:rPr>
  </w:style>
  <w:style w:type="paragraph" w:styleId="Header">
    <w:name w:val="header"/>
    <w:basedOn w:val="Normal"/>
    <w:link w:val="HeaderChar"/>
    <w:uiPriority w:val="99"/>
    <w:unhideWhenUsed/>
    <w:rsid w:val="003B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14B4"/>
  </w:style>
  <w:style w:type="paragraph" w:styleId="Footer">
    <w:name w:val="footer"/>
    <w:basedOn w:val="Normal"/>
    <w:link w:val="FooterChar"/>
    <w:uiPriority w:val="99"/>
    <w:unhideWhenUsed/>
    <w:rsid w:val="003B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1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413227">
      <w:bodyDiv w:val="1"/>
      <w:marLeft w:val="0"/>
      <w:marRight w:val="0"/>
      <w:marTop w:val="0"/>
      <w:marBottom w:val="0"/>
      <w:divBdr>
        <w:top w:val="none" w:sz="0" w:space="0" w:color="auto"/>
        <w:left w:val="none" w:sz="0" w:space="0" w:color="auto"/>
        <w:bottom w:val="none" w:sz="0" w:space="0" w:color="auto"/>
        <w:right w:val="none" w:sz="0" w:space="0" w:color="auto"/>
      </w:divBdr>
    </w:div>
    <w:div w:id="74282531">
      <w:bodyDiv w:val="1"/>
      <w:marLeft w:val="0"/>
      <w:marRight w:val="0"/>
      <w:marTop w:val="0"/>
      <w:marBottom w:val="0"/>
      <w:divBdr>
        <w:top w:val="none" w:sz="0" w:space="0" w:color="auto"/>
        <w:left w:val="none" w:sz="0" w:space="0" w:color="auto"/>
        <w:bottom w:val="none" w:sz="0" w:space="0" w:color="auto"/>
        <w:right w:val="none" w:sz="0" w:space="0" w:color="auto"/>
      </w:divBdr>
    </w:div>
    <w:div w:id="76444693">
      <w:bodyDiv w:val="1"/>
      <w:marLeft w:val="0"/>
      <w:marRight w:val="0"/>
      <w:marTop w:val="0"/>
      <w:marBottom w:val="0"/>
      <w:divBdr>
        <w:top w:val="none" w:sz="0" w:space="0" w:color="auto"/>
        <w:left w:val="none" w:sz="0" w:space="0" w:color="auto"/>
        <w:bottom w:val="none" w:sz="0" w:space="0" w:color="auto"/>
        <w:right w:val="none" w:sz="0" w:space="0" w:color="auto"/>
      </w:divBdr>
    </w:div>
    <w:div w:id="86661048">
      <w:bodyDiv w:val="1"/>
      <w:marLeft w:val="0"/>
      <w:marRight w:val="0"/>
      <w:marTop w:val="0"/>
      <w:marBottom w:val="0"/>
      <w:divBdr>
        <w:top w:val="none" w:sz="0" w:space="0" w:color="auto"/>
        <w:left w:val="none" w:sz="0" w:space="0" w:color="auto"/>
        <w:bottom w:val="none" w:sz="0" w:space="0" w:color="auto"/>
        <w:right w:val="none" w:sz="0" w:space="0" w:color="auto"/>
      </w:divBdr>
    </w:div>
    <w:div w:id="101917813">
      <w:bodyDiv w:val="1"/>
      <w:marLeft w:val="0"/>
      <w:marRight w:val="0"/>
      <w:marTop w:val="0"/>
      <w:marBottom w:val="0"/>
      <w:divBdr>
        <w:top w:val="none" w:sz="0" w:space="0" w:color="auto"/>
        <w:left w:val="none" w:sz="0" w:space="0" w:color="auto"/>
        <w:bottom w:val="none" w:sz="0" w:space="0" w:color="auto"/>
        <w:right w:val="none" w:sz="0" w:space="0" w:color="auto"/>
      </w:divBdr>
    </w:div>
    <w:div w:id="203686542">
      <w:bodyDiv w:val="1"/>
      <w:marLeft w:val="0"/>
      <w:marRight w:val="0"/>
      <w:marTop w:val="0"/>
      <w:marBottom w:val="0"/>
      <w:divBdr>
        <w:top w:val="none" w:sz="0" w:space="0" w:color="auto"/>
        <w:left w:val="none" w:sz="0" w:space="0" w:color="auto"/>
        <w:bottom w:val="none" w:sz="0" w:space="0" w:color="auto"/>
        <w:right w:val="none" w:sz="0" w:space="0" w:color="auto"/>
      </w:divBdr>
    </w:div>
    <w:div w:id="227426783">
      <w:bodyDiv w:val="1"/>
      <w:marLeft w:val="0"/>
      <w:marRight w:val="0"/>
      <w:marTop w:val="0"/>
      <w:marBottom w:val="0"/>
      <w:divBdr>
        <w:top w:val="none" w:sz="0" w:space="0" w:color="auto"/>
        <w:left w:val="none" w:sz="0" w:space="0" w:color="auto"/>
        <w:bottom w:val="none" w:sz="0" w:space="0" w:color="auto"/>
        <w:right w:val="none" w:sz="0" w:space="0" w:color="auto"/>
      </w:divBdr>
    </w:div>
    <w:div w:id="229312400">
      <w:bodyDiv w:val="1"/>
      <w:marLeft w:val="0"/>
      <w:marRight w:val="0"/>
      <w:marTop w:val="0"/>
      <w:marBottom w:val="0"/>
      <w:divBdr>
        <w:top w:val="none" w:sz="0" w:space="0" w:color="auto"/>
        <w:left w:val="none" w:sz="0" w:space="0" w:color="auto"/>
        <w:bottom w:val="none" w:sz="0" w:space="0" w:color="auto"/>
        <w:right w:val="none" w:sz="0" w:space="0" w:color="auto"/>
      </w:divBdr>
    </w:div>
    <w:div w:id="237597605">
      <w:bodyDiv w:val="1"/>
      <w:marLeft w:val="0"/>
      <w:marRight w:val="0"/>
      <w:marTop w:val="0"/>
      <w:marBottom w:val="0"/>
      <w:divBdr>
        <w:top w:val="none" w:sz="0" w:space="0" w:color="auto"/>
        <w:left w:val="none" w:sz="0" w:space="0" w:color="auto"/>
        <w:bottom w:val="none" w:sz="0" w:space="0" w:color="auto"/>
        <w:right w:val="none" w:sz="0" w:space="0" w:color="auto"/>
      </w:divBdr>
    </w:div>
    <w:div w:id="265232066">
      <w:bodyDiv w:val="1"/>
      <w:marLeft w:val="0"/>
      <w:marRight w:val="0"/>
      <w:marTop w:val="0"/>
      <w:marBottom w:val="0"/>
      <w:divBdr>
        <w:top w:val="none" w:sz="0" w:space="0" w:color="auto"/>
        <w:left w:val="none" w:sz="0" w:space="0" w:color="auto"/>
        <w:bottom w:val="none" w:sz="0" w:space="0" w:color="auto"/>
        <w:right w:val="none" w:sz="0" w:space="0" w:color="auto"/>
      </w:divBdr>
      <w:divsChild>
        <w:div w:id="102655128">
          <w:marLeft w:val="0"/>
          <w:marRight w:val="0"/>
          <w:marTop w:val="0"/>
          <w:marBottom w:val="0"/>
          <w:divBdr>
            <w:top w:val="none" w:sz="0" w:space="0" w:color="auto"/>
            <w:left w:val="none" w:sz="0" w:space="0" w:color="auto"/>
            <w:bottom w:val="none" w:sz="0" w:space="0" w:color="auto"/>
            <w:right w:val="none" w:sz="0" w:space="0" w:color="auto"/>
          </w:divBdr>
        </w:div>
      </w:divsChild>
    </w:div>
    <w:div w:id="269162083">
      <w:bodyDiv w:val="1"/>
      <w:marLeft w:val="0"/>
      <w:marRight w:val="0"/>
      <w:marTop w:val="0"/>
      <w:marBottom w:val="0"/>
      <w:divBdr>
        <w:top w:val="none" w:sz="0" w:space="0" w:color="auto"/>
        <w:left w:val="none" w:sz="0" w:space="0" w:color="auto"/>
        <w:bottom w:val="none" w:sz="0" w:space="0" w:color="auto"/>
        <w:right w:val="none" w:sz="0" w:space="0" w:color="auto"/>
      </w:divBdr>
    </w:div>
    <w:div w:id="516575293">
      <w:bodyDiv w:val="1"/>
      <w:marLeft w:val="0"/>
      <w:marRight w:val="0"/>
      <w:marTop w:val="0"/>
      <w:marBottom w:val="0"/>
      <w:divBdr>
        <w:top w:val="none" w:sz="0" w:space="0" w:color="auto"/>
        <w:left w:val="none" w:sz="0" w:space="0" w:color="auto"/>
        <w:bottom w:val="none" w:sz="0" w:space="0" w:color="auto"/>
        <w:right w:val="none" w:sz="0" w:space="0" w:color="auto"/>
      </w:divBdr>
    </w:div>
    <w:div w:id="534856499">
      <w:bodyDiv w:val="1"/>
      <w:marLeft w:val="0"/>
      <w:marRight w:val="0"/>
      <w:marTop w:val="0"/>
      <w:marBottom w:val="0"/>
      <w:divBdr>
        <w:top w:val="none" w:sz="0" w:space="0" w:color="auto"/>
        <w:left w:val="none" w:sz="0" w:space="0" w:color="auto"/>
        <w:bottom w:val="none" w:sz="0" w:space="0" w:color="auto"/>
        <w:right w:val="none" w:sz="0" w:space="0" w:color="auto"/>
      </w:divBdr>
    </w:div>
    <w:div w:id="557598184">
      <w:bodyDiv w:val="1"/>
      <w:marLeft w:val="0"/>
      <w:marRight w:val="0"/>
      <w:marTop w:val="0"/>
      <w:marBottom w:val="0"/>
      <w:divBdr>
        <w:top w:val="none" w:sz="0" w:space="0" w:color="auto"/>
        <w:left w:val="none" w:sz="0" w:space="0" w:color="auto"/>
        <w:bottom w:val="none" w:sz="0" w:space="0" w:color="auto"/>
        <w:right w:val="none" w:sz="0" w:space="0" w:color="auto"/>
      </w:divBdr>
    </w:div>
    <w:div w:id="573047507">
      <w:bodyDiv w:val="1"/>
      <w:marLeft w:val="0"/>
      <w:marRight w:val="0"/>
      <w:marTop w:val="0"/>
      <w:marBottom w:val="0"/>
      <w:divBdr>
        <w:top w:val="none" w:sz="0" w:space="0" w:color="auto"/>
        <w:left w:val="none" w:sz="0" w:space="0" w:color="auto"/>
        <w:bottom w:val="none" w:sz="0" w:space="0" w:color="auto"/>
        <w:right w:val="none" w:sz="0" w:space="0" w:color="auto"/>
      </w:divBdr>
    </w:div>
    <w:div w:id="667440210">
      <w:bodyDiv w:val="1"/>
      <w:marLeft w:val="0"/>
      <w:marRight w:val="0"/>
      <w:marTop w:val="0"/>
      <w:marBottom w:val="0"/>
      <w:divBdr>
        <w:top w:val="none" w:sz="0" w:space="0" w:color="auto"/>
        <w:left w:val="none" w:sz="0" w:space="0" w:color="auto"/>
        <w:bottom w:val="none" w:sz="0" w:space="0" w:color="auto"/>
        <w:right w:val="none" w:sz="0" w:space="0" w:color="auto"/>
      </w:divBdr>
    </w:div>
    <w:div w:id="690767286">
      <w:bodyDiv w:val="1"/>
      <w:marLeft w:val="0"/>
      <w:marRight w:val="0"/>
      <w:marTop w:val="0"/>
      <w:marBottom w:val="0"/>
      <w:divBdr>
        <w:top w:val="none" w:sz="0" w:space="0" w:color="auto"/>
        <w:left w:val="none" w:sz="0" w:space="0" w:color="auto"/>
        <w:bottom w:val="none" w:sz="0" w:space="0" w:color="auto"/>
        <w:right w:val="none" w:sz="0" w:space="0" w:color="auto"/>
      </w:divBdr>
    </w:div>
    <w:div w:id="727648642">
      <w:bodyDiv w:val="1"/>
      <w:marLeft w:val="0"/>
      <w:marRight w:val="0"/>
      <w:marTop w:val="0"/>
      <w:marBottom w:val="0"/>
      <w:divBdr>
        <w:top w:val="none" w:sz="0" w:space="0" w:color="auto"/>
        <w:left w:val="none" w:sz="0" w:space="0" w:color="auto"/>
        <w:bottom w:val="none" w:sz="0" w:space="0" w:color="auto"/>
        <w:right w:val="none" w:sz="0" w:space="0" w:color="auto"/>
      </w:divBdr>
    </w:div>
    <w:div w:id="909727146">
      <w:bodyDiv w:val="1"/>
      <w:marLeft w:val="0"/>
      <w:marRight w:val="0"/>
      <w:marTop w:val="0"/>
      <w:marBottom w:val="0"/>
      <w:divBdr>
        <w:top w:val="none" w:sz="0" w:space="0" w:color="auto"/>
        <w:left w:val="none" w:sz="0" w:space="0" w:color="auto"/>
        <w:bottom w:val="none" w:sz="0" w:space="0" w:color="auto"/>
        <w:right w:val="none" w:sz="0" w:space="0" w:color="auto"/>
      </w:divBdr>
    </w:div>
    <w:div w:id="999431363">
      <w:bodyDiv w:val="1"/>
      <w:marLeft w:val="0"/>
      <w:marRight w:val="0"/>
      <w:marTop w:val="0"/>
      <w:marBottom w:val="0"/>
      <w:divBdr>
        <w:top w:val="none" w:sz="0" w:space="0" w:color="auto"/>
        <w:left w:val="none" w:sz="0" w:space="0" w:color="auto"/>
        <w:bottom w:val="none" w:sz="0" w:space="0" w:color="auto"/>
        <w:right w:val="none" w:sz="0" w:space="0" w:color="auto"/>
      </w:divBdr>
    </w:div>
    <w:div w:id="1041367555">
      <w:bodyDiv w:val="1"/>
      <w:marLeft w:val="0"/>
      <w:marRight w:val="0"/>
      <w:marTop w:val="0"/>
      <w:marBottom w:val="0"/>
      <w:divBdr>
        <w:top w:val="none" w:sz="0" w:space="0" w:color="auto"/>
        <w:left w:val="none" w:sz="0" w:space="0" w:color="auto"/>
        <w:bottom w:val="none" w:sz="0" w:space="0" w:color="auto"/>
        <w:right w:val="none" w:sz="0" w:space="0" w:color="auto"/>
      </w:divBdr>
    </w:div>
    <w:div w:id="1098212156">
      <w:bodyDiv w:val="1"/>
      <w:marLeft w:val="0"/>
      <w:marRight w:val="0"/>
      <w:marTop w:val="0"/>
      <w:marBottom w:val="0"/>
      <w:divBdr>
        <w:top w:val="none" w:sz="0" w:space="0" w:color="auto"/>
        <w:left w:val="none" w:sz="0" w:space="0" w:color="auto"/>
        <w:bottom w:val="none" w:sz="0" w:space="0" w:color="auto"/>
        <w:right w:val="none" w:sz="0" w:space="0" w:color="auto"/>
      </w:divBdr>
    </w:div>
    <w:div w:id="1150974934">
      <w:bodyDiv w:val="1"/>
      <w:marLeft w:val="0"/>
      <w:marRight w:val="0"/>
      <w:marTop w:val="0"/>
      <w:marBottom w:val="0"/>
      <w:divBdr>
        <w:top w:val="none" w:sz="0" w:space="0" w:color="auto"/>
        <w:left w:val="none" w:sz="0" w:space="0" w:color="auto"/>
        <w:bottom w:val="none" w:sz="0" w:space="0" w:color="auto"/>
        <w:right w:val="none" w:sz="0" w:space="0" w:color="auto"/>
      </w:divBdr>
    </w:div>
    <w:div w:id="1167206086">
      <w:bodyDiv w:val="1"/>
      <w:marLeft w:val="0"/>
      <w:marRight w:val="0"/>
      <w:marTop w:val="0"/>
      <w:marBottom w:val="0"/>
      <w:divBdr>
        <w:top w:val="none" w:sz="0" w:space="0" w:color="auto"/>
        <w:left w:val="none" w:sz="0" w:space="0" w:color="auto"/>
        <w:bottom w:val="none" w:sz="0" w:space="0" w:color="auto"/>
        <w:right w:val="none" w:sz="0" w:space="0" w:color="auto"/>
      </w:divBdr>
    </w:div>
    <w:div w:id="1273172379">
      <w:bodyDiv w:val="1"/>
      <w:marLeft w:val="0"/>
      <w:marRight w:val="0"/>
      <w:marTop w:val="0"/>
      <w:marBottom w:val="0"/>
      <w:divBdr>
        <w:top w:val="none" w:sz="0" w:space="0" w:color="auto"/>
        <w:left w:val="none" w:sz="0" w:space="0" w:color="auto"/>
        <w:bottom w:val="none" w:sz="0" w:space="0" w:color="auto"/>
        <w:right w:val="none" w:sz="0" w:space="0" w:color="auto"/>
      </w:divBdr>
    </w:div>
    <w:div w:id="1284848882">
      <w:bodyDiv w:val="1"/>
      <w:marLeft w:val="0"/>
      <w:marRight w:val="0"/>
      <w:marTop w:val="0"/>
      <w:marBottom w:val="0"/>
      <w:divBdr>
        <w:top w:val="none" w:sz="0" w:space="0" w:color="auto"/>
        <w:left w:val="none" w:sz="0" w:space="0" w:color="auto"/>
        <w:bottom w:val="none" w:sz="0" w:space="0" w:color="auto"/>
        <w:right w:val="none" w:sz="0" w:space="0" w:color="auto"/>
      </w:divBdr>
    </w:div>
    <w:div w:id="1305431427">
      <w:bodyDiv w:val="1"/>
      <w:marLeft w:val="0"/>
      <w:marRight w:val="0"/>
      <w:marTop w:val="0"/>
      <w:marBottom w:val="0"/>
      <w:divBdr>
        <w:top w:val="none" w:sz="0" w:space="0" w:color="auto"/>
        <w:left w:val="none" w:sz="0" w:space="0" w:color="auto"/>
        <w:bottom w:val="none" w:sz="0" w:space="0" w:color="auto"/>
        <w:right w:val="none" w:sz="0" w:space="0" w:color="auto"/>
      </w:divBdr>
    </w:div>
    <w:div w:id="1333220031">
      <w:bodyDiv w:val="1"/>
      <w:marLeft w:val="0"/>
      <w:marRight w:val="0"/>
      <w:marTop w:val="0"/>
      <w:marBottom w:val="0"/>
      <w:divBdr>
        <w:top w:val="none" w:sz="0" w:space="0" w:color="auto"/>
        <w:left w:val="none" w:sz="0" w:space="0" w:color="auto"/>
        <w:bottom w:val="none" w:sz="0" w:space="0" w:color="auto"/>
        <w:right w:val="none" w:sz="0" w:space="0" w:color="auto"/>
      </w:divBdr>
    </w:div>
    <w:div w:id="1511675728">
      <w:bodyDiv w:val="1"/>
      <w:marLeft w:val="0"/>
      <w:marRight w:val="0"/>
      <w:marTop w:val="0"/>
      <w:marBottom w:val="0"/>
      <w:divBdr>
        <w:top w:val="none" w:sz="0" w:space="0" w:color="auto"/>
        <w:left w:val="none" w:sz="0" w:space="0" w:color="auto"/>
        <w:bottom w:val="none" w:sz="0" w:space="0" w:color="auto"/>
        <w:right w:val="none" w:sz="0" w:space="0" w:color="auto"/>
      </w:divBdr>
    </w:div>
    <w:div w:id="1616449611">
      <w:bodyDiv w:val="1"/>
      <w:marLeft w:val="0"/>
      <w:marRight w:val="0"/>
      <w:marTop w:val="0"/>
      <w:marBottom w:val="0"/>
      <w:divBdr>
        <w:top w:val="none" w:sz="0" w:space="0" w:color="auto"/>
        <w:left w:val="none" w:sz="0" w:space="0" w:color="auto"/>
        <w:bottom w:val="none" w:sz="0" w:space="0" w:color="auto"/>
        <w:right w:val="none" w:sz="0" w:space="0" w:color="auto"/>
      </w:divBdr>
    </w:div>
    <w:div w:id="1699619846">
      <w:bodyDiv w:val="1"/>
      <w:marLeft w:val="0"/>
      <w:marRight w:val="0"/>
      <w:marTop w:val="0"/>
      <w:marBottom w:val="0"/>
      <w:divBdr>
        <w:top w:val="none" w:sz="0" w:space="0" w:color="auto"/>
        <w:left w:val="none" w:sz="0" w:space="0" w:color="auto"/>
        <w:bottom w:val="none" w:sz="0" w:space="0" w:color="auto"/>
        <w:right w:val="none" w:sz="0" w:space="0" w:color="auto"/>
      </w:divBdr>
    </w:div>
    <w:div w:id="1737043748">
      <w:bodyDiv w:val="1"/>
      <w:marLeft w:val="0"/>
      <w:marRight w:val="0"/>
      <w:marTop w:val="0"/>
      <w:marBottom w:val="0"/>
      <w:divBdr>
        <w:top w:val="none" w:sz="0" w:space="0" w:color="auto"/>
        <w:left w:val="none" w:sz="0" w:space="0" w:color="auto"/>
        <w:bottom w:val="none" w:sz="0" w:space="0" w:color="auto"/>
        <w:right w:val="none" w:sz="0" w:space="0" w:color="auto"/>
      </w:divBdr>
    </w:div>
    <w:div w:id="1761290703">
      <w:bodyDiv w:val="1"/>
      <w:marLeft w:val="0"/>
      <w:marRight w:val="0"/>
      <w:marTop w:val="0"/>
      <w:marBottom w:val="0"/>
      <w:divBdr>
        <w:top w:val="none" w:sz="0" w:space="0" w:color="auto"/>
        <w:left w:val="none" w:sz="0" w:space="0" w:color="auto"/>
        <w:bottom w:val="none" w:sz="0" w:space="0" w:color="auto"/>
        <w:right w:val="none" w:sz="0" w:space="0" w:color="auto"/>
      </w:divBdr>
    </w:div>
    <w:div w:id="1943488023">
      <w:bodyDiv w:val="1"/>
      <w:marLeft w:val="0"/>
      <w:marRight w:val="0"/>
      <w:marTop w:val="0"/>
      <w:marBottom w:val="0"/>
      <w:divBdr>
        <w:top w:val="none" w:sz="0" w:space="0" w:color="auto"/>
        <w:left w:val="none" w:sz="0" w:space="0" w:color="auto"/>
        <w:bottom w:val="none" w:sz="0" w:space="0" w:color="auto"/>
        <w:right w:val="none" w:sz="0" w:space="0" w:color="auto"/>
      </w:divBdr>
    </w:div>
    <w:div w:id="1956254468">
      <w:bodyDiv w:val="1"/>
      <w:marLeft w:val="0"/>
      <w:marRight w:val="0"/>
      <w:marTop w:val="0"/>
      <w:marBottom w:val="0"/>
      <w:divBdr>
        <w:top w:val="none" w:sz="0" w:space="0" w:color="auto"/>
        <w:left w:val="none" w:sz="0" w:space="0" w:color="auto"/>
        <w:bottom w:val="none" w:sz="0" w:space="0" w:color="auto"/>
        <w:right w:val="none" w:sz="0" w:space="0" w:color="auto"/>
      </w:divBdr>
    </w:div>
    <w:div w:id="1985112521">
      <w:bodyDiv w:val="1"/>
      <w:marLeft w:val="0"/>
      <w:marRight w:val="0"/>
      <w:marTop w:val="0"/>
      <w:marBottom w:val="0"/>
      <w:divBdr>
        <w:top w:val="none" w:sz="0" w:space="0" w:color="auto"/>
        <w:left w:val="none" w:sz="0" w:space="0" w:color="auto"/>
        <w:bottom w:val="none" w:sz="0" w:space="0" w:color="auto"/>
        <w:right w:val="none" w:sz="0" w:space="0" w:color="auto"/>
      </w:divBdr>
    </w:div>
    <w:div w:id="2139688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esh">
  <a:themeElements>
    <a:clrScheme name="Mesh">
      <a:dk1>
        <a:sysClr val="windowText" lastClr="000000"/>
      </a:dk1>
      <a:lt1>
        <a:sysClr val="window" lastClr="FFFFFF"/>
      </a:lt1>
      <a:dk2>
        <a:srgbClr val="363D46"/>
      </a:dk2>
      <a:lt2>
        <a:srgbClr val="EBEBEB"/>
      </a:lt2>
      <a:accent1>
        <a:srgbClr val="6F6F6F"/>
      </a:accent1>
      <a:accent2>
        <a:srgbClr val="BFBFA5"/>
      </a:accent2>
      <a:accent3>
        <a:srgbClr val="DCD084"/>
      </a:accent3>
      <a:accent4>
        <a:srgbClr val="E7BF5F"/>
      </a:accent4>
      <a:accent5>
        <a:srgbClr val="E9A039"/>
      </a:accent5>
      <a:accent6>
        <a:srgbClr val="CF7133"/>
      </a:accent6>
      <a:hlink>
        <a:srgbClr val="F28943"/>
      </a:hlink>
      <a:folHlink>
        <a:srgbClr val="F1B76C"/>
      </a:folHlink>
    </a:clrScheme>
    <a:fontScheme name="Mesh">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Mesh">
      <a:fillStyleLst>
        <a:solidFill>
          <a:schemeClr val="phClr"/>
        </a:solidFill>
        <a:gradFill rotWithShape="1">
          <a:gsLst>
            <a:gs pos="0">
              <a:schemeClr val="phClr">
                <a:tint val="60000"/>
                <a:lumMod val="110000"/>
              </a:schemeClr>
            </a:gs>
            <a:gs pos="100000">
              <a:schemeClr val="phClr">
                <a:tint val="82000"/>
              </a:schemeClr>
            </a:gs>
          </a:gsLst>
          <a:lin ang="5400000" scaled="0"/>
        </a:gradFill>
        <a:gradFill rotWithShape="1">
          <a:gsLst>
            <a:gs pos="0">
              <a:schemeClr val="phClr">
                <a:tint val="96000"/>
                <a:lumMod val="104000"/>
              </a:schemeClr>
            </a:gs>
            <a:gs pos="100000">
              <a:schemeClr val="phClr">
                <a:shade val="84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innerShdw blurRad="50800" dist="25400" dir="13500000">
              <a:srgbClr val="000000">
                <a:alpha val="55000"/>
              </a:srgbClr>
            </a:innerShdw>
          </a:effectLst>
        </a:effectStyle>
        <a:effectStyle>
          <a:effectLst>
            <a:outerShdw blurRad="50800" dist="38100" dir="5400000" rotWithShape="0">
              <a:srgbClr val="000000">
                <a:alpha val="60000"/>
              </a:srgbClr>
            </a:outerShdw>
          </a:effectLst>
          <a:scene3d>
            <a:camera prst="orthographicFront">
              <a:rot lat="0" lon="0" rev="0"/>
            </a:camera>
            <a:lightRig rig="threePt" dir="tl"/>
          </a:scene3d>
          <a:sp3d>
            <a:bevelT w="25400" h="25400" prst="slope"/>
          </a:sp3d>
        </a:effectStyle>
      </a:effectStyleLst>
      <a:bgFillStyleLst>
        <a:solidFill>
          <a:schemeClr val="phClr"/>
        </a:solidFill>
        <a:gradFill rotWithShape="1">
          <a:gsLst>
            <a:gs pos="0">
              <a:schemeClr val="phClr">
                <a:tint val="90000"/>
                <a:lumMod val="110000"/>
              </a:schemeClr>
            </a:gs>
            <a:gs pos="100000">
              <a:schemeClr val="phClr">
                <a:shade val="64000"/>
                <a:lumMod val="98000"/>
              </a:schemeClr>
            </a:gs>
          </a:gsLst>
          <a:lin ang="5400000" scaled="0"/>
        </a:gradFill>
        <a:blipFill rotWithShape="1">
          <a:blip xmlns:r="http://schemas.openxmlformats.org/officeDocument/2006/relationships" r:embed="rId1">
            <a:duotone>
              <a:schemeClr val="phClr">
                <a:shade val="28000"/>
                <a:satMod val="94000"/>
                <a:lumMod val="20000"/>
              </a:schemeClr>
              <a:schemeClr val="phClr">
                <a:tint val="94000"/>
                <a:shade val="84000"/>
                <a:satMod val="148000"/>
                <a:lumMod val="114000"/>
              </a:schemeClr>
            </a:duotone>
          </a:blip>
          <a:stretch/>
        </a:blipFill>
      </a:bgFillStyleLst>
    </a:fmtScheme>
  </a:themeElements>
  <a:objectDefaults/>
  <a:extraClrSchemeLst/>
  <a:extLst>
    <a:ext uri="{05A4C25C-085E-4340-85A3-A5531E510DB2}">
      <thm15:themeFamily xmlns:thm15="http://schemas.microsoft.com/office/thememl/2012/main" name="Mesh" id="{789EC3FE-34FD-429C-9918-760025E6C145}" vid="{B8BE45C0-8141-4D58-8C71-A009BC26FBBB}"/>
    </a:ext>
  </a:extLst>
</a:theme>
</file>

<file path=docProps/app.xml><?xml version="1.0" encoding="utf-8"?>
<Properties xmlns="http://schemas.openxmlformats.org/officeDocument/2006/extended-properties" xmlns:vt="http://schemas.openxmlformats.org/officeDocument/2006/docPropsVTypes">
  <Template>Normal</Template>
  <TotalTime>1</TotalTime>
  <Pages>35</Pages>
  <Words>5475</Words>
  <Characters>31208</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hanzala kazi</cp:lastModifiedBy>
  <cp:revision>2</cp:revision>
  <dcterms:created xsi:type="dcterms:W3CDTF">2024-08-21T06:45:00Z</dcterms:created>
  <dcterms:modified xsi:type="dcterms:W3CDTF">2024-08-21T06:45:00Z</dcterms:modified>
</cp:coreProperties>
</file>