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A3C96" w14:textId="3381FD33" w:rsidR="00225EDD" w:rsidRPr="001A6018" w:rsidRDefault="00AC3A13" w:rsidP="001A6018">
      <w:pPr>
        <w:pStyle w:val="Heading1"/>
        <w:jc w:val="center"/>
      </w:pPr>
      <w:r w:rsidRPr="001A6018">
        <w:t>AI Acknowledgement Statement</w:t>
      </w:r>
    </w:p>
    <w:p w14:paraId="2D7F1A1C" w14:textId="77777777" w:rsidR="00AC3A13" w:rsidRPr="001A6018" w:rsidRDefault="00AC3A13" w:rsidP="00AC3A13">
      <w:pPr>
        <w:rPr>
          <w:rFonts w:ascii="Times New Roman" w:hAnsi="Times New Roman" w:cs="Times New Roman"/>
          <w:sz w:val="24"/>
          <w:szCs w:val="24"/>
        </w:rPr>
      </w:pPr>
    </w:p>
    <w:p w14:paraId="6A7D47DC" w14:textId="736D73C0" w:rsidR="00AC3A13" w:rsidRPr="001A6018" w:rsidRDefault="00AC3A13" w:rsidP="00AC3A13">
      <w:pPr>
        <w:rPr>
          <w:rFonts w:ascii="Times New Roman" w:hAnsi="Times New Roman" w:cs="Times New Roman"/>
          <w:sz w:val="24"/>
          <w:szCs w:val="24"/>
        </w:rPr>
      </w:pPr>
      <w:r w:rsidRPr="001A6018">
        <w:rPr>
          <w:rFonts w:ascii="Times New Roman" w:hAnsi="Times New Roman" w:cs="Times New Roman"/>
          <w:sz w:val="24"/>
          <w:szCs w:val="24"/>
        </w:rPr>
        <w:t xml:space="preserve">I acknowledge </w:t>
      </w:r>
      <w:r w:rsidR="001A6018">
        <w:rPr>
          <w:rFonts w:ascii="Times New Roman" w:hAnsi="Times New Roman" w:cs="Times New Roman"/>
          <w:sz w:val="24"/>
          <w:szCs w:val="24"/>
        </w:rPr>
        <w:t xml:space="preserve">that </w:t>
      </w:r>
      <w:r w:rsidRPr="001A6018">
        <w:rPr>
          <w:rFonts w:ascii="Times New Roman" w:hAnsi="Times New Roman" w:cs="Times New Roman"/>
          <w:sz w:val="24"/>
          <w:szCs w:val="24"/>
        </w:rPr>
        <w:t xml:space="preserve">the </w:t>
      </w:r>
      <w:r w:rsidR="00B4461A" w:rsidRPr="001A6018">
        <w:rPr>
          <w:rFonts w:ascii="Times New Roman" w:hAnsi="Times New Roman" w:cs="Times New Roman"/>
          <w:sz w:val="24"/>
          <w:szCs w:val="24"/>
        </w:rPr>
        <w:t>essay below</w:t>
      </w:r>
      <w:r w:rsidRPr="001A6018">
        <w:rPr>
          <w:rFonts w:ascii="Times New Roman" w:hAnsi="Times New Roman" w:cs="Times New Roman"/>
          <w:sz w:val="24"/>
          <w:szCs w:val="24"/>
        </w:rPr>
        <w:t xml:space="preserve"> was not </w:t>
      </w:r>
      <w:r w:rsidR="00B4461A" w:rsidRPr="001A6018">
        <w:rPr>
          <w:rFonts w:ascii="Times New Roman" w:hAnsi="Times New Roman" w:cs="Times New Roman"/>
          <w:sz w:val="24"/>
          <w:szCs w:val="24"/>
        </w:rPr>
        <w:t>created by AI and is all my own work.</w:t>
      </w:r>
    </w:p>
    <w:p w14:paraId="0605E7FD" w14:textId="77777777" w:rsidR="00B4461A" w:rsidRDefault="00B4461A" w:rsidP="00AC3A13"/>
    <w:p w14:paraId="718C5205" w14:textId="77777777" w:rsidR="00B4461A" w:rsidRDefault="00B4461A" w:rsidP="00AC3A13"/>
    <w:p w14:paraId="63BEFC1E" w14:textId="77777777" w:rsidR="00B4461A" w:rsidRDefault="00B4461A" w:rsidP="00AC3A13"/>
    <w:p w14:paraId="58609A03" w14:textId="77777777" w:rsidR="00B4461A" w:rsidRDefault="00B4461A" w:rsidP="00AC3A13"/>
    <w:p w14:paraId="060E48A9" w14:textId="77777777" w:rsidR="00B4461A" w:rsidRDefault="00B4461A" w:rsidP="00AC3A13"/>
    <w:p w14:paraId="20411E32" w14:textId="77777777" w:rsidR="00B4461A" w:rsidRDefault="00B4461A" w:rsidP="00AC3A13"/>
    <w:p w14:paraId="3C325BC8" w14:textId="77777777" w:rsidR="00B4461A" w:rsidRDefault="00B4461A" w:rsidP="00AC3A13"/>
    <w:p w14:paraId="28D22AFC" w14:textId="77777777" w:rsidR="00B4461A" w:rsidRDefault="00B4461A" w:rsidP="00AC3A13"/>
    <w:p w14:paraId="0A61BB32" w14:textId="77777777" w:rsidR="00B4461A" w:rsidRDefault="00B4461A" w:rsidP="00AC3A13"/>
    <w:p w14:paraId="420AD694" w14:textId="77777777" w:rsidR="00B4461A" w:rsidRDefault="00B4461A" w:rsidP="00AC3A13"/>
    <w:p w14:paraId="309B03A2" w14:textId="77777777" w:rsidR="00B4461A" w:rsidRDefault="00B4461A" w:rsidP="00AC3A13"/>
    <w:p w14:paraId="51EE975E" w14:textId="77777777" w:rsidR="00B4461A" w:rsidRDefault="00B4461A" w:rsidP="00AC3A13"/>
    <w:p w14:paraId="19F3F32A" w14:textId="77777777" w:rsidR="00B4461A" w:rsidRDefault="00B4461A" w:rsidP="00AC3A13"/>
    <w:p w14:paraId="0F099D0D" w14:textId="77777777" w:rsidR="00B4461A" w:rsidRDefault="00B4461A" w:rsidP="00AC3A13"/>
    <w:p w14:paraId="2982668B" w14:textId="77777777" w:rsidR="00B4461A" w:rsidRDefault="00B4461A" w:rsidP="00AC3A13"/>
    <w:p w14:paraId="684535AD" w14:textId="77777777" w:rsidR="00B4461A" w:rsidRDefault="00B4461A" w:rsidP="00AC3A13"/>
    <w:p w14:paraId="3FCA468D" w14:textId="77777777" w:rsidR="00B4461A" w:rsidRDefault="00B4461A" w:rsidP="00AC3A13"/>
    <w:p w14:paraId="27A6D6CC" w14:textId="77777777" w:rsidR="00B4461A" w:rsidRDefault="00B4461A" w:rsidP="00AC3A13"/>
    <w:p w14:paraId="5F9691D5" w14:textId="77777777" w:rsidR="00B4461A" w:rsidRDefault="00B4461A" w:rsidP="00AC3A13"/>
    <w:p w14:paraId="084578B4" w14:textId="77777777" w:rsidR="00B4461A" w:rsidRDefault="00B4461A" w:rsidP="00AC3A13"/>
    <w:p w14:paraId="2E2B7456" w14:textId="77777777" w:rsidR="00B4461A" w:rsidRDefault="00B4461A" w:rsidP="00AC3A13"/>
    <w:p w14:paraId="6EF0711A" w14:textId="3BF68574" w:rsidR="00B4461A" w:rsidRDefault="00B4461A" w:rsidP="00AC3A13"/>
    <w:p w14:paraId="5D3DB5EA" w14:textId="77777777" w:rsidR="00B4461A" w:rsidRDefault="00B4461A" w:rsidP="00AC3A13"/>
    <w:p w14:paraId="6B286A2D" w14:textId="77777777" w:rsidR="00B4461A" w:rsidRDefault="00B4461A" w:rsidP="00AC3A13"/>
    <w:p w14:paraId="6E8212C3" w14:textId="77777777" w:rsidR="00B4461A" w:rsidRDefault="00B4461A" w:rsidP="00AC3A13"/>
    <w:p w14:paraId="7695F6B4" w14:textId="77777777" w:rsidR="00B4461A" w:rsidRDefault="00B4461A" w:rsidP="00AC3A13"/>
    <w:p w14:paraId="436E5A61" w14:textId="77777777" w:rsidR="00B4461A" w:rsidRDefault="00B4461A" w:rsidP="00AC3A13"/>
    <w:p w14:paraId="0792BE46" w14:textId="783AF31C" w:rsidR="004020CC" w:rsidRDefault="0032396D" w:rsidP="0032396D">
      <w:pPr>
        <w:pStyle w:val="Heading1"/>
        <w:jc w:val="center"/>
      </w:pPr>
      <w:r>
        <w:lastRenderedPageBreak/>
        <w:t>Reflective Commentary on Professional and Personal Development</w:t>
      </w:r>
    </w:p>
    <w:p w14:paraId="3667CA58" w14:textId="77777777" w:rsidR="0032396D" w:rsidRPr="0032396D" w:rsidRDefault="0032396D" w:rsidP="0032396D"/>
    <w:p w14:paraId="43741B45" w14:textId="797764AB" w:rsidR="00D41DB6" w:rsidRDefault="00D41DB6" w:rsidP="00C425B9">
      <w:pPr>
        <w:pStyle w:val="NormalWeb"/>
        <w:spacing w:line="480" w:lineRule="auto"/>
        <w:ind w:firstLine="720"/>
      </w:pPr>
      <w:r>
        <w:t xml:space="preserve">Engaging with counselling training over this module has been a transformative journey, prompting </w:t>
      </w:r>
      <w:r w:rsidR="002D0EB5">
        <w:t>personally significant</w:t>
      </w:r>
      <w:r>
        <w:t xml:space="preserve"> reflection on both personal and professional development. Structured learning experiences, including triad-based assessments, circle time discussions, group questioning exercises and reflective journaling, illuminated the complexities of relational practice, self-awareness and ethical responsibility. These experiences highlighted the dynamic interplay between emotional, cognitive and ethical dimensions within counselling, reinforcing the importance of reflexivity in cultivating relational depth and professional competence (Bolton &amp; </w:t>
      </w:r>
      <w:proofErr w:type="spellStart"/>
      <w:r>
        <w:t>Delderfield</w:t>
      </w:r>
      <w:proofErr w:type="spellEnd"/>
      <w:r>
        <w:t>, 2018).</w:t>
      </w:r>
      <w:r w:rsidR="00C425B9">
        <w:t xml:space="preserve"> </w:t>
      </w:r>
      <w:r>
        <w:t>This reflective commentary is primarily informed by Gibbs’ (1988) reflective cycle, which offers a structured yet flexible framework for exploring experience through description, emotional response, evaluation, analysis, and learning. The model proved particularly valuable in legitimising emotional responses alongside cognitive evaluation, allowing deeper reflexive insight to emerge. However, while Gibbs’ framework provides clarity and containment, it also risks becoming overly linear if applied rigidly. For this reason, it has been used as a guiding structure rather than a prescriptive template, integrated alongside broader reflexive and relational perspectives drawn from counselling theory and practice.</w:t>
      </w:r>
    </w:p>
    <w:p w14:paraId="2682684D" w14:textId="3F51D575" w:rsidR="004020CC" w:rsidRDefault="00EF5C21" w:rsidP="004020CC">
      <w:pPr>
        <w:pStyle w:val="NormalWeb"/>
        <w:spacing w:line="480" w:lineRule="auto"/>
        <w:ind w:firstLine="720"/>
      </w:pPr>
      <w:r>
        <w:t xml:space="preserve">Central to this learning journey were the triad assessments, in which participants alternated roles as helper, </w:t>
      </w:r>
      <w:proofErr w:type="spellStart"/>
      <w:r>
        <w:t>helpie</w:t>
      </w:r>
      <w:proofErr w:type="spellEnd"/>
      <w:r>
        <w:t xml:space="preserve"> and observer</w:t>
      </w:r>
      <w:r w:rsidR="004020CC">
        <w:t xml:space="preserve">, </w:t>
      </w:r>
      <w:r>
        <w:t>providing</w:t>
      </w:r>
      <w:r w:rsidR="004020CC">
        <w:t xml:space="preserve"> a rich learning environment. As a helper, I encountered significant internal challenges.</w:t>
      </w:r>
      <w:r w:rsidR="00DA06EE" w:rsidRPr="00DA06EE">
        <w:t xml:space="preserve"> </w:t>
      </w:r>
      <w:r w:rsidR="00DA06EE">
        <w:t xml:space="preserve">For example, during the helper role, the sense of “going blank” was not simply cognitive but physical. There were moments where my body felt tense, my breathing became shallow and my attention shifted inward rather than remaining with the </w:t>
      </w:r>
      <w:proofErr w:type="spellStart"/>
      <w:r w:rsidR="00DA06EE">
        <w:t>helpie</w:t>
      </w:r>
      <w:proofErr w:type="spellEnd"/>
      <w:r w:rsidR="008460F2">
        <w:t>,</w:t>
      </w:r>
      <w:r w:rsidR="008460F2" w:rsidRPr="008460F2">
        <w:t xml:space="preserve"> </w:t>
      </w:r>
      <w:r w:rsidR="008460F2">
        <w:t xml:space="preserve">a common experience for trainee counsellors which can catalyse </w:t>
      </w:r>
      <w:r w:rsidR="008460F2">
        <w:lastRenderedPageBreak/>
        <w:t>deeper self-reflection and professional growth (Knichel et al., 2025).</w:t>
      </w:r>
      <w:r w:rsidR="00DA06EE">
        <w:t xml:space="preserve"> In those moments, I became acutely aware of how my fear of “doing it wrong” disrupted my capacity to listen fully. This realisation was uncomfortable, as it challenged my self-image as someone who is naturally supportive and emotionally available. However, acknowledging this vulnerability became an important step in developing reflexive awareness, as it highlighted how internal processes can quietly shape the relational space between helper and </w:t>
      </w:r>
      <w:proofErr w:type="spellStart"/>
      <w:r w:rsidR="00DA06EE">
        <w:t>helpie</w:t>
      </w:r>
      <w:proofErr w:type="spellEnd"/>
      <w:r w:rsidR="00DA06EE">
        <w:t>.</w:t>
      </w:r>
      <w:r w:rsidR="00211932" w:rsidRPr="00211932">
        <w:t xml:space="preserve"> </w:t>
      </w:r>
      <w:r w:rsidR="004020CC">
        <w:t xml:space="preserve">This preoccupation with correctness caused me to inadvertently default to closed questions, despite understanding that open questions and reflective statements align with person-centred counselling principles. The contrast between this structured context and informal helping situations was </w:t>
      </w:r>
      <w:r w:rsidR="00C866E6">
        <w:t>pronounced</w:t>
      </w:r>
      <w:r w:rsidR="004020CC">
        <w:t xml:space="preserve">; with friends or family, I often feel confident and capable of giving advice, but within the boundaries of professional practice, the responsibility of guiding a </w:t>
      </w:r>
      <w:proofErr w:type="spellStart"/>
      <w:r w:rsidR="004020CC">
        <w:t>helpie’s</w:t>
      </w:r>
      <w:proofErr w:type="spellEnd"/>
      <w:r w:rsidR="004020CC">
        <w:t xml:space="preserve"> exploration ethically and effectively created an intense pressure that I had not fully anticipated. This tension illuminated the emotional and cognitive challenges of moving from informal helper to professional counsellor and </w:t>
      </w:r>
      <w:r w:rsidR="0032396D">
        <w:t>emphasised</w:t>
      </w:r>
      <w:r w:rsidR="004020CC">
        <w:t xml:space="preserve"> the importance of presence over performance, a concept central to </w:t>
      </w:r>
      <w:r w:rsidR="00BF1C91">
        <w:t>Rogers'</w:t>
      </w:r>
      <w:r w:rsidR="004020CC">
        <w:t xml:space="preserve"> (1957) person-centred approach.</w:t>
      </w:r>
      <w:r w:rsidR="00164309" w:rsidRPr="00164309">
        <w:t xml:space="preserve"> </w:t>
      </w:r>
      <w:r w:rsidR="00164309">
        <w:t>Being the helper felt qualitatively different from offering informal support to friends or family. The knowledge that my responses carried ethical weight created a heightened sense of pressure, which at times led to paralysis rather than presence</w:t>
      </w:r>
      <w:r w:rsidR="00075B30">
        <w:t>, reinforcing</w:t>
      </w:r>
      <w:r w:rsidR="00075B30">
        <w:t xml:space="preserve"> my understanding of ethical</w:t>
      </w:r>
      <w:r w:rsidR="00014544">
        <w:t xml:space="preserve"> and moral responsibility</w:t>
      </w:r>
      <w:r w:rsidR="00075B30">
        <w:t xml:space="preserve"> in counselling practice (British Association for Counselling and Psychotherapy [BACP], 2018).</w:t>
      </w:r>
      <w:r w:rsidR="00164309">
        <w:t xml:space="preserve"> I noticed an internal conflict between wanting to support the </w:t>
      </w:r>
      <w:proofErr w:type="spellStart"/>
      <w:r w:rsidR="00164309">
        <w:t>helpie</w:t>
      </w:r>
      <w:proofErr w:type="spellEnd"/>
      <w:r w:rsidR="00164309">
        <w:t xml:space="preserve"> and wanting to protect myself from making mistakes. This tension revealed how professional identity is still forming and how competence is not only about skill acquisition but </w:t>
      </w:r>
      <w:r w:rsidR="00BF1C91">
        <w:t xml:space="preserve">also </w:t>
      </w:r>
      <w:r w:rsidR="00164309">
        <w:t>about tolerating uncertainty and emotional exposure. Recognising this allowed me to view discomfort not as failure, but as evidence of ethical engagement and professional growth.</w:t>
      </w:r>
    </w:p>
    <w:p w14:paraId="73E816AE" w14:textId="6DD5E3B3" w:rsidR="004020CC" w:rsidRDefault="004020CC" w:rsidP="004020CC">
      <w:pPr>
        <w:pStyle w:val="NormalWeb"/>
        <w:spacing w:line="480" w:lineRule="auto"/>
        <w:ind w:firstLine="720"/>
      </w:pPr>
      <w:r>
        <w:lastRenderedPageBreak/>
        <w:t xml:space="preserve">Despite these difficulties, moments of genuine connection </w:t>
      </w:r>
      <w:r w:rsidR="00DF7C72">
        <w:t xml:space="preserve">that </w:t>
      </w:r>
      <w:r>
        <w:t>emerged were profoundly encouraging. Learning to embrace silence rather than immediately filling it became a crucial turning point. Initially</w:t>
      </w:r>
      <w:r w:rsidR="008C5F6D">
        <w:t>,</w:t>
      </w:r>
      <w:r w:rsidR="008C5F6D" w:rsidRPr="008C5F6D">
        <w:t xml:space="preserve"> </w:t>
      </w:r>
      <w:r w:rsidR="008C5F6D">
        <w:t xml:space="preserve">silence felt deeply uncomfortable, often triggering an urge to rescue the conversation; however, over time, this discomfort softened as I began to trust both the process and the </w:t>
      </w:r>
      <w:proofErr w:type="spellStart"/>
      <w:r w:rsidR="008C5F6D">
        <w:t>helpie’s</w:t>
      </w:r>
      <w:proofErr w:type="spellEnd"/>
      <w:r w:rsidR="008C5F6D">
        <w:t xml:space="preserve"> capacity to refl</w:t>
      </w:r>
      <w:r w:rsidR="00B87A5B">
        <w:t>ect</w:t>
      </w:r>
      <w:r>
        <w:t xml:space="preserve">. </w:t>
      </w:r>
      <w:r w:rsidR="00270C12">
        <w:t xml:space="preserve">In these moments, my attention shifted away from the </w:t>
      </w:r>
      <w:proofErr w:type="spellStart"/>
      <w:r w:rsidR="00270C12">
        <w:t>helpie</w:t>
      </w:r>
      <w:proofErr w:type="spellEnd"/>
      <w:r w:rsidR="00270C12">
        <w:t xml:space="preserve"> and toward an internal dialogue focused on performance, questioning whether I was responding “correctly” rather than remaining fully present.</w:t>
      </w:r>
      <w:r w:rsidR="00270C12">
        <w:t xml:space="preserve"> </w:t>
      </w:r>
      <w:r>
        <w:t xml:space="preserve">Over time, I began to recognise that silence provides the </w:t>
      </w:r>
      <w:proofErr w:type="spellStart"/>
      <w:r>
        <w:t>helpie</w:t>
      </w:r>
      <w:proofErr w:type="spellEnd"/>
      <w:r>
        <w:t xml:space="preserve"> with space to think, reflect and process emotions independently, often leading to richer self-exploration. Scaling questions became more effective as I shifted from mechanical use to responsive engagement, allowing the </w:t>
      </w:r>
      <w:proofErr w:type="spellStart"/>
      <w:r>
        <w:t>helpie</w:t>
      </w:r>
      <w:proofErr w:type="spellEnd"/>
      <w:r>
        <w:t xml:space="preserve"> to assess their own emotions and gauge progress in ways that were meaningful to them. Similarly, the use of miracle questions, initially tentative and awkward, gradually became an opportunity to stimulate imaginative reflection and future-oriented thinking. Sensitive challenges were particularly difficult to navigate, requiring careful balance between honesty, empathy, and ethical responsibility. Through reflective discussion and feedback, I began to understand that such challenges, when offered respectfully, can encourage self-awareness and personal insight without compromising relational safety. These experiences reinforced that relational presence, empathy and authenticity are often more impactful than technical proficiency alone.</w:t>
      </w:r>
    </w:p>
    <w:p w14:paraId="29BB00B5" w14:textId="7A573972" w:rsidR="004020CC" w:rsidRDefault="004020CC" w:rsidP="004020CC">
      <w:pPr>
        <w:pStyle w:val="NormalWeb"/>
        <w:spacing w:line="480" w:lineRule="auto"/>
        <w:ind w:firstLine="720"/>
      </w:pPr>
      <w:r>
        <w:t xml:space="preserve">Assuming the role of </w:t>
      </w:r>
      <w:proofErr w:type="spellStart"/>
      <w:r>
        <w:t>helpie</w:t>
      </w:r>
      <w:proofErr w:type="spellEnd"/>
      <w:r>
        <w:t xml:space="preserve"> offered a contrasting and enlightening perspect</w:t>
      </w:r>
      <w:r w:rsidR="00BE0EFA">
        <w:t>ive.</w:t>
      </w:r>
      <w:r w:rsidR="00394A64">
        <w:t xml:space="preserve"> While receiving counselling, I felt a sense of relief in being held within a structured, attentive space. Being listened to without interruption or advice enabled me to slow down and hear my own thoughts more clearly. At times, I felt surprised by what emerged, as the absence of direction allowed deeper feelings to surface. This experience fostered a renewed respect for the power of presence and reinforced my understanding that change often occurs not through </w:t>
      </w:r>
      <w:r w:rsidR="00394A64">
        <w:lastRenderedPageBreak/>
        <w:t xml:space="preserve">intervention, but through being met with empathy and acceptance. Emotionally, this deepened my commitment to offering the same quality of presence to future </w:t>
      </w:r>
      <w:proofErr w:type="spellStart"/>
      <w:r w:rsidR="00394A64">
        <w:t>helpies</w:t>
      </w:r>
      <w:proofErr w:type="spellEnd"/>
      <w:r w:rsidR="00394A64">
        <w:t>, even when it feels uncomfortable or uncertain.</w:t>
      </w:r>
      <w:r w:rsidR="00BE0EFA">
        <w:t xml:space="preserve"> </w:t>
      </w:r>
      <w:proofErr w:type="gramStart"/>
      <w:r>
        <w:t>Being</w:t>
      </w:r>
      <w:proofErr w:type="gramEnd"/>
      <w:r>
        <w:t xml:space="preserve"> on the receiving end of person-centred interventions highlighted the subtle but profound influence of relational depth, empathy, and acceptance. The ability of the helper to listen attentively, offer reflective statements, and use appropriate questioning had a tangible impact on my ability to process thoughts and emotions. Even minor shifts in tone, timing, or phrasing influenced the quality of engagement and my sense of being understood. Experiencing counselling as a </w:t>
      </w:r>
      <w:proofErr w:type="spellStart"/>
      <w:r>
        <w:t>helpie</w:t>
      </w:r>
      <w:proofErr w:type="spellEnd"/>
      <w:r>
        <w:t xml:space="preserve"> underscored the importance of patience, </w:t>
      </w:r>
      <w:proofErr w:type="spellStart"/>
      <w:r>
        <w:t>attunement</w:t>
      </w:r>
      <w:proofErr w:type="spellEnd"/>
      <w:r>
        <w:t xml:space="preserve">, and relational sensitivity, demonstrating that effective support involves more than the application of techniques; it requires the creation of a safe, non-judgmental space in which the </w:t>
      </w:r>
      <w:proofErr w:type="spellStart"/>
      <w:r>
        <w:t>helpie</w:t>
      </w:r>
      <w:proofErr w:type="spellEnd"/>
      <w:r>
        <w:t xml:space="preserve"> can explore freely. This perspective also revealed how my own self-awareness and internal patterns influence my capacity to engage empathetically, highlighting that ethical practice is inseparable from personal insight and reflexivity (Wright &amp; Bolton, 2012).</w:t>
      </w:r>
    </w:p>
    <w:p w14:paraId="0616DE06" w14:textId="578329C3" w:rsidR="004020CC" w:rsidRDefault="004020CC" w:rsidP="004020CC">
      <w:pPr>
        <w:pStyle w:val="NormalWeb"/>
        <w:spacing w:line="480" w:lineRule="auto"/>
        <w:ind w:firstLine="720"/>
      </w:pPr>
      <w:r>
        <w:t>Observing peers as an observer added another dimension to learning. Observation allowed me to step back and notice nuances in communication, timing and relational engagement that I struggled to implement as a helper.</w:t>
      </w:r>
      <w:r w:rsidR="002A1B6B" w:rsidRPr="002A1B6B">
        <w:t xml:space="preserve"> </w:t>
      </w:r>
      <w:r w:rsidR="002A1B6B">
        <w:t>I noticed that my confidence fluctuated depending on my emotional state, which prompted reflection on how self-regulation and self-compassion are essential components of ethical practice</w:t>
      </w:r>
      <w:r>
        <w:t xml:space="preserve"> </w:t>
      </w:r>
      <w:r w:rsidR="00D73673">
        <w:t>(Gilbert, 2010; Wright, 2018).</w:t>
      </w:r>
      <w:r w:rsidR="00D73673">
        <w:t xml:space="preserve"> </w:t>
      </w:r>
      <w:r>
        <w:t xml:space="preserve">For instance, I noticed how subtle body language, pacing of questions and micro-reflections influenced the depth of the </w:t>
      </w:r>
      <w:proofErr w:type="spellStart"/>
      <w:r>
        <w:t>helpie’s</w:t>
      </w:r>
      <w:proofErr w:type="spellEnd"/>
      <w:r>
        <w:t xml:space="preserve"> exploration. Observing successful interventions reinforced the importance of presence, patience, and </w:t>
      </w:r>
      <w:proofErr w:type="spellStart"/>
      <w:r>
        <w:t>attunement</w:t>
      </w:r>
      <w:proofErr w:type="spellEnd"/>
      <w:r>
        <w:t xml:space="preserve">, while noticing </w:t>
      </w:r>
      <w:proofErr w:type="gramStart"/>
      <w:r>
        <w:t>less</w:t>
      </w:r>
      <w:proofErr w:type="gramEnd"/>
      <w:r>
        <w:t xml:space="preserve"> effective moments highlighted pitfalls such as over-directing, interrupting, or rushing through techniques. This reinforced the concept that counselling skill development is both cognitive and embodied, requiring experiential practice to bridge the gap between awareness and </w:t>
      </w:r>
      <w:r>
        <w:lastRenderedPageBreak/>
        <w:t>confident application (Midwinter &amp; Dickson, 2015).</w:t>
      </w:r>
      <w:r w:rsidR="00A67605" w:rsidRPr="00A67605">
        <w:t xml:space="preserve"> </w:t>
      </w:r>
      <w:r w:rsidR="00A67605">
        <w:t xml:space="preserve">Receiving peer and observer feedback initially evoked defensiveness and self-criticism, particularly when blind spots were highlighted through the Johari Window exercise. However, sitting with this discomfort revealed how defensiveness functioned as a protective response to vulnerability. Over time, I noticed a shift towards curiosity, where feedback became an opportunity for growth rather than a threat to competence. This shift marked a significant development in self-awareness, as it mirrored the stance I aim to adopt with </w:t>
      </w:r>
      <w:proofErr w:type="spellStart"/>
      <w:r w:rsidR="00A67605">
        <w:t>helpies</w:t>
      </w:r>
      <w:proofErr w:type="spellEnd"/>
      <w:r w:rsidR="00A67605">
        <w:t>: open, non-defensive and willing to explore difficult material with compassion.</w:t>
      </w:r>
    </w:p>
    <w:p w14:paraId="36503D7C" w14:textId="3684F25D" w:rsidR="004020CC" w:rsidRDefault="004020CC" w:rsidP="004020CC">
      <w:pPr>
        <w:pStyle w:val="NormalWeb"/>
        <w:spacing w:line="480" w:lineRule="auto"/>
        <w:ind w:firstLine="720"/>
      </w:pPr>
      <w:r>
        <w:t xml:space="preserve">Circle time discussions further enriched learning by fostering reflective dialogue and collaborative analysis. Exercises in which one participant answered questions while peers identified whether the questions were open or closed revealed subtle patterns in communication that affect relational depth. Peer feedback provided insight into tendencies I had not consciously noticed, including over-directing conversations, prematurely filling silences, or over-reliance on closed questions. The supportive yet honest feedback environment cultivated both vulnerability and learning, demonstrating that professional growth is inherently relational and social. These discussions highlighted that effective counselling practice depends not only on technique but on the ability to reflect critically on one’s own responses, emotional triggers, and relational impact, aligning with the principles of reflexivity outlined by Bolton and </w:t>
      </w:r>
      <w:proofErr w:type="spellStart"/>
      <w:r>
        <w:t>Delderfield</w:t>
      </w:r>
      <w:proofErr w:type="spellEnd"/>
      <w:r>
        <w:t xml:space="preserve"> (2018)</w:t>
      </w:r>
      <w:r w:rsidR="00657CAB">
        <w:t>.</w:t>
      </w:r>
    </w:p>
    <w:p w14:paraId="3F538574" w14:textId="2CDD6191" w:rsidR="004020CC" w:rsidRDefault="004020CC" w:rsidP="004020CC">
      <w:pPr>
        <w:pStyle w:val="NormalWeb"/>
        <w:spacing w:line="480" w:lineRule="auto"/>
        <w:ind w:firstLine="720"/>
      </w:pPr>
      <w:r>
        <w:t xml:space="preserve">The use of the Johari Window (Luft &amp; Ingham, 1955) provided a structured lens for understanding self-awareness and its impact on relational practice. Feedback revealed aspects of my behaviour in the blind area, such as subtle over-directing, hesitations and performance-related anxiety, which I had not previously recognised. Initially, these observations evoked discomfort and self-consciousness, yet engaging with them critically allowed me to explore </w:t>
      </w:r>
      <w:r>
        <w:lastRenderedPageBreak/>
        <w:t xml:space="preserve">how internal anxieties influenced my relational presence. Reflection on the hidden area, including internal self-criticism and fear of inadequacy, illuminated how personal patterns could inhibit the authentic application of counselling skills. Accepting these aspects of myself enhanced my ability to offer unconditional positive regard, empathy, and authenticity to the </w:t>
      </w:r>
      <w:proofErr w:type="spellStart"/>
      <w:r>
        <w:t>helpie</w:t>
      </w:r>
      <w:proofErr w:type="spellEnd"/>
      <w:r>
        <w:t>, demonstrating the inseparability of self-awareness and ethical, person-centred practice (Wright &amp; Bolton, 2012). Expanding the open area through feedback further reinforced the importance of transparency and humility, both essential for relational depth and professional integrity.</w:t>
      </w:r>
    </w:p>
    <w:p w14:paraId="023390F4" w14:textId="36892B69" w:rsidR="004020CC" w:rsidRDefault="004020CC" w:rsidP="004020CC">
      <w:pPr>
        <w:pStyle w:val="NormalWeb"/>
        <w:spacing w:line="480" w:lineRule="auto"/>
        <w:ind w:firstLine="720"/>
      </w:pPr>
      <w:r>
        <w:t>Reflective journaling, though inconsistently completed, prompted meaningful analysis of recurring themes and patterns in my life, particularly perfectionism, overthinking and self-critical tendencies. Considering these reflections in the context of counselling practice highlighted that self-acceptance is foundational to ethical and effective client engagement</w:t>
      </w:r>
      <w:r w:rsidR="000F4767">
        <w:t xml:space="preserve"> </w:t>
      </w:r>
      <w:r w:rsidR="000F4767" w:rsidRPr="00B424C2">
        <w:rPr>
          <w:rStyle w:val="Strong"/>
          <w:rFonts w:eastAsiaTheme="majorEastAsia"/>
          <w:b w:val="0"/>
          <w:bCs w:val="0"/>
        </w:rPr>
        <w:t>(Aprilia et al., 2023)</w:t>
      </w:r>
      <w:r w:rsidR="000F4767">
        <w:t>.</w:t>
      </w:r>
      <w:r w:rsidR="00B424C2">
        <w:t xml:space="preserve"> </w:t>
      </w:r>
      <w:proofErr w:type="gramStart"/>
      <w:r>
        <w:t>Recognising</w:t>
      </w:r>
      <w:proofErr w:type="gramEnd"/>
      <w:r>
        <w:t xml:space="preserve"> my own limitations and vulnerabilities enables me to model authenticity and provide empathetic, non-judgmental support. Reflective writing thus functions as both a tool for personal insight and a mechanism for integrating theory, skill and ethical practice (Wright, 2018; Bolton &amp; </w:t>
      </w:r>
      <w:proofErr w:type="spellStart"/>
      <w:r>
        <w:t>Delderfield</w:t>
      </w:r>
      <w:proofErr w:type="spellEnd"/>
      <w:r>
        <w:t>, 2018).</w:t>
      </w:r>
      <w:r w:rsidR="0021044A" w:rsidRPr="0021044A">
        <w:t xml:space="preserve"> </w:t>
      </w:r>
      <w:r w:rsidR="0021044A">
        <w:t>Although alternative reflective frameworks such as Schön’s (1991) reflection-in-action and Driscoll’s (1994) ‘So What?’ model offer valuable perspectives, Gibbs’ (1988) cycle resonated most strongly with my learning style at this stage of training. Its emphasis on emotional awareness alongside analysis supported the integration of personal insight with professional learning, which was particularly relevant in navigating the vulnerability and uncertainty experienced within the triad assessments.</w:t>
      </w:r>
    </w:p>
    <w:p w14:paraId="0F4CA401" w14:textId="77776445" w:rsidR="004020CC" w:rsidRDefault="004020CC" w:rsidP="004020CC">
      <w:pPr>
        <w:pStyle w:val="NormalWeb"/>
        <w:spacing w:line="480" w:lineRule="auto"/>
        <w:ind w:firstLine="720"/>
      </w:pPr>
      <w:r>
        <w:t xml:space="preserve">Engaging with counselling skills further revealed the nuanced interplay between theory and practice. Silence, when initially approached with discomfort, became a tool for </w:t>
      </w:r>
      <w:r>
        <w:lastRenderedPageBreak/>
        <w:t xml:space="preserve">fostering reflection and autonomy, illustrating that relational presence can be more potent than verbal intervention (Mearns &amp; Cooper, 2018). Scaling questions encouraged self-assessment and promoted autonomy, but their effectiveness depended on the relational context and the </w:t>
      </w:r>
      <w:proofErr w:type="spellStart"/>
      <w:r>
        <w:t>helpie’s</w:t>
      </w:r>
      <w:proofErr w:type="spellEnd"/>
      <w:r>
        <w:t xml:space="preserve"> readiness to engage. Miracle questions prompted imaginative exploration of goals and </w:t>
      </w:r>
      <w:proofErr w:type="gramStart"/>
      <w:r>
        <w:t>possibilities, yet</w:t>
      </w:r>
      <w:proofErr w:type="gramEnd"/>
      <w:r>
        <w:t xml:space="preserve"> required careful timing and authenticity to be meaningful. Sensitive challenges necessitated ethical awareness and relational </w:t>
      </w:r>
      <w:proofErr w:type="spellStart"/>
      <w:r>
        <w:t>attunement</w:t>
      </w:r>
      <w:proofErr w:type="spellEnd"/>
      <w:r>
        <w:t xml:space="preserve">; their success was contingent on trust, empathy and careful observation of the </w:t>
      </w:r>
      <w:proofErr w:type="spellStart"/>
      <w:r>
        <w:t>helpie’s</w:t>
      </w:r>
      <w:proofErr w:type="spellEnd"/>
      <w:r>
        <w:t xml:space="preserve"> emotional state. These experiences reinforced that counselling competence involves not only the mastery of techniques but also the capacity to deploy them in contextually responsive and ethically grounded ways.</w:t>
      </w:r>
    </w:p>
    <w:p w14:paraId="0A3C7929" w14:textId="77777777" w:rsidR="004020CC" w:rsidRDefault="004020CC" w:rsidP="004020CC">
      <w:pPr>
        <w:pStyle w:val="NormalWeb"/>
        <w:spacing w:line="480" w:lineRule="auto"/>
        <w:ind w:firstLine="720"/>
      </w:pPr>
      <w:r>
        <w:t>Integrating these reflections with theory highlighted the centrality of relational depth and self-awareness in professional development. Rogers’ (1957) person-centred principles, Mearns and Cooper’s (2018) work on relational depth, Kolb’s (1984) experiential learning framework, and Schön’s (1991) reflection-in-action concept collectively informed my understanding of how reflective practice, ethical awareness, and skill application interact. While I initially struggled to maintain presence in real-time, post-session reflection, observation, and feedback allowed for critical evaluation, learning, and adaptation of strategies. Driscoll’s (1994) ‘So What?’ model and Maclean’s (2016) Weather Model further reinforced the value of structured reflection, ensuring emotional, cognitive, and ethical dimensions were considered in professional development.</w:t>
      </w:r>
    </w:p>
    <w:p w14:paraId="4D00C640" w14:textId="4F8EC965" w:rsidR="004020CC" w:rsidRDefault="004020CC" w:rsidP="004020CC">
      <w:pPr>
        <w:pStyle w:val="NormalWeb"/>
        <w:spacing w:line="480" w:lineRule="auto"/>
        <w:ind w:firstLine="720"/>
      </w:pPr>
      <w:r>
        <w:t xml:space="preserve">Through these experiences, I observed that professional growth is iterative and relational. Anxiety, overthinking and self-doubt, though uncomfortable, revealed critical learning opportunities. Moments of presence, empathy and relational </w:t>
      </w:r>
      <w:proofErr w:type="spellStart"/>
      <w:r>
        <w:t>attunement</w:t>
      </w:r>
      <w:proofErr w:type="spellEnd"/>
      <w:r>
        <w:t xml:space="preserve">, even when brief, reinforced that authentic engagement is central to counselling effectiveness. Peer </w:t>
      </w:r>
      <w:r>
        <w:lastRenderedPageBreak/>
        <w:t>feedback, circle tim</w:t>
      </w:r>
      <w:r w:rsidR="0082764D">
        <w:t>e</w:t>
      </w:r>
      <w:r>
        <w:t xml:space="preserve"> and reflective exercises highlighted patterns and blind spots, supporting the development of ethical awareness and relational sensitivity. Over time, these reflections fostered confidence in skill application, </w:t>
      </w:r>
      <w:r w:rsidR="007718CF">
        <w:t xml:space="preserve">a </w:t>
      </w:r>
      <w:r>
        <w:t>deeper understanding of relational dynamics, and an appreciation of the ethical responsibilities inherent in counselling practice.</w:t>
      </w:r>
    </w:p>
    <w:p w14:paraId="31C27379" w14:textId="77777777" w:rsidR="004020CC" w:rsidRDefault="004020CC" w:rsidP="004020CC">
      <w:pPr>
        <w:pStyle w:val="NormalWeb"/>
        <w:spacing w:line="480" w:lineRule="auto"/>
        <w:ind w:firstLine="720"/>
      </w:pPr>
      <w:r>
        <w:t xml:space="preserve">Expanding on the Johari Window reflections, I began to recognise that certain personal traits, such as self-criticism and fear of inadequacy, not only affected my ability to respond to the </w:t>
      </w:r>
      <w:proofErr w:type="spellStart"/>
      <w:r>
        <w:t>helpie</w:t>
      </w:r>
      <w:proofErr w:type="spellEnd"/>
      <w:r>
        <w:t xml:space="preserve"> but also created blind spots in observation. For instance, I noticed I sometimes projected my own discomfort onto the </w:t>
      </w:r>
      <w:proofErr w:type="spellStart"/>
      <w:r>
        <w:t>helpie</w:t>
      </w:r>
      <w:proofErr w:type="spellEnd"/>
      <w:r>
        <w:t xml:space="preserve">, inadvertently rushing the session or filling silences unnecessarily. Recognising this allowed me to adopt a more patient and attentive approach, ensuring that interventions were guided by the </w:t>
      </w:r>
      <w:proofErr w:type="spellStart"/>
      <w:r>
        <w:t>helpie’s</w:t>
      </w:r>
      <w:proofErr w:type="spellEnd"/>
      <w:r>
        <w:t xml:space="preserve"> needs rather than my own anxieties. Similarly, identifying hidden areas encouraged deeper self-reflection, revealing how perfectionism and overthinking could impede relational depth. Engaging with these insights underscored the interconnectedness of self-awareness, ethical practice, and relational competence (Wright &amp; Bolton, 2012).</w:t>
      </w:r>
    </w:p>
    <w:p w14:paraId="0BD4A3DB" w14:textId="5AC82AF6" w:rsidR="004020CC" w:rsidRDefault="004020CC" w:rsidP="004020CC">
      <w:pPr>
        <w:pStyle w:val="NormalWeb"/>
        <w:spacing w:line="480" w:lineRule="auto"/>
        <w:ind w:firstLine="720"/>
      </w:pPr>
      <w:r>
        <w:t xml:space="preserve">Circle time discussions offered further opportunities to explore relational dynamics and skill application. </w:t>
      </w:r>
      <w:r w:rsidR="007718CF">
        <w:t>Analysing</w:t>
      </w:r>
      <w:r>
        <w:t xml:space="preserve"> the use of open and closed questions revealed subtle patterns in communication that influence engagement, trust, and client exploration. Observing peers and participating in group feedback not only enhanced my understanding of counselling techniques but also encouraged reflection on how my personal style affects relational depth. These experiences reinforced the principle that learning in counselling is inherently social, collaborative, and iterative, requiring openness to feedback and the willingness to adapt practice based on observation and reflection (Midwinter &amp; Dickson, 2015).</w:t>
      </w:r>
    </w:p>
    <w:p w14:paraId="779EB331" w14:textId="1C7A54D6" w:rsidR="004020CC" w:rsidRDefault="004020CC" w:rsidP="004020CC">
      <w:pPr>
        <w:pStyle w:val="NormalWeb"/>
        <w:spacing w:line="480" w:lineRule="auto"/>
        <w:ind w:firstLine="720"/>
      </w:pPr>
      <w:r>
        <w:t xml:space="preserve">Reflective journaling, when discussed in class, highlighted the importance of recognising recurring themes and patterns in personal and professional experience. Although </w:t>
      </w:r>
      <w:r>
        <w:lastRenderedPageBreak/>
        <w:t xml:space="preserve">I did not consistently journal, discussions </w:t>
      </w:r>
      <w:r w:rsidR="007718CF">
        <w:t>emphasised</w:t>
      </w:r>
      <w:r>
        <w:t xml:space="preserve"> that self-acceptance is foundational to offering acceptance to the </w:t>
      </w:r>
      <w:proofErr w:type="spellStart"/>
      <w:r>
        <w:t>helpie</w:t>
      </w:r>
      <w:proofErr w:type="spellEnd"/>
      <w:r>
        <w:t xml:space="preserve">. Recognising my own internal patterns of overthinking, anxiety, and self-criticism helped me approach the </w:t>
      </w:r>
      <w:proofErr w:type="spellStart"/>
      <w:r>
        <w:t>helpie</w:t>
      </w:r>
      <w:proofErr w:type="spellEnd"/>
      <w:r>
        <w:t xml:space="preserve"> with greater patience, empathy, and authenticity. The practice of reflection through journaling, discussion, and observation collectively strengthened my ability to link theory to practice, navigate ethical dilemmas, and develop relational depth (Bolton &amp; </w:t>
      </w:r>
      <w:proofErr w:type="spellStart"/>
      <w:r>
        <w:t>Delderfield</w:t>
      </w:r>
      <w:proofErr w:type="spellEnd"/>
      <w:r>
        <w:t>, 2018; Wright, 2018).</w:t>
      </w:r>
    </w:p>
    <w:p w14:paraId="1E4D4634" w14:textId="29C79DEA" w:rsidR="004020CC" w:rsidRDefault="004020CC" w:rsidP="004020CC">
      <w:pPr>
        <w:pStyle w:val="NormalWeb"/>
        <w:spacing w:line="480" w:lineRule="auto"/>
        <w:ind w:firstLine="720"/>
      </w:pPr>
      <w:r>
        <w:t>Through repeated engagement with the triad exercises, circle time, and reflective discussions, I observed growth in my capacity to remain present, tolerate silence, and deploy techniques such as scaling and miracle questions with greater authenticity. The integration of ethical awareness, relational depth, and technical skill has become increasingly evident, illustrating that counselling development involves the synthesis of emotional, cognitive and ethical competencies. Self-reflection, supported by peer observation and feedback, has reinforced that personal and professional growth are inseparable, and that effective practice requires continuous reflexivity, humility and openness to learning.</w:t>
      </w:r>
    </w:p>
    <w:p w14:paraId="158B05D8" w14:textId="68E6D35D" w:rsidR="004020CC" w:rsidRDefault="004020CC" w:rsidP="004020CC">
      <w:pPr>
        <w:pStyle w:val="NormalWeb"/>
        <w:spacing w:line="480" w:lineRule="auto"/>
        <w:ind w:firstLine="720"/>
      </w:pPr>
      <w:r>
        <w:t xml:space="preserve">Reflecting on my development throughout the module, I recognise that professional growth is iterative, relational and deeply personal. Challenges such as anxiety, overthinking and performance pressure have provided invaluable insight into the importance of self-awareness and relational </w:t>
      </w:r>
      <w:proofErr w:type="spellStart"/>
      <w:r>
        <w:t>attunement</w:t>
      </w:r>
      <w:proofErr w:type="spellEnd"/>
      <w:r>
        <w:t>. Moments of successful intervention, even brief, have demonstrated the power of presence, empathy, and authentic engagement. Feedback from peers, observations during circle time, and reflection on the use of counselling skills have collectively reinforced that ethical practice, relational depth, and self-awareness are fundamental to effective counselling.</w:t>
      </w:r>
      <w:r w:rsidR="003637E8" w:rsidRPr="003637E8">
        <w:t xml:space="preserve"> </w:t>
      </w:r>
      <w:r w:rsidR="003637E8">
        <w:t>Across the module, I became increasingly aware that learning counselling skills was also reshaping how I relate to myself. Engaging in reflective practices, even inconsistently, revealed recurring patterns of self-criticism and high self-</w:t>
      </w:r>
      <w:r w:rsidR="003637E8">
        <w:lastRenderedPageBreak/>
        <w:t>expectation. Recognising these patterns allowed me to approach myself with greater compassion, which in turn softened my presence with others. This reinforced the understanding that personal development is not separate from professional competence; rather, the quality of the counselling relationship is deeply influenced by how the counsellor relates internally to uncertainty, imperfection, and emotional discomfort.</w:t>
      </w:r>
    </w:p>
    <w:p w14:paraId="116BF7DA" w14:textId="77777777" w:rsidR="004020CC" w:rsidRDefault="004020CC" w:rsidP="004020CC">
      <w:pPr>
        <w:pStyle w:val="NormalWeb"/>
        <w:spacing w:line="480" w:lineRule="auto"/>
        <w:ind w:firstLine="720"/>
      </w:pPr>
      <w:r>
        <w:t>Looking forward, I intend to continue developing reflexive practice by maintaining regular journaling, seeking ongoing feedback, and engaging in supervised practice. I aim to integrate technical skills authentically, apply silence, scaling, miracle questions, and sensitive challenges thoughtfully, and prioritise relational presence over performance. By embracing discomfort, acknowledging personal patterns, and reflecting critically on practice, I hope to cultivate greater confidence, ethical awareness, and relational depth. Ultimately, this reflective journey has demonstrated that growth as a counsellor requires ongoing attention to the interplay between personal insight, ethical practice, and relational engagement, reinforcing the centrality of reflexivity, self-awareness, and person-centred principles in professional development (Rogers, 1957; Mearns &amp; Cooper, 2018; Wright, 2018).</w:t>
      </w:r>
    </w:p>
    <w:p w14:paraId="76102B80" w14:textId="77777777" w:rsidR="004020CC" w:rsidRDefault="004020CC" w:rsidP="004020CC">
      <w:r>
        <w:t xml:space="preserve"> </w:t>
      </w:r>
    </w:p>
    <w:p w14:paraId="12980B4A" w14:textId="77777777" w:rsidR="00B4461A" w:rsidRDefault="00B4461A" w:rsidP="00AC3A13"/>
    <w:p w14:paraId="097F9CFE" w14:textId="77777777" w:rsidR="00B4461A" w:rsidRDefault="00B4461A" w:rsidP="00AC3A13"/>
    <w:p w14:paraId="174B4F02" w14:textId="77777777" w:rsidR="00B4461A" w:rsidRPr="00AC3A13" w:rsidRDefault="00B4461A" w:rsidP="00AC3A13"/>
    <w:p w14:paraId="67136092" w14:textId="77777777" w:rsidR="00AF5C07" w:rsidRDefault="00AF5C07"/>
    <w:p w14:paraId="2FBD53D5" w14:textId="77777777" w:rsidR="000B27C8" w:rsidRDefault="000B27C8"/>
    <w:p w14:paraId="68DE103D" w14:textId="6688A978" w:rsidR="000B27C8" w:rsidRDefault="000B27C8" w:rsidP="000B27C8">
      <w:pPr>
        <w:spacing w:after="0" w:line="240" w:lineRule="auto"/>
      </w:pPr>
    </w:p>
    <w:p w14:paraId="0B9D1407" w14:textId="77777777" w:rsidR="00EF3E5B" w:rsidRPr="000B27C8" w:rsidRDefault="00EF3E5B" w:rsidP="000B27C8">
      <w:pPr>
        <w:spacing w:after="0" w:line="240" w:lineRule="auto"/>
        <w:rPr>
          <w:rFonts w:ascii="Times New Roman" w:eastAsia="Times New Roman" w:hAnsi="Times New Roman" w:cs="Times New Roman"/>
          <w:kern w:val="0"/>
          <w:sz w:val="24"/>
          <w:szCs w:val="24"/>
          <w:lang w:eastAsia="en-GB"/>
          <w14:ligatures w14:val="none"/>
        </w:rPr>
      </w:pPr>
    </w:p>
    <w:p w14:paraId="2A21DC89" w14:textId="77777777" w:rsidR="000B27C8" w:rsidRPr="000B27C8" w:rsidRDefault="000B27C8" w:rsidP="00E70BD6">
      <w:pPr>
        <w:pStyle w:val="Heading1"/>
        <w:jc w:val="center"/>
        <w:rPr>
          <w:rFonts w:eastAsia="Times New Roman"/>
          <w:lang w:eastAsia="en-GB"/>
        </w:rPr>
      </w:pPr>
      <w:r w:rsidRPr="000B27C8">
        <w:rPr>
          <w:rFonts w:eastAsia="Times New Roman"/>
          <w:lang w:eastAsia="en-GB"/>
        </w:rPr>
        <w:lastRenderedPageBreak/>
        <w:t>References</w:t>
      </w:r>
    </w:p>
    <w:p w14:paraId="2BFE6AA5" w14:textId="225E1824" w:rsidR="00D319EC" w:rsidRPr="00D319EC" w:rsidRDefault="00D319EC"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D319EC">
        <w:rPr>
          <w:rFonts w:ascii="Times New Roman" w:hAnsi="Times New Roman" w:cs="Times New Roman"/>
          <w:sz w:val="24"/>
          <w:szCs w:val="24"/>
        </w:rPr>
        <w:t xml:space="preserve">Aprilia, N., </w:t>
      </w:r>
      <w:proofErr w:type="spellStart"/>
      <w:r w:rsidRPr="00D319EC">
        <w:rPr>
          <w:rFonts w:ascii="Times New Roman" w:hAnsi="Times New Roman" w:cs="Times New Roman"/>
          <w:sz w:val="24"/>
          <w:szCs w:val="24"/>
        </w:rPr>
        <w:t>Ramadhin</w:t>
      </w:r>
      <w:proofErr w:type="spellEnd"/>
      <w:r w:rsidRPr="00D319EC">
        <w:rPr>
          <w:rFonts w:ascii="Times New Roman" w:hAnsi="Times New Roman" w:cs="Times New Roman"/>
          <w:sz w:val="24"/>
          <w:szCs w:val="24"/>
        </w:rPr>
        <w:t xml:space="preserve">, N., Wulandari, T., &amp; </w:t>
      </w:r>
      <w:proofErr w:type="spellStart"/>
      <w:r w:rsidRPr="00D319EC">
        <w:rPr>
          <w:rFonts w:ascii="Times New Roman" w:hAnsi="Times New Roman" w:cs="Times New Roman"/>
          <w:sz w:val="24"/>
          <w:szCs w:val="24"/>
        </w:rPr>
        <w:t>Asbi</w:t>
      </w:r>
      <w:proofErr w:type="spellEnd"/>
      <w:r w:rsidRPr="00D319EC">
        <w:rPr>
          <w:rFonts w:ascii="Times New Roman" w:hAnsi="Times New Roman" w:cs="Times New Roman"/>
          <w:sz w:val="24"/>
          <w:szCs w:val="24"/>
        </w:rPr>
        <w:t>, A. (2023). Self</w:t>
      </w:r>
      <w:r w:rsidRPr="00D319EC">
        <w:rPr>
          <w:rFonts w:ascii="Times New Roman" w:hAnsi="Times New Roman" w:cs="Times New Roman"/>
          <w:sz w:val="24"/>
          <w:szCs w:val="24"/>
        </w:rPr>
        <w:noBreakHyphen/>
        <w:t>awareness and self</w:t>
      </w:r>
      <w:r w:rsidRPr="00D319EC">
        <w:rPr>
          <w:rFonts w:ascii="Times New Roman" w:hAnsi="Times New Roman" w:cs="Times New Roman"/>
          <w:sz w:val="24"/>
          <w:szCs w:val="24"/>
        </w:rPr>
        <w:noBreakHyphen/>
        <w:t xml:space="preserve">reflection on the </w:t>
      </w:r>
      <w:proofErr w:type="spellStart"/>
      <w:r w:rsidRPr="00D319EC">
        <w:rPr>
          <w:rFonts w:ascii="Times New Roman" w:hAnsi="Times New Roman" w:cs="Times New Roman"/>
          <w:sz w:val="24"/>
          <w:szCs w:val="24"/>
        </w:rPr>
        <w:t>counselor’s</w:t>
      </w:r>
      <w:proofErr w:type="spellEnd"/>
      <w:r w:rsidRPr="00D319EC">
        <w:rPr>
          <w:rFonts w:ascii="Times New Roman" w:hAnsi="Times New Roman" w:cs="Times New Roman"/>
          <w:sz w:val="24"/>
          <w:szCs w:val="24"/>
        </w:rPr>
        <w:t xml:space="preserve"> personal development. </w:t>
      </w:r>
      <w:r w:rsidRPr="00D319EC">
        <w:rPr>
          <w:rStyle w:val="Emphasis"/>
          <w:rFonts w:ascii="Times New Roman" w:hAnsi="Times New Roman" w:cs="Times New Roman"/>
          <w:sz w:val="24"/>
          <w:szCs w:val="24"/>
        </w:rPr>
        <w:t>Journal of Psychology, Counselling and Education, 2</w:t>
      </w:r>
      <w:r w:rsidRPr="00D319EC">
        <w:rPr>
          <w:rFonts w:ascii="Times New Roman" w:hAnsi="Times New Roman" w:cs="Times New Roman"/>
          <w:sz w:val="24"/>
          <w:szCs w:val="24"/>
        </w:rPr>
        <w:t>(2), 38–47. https://doi.org/10.58355/psy.v2i2.38</w:t>
      </w:r>
    </w:p>
    <w:p w14:paraId="70164E94" w14:textId="43AF02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Bolton, G., &amp; </w:t>
      </w:r>
      <w:proofErr w:type="spellStart"/>
      <w:r w:rsidRPr="000B27C8">
        <w:rPr>
          <w:rFonts w:ascii="Times New Roman" w:eastAsia="Times New Roman" w:hAnsi="Times New Roman" w:cs="Times New Roman"/>
          <w:kern w:val="0"/>
          <w:sz w:val="24"/>
          <w:szCs w:val="24"/>
          <w:lang w:eastAsia="en-GB"/>
          <w14:ligatures w14:val="none"/>
        </w:rPr>
        <w:t>Delderfield</w:t>
      </w:r>
      <w:proofErr w:type="spellEnd"/>
      <w:r w:rsidRPr="000B27C8">
        <w:rPr>
          <w:rFonts w:ascii="Times New Roman" w:eastAsia="Times New Roman" w:hAnsi="Times New Roman" w:cs="Times New Roman"/>
          <w:kern w:val="0"/>
          <w:sz w:val="24"/>
          <w:szCs w:val="24"/>
          <w:lang w:eastAsia="en-GB"/>
          <w14:ligatures w14:val="none"/>
        </w:rPr>
        <w:t xml:space="preserve">, R. (2018). </w:t>
      </w:r>
      <w:r w:rsidRPr="000B27C8">
        <w:rPr>
          <w:rFonts w:ascii="Times New Roman" w:eastAsia="Times New Roman" w:hAnsi="Times New Roman" w:cs="Times New Roman"/>
          <w:i/>
          <w:iCs/>
          <w:kern w:val="0"/>
          <w:sz w:val="24"/>
          <w:szCs w:val="24"/>
          <w:lang w:eastAsia="en-GB"/>
          <w14:ligatures w14:val="none"/>
        </w:rPr>
        <w:t>Reflective practice: Writing and professional development</w:t>
      </w:r>
      <w:r w:rsidRPr="000B27C8">
        <w:rPr>
          <w:rFonts w:ascii="Times New Roman" w:eastAsia="Times New Roman" w:hAnsi="Times New Roman" w:cs="Times New Roman"/>
          <w:kern w:val="0"/>
          <w:sz w:val="24"/>
          <w:szCs w:val="24"/>
          <w:lang w:eastAsia="en-GB"/>
          <w14:ligatures w14:val="none"/>
        </w:rPr>
        <w:t xml:space="preserve"> (5th ed.). Sage.</w:t>
      </w:r>
    </w:p>
    <w:p w14:paraId="22D189AA"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British Association for Counselling and Psychotherapy. (2018). </w:t>
      </w:r>
      <w:r w:rsidRPr="000B27C8">
        <w:rPr>
          <w:rFonts w:ascii="Times New Roman" w:eastAsia="Times New Roman" w:hAnsi="Times New Roman" w:cs="Times New Roman"/>
          <w:i/>
          <w:iCs/>
          <w:kern w:val="0"/>
          <w:sz w:val="24"/>
          <w:szCs w:val="24"/>
          <w:lang w:eastAsia="en-GB"/>
          <w14:ligatures w14:val="none"/>
        </w:rPr>
        <w:t>Ethical framework for the counselling professions</w:t>
      </w:r>
      <w:r w:rsidRPr="000B27C8">
        <w:rPr>
          <w:rFonts w:ascii="Times New Roman" w:eastAsia="Times New Roman" w:hAnsi="Times New Roman" w:cs="Times New Roman"/>
          <w:kern w:val="0"/>
          <w:sz w:val="24"/>
          <w:szCs w:val="24"/>
          <w:lang w:eastAsia="en-GB"/>
          <w14:ligatures w14:val="none"/>
        </w:rPr>
        <w:t>. BACP.</w:t>
      </w:r>
    </w:p>
    <w:p w14:paraId="5B9B0903"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Driscoll, J. (1994). Reflective practice for practice. </w:t>
      </w:r>
      <w:r w:rsidRPr="000B27C8">
        <w:rPr>
          <w:rFonts w:ascii="Times New Roman" w:eastAsia="Times New Roman" w:hAnsi="Times New Roman" w:cs="Times New Roman"/>
          <w:i/>
          <w:iCs/>
          <w:kern w:val="0"/>
          <w:sz w:val="24"/>
          <w:szCs w:val="24"/>
          <w:lang w:eastAsia="en-GB"/>
          <w14:ligatures w14:val="none"/>
        </w:rPr>
        <w:t>Senior Nurse, 13</w:t>
      </w:r>
      <w:r w:rsidRPr="000B27C8">
        <w:rPr>
          <w:rFonts w:ascii="Times New Roman" w:eastAsia="Times New Roman" w:hAnsi="Times New Roman" w:cs="Times New Roman"/>
          <w:kern w:val="0"/>
          <w:sz w:val="24"/>
          <w:szCs w:val="24"/>
          <w:lang w:eastAsia="en-GB"/>
          <w14:ligatures w14:val="none"/>
        </w:rPr>
        <w:t>(1), 47–50.</w:t>
      </w:r>
    </w:p>
    <w:p w14:paraId="65B59227"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Gibbs, G. (1988). </w:t>
      </w:r>
      <w:r w:rsidRPr="000B27C8">
        <w:rPr>
          <w:rFonts w:ascii="Times New Roman" w:eastAsia="Times New Roman" w:hAnsi="Times New Roman" w:cs="Times New Roman"/>
          <w:i/>
          <w:iCs/>
          <w:kern w:val="0"/>
          <w:sz w:val="24"/>
          <w:szCs w:val="24"/>
          <w:lang w:eastAsia="en-GB"/>
          <w14:ligatures w14:val="none"/>
        </w:rPr>
        <w:t>Learning by doing: A guide to teaching and learning methods</w:t>
      </w:r>
      <w:r w:rsidRPr="000B27C8">
        <w:rPr>
          <w:rFonts w:ascii="Times New Roman" w:eastAsia="Times New Roman" w:hAnsi="Times New Roman" w:cs="Times New Roman"/>
          <w:kern w:val="0"/>
          <w:sz w:val="24"/>
          <w:szCs w:val="24"/>
          <w:lang w:eastAsia="en-GB"/>
          <w14:ligatures w14:val="none"/>
        </w:rPr>
        <w:t>. Oxford Polytechnic.</w:t>
      </w:r>
    </w:p>
    <w:p w14:paraId="01B4C8C0" w14:textId="77777777" w:rsid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Gilbert, P. (2010). </w:t>
      </w:r>
      <w:r w:rsidRPr="000B27C8">
        <w:rPr>
          <w:rFonts w:ascii="Times New Roman" w:eastAsia="Times New Roman" w:hAnsi="Times New Roman" w:cs="Times New Roman"/>
          <w:i/>
          <w:iCs/>
          <w:kern w:val="0"/>
          <w:sz w:val="24"/>
          <w:szCs w:val="24"/>
          <w:lang w:eastAsia="en-GB"/>
          <w14:ligatures w14:val="none"/>
        </w:rPr>
        <w:t>Compassion-focused therapy: Distinctive features</w:t>
      </w:r>
      <w:r w:rsidRPr="000B27C8">
        <w:rPr>
          <w:rFonts w:ascii="Times New Roman" w:eastAsia="Times New Roman" w:hAnsi="Times New Roman" w:cs="Times New Roman"/>
          <w:kern w:val="0"/>
          <w:sz w:val="24"/>
          <w:szCs w:val="24"/>
          <w:lang w:eastAsia="en-GB"/>
          <w14:ligatures w14:val="none"/>
        </w:rPr>
        <w:t>. Routledge.</w:t>
      </w:r>
    </w:p>
    <w:p w14:paraId="4BF5F798" w14:textId="52C90B7D" w:rsidR="006F783C" w:rsidRPr="000B27C8" w:rsidRDefault="006F783C"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6F783C">
        <w:rPr>
          <w:rFonts w:ascii="Times New Roman" w:hAnsi="Times New Roman" w:cs="Times New Roman"/>
        </w:rPr>
        <w:t xml:space="preserve">Knichel, E., Nelles, C., </w:t>
      </w:r>
      <w:proofErr w:type="spellStart"/>
      <w:r w:rsidRPr="006F783C">
        <w:rPr>
          <w:rFonts w:ascii="Times New Roman" w:hAnsi="Times New Roman" w:cs="Times New Roman"/>
        </w:rPr>
        <w:t>Galbusera</w:t>
      </w:r>
      <w:proofErr w:type="spellEnd"/>
      <w:r w:rsidRPr="006F783C">
        <w:rPr>
          <w:rFonts w:ascii="Times New Roman" w:hAnsi="Times New Roman" w:cs="Times New Roman"/>
        </w:rPr>
        <w:t>, L., &amp; Lindenmeyer, J. (2025). Dealing with insecurity: A thematic analysis of self</w:t>
      </w:r>
      <w:r w:rsidRPr="006F783C">
        <w:rPr>
          <w:rFonts w:ascii="Times New Roman" w:hAnsi="Times New Roman" w:cs="Times New Roman"/>
        </w:rPr>
        <w:noBreakHyphen/>
        <w:t xml:space="preserve">reflection of prospective psychotherapists. </w:t>
      </w:r>
      <w:r w:rsidRPr="006F783C">
        <w:rPr>
          <w:rStyle w:val="Emphasis"/>
          <w:rFonts w:ascii="Times New Roman" w:hAnsi="Times New Roman" w:cs="Times New Roman"/>
        </w:rPr>
        <w:t>BMC Psychology, 13</w:t>
      </w:r>
      <w:r w:rsidRPr="006F783C">
        <w:rPr>
          <w:rFonts w:ascii="Times New Roman" w:hAnsi="Times New Roman" w:cs="Times New Roman"/>
        </w:rPr>
        <w:t>, 1326. https://doi.org/10.1186/s40359-025-03694-w</w:t>
      </w:r>
    </w:p>
    <w:p w14:paraId="0F86146B"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Kolb, D. A. (1984). </w:t>
      </w:r>
      <w:r w:rsidRPr="000B27C8">
        <w:rPr>
          <w:rFonts w:ascii="Times New Roman" w:eastAsia="Times New Roman" w:hAnsi="Times New Roman" w:cs="Times New Roman"/>
          <w:i/>
          <w:iCs/>
          <w:kern w:val="0"/>
          <w:sz w:val="24"/>
          <w:szCs w:val="24"/>
          <w:lang w:eastAsia="en-GB"/>
          <w14:ligatures w14:val="none"/>
        </w:rPr>
        <w:t>Experiential learning: Experience as the source of learning and development</w:t>
      </w:r>
      <w:r w:rsidRPr="000B27C8">
        <w:rPr>
          <w:rFonts w:ascii="Times New Roman" w:eastAsia="Times New Roman" w:hAnsi="Times New Roman" w:cs="Times New Roman"/>
          <w:kern w:val="0"/>
          <w:sz w:val="24"/>
          <w:szCs w:val="24"/>
          <w:lang w:eastAsia="en-GB"/>
          <w14:ligatures w14:val="none"/>
        </w:rPr>
        <w:t>. Prentice Hall.</w:t>
      </w:r>
    </w:p>
    <w:p w14:paraId="25C9F5DC"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Luft, J., &amp; Ingham, H. (1955). </w:t>
      </w:r>
      <w:r w:rsidRPr="000B27C8">
        <w:rPr>
          <w:rFonts w:ascii="Times New Roman" w:eastAsia="Times New Roman" w:hAnsi="Times New Roman" w:cs="Times New Roman"/>
          <w:i/>
          <w:iCs/>
          <w:kern w:val="0"/>
          <w:sz w:val="24"/>
          <w:szCs w:val="24"/>
          <w:lang w:eastAsia="en-GB"/>
          <w14:ligatures w14:val="none"/>
        </w:rPr>
        <w:t>The Johari window: A graphic model of interpersonal awareness</w:t>
      </w:r>
      <w:r w:rsidRPr="000B27C8">
        <w:rPr>
          <w:rFonts w:ascii="Times New Roman" w:eastAsia="Times New Roman" w:hAnsi="Times New Roman" w:cs="Times New Roman"/>
          <w:kern w:val="0"/>
          <w:sz w:val="24"/>
          <w:szCs w:val="24"/>
          <w:lang w:eastAsia="en-GB"/>
          <w14:ligatures w14:val="none"/>
        </w:rPr>
        <w:t>. University of California, Los Angeles.</w:t>
      </w:r>
    </w:p>
    <w:p w14:paraId="4FE9D11D"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Maclean, S. (2016). A new model for social work reflection: Whatever the weather. </w:t>
      </w:r>
      <w:r w:rsidRPr="000B27C8">
        <w:rPr>
          <w:rFonts w:ascii="Times New Roman" w:eastAsia="Times New Roman" w:hAnsi="Times New Roman" w:cs="Times New Roman"/>
          <w:i/>
          <w:iCs/>
          <w:kern w:val="0"/>
          <w:sz w:val="24"/>
          <w:szCs w:val="24"/>
          <w:lang w:eastAsia="en-GB"/>
          <w14:ligatures w14:val="none"/>
        </w:rPr>
        <w:t>Professional Social Work</w:t>
      </w:r>
      <w:r w:rsidRPr="000B27C8">
        <w:rPr>
          <w:rFonts w:ascii="Times New Roman" w:eastAsia="Times New Roman" w:hAnsi="Times New Roman" w:cs="Times New Roman"/>
          <w:kern w:val="0"/>
          <w:sz w:val="24"/>
          <w:szCs w:val="24"/>
          <w:lang w:eastAsia="en-GB"/>
          <w14:ligatures w14:val="none"/>
        </w:rPr>
        <w:t xml:space="preserve">, </w:t>
      </w:r>
      <w:proofErr w:type="gramStart"/>
      <w:r w:rsidRPr="000B27C8">
        <w:rPr>
          <w:rFonts w:ascii="Times New Roman" w:eastAsia="Times New Roman" w:hAnsi="Times New Roman" w:cs="Times New Roman"/>
          <w:kern w:val="0"/>
          <w:sz w:val="24"/>
          <w:szCs w:val="24"/>
          <w:lang w:eastAsia="en-GB"/>
          <w14:ligatures w14:val="none"/>
        </w:rPr>
        <w:t>March,</w:t>
      </w:r>
      <w:proofErr w:type="gramEnd"/>
      <w:r w:rsidRPr="000B27C8">
        <w:rPr>
          <w:rFonts w:ascii="Times New Roman" w:eastAsia="Times New Roman" w:hAnsi="Times New Roman" w:cs="Times New Roman"/>
          <w:kern w:val="0"/>
          <w:sz w:val="24"/>
          <w:szCs w:val="24"/>
          <w:lang w:eastAsia="en-GB"/>
          <w14:ligatures w14:val="none"/>
        </w:rPr>
        <w:t xml:space="preserve"> 28–29.</w:t>
      </w:r>
    </w:p>
    <w:p w14:paraId="5808175B"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Mearns, D., &amp; Cooper, M. (2018). </w:t>
      </w:r>
      <w:r w:rsidRPr="000B27C8">
        <w:rPr>
          <w:rFonts w:ascii="Times New Roman" w:eastAsia="Times New Roman" w:hAnsi="Times New Roman" w:cs="Times New Roman"/>
          <w:i/>
          <w:iCs/>
          <w:kern w:val="0"/>
          <w:sz w:val="24"/>
          <w:szCs w:val="24"/>
          <w:lang w:eastAsia="en-GB"/>
          <w14:ligatures w14:val="none"/>
        </w:rPr>
        <w:t>Working at relational depth in counselling and psychotherapy</w:t>
      </w:r>
      <w:r w:rsidRPr="000B27C8">
        <w:rPr>
          <w:rFonts w:ascii="Times New Roman" w:eastAsia="Times New Roman" w:hAnsi="Times New Roman" w:cs="Times New Roman"/>
          <w:kern w:val="0"/>
          <w:sz w:val="24"/>
          <w:szCs w:val="24"/>
          <w:lang w:eastAsia="en-GB"/>
          <w14:ligatures w14:val="none"/>
        </w:rPr>
        <w:t xml:space="preserve"> (2nd ed.). Sage.</w:t>
      </w:r>
    </w:p>
    <w:p w14:paraId="4974E562"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Midwinter, R., &amp; Dickson, J. (2015). </w:t>
      </w:r>
      <w:r w:rsidRPr="000B27C8">
        <w:rPr>
          <w:rFonts w:ascii="Times New Roman" w:eastAsia="Times New Roman" w:hAnsi="Times New Roman" w:cs="Times New Roman"/>
          <w:i/>
          <w:iCs/>
          <w:kern w:val="0"/>
          <w:sz w:val="24"/>
          <w:szCs w:val="24"/>
          <w:lang w:eastAsia="en-GB"/>
          <w14:ligatures w14:val="none"/>
        </w:rPr>
        <w:t>Embedding counselling and communication skills: A relational skills model</w:t>
      </w:r>
      <w:r w:rsidRPr="000B27C8">
        <w:rPr>
          <w:rFonts w:ascii="Times New Roman" w:eastAsia="Times New Roman" w:hAnsi="Times New Roman" w:cs="Times New Roman"/>
          <w:kern w:val="0"/>
          <w:sz w:val="24"/>
          <w:szCs w:val="24"/>
          <w:lang w:eastAsia="en-GB"/>
          <w14:ligatures w14:val="none"/>
        </w:rPr>
        <w:t>. Routledge.</w:t>
      </w:r>
    </w:p>
    <w:p w14:paraId="2490CCF3"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Rogers, C. R. (1957). The necessary and sufficient conditions of therapeutic personality change. </w:t>
      </w:r>
      <w:r w:rsidRPr="000B27C8">
        <w:rPr>
          <w:rFonts w:ascii="Times New Roman" w:eastAsia="Times New Roman" w:hAnsi="Times New Roman" w:cs="Times New Roman"/>
          <w:i/>
          <w:iCs/>
          <w:kern w:val="0"/>
          <w:sz w:val="24"/>
          <w:szCs w:val="24"/>
          <w:lang w:eastAsia="en-GB"/>
          <w14:ligatures w14:val="none"/>
        </w:rPr>
        <w:t>Journal of Consulting Psychology, 21</w:t>
      </w:r>
      <w:r w:rsidRPr="000B27C8">
        <w:rPr>
          <w:rFonts w:ascii="Times New Roman" w:eastAsia="Times New Roman" w:hAnsi="Times New Roman" w:cs="Times New Roman"/>
          <w:kern w:val="0"/>
          <w:sz w:val="24"/>
          <w:szCs w:val="24"/>
          <w:lang w:eastAsia="en-GB"/>
          <w14:ligatures w14:val="none"/>
        </w:rPr>
        <w:t xml:space="preserve">(2), 95–103. </w:t>
      </w:r>
      <w:hyperlink r:id="rId8" w:tgtFrame="_new" w:history="1">
        <w:r w:rsidRPr="000B27C8">
          <w:rPr>
            <w:rFonts w:ascii="Times New Roman" w:eastAsia="Times New Roman" w:hAnsi="Times New Roman" w:cs="Times New Roman"/>
            <w:color w:val="0000FF"/>
            <w:kern w:val="0"/>
            <w:sz w:val="24"/>
            <w:szCs w:val="24"/>
            <w:u w:val="single"/>
            <w:lang w:eastAsia="en-GB"/>
            <w14:ligatures w14:val="none"/>
          </w:rPr>
          <w:t>https://doi.org/10.1037/h0045357</w:t>
        </w:r>
      </w:hyperlink>
    </w:p>
    <w:p w14:paraId="621352C7"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Schön, D. A. (1991). </w:t>
      </w:r>
      <w:r w:rsidRPr="000B27C8">
        <w:rPr>
          <w:rFonts w:ascii="Times New Roman" w:eastAsia="Times New Roman" w:hAnsi="Times New Roman" w:cs="Times New Roman"/>
          <w:i/>
          <w:iCs/>
          <w:kern w:val="0"/>
          <w:sz w:val="24"/>
          <w:szCs w:val="24"/>
          <w:lang w:eastAsia="en-GB"/>
          <w14:ligatures w14:val="none"/>
        </w:rPr>
        <w:t>The reflective practitioner: How professionals think in action</w:t>
      </w:r>
      <w:r w:rsidRPr="000B27C8">
        <w:rPr>
          <w:rFonts w:ascii="Times New Roman" w:eastAsia="Times New Roman" w:hAnsi="Times New Roman" w:cs="Times New Roman"/>
          <w:kern w:val="0"/>
          <w:sz w:val="24"/>
          <w:szCs w:val="24"/>
          <w:lang w:eastAsia="en-GB"/>
          <w14:ligatures w14:val="none"/>
        </w:rPr>
        <w:t>. Ashgate.</w:t>
      </w:r>
    </w:p>
    <w:p w14:paraId="1A5B8798" w14:textId="60654178"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Skovholt, T. M., &amp; Rønnestad, M. H. (2003). Struggles of the novice </w:t>
      </w:r>
      <w:proofErr w:type="spellStart"/>
      <w:r w:rsidRPr="000B27C8">
        <w:rPr>
          <w:rFonts w:ascii="Times New Roman" w:eastAsia="Times New Roman" w:hAnsi="Times New Roman" w:cs="Times New Roman"/>
          <w:kern w:val="0"/>
          <w:sz w:val="24"/>
          <w:szCs w:val="24"/>
          <w:lang w:eastAsia="en-GB"/>
          <w14:ligatures w14:val="none"/>
        </w:rPr>
        <w:t>counselor</w:t>
      </w:r>
      <w:proofErr w:type="spellEnd"/>
      <w:r w:rsidRPr="000B27C8">
        <w:rPr>
          <w:rFonts w:ascii="Times New Roman" w:eastAsia="Times New Roman" w:hAnsi="Times New Roman" w:cs="Times New Roman"/>
          <w:kern w:val="0"/>
          <w:sz w:val="24"/>
          <w:szCs w:val="24"/>
          <w:lang w:eastAsia="en-GB"/>
          <w14:ligatures w14:val="none"/>
        </w:rPr>
        <w:t xml:space="preserve">. </w:t>
      </w:r>
      <w:r w:rsidRPr="000B27C8">
        <w:rPr>
          <w:rFonts w:ascii="Times New Roman" w:eastAsia="Times New Roman" w:hAnsi="Times New Roman" w:cs="Times New Roman"/>
          <w:i/>
          <w:iCs/>
          <w:kern w:val="0"/>
          <w:sz w:val="24"/>
          <w:szCs w:val="24"/>
          <w:lang w:eastAsia="en-GB"/>
          <w14:ligatures w14:val="none"/>
        </w:rPr>
        <w:t>Journal of Career Development, 30</w:t>
      </w:r>
      <w:r w:rsidRPr="000B27C8">
        <w:rPr>
          <w:rFonts w:ascii="Times New Roman" w:eastAsia="Times New Roman" w:hAnsi="Times New Roman" w:cs="Times New Roman"/>
          <w:kern w:val="0"/>
          <w:sz w:val="24"/>
          <w:szCs w:val="24"/>
          <w:lang w:eastAsia="en-GB"/>
          <w14:ligatures w14:val="none"/>
        </w:rPr>
        <w:t xml:space="preserve">(1), 45–58. </w:t>
      </w:r>
      <w:hyperlink r:id="rId9" w:history="1">
        <w:r w:rsidR="00E70BD6" w:rsidRPr="000B27C8">
          <w:rPr>
            <w:rStyle w:val="Hyperlink"/>
            <w:rFonts w:ascii="Times New Roman" w:eastAsia="Times New Roman" w:hAnsi="Times New Roman" w:cs="Times New Roman"/>
            <w:kern w:val="0"/>
            <w:sz w:val="24"/>
            <w:szCs w:val="24"/>
            <w:lang w:eastAsia="en-GB"/>
            <w14:ligatures w14:val="none"/>
          </w:rPr>
          <w:t>https://doi.org/10.1177/08948453030300010</w:t>
        </w:r>
        <w:r w:rsidR="00E70BD6" w:rsidRPr="00774BCB">
          <w:rPr>
            <w:rStyle w:val="Hyperlink"/>
            <w:rFonts w:ascii="Times New Roman" w:eastAsia="Times New Roman" w:hAnsi="Times New Roman" w:cs="Times New Roman"/>
            <w:kern w:val="0"/>
            <w:sz w:val="24"/>
            <w:szCs w:val="24"/>
            <w:lang w:eastAsia="en-GB"/>
            <w14:ligatures w14:val="none"/>
          </w:rPr>
          <w:t>4</w:t>
        </w:r>
      </w:hyperlink>
      <w:r w:rsidR="00E70BD6">
        <w:rPr>
          <w:rFonts w:ascii="Times New Roman" w:eastAsia="Times New Roman" w:hAnsi="Times New Roman" w:cs="Times New Roman"/>
          <w:kern w:val="0"/>
          <w:sz w:val="24"/>
          <w:szCs w:val="24"/>
          <w:lang w:eastAsia="en-GB"/>
          <w14:ligatures w14:val="none"/>
        </w:rPr>
        <w:t xml:space="preserve"> </w:t>
      </w:r>
    </w:p>
    <w:p w14:paraId="446D89E4"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lastRenderedPageBreak/>
        <w:t xml:space="preserve">Wright, J. (2018). </w:t>
      </w:r>
      <w:r w:rsidRPr="000B27C8">
        <w:rPr>
          <w:rFonts w:ascii="Times New Roman" w:eastAsia="Times New Roman" w:hAnsi="Times New Roman" w:cs="Times New Roman"/>
          <w:i/>
          <w:iCs/>
          <w:kern w:val="0"/>
          <w:sz w:val="24"/>
          <w:szCs w:val="24"/>
          <w:lang w:eastAsia="en-GB"/>
          <w14:ligatures w14:val="none"/>
        </w:rPr>
        <w:t>Reflective writing in counselling and psychotherapy</w:t>
      </w:r>
      <w:r w:rsidRPr="000B27C8">
        <w:rPr>
          <w:rFonts w:ascii="Times New Roman" w:eastAsia="Times New Roman" w:hAnsi="Times New Roman" w:cs="Times New Roman"/>
          <w:kern w:val="0"/>
          <w:sz w:val="24"/>
          <w:szCs w:val="24"/>
          <w:lang w:eastAsia="en-GB"/>
          <w14:ligatures w14:val="none"/>
        </w:rPr>
        <w:t xml:space="preserve"> (2nd ed.). Sage.</w:t>
      </w:r>
    </w:p>
    <w:p w14:paraId="394FC818" w14:textId="77777777" w:rsidR="000B27C8" w:rsidRPr="000B27C8" w:rsidRDefault="000B27C8" w:rsidP="000B27C8">
      <w:pPr>
        <w:spacing w:before="100" w:beforeAutospacing="1" w:after="100" w:afterAutospacing="1" w:line="240" w:lineRule="auto"/>
        <w:ind w:firstLine="720"/>
        <w:rPr>
          <w:rFonts w:ascii="Times New Roman" w:eastAsia="Times New Roman" w:hAnsi="Times New Roman" w:cs="Times New Roman"/>
          <w:kern w:val="0"/>
          <w:sz w:val="24"/>
          <w:szCs w:val="24"/>
          <w:lang w:eastAsia="en-GB"/>
          <w14:ligatures w14:val="none"/>
        </w:rPr>
      </w:pPr>
      <w:r w:rsidRPr="000B27C8">
        <w:rPr>
          <w:rFonts w:ascii="Times New Roman" w:eastAsia="Times New Roman" w:hAnsi="Times New Roman" w:cs="Times New Roman"/>
          <w:kern w:val="0"/>
          <w:sz w:val="24"/>
          <w:szCs w:val="24"/>
          <w:lang w:eastAsia="en-GB"/>
          <w14:ligatures w14:val="none"/>
        </w:rPr>
        <w:t xml:space="preserve">Wright, J., &amp; Bolton, G. (2012). </w:t>
      </w:r>
      <w:r w:rsidRPr="000B27C8">
        <w:rPr>
          <w:rFonts w:ascii="Times New Roman" w:eastAsia="Times New Roman" w:hAnsi="Times New Roman" w:cs="Times New Roman"/>
          <w:i/>
          <w:iCs/>
          <w:kern w:val="0"/>
          <w:sz w:val="24"/>
          <w:szCs w:val="24"/>
          <w:lang w:eastAsia="en-GB"/>
          <w14:ligatures w14:val="none"/>
        </w:rPr>
        <w:t>Reflective writing in counselling and psychotherapy</w:t>
      </w:r>
      <w:r w:rsidRPr="000B27C8">
        <w:rPr>
          <w:rFonts w:ascii="Times New Roman" w:eastAsia="Times New Roman" w:hAnsi="Times New Roman" w:cs="Times New Roman"/>
          <w:kern w:val="0"/>
          <w:sz w:val="24"/>
          <w:szCs w:val="24"/>
          <w:lang w:eastAsia="en-GB"/>
          <w14:ligatures w14:val="none"/>
        </w:rPr>
        <w:t>. Sage.</w:t>
      </w:r>
    </w:p>
    <w:p w14:paraId="4E331568" w14:textId="77777777" w:rsidR="000B27C8" w:rsidRPr="00AC3A13" w:rsidRDefault="000B27C8" w:rsidP="000B27C8">
      <w:pPr>
        <w:ind w:firstLine="720"/>
      </w:pPr>
    </w:p>
    <w:sectPr w:rsidR="000B27C8" w:rsidRPr="00AC3A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268D3"/>
    <w:multiLevelType w:val="multilevel"/>
    <w:tmpl w:val="5B08C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976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095"/>
    <w:rsid w:val="00014544"/>
    <w:rsid w:val="00056912"/>
    <w:rsid w:val="00075B30"/>
    <w:rsid w:val="000B27C8"/>
    <w:rsid w:val="000F4767"/>
    <w:rsid w:val="00164309"/>
    <w:rsid w:val="00176C5B"/>
    <w:rsid w:val="001A6018"/>
    <w:rsid w:val="001B1733"/>
    <w:rsid w:val="0021044A"/>
    <w:rsid w:val="00211932"/>
    <w:rsid w:val="00225EDD"/>
    <w:rsid w:val="00270C12"/>
    <w:rsid w:val="002A1B6B"/>
    <w:rsid w:val="002D0EB5"/>
    <w:rsid w:val="0032396D"/>
    <w:rsid w:val="003637E8"/>
    <w:rsid w:val="003829B8"/>
    <w:rsid w:val="00394A64"/>
    <w:rsid w:val="004020CC"/>
    <w:rsid w:val="00446ECE"/>
    <w:rsid w:val="0045048E"/>
    <w:rsid w:val="004555C1"/>
    <w:rsid w:val="005C5BEE"/>
    <w:rsid w:val="005E7058"/>
    <w:rsid w:val="00657CAB"/>
    <w:rsid w:val="006F783C"/>
    <w:rsid w:val="0072310D"/>
    <w:rsid w:val="00725FE9"/>
    <w:rsid w:val="007718CF"/>
    <w:rsid w:val="007B1FBF"/>
    <w:rsid w:val="007C5A5B"/>
    <w:rsid w:val="0082764D"/>
    <w:rsid w:val="008460F2"/>
    <w:rsid w:val="00887D85"/>
    <w:rsid w:val="008C5F6D"/>
    <w:rsid w:val="00982F6B"/>
    <w:rsid w:val="00996B53"/>
    <w:rsid w:val="00A57095"/>
    <w:rsid w:val="00A67605"/>
    <w:rsid w:val="00A71D69"/>
    <w:rsid w:val="00A83855"/>
    <w:rsid w:val="00A92936"/>
    <w:rsid w:val="00AC3A13"/>
    <w:rsid w:val="00AF5C07"/>
    <w:rsid w:val="00B424C2"/>
    <w:rsid w:val="00B4461A"/>
    <w:rsid w:val="00B87A5B"/>
    <w:rsid w:val="00BE0EFA"/>
    <w:rsid w:val="00BF1C91"/>
    <w:rsid w:val="00C11E15"/>
    <w:rsid w:val="00C425B9"/>
    <w:rsid w:val="00C866E6"/>
    <w:rsid w:val="00CD0A11"/>
    <w:rsid w:val="00D319EC"/>
    <w:rsid w:val="00D41DB6"/>
    <w:rsid w:val="00D73673"/>
    <w:rsid w:val="00D91008"/>
    <w:rsid w:val="00DA06EE"/>
    <w:rsid w:val="00DF7C72"/>
    <w:rsid w:val="00E70BD6"/>
    <w:rsid w:val="00EA3090"/>
    <w:rsid w:val="00EF3E5B"/>
    <w:rsid w:val="00EF5C21"/>
    <w:rsid w:val="00F1129C"/>
    <w:rsid w:val="00F4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66737"/>
  <w15:chartTrackingRefBased/>
  <w15:docId w15:val="{072D191E-CF1A-41ED-BA78-5F659D2B0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095"/>
    <w:rPr>
      <w:rFonts w:eastAsiaTheme="majorEastAsia" w:cstheme="majorBidi"/>
      <w:color w:val="272727" w:themeColor="text1" w:themeTint="D8"/>
    </w:rPr>
  </w:style>
  <w:style w:type="paragraph" w:styleId="Title">
    <w:name w:val="Title"/>
    <w:basedOn w:val="Normal"/>
    <w:next w:val="Normal"/>
    <w:link w:val="TitleChar"/>
    <w:uiPriority w:val="10"/>
    <w:qFormat/>
    <w:rsid w:val="00A57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095"/>
    <w:pPr>
      <w:spacing w:before="160"/>
      <w:jc w:val="center"/>
    </w:pPr>
    <w:rPr>
      <w:i/>
      <w:iCs/>
      <w:color w:val="404040" w:themeColor="text1" w:themeTint="BF"/>
    </w:rPr>
  </w:style>
  <w:style w:type="character" w:customStyle="1" w:styleId="QuoteChar">
    <w:name w:val="Quote Char"/>
    <w:basedOn w:val="DefaultParagraphFont"/>
    <w:link w:val="Quote"/>
    <w:uiPriority w:val="29"/>
    <w:rsid w:val="00A57095"/>
    <w:rPr>
      <w:i/>
      <w:iCs/>
      <w:color w:val="404040" w:themeColor="text1" w:themeTint="BF"/>
    </w:rPr>
  </w:style>
  <w:style w:type="paragraph" w:styleId="ListParagraph">
    <w:name w:val="List Paragraph"/>
    <w:basedOn w:val="Normal"/>
    <w:uiPriority w:val="34"/>
    <w:qFormat/>
    <w:rsid w:val="00A57095"/>
    <w:pPr>
      <w:ind w:left="720"/>
      <w:contextualSpacing/>
    </w:pPr>
  </w:style>
  <w:style w:type="character" w:styleId="IntenseEmphasis">
    <w:name w:val="Intense Emphasis"/>
    <w:basedOn w:val="DefaultParagraphFont"/>
    <w:uiPriority w:val="21"/>
    <w:qFormat/>
    <w:rsid w:val="00A57095"/>
    <w:rPr>
      <w:i/>
      <w:iCs/>
      <w:color w:val="0F4761" w:themeColor="accent1" w:themeShade="BF"/>
    </w:rPr>
  </w:style>
  <w:style w:type="paragraph" w:styleId="IntenseQuote">
    <w:name w:val="Intense Quote"/>
    <w:basedOn w:val="Normal"/>
    <w:next w:val="Normal"/>
    <w:link w:val="IntenseQuoteChar"/>
    <w:uiPriority w:val="30"/>
    <w:qFormat/>
    <w:rsid w:val="00A57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095"/>
    <w:rPr>
      <w:i/>
      <w:iCs/>
      <w:color w:val="0F4761" w:themeColor="accent1" w:themeShade="BF"/>
    </w:rPr>
  </w:style>
  <w:style w:type="character" w:styleId="IntenseReference">
    <w:name w:val="Intense Reference"/>
    <w:basedOn w:val="DefaultParagraphFont"/>
    <w:uiPriority w:val="32"/>
    <w:qFormat/>
    <w:rsid w:val="00A57095"/>
    <w:rPr>
      <w:b/>
      <w:bCs/>
      <w:smallCaps/>
      <w:color w:val="0F4761" w:themeColor="accent1" w:themeShade="BF"/>
      <w:spacing w:val="5"/>
    </w:rPr>
  </w:style>
  <w:style w:type="paragraph" w:styleId="NormalWeb">
    <w:name w:val="Normal (Web)"/>
    <w:basedOn w:val="Normal"/>
    <w:uiPriority w:val="99"/>
    <w:unhideWhenUsed/>
    <w:rsid w:val="004020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70BD6"/>
    <w:rPr>
      <w:color w:val="467886" w:themeColor="hyperlink"/>
      <w:u w:val="single"/>
    </w:rPr>
  </w:style>
  <w:style w:type="character" w:styleId="UnresolvedMention">
    <w:name w:val="Unresolved Mention"/>
    <w:basedOn w:val="DefaultParagraphFont"/>
    <w:uiPriority w:val="99"/>
    <w:semiHidden/>
    <w:unhideWhenUsed/>
    <w:rsid w:val="00E70BD6"/>
    <w:rPr>
      <w:color w:val="605E5C"/>
      <w:shd w:val="clear" w:color="auto" w:fill="E1DFDD"/>
    </w:rPr>
  </w:style>
  <w:style w:type="character" w:styleId="Emphasis">
    <w:name w:val="Emphasis"/>
    <w:basedOn w:val="DefaultParagraphFont"/>
    <w:uiPriority w:val="20"/>
    <w:qFormat/>
    <w:rsid w:val="00D319EC"/>
    <w:rPr>
      <w:i/>
      <w:iCs/>
    </w:rPr>
  </w:style>
  <w:style w:type="character" w:styleId="Strong">
    <w:name w:val="Strong"/>
    <w:basedOn w:val="DefaultParagraphFont"/>
    <w:uiPriority w:val="22"/>
    <w:qFormat/>
    <w:rsid w:val="000F47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45357"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089484530303000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7b2cf00c95bf44c6ddf602d1444e6666">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5f17a3fcd72d1c151b5962460726883"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AFADC0A2-905E-472A-9C42-182DCDCD6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C12C9F-AB3A-4211-A1E5-5879E38FF585}">
  <ds:schemaRefs>
    <ds:schemaRef ds:uri="http://schemas.microsoft.com/sharepoint/v3/contenttype/forms"/>
  </ds:schemaRefs>
</ds:datastoreItem>
</file>

<file path=customXml/itemProps3.xml><?xml version="1.0" encoding="utf-8"?>
<ds:datastoreItem xmlns:ds="http://schemas.openxmlformats.org/officeDocument/2006/customXml" ds:itemID="{B5A081A0-6600-4DFF-ADCE-1D7426A5662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2927</Words>
  <Characters>19760</Characters>
  <Application>Microsoft Office Word</Application>
  <DocSecurity>0</DocSecurity>
  <Lines>270</Lines>
  <Paragraphs>31</Paragraphs>
  <ScaleCrop>false</ScaleCrop>
  <Company/>
  <LinksUpToDate>false</LinksUpToDate>
  <CharactersWithSpaces>22656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 (2306162)</dc:creator>
  <cp:keywords/>
  <dc:description/>
  <cp:lastModifiedBy>Kayleigh Jones (2306162)</cp:lastModifiedBy>
  <cp:revision>62</cp:revision>
  <dcterms:created xsi:type="dcterms:W3CDTF">2026-01-03T10:36:00Z</dcterms:created>
  <dcterms:modified xsi:type="dcterms:W3CDTF">2026-01-06T11:52:00Z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01a3d5c7-85d8-48ed-b5f8-b410a495c528</vt:lpwstr>
  </property>
  <property fmtid="{D5CDD505-2E9C-101B-9397-08002B2CF9AE}" pid="3" name="ContentTypeId">
    <vt:lpwstr>0x01010096C48B67E562FF45ADD1FE43E2BC7706</vt:lpwstr>
  </property>
</Properties>
</file>