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09FCC9" w14:textId="77777777" w:rsidR="00BA2DAA" w:rsidRDefault="00BA2DAA" w:rsidP="00BA2DAA">
      <w:pPr>
        <w:rPr>
          <w:rFonts w:ascii="Arial" w:eastAsia="Times New Roman" w:hAnsi="Arial" w:cs="Arial"/>
          <w:color w:val="000000"/>
          <w:sz w:val="27"/>
          <w:szCs w:val="27"/>
          <w:u w:val="single"/>
        </w:rPr>
      </w:pPr>
    </w:p>
    <w:p w14:paraId="60910832" w14:textId="77777777" w:rsidR="00BA2DAA" w:rsidRDefault="00BA2DAA" w:rsidP="00BA2DAA">
      <w:pPr>
        <w:rPr>
          <w:rFonts w:ascii="Arial" w:eastAsia="Times New Roman" w:hAnsi="Arial" w:cs="Arial"/>
          <w:color w:val="000000"/>
          <w:sz w:val="27"/>
          <w:szCs w:val="27"/>
          <w:u w:val="single"/>
        </w:rPr>
      </w:pPr>
    </w:p>
    <w:p w14:paraId="57DD0345" w14:textId="77777777" w:rsidR="00BA2DAA" w:rsidRDefault="00BA2DAA" w:rsidP="00BA2DAA">
      <w:pPr>
        <w:rPr>
          <w:rFonts w:ascii="Arial" w:eastAsia="Times New Roman" w:hAnsi="Arial" w:cs="Arial"/>
          <w:color w:val="000000"/>
          <w:sz w:val="27"/>
          <w:szCs w:val="27"/>
          <w:u w:val="single"/>
        </w:rPr>
      </w:pPr>
    </w:p>
    <w:p w14:paraId="49661659" w14:textId="77777777" w:rsidR="00BA2DAA" w:rsidRDefault="00BA2DAA" w:rsidP="00BA2DAA">
      <w:pPr>
        <w:rPr>
          <w:rFonts w:ascii="Arial" w:eastAsia="Times New Roman" w:hAnsi="Arial" w:cs="Arial"/>
          <w:color w:val="000000"/>
          <w:sz w:val="27"/>
          <w:szCs w:val="27"/>
          <w:u w:val="single"/>
        </w:rPr>
      </w:pPr>
    </w:p>
    <w:p w14:paraId="412493C2" w14:textId="77777777" w:rsidR="00BA2DAA" w:rsidRDefault="00BA2DAA" w:rsidP="00BA2DAA">
      <w:pPr>
        <w:rPr>
          <w:rFonts w:ascii="Arial" w:eastAsia="Times New Roman" w:hAnsi="Arial" w:cs="Arial"/>
          <w:color w:val="000000"/>
          <w:sz w:val="27"/>
          <w:szCs w:val="27"/>
          <w:u w:val="single"/>
        </w:rPr>
      </w:pPr>
    </w:p>
    <w:p w14:paraId="0635551E" w14:textId="77777777" w:rsidR="00BA2DAA" w:rsidRDefault="00BA2DAA" w:rsidP="00BA2DAA">
      <w:pPr>
        <w:rPr>
          <w:rFonts w:ascii="Arial" w:eastAsia="Times New Roman" w:hAnsi="Arial" w:cs="Arial"/>
          <w:color w:val="000000"/>
          <w:sz w:val="27"/>
          <w:szCs w:val="27"/>
          <w:u w:val="single"/>
        </w:rPr>
      </w:pPr>
    </w:p>
    <w:p w14:paraId="4F4BF6C5" w14:textId="77777777" w:rsidR="00CB5D5F" w:rsidRDefault="00CB5D5F" w:rsidP="00BA2DAA">
      <w:pPr>
        <w:rPr>
          <w:rFonts w:ascii="Arial" w:eastAsia="Times New Roman" w:hAnsi="Arial" w:cs="Arial"/>
          <w:color w:val="000000"/>
          <w:sz w:val="27"/>
          <w:szCs w:val="27"/>
          <w:u w:val="single"/>
        </w:rPr>
      </w:pPr>
    </w:p>
    <w:p w14:paraId="257E0936" w14:textId="77777777" w:rsidR="00CB5D5F" w:rsidRDefault="00CB5D5F" w:rsidP="00BA2DAA">
      <w:pPr>
        <w:rPr>
          <w:rFonts w:ascii="Arial" w:eastAsia="Times New Roman" w:hAnsi="Arial" w:cs="Arial"/>
          <w:color w:val="000000"/>
          <w:sz w:val="27"/>
          <w:szCs w:val="27"/>
          <w:u w:val="single"/>
        </w:rPr>
      </w:pPr>
    </w:p>
    <w:p w14:paraId="40F1B9FD" w14:textId="77777777" w:rsidR="00CB5D5F" w:rsidRDefault="00CB5D5F" w:rsidP="00BA2DAA">
      <w:pPr>
        <w:rPr>
          <w:rFonts w:ascii="Arial" w:eastAsia="Times New Roman" w:hAnsi="Arial" w:cs="Arial"/>
          <w:color w:val="000000"/>
          <w:sz w:val="27"/>
          <w:szCs w:val="27"/>
          <w:u w:val="single"/>
        </w:rPr>
      </w:pPr>
    </w:p>
    <w:p w14:paraId="7D00510B" w14:textId="77777777" w:rsidR="00CB5D5F" w:rsidRDefault="00CB5D5F" w:rsidP="00BA2DAA">
      <w:pPr>
        <w:rPr>
          <w:rFonts w:ascii="Arial" w:eastAsia="Times New Roman" w:hAnsi="Arial" w:cs="Arial"/>
          <w:color w:val="000000"/>
          <w:sz w:val="27"/>
          <w:szCs w:val="27"/>
          <w:u w:val="single"/>
        </w:rPr>
      </w:pPr>
    </w:p>
    <w:p w14:paraId="6B9EA2B4" w14:textId="46C0A220" w:rsidR="00CB5D5F" w:rsidRDefault="00CB5D5F" w:rsidP="00BA2DAA">
      <w:pPr>
        <w:rPr>
          <w:rFonts w:ascii="Arial" w:eastAsia="Times New Roman" w:hAnsi="Arial" w:cs="Arial"/>
          <w:color w:val="000000"/>
          <w:sz w:val="27"/>
          <w:szCs w:val="27"/>
          <w:u w:val="single"/>
        </w:rPr>
      </w:pPr>
    </w:p>
    <w:p w14:paraId="3A809D1B" w14:textId="537AFEC9" w:rsidR="006060E5" w:rsidRDefault="00BA2DAA" w:rsidP="006060E5">
      <w:pPr>
        <w:jc w:val="center"/>
        <w:rPr>
          <w:rFonts w:ascii="Arial" w:eastAsia="Times New Roman" w:hAnsi="Arial" w:cs="Arial"/>
          <w:color w:val="000000"/>
          <w:kern w:val="0"/>
          <w:sz w:val="32"/>
          <w:szCs w:val="32"/>
          <w14:ligatures w14:val="none"/>
        </w:rPr>
      </w:pPr>
      <w:r>
        <w:rPr>
          <w:rFonts w:ascii="Arial" w:eastAsia="Times New Roman" w:hAnsi="Arial" w:cs="Arial"/>
          <w:color w:val="000000"/>
          <w:kern w:val="0"/>
          <w:sz w:val="32"/>
          <w:szCs w:val="32"/>
          <w14:ligatures w14:val="none"/>
        </w:rPr>
        <w:t>Student Number: 2131853</w:t>
      </w:r>
    </w:p>
    <w:p w14:paraId="31DBEA08" w14:textId="313263F7" w:rsidR="00CB5D5F" w:rsidRDefault="00CB5D5F" w:rsidP="006060E5">
      <w:pPr>
        <w:jc w:val="center"/>
        <w:rPr>
          <w:rFonts w:ascii="Arial" w:eastAsia="Times New Roman" w:hAnsi="Arial" w:cs="Arial"/>
          <w:color w:val="000000"/>
          <w:kern w:val="0"/>
          <w:sz w:val="32"/>
          <w:szCs w:val="32"/>
          <w14:ligatures w14:val="none"/>
        </w:rPr>
      </w:pPr>
      <w:r>
        <w:rPr>
          <w:rFonts w:ascii="Arial" w:eastAsia="Times New Roman" w:hAnsi="Arial" w:cs="Arial"/>
          <w:color w:val="000000"/>
          <w:kern w:val="0"/>
          <w:sz w:val="32"/>
          <w:szCs w:val="32"/>
          <w14:ligatures w14:val="none"/>
        </w:rPr>
        <w:t xml:space="preserve">Student Name: Dylan Burrows </w:t>
      </w:r>
    </w:p>
    <w:p w14:paraId="74F98242" w14:textId="4A4C2874" w:rsidR="00BA2DAA" w:rsidRDefault="00BA2DAA">
      <w:pPr>
        <w:rPr>
          <w:rFonts w:ascii="Arial" w:eastAsia="Times New Roman" w:hAnsi="Arial" w:cs="Arial"/>
          <w:color w:val="000000"/>
          <w:sz w:val="27"/>
          <w:szCs w:val="27"/>
          <w:u w:val="single"/>
        </w:rPr>
      </w:pPr>
    </w:p>
    <w:p w14:paraId="51921C3A" w14:textId="77777777" w:rsidR="00BA2DAA" w:rsidRDefault="00BA2DAA" w:rsidP="00AD115D">
      <w:pPr>
        <w:spacing w:before="100" w:beforeAutospacing="1" w:after="100" w:afterAutospacing="1" w:line="240" w:lineRule="auto"/>
        <w:rPr>
          <w:rFonts w:ascii="Arial" w:eastAsia="Times New Roman" w:hAnsi="Arial" w:cs="Arial"/>
          <w:color w:val="000000"/>
          <w:sz w:val="27"/>
          <w:szCs w:val="27"/>
          <w:u w:val="single"/>
        </w:rPr>
      </w:pPr>
    </w:p>
    <w:p w14:paraId="14C6CD03" w14:textId="77777777" w:rsidR="00BA2DAA" w:rsidRDefault="00BA2DAA" w:rsidP="00AD115D">
      <w:pPr>
        <w:spacing w:before="100" w:beforeAutospacing="1" w:after="100" w:afterAutospacing="1" w:line="240" w:lineRule="auto"/>
        <w:rPr>
          <w:rFonts w:ascii="Arial" w:eastAsia="Times New Roman" w:hAnsi="Arial" w:cs="Arial"/>
          <w:color w:val="000000"/>
          <w:sz w:val="27"/>
          <w:szCs w:val="27"/>
          <w:u w:val="single"/>
        </w:rPr>
      </w:pPr>
    </w:p>
    <w:p w14:paraId="6D1F76C6" w14:textId="77777777" w:rsidR="00BA2DAA" w:rsidRDefault="00BA2DAA" w:rsidP="00AD115D">
      <w:pPr>
        <w:spacing w:before="100" w:beforeAutospacing="1" w:after="100" w:afterAutospacing="1" w:line="240" w:lineRule="auto"/>
        <w:rPr>
          <w:rFonts w:ascii="Arial" w:eastAsia="Times New Roman" w:hAnsi="Arial" w:cs="Arial"/>
          <w:color w:val="000000"/>
          <w:sz w:val="27"/>
          <w:szCs w:val="27"/>
          <w:u w:val="single"/>
        </w:rPr>
      </w:pPr>
    </w:p>
    <w:p w14:paraId="297B0F22" w14:textId="77777777" w:rsidR="00BA2DAA" w:rsidRDefault="00BA2DAA" w:rsidP="00AD115D">
      <w:pPr>
        <w:spacing w:before="100" w:beforeAutospacing="1" w:after="100" w:afterAutospacing="1" w:line="240" w:lineRule="auto"/>
        <w:rPr>
          <w:rFonts w:ascii="Arial" w:eastAsia="Times New Roman" w:hAnsi="Arial" w:cs="Arial"/>
          <w:color w:val="000000"/>
          <w:sz w:val="27"/>
          <w:szCs w:val="27"/>
          <w:u w:val="single"/>
        </w:rPr>
      </w:pPr>
    </w:p>
    <w:p w14:paraId="3559AFF1" w14:textId="77777777" w:rsidR="00BA2DAA" w:rsidRDefault="00BA2DAA" w:rsidP="00AD115D">
      <w:pPr>
        <w:spacing w:before="100" w:beforeAutospacing="1" w:after="100" w:afterAutospacing="1" w:line="240" w:lineRule="auto"/>
        <w:rPr>
          <w:rFonts w:ascii="Arial" w:eastAsia="Times New Roman" w:hAnsi="Arial" w:cs="Arial"/>
          <w:color w:val="000000"/>
          <w:sz w:val="27"/>
          <w:szCs w:val="27"/>
          <w:u w:val="single"/>
        </w:rPr>
      </w:pPr>
    </w:p>
    <w:p w14:paraId="6A247BE5" w14:textId="77777777" w:rsidR="00BA2DAA" w:rsidRDefault="00BA2DAA" w:rsidP="00AD115D">
      <w:pPr>
        <w:spacing w:before="100" w:beforeAutospacing="1" w:after="100" w:afterAutospacing="1" w:line="240" w:lineRule="auto"/>
        <w:rPr>
          <w:rFonts w:ascii="Arial" w:eastAsia="Times New Roman" w:hAnsi="Arial" w:cs="Arial"/>
          <w:color w:val="000000"/>
          <w:sz w:val="27"/>
          <w:szCs w:val="27"/>
          <w:u w:val="single"/>
        </w:rPr>
      </w:pPr>
    </w:p>
    <w:p w14:paraId="0B083CE7" w14:textId="77777777" w:rsidR="00BA2DAA" w:rsidRDefault="00BA2DAA" w:rsidP="00AD115D">
      <w:pPr>
        <w:spacing w:before="100" w:beforeAutospacing="1" w:after="100" w:afterAutospacing="1" w:line="240" w:lineRule="auto"/>
        <w:rPr>
          <w:rFonts w:ascii="Arial" w:eastAsia="Times New Roman" w:hAnsi="Arial" w:cs="Arial"/>
          <w:color w:val="000000"/>
          <w:sz w:val="27"/>
          <w:szCs w:val="27"/>
          <w:u w:val="single"/>
        </w:rPr>
      </w:pPr>
    </w:p>
    <w:p w14:paraId="03887832" w14:textId="77777777" w:rsidR="00BA2DAA" w:rsidRDefault="00BA2DAA" w:rsidP="00AD115D">
      <w:pPr>
        <w:spacing w:before="100" w:beforeAutospacing="1" w:after="100" w:afterAutospacing="1" w:line="240" w:lineRule="auto"/>
        <w:rPr>
          <w:rFonts w:ascii="Arial" w:eastAsia="Times New Roman" w:hAnsi="Arial" w:cs="Arial"/>
          <w:color w:val="000000"/>
          <w:sz w:val="27"/>
          <w:szCs w:val="27"/>
          <w:u w:val="single"/>
        </w:rPr>
      </w:pPr>
    </w:p>
    <w:p w14:paraId="7DB93EAE" w14:textId="77777777" w:rsidR="00BA2DAA" w:rsidRDefault="00BA2DAA" w:rsidP="00AD115D">
      <w:pPr>
        <w:spacing w:before="100" w:beforeAutospacing="1" w:after="100" w:afterAutospacing="1" w:line="240" w:lineRule="auto"/>
        <w:rPr>
          <w:rFonts w:ascii="Arial" w:eastAsia="Times New Roman" w:hAnsi="Arial" w:cs="Arial"/>
          <w:color w:val="000000"/>
          <w:sz w:val="27"/>
          <w:szCs w:val="27"/>
          <w:u w:val="single"/>
        </w:rPr>
      </w:pPr>
    </w:p>
    <w:p w14:paraId="001ECBD8" w14:textId="77777777" w:rsidR="00BA2DAA" w:rsidRDefault="00BA2DAA" w:rsidP="00AD115D">
      <w:pPr>
        <w:spacing w:before="100" w:beforeAutospacing="1" w:after="100" w:afterAutospacing="1" w:line="240" w:lineRule="auto"/>
        <w:rPr>
          <w:rFonts w:ascii="Arial" w:eastAsia="Times New Roman" w:hAnsi="Arial" w:cs="Arial"/>
          <w:color w:val="000000"/>
          <w:sz w:val="27"/>
          <w:szCs w:val="27"/>
          <w:u w:val="single"/>
        </w:rPr>
      </w:pPr>
    </w:p>
    <w:p w14:paraId="75F73081" w14:textId="77777777" w:rsidR="00BA2DAA" w:rsidRDefault="00BA2DAA" w:rsidP="00AD115D">
      <w:pPr>
        <w:spacing w:before="100" w:beforeAutospacing="1" w:after="100" w:afterAutospacing="1" w:line="240" w:lineRule="auto"/>
        <w:rPr>
          <w:rFonts w:ascii="Arial" w:eastAsia="Times New Roman" w:hAnsi="Arial" w:cs="Arial"/>
          <w:color w:val="000000"/>
          <w:sz w:val="27"/>
          <w:szCs w:val="27"/>
          <w:u w:val="single"/>
        </w:rPr>
      </w:pPr>
    </w:p>
    <w:p w14:paraId="6176E471" w14:textId="627E9F8C" w:rsidR="009C1923" w:rsidRDefault="009C1923" w:rsidP="00390EFC">
      <w:pPr>
        <w:spacing w:before="100" w:beforeAutospacing="1" w:after="100" w:afterAutospacing="1" w:line="276" w:lineRule="auto"/>
        <w:jc w:val="both"/>
        <w:rPr>
          <w:rStyle w:val="s18"/>
          <w:rFonts w:ascii="Arial" w:eastAsia="Times New Roman" w:hAnsi="Arial" w:cs="Arial"/>
          <w:b/>
          <w:bCs/>
          <w:color w:val="000000"/>
        </w:rPr>
      </w:pPr>
      <w:r w:rsidRPr="00390EFC">
        <w:rPr>
          <w:rStyle w:val="s18"/>
          <w:rFonts w:ascii="Arial" w:eastAsia="Times New Roman" w:hAnsi="Arial" w:cs="Arial"/>
          <w:b/>
          <w:bCs/>
          <w:color w:val="000000"/>
        </w:rPr>
        <w:lastRenderedPageBreak/>
        <w:t>Question 2: What impact can the challenges of operational policing have on individual and group wellbeing? Why is</w:t>
      </w:r>
      <w:r w:rsidRPr="00390EFC">
        <w:rPr>
          <w:rStyle w:val="apple-converted-space"/>
          <w:rFonts w:ascii="Arial" w:eastAsia="Times New Roman" w:hAnsi="Arial" w:cs="Arial"/>
          <w:b/>
          <w:bCs/>
          <w:color w:val="000000"/>
        </w:rPr>
        <w:t> </w:t>
      </w:r>
      <w:r w:rsidRPr="00390EFC">
        <w:rPr>
          <w:rStyle w:val="s18"/>
          <w:rFonts w:ascii="Arial" w:eastAsia="Times New Roman" w:hAnsi="Arial" w:cs="Arial"/>
          <w:b/>
          <w:bCs/>
          <w:color w:val="000000"/>
        </w:rPr>
        <w:t>it important to manage</w:t>
      </w:r>
      <w:r w:rsidRPr="00390EFC">
        <w:rPr>
          <w:rStyle w:val="apple-converted-space"/>
          <w:rFonts w:ascii="Arial" w:eastAsia="Times New Roman" w:hAnsi="Arial" w:cs="Arial"/>
          <w:b/>
          <w:bCs/>
          <w:color w:val="000000"/>
        </w:rPr>
        <w:t> </w:t>
      </w:r>
      <w:r w:rsidRPr="00390EFC">
        <w:rPr>
          <w:rStyle w:val="s18"/>
          <w:rFonts w:ascii="Arial" w:eastAsia="Times New Roman" w:hAnsi="Arial" w:cs="Arial"/>
          <w:b/>
          <w:bCs/>
          <w:color w:val="000000"/>
        </w:rPr>
        <w:t>mental wellbeing</w:t>
      </w:r>
      <w:r w:rsidRPr="00390EFC">
        <w:rPr>
          <w:rStyle w:val="apple-converted-space"/>
          <w:rFonts w:ascii="Arial" w:eastAsia="Times New Roman" w:hAnsi="Arial" w:cs="Arial"/>
          <w:b/>
          <w:bCs/>
          <w:color w:val="000000"/>
        </w:rPr>
        <w:t> </w:t>
      </w:r>
      <w:r w:rsidRPr="00390EFC">
        <w:rPr>
          <w:rStyle w:val="s18"/>
          <w:rFonts w:ascii="Arial" w:eastAsia="Times New Roman" w:hAnsi="Arial" w:cs="Arial"/>
          <w:b/>
          <w:bCs/>
          <w:color w:val="000000"/>
        </w:rPr>
        <w:t>in</w:t>
      </w:r>
      <w:r w:rsidRPr="00390EFC">
        <w:rPr>
          <w:rStyle w:val="apple-converted-space"/>
          <w:rFonts w:ascii="Arial" w:eastAsia="Times New Roman" w:hAnsi="Arial" w:cs="Arial"/>
          <w:b/>
          <w:bCs/>
          <w:color w:val="000000"/>
        </w:rPr>
        <w:t> </w:t>
      </w:r>
      <w:r w:rsidRPr="00390EFC">
        <w:rPr>
          <w:rStyle w:val="s18"/>
          <w:rFonts w:ascii="Arial" w:eastAsia="Times New Roman" w:hAnsi="Arial" w:cs="Arial"/>
          <w:b/>
          <w:bCs/>
          <w:color w:val="000000"/>
        </w:rPr>
        <w:t>policing?</w:t>
      </w:r>
    </w:p>
    <w:p w14:paraId="46726D01" w14:textId="17AF3522" w:rsidR="00655BCE" w:rsidRPr="00390EFC" w:rsidRDefault="00655BCE" w:rsidP="00390EFC">
      <w:pPr>
        <w:spacing w:before="100" w:beforeAutospacing="1" w:after="100" w:afterAutospacing="1" w:line="276" w:lineRule="auto"/>
        <w:jc w:val="both"/>
        <w:rPr>
          <w:rStyle w:val="s18"/>
          <w:rFonts w:ascii="Arial" w:eastAsia="Times New Roman" w:hAnsi="Arial" w:cs="Arial"/>
          <w:b/>
          <w:bCs/>
          <w:color w:val="000000"/>
        </w:rPr>
      </w:pPr>
      <w:r>
        <w:rPr>
          <w:rStyle w:val="s18"/>
          <w:rFonts w:ascii="Arial" w:eastAsia="Times New Roman" w:hAnsi="Arial" w:cs="Arial"/>
          <w:b/>
          <w:bCs/>
          <w:color w:val="000000"/>
        </w:rPr>
        <w:t>Introduction</w:t>
      </w:r>
    </w:p>
    <w:p w14:paraId="32F38293" w14:textId="42E50A88" w:rsidR="00390EFC" w:rsidRDefault="00390EFC" w:rsidP="00390EFC">
      <w:pPr>
        <w:spacing w:line="276" w:lineRule="auto"/>
        <w:jc w:val="both"/>
        <w:rPr>
          <w:rFonts w:ascii="Arial" w:hAnsi="Arial" w:cs="Arial"/>
        </w:rPr>
      </w:pPr>
      <w:r w:rsidRPr="00390EFC">
        <w:rPr>
          <w:rFonts w:ascii="Arial" w:hAnsi="Arial" w:cs="Arial"/>
        </w:rPr>
        <w:t xml:space="preserve">Crime prevention, law enforcement, public safety, and crisis intervention are just a few of the many responsibilities that fall under the broad umbrella of operational policing. Although these duties are essential to upholding social order, police frequently encounter difficult, emotionally exhausting, and high-stakes circumstances in their work. Officers and their larger teams may experience a variety of psychological and physiological effects as a result of such exposure. These difficulties have the potential to worsen wellbeing over time, impair productivity, and foster corporate cultures that normalise suffering and mental illness. Using recent scholarly research as a guide, this essay examines the complex effects of operational policing on both individual and group wellbeing. The need of managing mental health in police departments for operational efficiency, public confidence, and long-term institutional viability is also covered. </w:t>
      </w:r>
    </w:p>
    <w:p w14:paraId="12AAB05D" w14:textId="28002D31" w:rsidR="00655BCE" w:rsidRPr="00655BCE" w:rsidRDefault="00655BCE" w:rsidP="00390EFC">
      <w:pPr>
        <w:spacing w:line="276" w:lineRule="auto"/>
        <w:jc w:val="both"/>
        <w:rPr>
          <w:rFonts w:ascii="Arial" w:hAnsi="Arial" w:cs="Arial"/>
          <w:b/>
          <w:bCs/>
        </w:rPr>
      </w:pPr>
      <w:r w:rsidRPr="00655BCE">
        <w:rPr>
          <w:rFonts w:ascii="Arial" w:hAnsi="Arial" w:cs="Arial"/>
          <w:b/>
          <w:bCs/>
        </w:rPr>
        <w:t>Main Body</w:t>
      </w:r>
    </w:p>
    <w:p w14:paraId="5201BCFF" w14:textId="190E2BDE" w:rsidR="00390EFC" w:rsidRPr="00390EFC" w:rsidRDefault="00390EFC" w:rsidP="00390EFC">
      <w:pPr>
        <w:spacing w:line="276" w:lineRule="auto"/>
        <w:jc w:val="both"/>
        <w:rPr>
          <w:rFonts w:ascii="Arial" w:hAnsi="Arial" w:cs="Arial"/>
        </w:rPr>
      </w:pPr>
      <w:r w:rsidRPr="00390EFC">
        <w:rPr>
          <w:rFonts w:ascii="Arial" w:hAnsi="Arial" w:cs="Arial"/>
        </w:rPr>
        <w:t xml:space="preserve">The demands of operational police are fundamental. Officers frequently deal with conflict, trauma, violence, and death. Unpredictable work schedules, long hours, heavy workloads, and bureaucratic demands all contribute to these stressors. According to research, mental health conditions like anxiety, depression, post-traumatic stress disorder (PTSD), and burnout are greatly exacerbated by exposure to such cumulative work stressors </w:t>
      </w:r>
      <w:r w:rsidRPr="007A7B88">
        <w:rPr>
          <w:rFonts w:ascii="Arial" w:hAnsi="Arial" w:cs="Arial"/>
        </w:rPr>
        <w:t>(Andersen</w:t>
      </w:r>
      <w:r w:rsidR="007A7B88">
        <w:rPr>
          <w:rFonts w:ascii="Arial" w:hAnsi="Arial" w:cs="Arial"/>
        </w:rPr>
        <w:t xml:space="preserve"> </w:t>
      </w:r>
      <w:r w:rsidR="007A7B88" w:rsidRPr="007A7B88">
        <w:rPr>
          <w:rFonts w:ascii="Arial" w:hAnsi="Arial" w:cs="Arial"/>
          <w:i/>
          <w:iCs/>
        </w:rPr>
        <w:t>et al,</w:t>
      </w:r>
      <w:r w:rsidR="007A7B88">
        <w:rPr>
          <w:rFonts w:ascii="Arial" w:hAnsi="Arial" w:cs="Arial"/>
        </w:rPr>
        <w:t xml:space="preserve"> 2022). </w:t>
      </w:r>
      <w:r w:rsidRPr="00390EFC">
        <w:rPr>
          <w:rFonts w:ascii="Arial" w:hAnsi="Arial" w:cs="Arial"/>
        </w:rPr>
        <w:t xml:space="preserve"> </w:t>
      </w:r>
    </w:p>
    <w:p w14:paraId="7E8DF900" w14:textId="4F2B9F65" w:rsidR="00390EFC" w:rsidRPr="00390EFC" w:rsidRDefault="00390EFC" w:rsidP="00390EFC">
      <w:pPr>
        <w:spacing w:line="276" w:lineRule="auto"/>
        <w:jc w:val="both"/>
        <w:rPr>
          <w:rFonts w:ascii="Arial" w:hAnsi="Arial" w:cs="Arial"/>
        </w:rPr>
      </w:pPr>
      <w:r w:rsidRPr="00390EFC">
        <w:rPr>
          <w:rFonts w:ascii="Arial" w:hAnsi="Arial" w:cs="Arial"/>
        </w:rPr>
        <w:t xml:space="preserve">Numerous studies demonstrate the prevalence and seriousness of traumatic exposure in law enforcement. For instance, frontline police officers might be called upon to deliver death notifications, attend tragic accidents, or respond to violent crimes. In addition to putting officers' mental resilience to the test, these situations leave them with permanent psychological damage. According to estimations, policemen are far more likely than the general population to suffer from PTSD, and studies show that recurrent trauma exposure increases the likelihood of developing PTSD symptoms </w:t>
      </w:r>
      <w:r w:rsidRPr="007A7B88">
        <w:rPr>
          <w:rFonts w:ascii="Arial" w:hAnsi="Arial" w:cs="Arial"/>
        </w:rPr>
        <w:t xml:space="preserve">(Violanti </w:t>
      </w:r>
      <w:r w:rsidRPr="007A7B88">
        <w:rPr>
          <w:rFonts w:ascii="Arial" w:hAnsi="Arial" w:cs="Arial"/>
          <w:i/>
          <w:iCs/>
        </w:rPr>
        <w:t>et al</w:t>
      </w:r>
      <w:r w:rsidR="007A7B88" w:rsidRPr="007A7B88">
        <w:rPr>
          <w:rFonts w:ascii="Arial" w:hAnsi="Arial" w:cs="Arial"/>
        </w:rPr>
        <w:t>,</w:t>
      </w:r>
      <w:r w:rsidR="007A7B88">
        <w:rPr>
          <w:rFonts w:ascii="Arial" w:hAnsi="Arial" w:cs="Arial"/>
        </w:rPr>
        <w:t xml:space="preserve"> </w:t>
      </w:r>
      <w:r w:rsidRPr="007A7B88">
        <w:rPr>
          <w:rFonts w:ascii="Arial" w:hAnsi="Arial" w:cs="Arial"/>
        </w:rPr>
        <w:t>2018).</w:t>
      </w:r>
      <w:r w:rsidRPr="00390EFC">
        <w:rPr>
          <w:rFonts w:ascii="Arial" w:hAnsi="Arial" w:cs="Arial"/>
        </w:rPr>
        <w:t xml:space="preserve">  Crucially, officers' capacity to emotionally digest these events is frequently constrained by the operating environment.</w:t>
      </w:r>
      <w:r w:rsidR="007A7B88">
        <w:rPr>
          <w:rFonts w:ascii="Arial" w:hAnsi="Arial" w:cs="Arial"/>
        </w:rPr>
        <w:t xml:space="preserve"> </w:t>
      </w:r>
      <w:r w:rsidRPr="00390EFC">
        <w:rPr>
          <w:rFonts w:ascii="Arial" w:hAnsi="Arial" w:cs="Arial"/>
        </w:rPr>
        <w:t xml:space="preserve">Cultural norms in police departments may inhibit people from expressing their emotions or seeking treatment, which can lead to a workplace where psychological suffering is either concealed or normalised </w:t>
      </w:r>
      <w:r w:rsidRPr="007A7B88">
        <w:rPr>
          <w:rFonts w:ascii="Arial" w:hAnsi="Arial" w:cs="Arial"/>
        </w:rPr>
        <w:t xml:space="preserve">(Karaffa and </w:t>
      </w:r>
      <w:proofErr w:type="spellStart"/>
      <w:r w:rsidRPr="007A7B88">
        <w:rPr>
          <w:rFonts w:ascii="Arial" w:hAnsi="Arial" w:cs="Arial"/>
        </w:rPr>
        <w:t>Tochkov</w:t>
      </w:r>
      <w:proofErr w:type="spellEnd"/>
      <w:r w:rsidRPr="007A7B88">
        <w:rPr>
          <w:rFonts w:ascii="Arial" w:hAnsi="Arial" w:cs="Arial"/>
        </w:rPr>
        <w:t>, 2013).</w:t>
      </w:r>
      <w:r w:rsidRPr="00390EFC">
        <w:rPr>
          <w:rFonts w:ascii="Arial" w:hAnsi="Arial" w:cs="Arial"/>
        </w:rPr>
        <w:t xml:space="preserve"> Maladaptive coping mechanisms like emotional repression, cynicism, substance abuse, and social disengagement may arise from this. </w:t>
      </w:r>
    </w:p>
    <w:p w14:paraId="27966CBD" w14:textId="77777777" w:rsidR="00390EFC" w:rsidRPr="00390EFC" w:rsidRDefault="00390EFC" w:rsidP="00390EFC">
      <w:pPr>
        <w:spacing w:line="276" w:lineRule="auto"/>
        <w:jc w:val="both"/>
        <w:rPr>
          <w:rFonts w:ascii="Arial" w:hAnsi="Arial" w:cs="Arial"/>
        </w:rPr>
      </w:pPr>
    </w:p>
    <w:p w14:paraId="50D64C2D" w14:textId="77777777" w:rsidR="00390EFC" w:rsidRPr="00390EFC" w:rsidRDefault="00390EFC" w:rsidP="00390EFC">
      <w:pPr>
        <w:spacing w:line="276" w:lineRule="auto"/>
        <w:jc w:val="both"/>
        <w:rPr>
          <w:rFonts w:ascii="Arial" w:hAnsi="Arial" w:cs="Arial"/>
        </w:rPr>
      </w:pPr>
    </w:p>
    <w:p w14:paraId="3CDABEB4" w14:textId="74243BB3" w:rsidR="00390EFC" w:rsidRPr="00390EFC" w:rsidRDefault="00390EFC" w:rsidP="00390EFC">
      <w:pPr>
        <w:spacing w:line="276" w:lineRule="auto"/>
        <w:jc w:val="both"/>
        <w:rPr>
          <w:rFonts w:ascii="Arial" w:hAnsi="Arial" w:cs="Arial"/>
        </w:rPr>
      </w:pPr>
      <w:r w:rsidRPr="00390EFC">
        <w:rPr>
          <w:rFonts w:ascii="Arial" w:hAnsi="Arial" w:cs="Arial"/>
        </w:rPr>
        <w:lastRenderedPageBreak/>
        <w:t xml:space="preserve">Individual officers' psychological burdens can show up in a number of detrimental ways.   Prolonged stress can affect memory, decision-making, emotional control, and cognitive functioning—all of which are critical for efficient police work.   Officers who struggle with mental health issues may become less patient, more agitated, and more likely to make mistakes, which might raise the possibility of misconduct or instances involving the use of force </w:t>
      </w:r>
      <w:r w:rsidRPr="007A7B88">
        <w:rPr>
          <w:rFonts w:ascii="Arial" w:hAnsi="Arial" w:cs="Arial"/>
        </w:rPr>
        <w:t>(Watson and Andrews, 2020).</w:t>
      </w:r>
      <w:r w:rsidR="007A7B88">
        <w:rPr>
          <w:rFonts w:ascii="Arial" w:hAnsi="Arial" w:cs="Arial"/>
        </w:rPr>
        <w:t xml:space="preserve"> </w:t>
      </w:r>
      <w:r w:rsidRPr="00390EFC">
        <w:rPr>
          <w:rFonts w:ascii="Arial" w:hAnsi="Arial" w:cs="Arial"/>
        </w:rPr>
        <w:t xml:space="preserve">There is a considerable correlation between poor mental health and physical health, according to the literature. Prolonged stress has been linked to immune system malfunction, sleep issues, and cardiovascular disease by raising cortisol levels. The physical demands of police, such as shift work and poor eating, exacerbate these health </w:t>
      </w:r>
      <w:r w:rsidR="007A7B88" w:rsidRPr="00390EFC">
        <w:rPr>
          <w:rFonts w:ascii="Arial" w:hAnsi="Arial" w:cs="Arial"/>
        </w:rPr>
        <w:t>issues,</w:t>
      </w:r>
      <w:r w:rsidRPr="00390EFC">
        <w:rPr>
          <w:rFonts w:ascii="Arial" w:hAnsi="Arial" w:cs="Arial"/>
        </w:rPr>
        <w:t xml:space="preserve"> and worsen general </w:t>
      </w:r>
      <w:r w:rsidRPr="007A7B88">
        <w:rPr>
          <w:rFonts w:ascii="Arial" w:hAnsi="Arial" w:cs="Arial"/>
        </w:rPr>
        <w:t>well</w:t>
      </w:r>
      <w:r w:rsidR="007A7B88">
        <w:rPr>
          <w:rFonts w:ascii="Arial" w:hAnsi="Arial" w:cs="Arial"/>
        </w:rPr>
        <w:t>being</w:t>
      </w:r>
      <w:r w:rsidRPr="007A7B88">
        <w:rPr>
          <w:rFonts w:ascii="Arial" w:hAnsi="Arial" w:cs="Arial"/>
        </w:rPr>
        <w:t xml:space="preserve"> (Garbarino and </w:t>
      </w:r>
      <w:proofErr w:type="spellStart"/>
      <w:r w:rsidRPr="007A7B88">
        <w:rPr>
          <w:rFonts w:ascii="Arial" w:hAnsi="Arial" w:cs="Arial"/>
        </w:rPr>
        <w:t>Magnavita</w:t>
      </w:r>
      <w:proofErr w:type="spellEnd"/>
      <w:r w:rsidRPr="007A7B88">
        <w:rPr>
          <w:rFonts w:ascii="Arial" w:hAnsi="Arial" w:cs="Arial"/>
        </w:rPr>
        <w:t>, 2015).</w:t>
      </w:r>
      <w:r w:rsidRPr="00390EFC">
        <w:rPr>
          <w:rFonts w:ascii="Arial" w:hAnsi="Arial" w:cs="Arial"/>
        </w:rPr>
        <w:t xml:space="preserve"> </w:t>
      </w:r>
    </w:p>
    <w:p w14:paraId="4899E8DF" w14:textId="00D3E75B" w:rsidR="00390EFC" w:rsidRPr="00390EFC" w:rsidRDefault="00390EFC" w:rsidP="00390EFC">
      <w:pPr>
        <w:spacing w:line="276" w:lineRule="auto"/>
        <w:jc w:val="both"/>
        <w:rPr>
          <w:rFonts w:ascii="Arial" w:hAnsi="Arial" w:cs="Arial"/>
        </w:rPr>
      </w:pPr>
      <w:r w:rsidRPr="00390EFC">
        <w:rPr>
          <w:rFonts w:ascii="Arial" w:hAnsi="Arial" w:cs="Arial"/>
        </w:rPr>
        <w:t xml:space="preserve">Officers' personal and familial lives are regularly impacted by mental health difficulties. Relationships can be damaged by high stress levels and emotional separation, which can lead to marriage dissolution and family estrangement. Furthermore, officers' feelings of loneliness and internal conflict are exacerbated by the stigma associated with mental health in law enforcement, which frequently keeps them from talking about their difficulties at home </w:t>
      </w:r>
      <w:r w:rsidRPr="007A7B88">
        <w:rPr>
          <w:rFonts w:ascii="Arial" w:hAnsi="Arial" w:cs="Arial"/>
        </w:rPr>
        <w:t xml:space="preserve">(Karaffa and </w:t>
      </w:r>
      <w:proofErr w:type="spellStart"/>
      <w:r w:rsidRPr="007A7B88">
        <w:rPr>
          <w:rFonts w:ascii="Arial" w:hAnsi="Arial" w:cs="Arial"/>
        </w:rPr>
        <w:t>Tochkov</w:t>
      </w:r>
      <w:proofErr w:type="spellEnd"/>
      <w:r w:rsidRPr="007A7B88">
        <w:rPr>
          <w:rFonts w:ascii="Arial" w:hAnsi="Arial" w:cs="Arial"/>
        </w:rPr>
        <w:t>, 2013).</w:t>
      </w:r>
      <w:r w:rsidRPr="00390EFC">
        <w:rPr>
          <w:rFonts w:ascii="Arial" w:hAnsi="Arial" w:cs="Arial"/>
        </w:rPr>
        <w:t xml:space="preserve"> Reflecting on the research discussed above, it is no surprise that the increased likelihood of suicide among police officers is arguably the most alarming. There is an urgent need for better mental health support systems inside the police force organisations, as evidenced by numerous studies that show disproportionately high suicide rates among police officers when compared to other professions </w:t>
      </w:r>
      <w:r w:rsidRPr="007A7B88">
        <w:rPr>
          <w:rFonts w:ascii="Arial" w:hAnsi="Arial" w:cs="Arial"/>
        </w:rPr>
        <w:t xml:space="preserve">(Violanti </w:t>
      </w:r>
      <w:r w:rsidRPr="007A7B88">
        <w:rPr>
          <w:rFonts w:ascii="Arial" w:hAnsi="Arial" w:cs="Arial"/>
          <w:i/>
          <w:iCs/>
        </w:rPr>
        <w:t>et al</w:t>
      </w:r>
      <w:r w:rsidR="007A7B88" w:rsidRPr="007A7B88">
        <w:rPr>
          <w:rFonts w:ascii="Arial" w:hAnsi="Arial" w:cs="Arial"/>
          <w:i/>
          <w:iCs/>
        </w:rPr>
        <w:t>,</w:t>
      </w:r>
      <w:r w:rsidR="007A7B88" w:rsidRPr="007A7B88">
        <w:rPr>
          <w:rFonts w:ascii="Arial" w:hAnsi="Arial" w:cs="Arial"/>
        </w:rPr>
        <w:t xml:space="preserve"> </w:t>
      </w:r>
      <w:r w:rsidRPr="007A7B88">
        <w:rPr>
          <w:rFonts w:ascii="Arial" w:hAnsi="Arial" w:cs="Arial"/>
        </w:rPr>
        <w:t>2018).</w:t>
      </w:r>
      <w:r w:rsidRPr="00390EFC">
        <w:rPr>
          <w:rFonts w:ascii="Arial" w:hAnsi="Arial" w:cs="Arial"/>
        </w:rPr>
        <w:t xml:space="preserve">  These statistics demonstrate the importance of using research to create changes within the force, as the results of statistics available are concerning regarding the mental health outcome possibilities of police officers. </w:t>
      </w:r>
    </w:p>
    <w:p w14:paraId="10A0EAFA" w14:textId="7648BF77" w:rsidR="00390EFC" w:rsidRPr="00390EFC" w:rsidRDefault="00390EFC" w:rsidP="00390EFC">
      <w:pPr>
        <w:spacing w:line="276" w:lineRule="auto"/>
        <w:jc w:val="both"/>
        <w:rPr>
          <w:rFonts w:ascii="Arial" w:hAnsi="Arial" w:cs="Arial"/>
        </w:rPr>
      </w:pPr>
      <w:r w:rsidRPr="00390EFC">
        <w:rPr>
          <w:rFonts w:ascii="Arial" w:hAnsi="Arial" w:cs="Arial"/>
        </w:rPr>
        <w:t>In addition to having an impact on individuals, operational stress and mental illness can spread throughout entire departments, teams, and units, compromising organisational culture and group cohesion. In the team-based field of policing, cooperation, trust, and communication are essential. Officers who suffer from psychological discomfort are less able to interact with their peers. This can lead to miscommunications, lower team morale, and a toxic workplace (</w:t>
      </w:r>
      <w:r w:rsidRPr="007A7B88">
        <w:rPr>
          <w:rFonts w:ascii="Arial" w:hAnsi="Arial" w:cs="Arial"/>
        </w:rPr>
        <w:t>Brough</w:t>
      </w:r>
      <w:r w:rsidR="007A7B88">
        <w:rPr>
          <w:rFonts w:ascii="Arial" w:hAnsi="Arial" w:cs="Arial"/>
        </w:rPr>
        <w:t xml:space="preserve"> </w:t>
      </w:r>
      <w:r w:rsidR="007A7B88" w:rsidRPr="007A7B88">
        <w:rPr>
          <w:rFonts w:ascii="Arial" w:hAnsi="Arial" w:cs="Arial"/>
          <w:i/>
          <w:iCs/>
        </w:rPr>
        <w:t>et al,</w:t>
      </w:r>
      <w:r w:rsidR="007A7B88">
        <w:rPr>
          <w:rFonts w:ascii="Arial" w:hAnsi="Arial" w:cs="Arial"/>
        </w:rPr>
        <w:t xml:space="preserve"> </w:t>
      </w:r>
      <w:r w:rsidRPr="007A7B88">
        <w:rPr>
          <w:rFonts w:ascii="Arial" w:hAnsi="Arial" w:cs="Arial"/>
        </w:rPr>
        <w:t>2013).</w:t>
      </w:r>
      <w:r w:rsidRPr="00390EFC">
        <w:rPr>
          <w:rFonts w:ascii="Arial" w:hAnsi="Arial" w:cs="Arial"/>
        </w:rPr>
        <w:t xml:space="preserve">  The phenomenon known as "emotional contagion," in which tension, pessimism, or negativity effects a team, can also result from cumulative stress. Group functioning, interpersonal conflict, and collective efficacy can all be severely compromised by this happening (</w:t>
      </w:r>
      <w:r w:rsidRPr="007A7B88">
        <w:rPr>
          <w:rFonts w:ascii="Arial" w:hAnsi="Arial" w:cs="Arial"/>
        </w:rPr>
        <w:t>Huynh</w:t>
      </w:r>
      <w:r w:rsidR="007A7B88">
        <w:rPr>
          <w:rFonts w:ascii="Arial" w:hAnsi="Arial" w:cs="Arial"/>
        </w:rPr>
        <w:t xml:space="preserve"> </w:t>
      </w:r>
      <w:r w:rsidR="007A7B88" w:rsidRPr="007A7B88">
        <w:rPr>
          <w:rFonts w:ascii="Arial" w:hAnsi="Arial" w:cs="Arial"/>
          <w:i/>
          <w:iCs/>
        </w:rPr>
        <w:t>et al,</w:t>
      </w:r>
      <w:r w:rsidR="007A7B88">
        <w:rPr>
          <w:rFonts w:ascii="Arial" w:hAnsi="Arial" w:cs="Arial"/>
        </w:rPr>
        <w:t xml:space="preserve"> </w:t>
      </w:r>
      <w:r w:rsidRPr="007A7B88">
        <w:rPr>
          <w:rFonts w:ascii="Arial" w:hAnsi="Arial" w:cs="Arial"/>
        </w:rPr>
        <w:t>2012).</w:t>
      </w:r>
      <w:r w:rsidRPr="00390EFC">
        <w:rPr>
          <w:rFonts w:ascii="Arial" w:hAnsi="Arial" w:cs="Arial"/>
        </w:rPr>
        <w:t xml:space="preserve"> Additionally, officers may jointly normalise unhealthy coping strategies or completely deny the existence of stress when the dominant organisational culture stigmatises mental health </w:t>
      </w:r>
      <w:r w:rsidRPr="007A7B88">
        <w:rPr>
          <w:rFonts w:ascii="Arial" w:hAnsi="Arial" w:cs="Arial"/>
        </w:rPr>
        <w:t>issues (Watson and Andrews, 2020).</w:t>
      </w:r>
      <w:r w:rsidRPr="00390EFC">
        <w:rPr>
          <w:rFonts w:ascii="Arial" w:hAnsi="Arial" w:cs="Arial"/>
        </w:rPr>
        <w:t xml:space="preserve"> </w:t>
      </w:r>
    </w:p>
    <w:p w14:paraId="08632D59" w14:textId="46EC60BA" w:rsidR="00390EFC" w:rsidRPr="00390EFC" w:rsidRDefault="00390EFC" w:rsidP="00390EFC">
      <w:pPr>
        <w:spacing w:line="276" w:lineRule="auto"/>
        <w:jc w:val="both"/>
        <w:rPr>
          <w:rFonts w:ascii="Arial" w:hAnsi="Arial" w:cs="Arial"/>
        </w:rPr>
      </w:pPr>
      <w:r w:rsidRPr="00390EFC">
        <w:rPr>
          <w:rFonts w:ascii="Arial" w:hAnsi="Arial" w:cs="Arial"/>
        </w:rPr>
        <w:t xml:space="preserve">Absenteeism, presenteeism, and turnover all have an impact on organisational wellbeing and are all made worse by poor mental health. Police services bear heavy operational and financial costs when officers take prolonged sick absence for stress-related reasons. Presenteeism, the practice of continuing to work while mentally ill, puts operational safety at risk because it can result in subpar performance. </w:t>
      </w:r>
      <w:r w:rsidRPr="00390EFC">
        <w:rPr>
          <w:rFonts w:ascii="Arial" w:hAnsi="Arial" w:cs="Arial"/>
        </w:rPr>
        <w:lastRenderedPageBreak/>
        <w:t xml:space="preserve">Furthermore, experienced officers may leave the force due to disenchantment with institutional support for their well-being, which would increase the workload for the remaining staff members and result in the loss of important institutional expertise </w:t>
      </w:r>
      <w:r w:rsidRPr="007A7B88">
        <w:rPr>
          <w:rFonts w:ascii="Arial" w:hAnsi="Arial" w:cs="Arial"/>
        </w:rPr>
        <w:t>(Andersen</w:t>
      </w:r>
      <w:r w:rsidR="007A7B88">
        <w:rPr>
          <w:rFonts w:ascii="Arial" w:hAnsi="Arial" w:cs="Arial"/>
        </w:rPr>
        <w:t xml:space="preserve"> </w:t>
      </w:r>
      <w:r w:rsidR="007A7B88" w:rsidRPr="007A7B88">
        <w:rPr>
          <w:rFonts w:ascii="Arial" w:hAnsi="Arial" w:cs="Arial"/>
          <w:i/>
          <w:iCs/>
        </w:rPr>
        <w:t>et al,</w:t>
      </w:r>
      <w:r w:rsidR="007A7B88">
        <w:rPr>
          <w:rFonts w:ascii="Arial" w:hAnsi="Arial" w:cs="Arial"/>
        </w:rPr>
        <w:t xml:space="preserve"> 2022). </w:t>
      </w:r>
    </w:p>
    <w:p w14:paraId="3B88DBED" w14:textId="71100219" w:rsidR="00390EFC" w:rsidRPr="00390EFC" w:rsidRDefault="00390EFC" w:rsidP="00390EFC">
      <w:pPr>
        <w:spacing w:line="276" w:lineRule="auto"/>
        <w:jc w:val="both"/>
        <w:rPr>
          <w:rFonts w:ascii="Arial" w:hAnsi="Arial" w:cs="Arial"/>
        </w:rPr>
      </w:pPr>
      <w:r w:rsidRPr="00390EFC">
        <w:rPr>
          <w:rFonts w:ascii="Arial" w:hAnsi="Arial" w:cs="Arial"/>
        </w:rPr>
        <w:t xml:space="preserve">Psychological discomfort in the police force is not solely caused by operational responsibilities. The results of mental wellness are significantly influenced by organisational stressors, such as inadequate management, poor communication, a lack of autonomy, and a lack of recognition </w:t>
      </w:r>
      <w:r w:rsidRPr="007A7B88">
        <w:rPr>
          <w:rFonts w:ascii="Arial" w:hAnsi="Arial" w:cs="Arial"/>
        </w:rPr>
        <w:t>(Brough</w:t>
      </w:r>
      <w:r w:rsidR="007A7B88">
        <w:rPr>
          <w:rFonts w:ascii="Arial" w:hAnsi="Arial" w:cs="Arial"/>
        </w:rPr>
        <w:t xml:space="preserve"> </w:t>
      </w:r>
      <w:r w:rsidR="007A7B88" w:rsidRPr="007A7B88">
        <w:rPr>
          <w:rFonts w:ascii="Arial" w:hAnsi="Arial" w:cs="Arial"/>
          <w:i/>
          <w:iCs/>
        </w:rPr>
        <w:t xml:space="preserve">et al, </w:t>
      </w:r>
      <w:r w:rsidRPr="007A7B88">
        <w:rPr>
          <w:rFonts w:ascii="Arial" w:hAnsi="Arial" w:cs="Arial"/>
        </w:rPr>
        <w:t>2013). Officers</w:t>
      </w:r>
      <w:r w:rsidRPr="00390EFC">
        <w:rPr>
          <w:rFonts w:ascii="Arial" w:hAnsi="Arial" w:cs="Arial"/>
        </w:rPr>
        <w:t xml:space="preserve"> find it more difficult to prevent or lessen these stressors, which are frequently chronic, than operational traumas.  According to research on the "job demand-control-support" model, there is a considerable rise in the risk of burnout and mental illness when high job demands are paired with low levels of control and social </w:t>
      </w:r>
      <w:r w:rsidRPr="007A7B88">
        <w:rPr>
          <w:rFonts w:ascii="Arial" w:hAnsi="Arial" w:cs="Arial"/>
        </w:rPr>
        <w:t>support (Huynh</w:t>
      </w:r>
      <w:r w:rsidR="007A7B88">
        <w:rPr>
          <w:rFonts w:ascii="Arial" w:hAnsi="Arial" w:cs="Arial"/>
        </w:rPr>
        <w:t xml:space="preserve"> </w:t>
      </w:r>
      <w:r w:rsidR="007A7B88" w:rsidRPr="007A7B88">
        <w:rPr>
          <w:rFonts w:ascii="Arial" w:hAnsi="Arial" w:cs="Arial"/>
          <w:i/>
          <w:iCs/>
        </w:rPr>
        <w:t>et al,</w:t>
      </w:r>
      <w:r w:rsidR="007A7B88">
        <w:rPr>
          <w:rFonts w:ascii="Arial" w:hAnsi="Arial" w:cs="Arial"/>
        </w:rPr>
        <w:t xml:space="preserve"> </w:t>
      </w:r>
      <w:r w:rsidRPr="007A7B88">
        <w:rPr>
          <w:rFonts w:ascii="Arial" w:hAnsi="Arial" w:cs="Arial"/>
        </w:rPr>
        <w:t>2012).</w:t>
      </w:r>
      <w:r w:rsidRPr="00390EFC">
        <w:rPr>
          <w:rFonts w:ascii="Arial" w:hAnsi="Arial" w:cs="Arial"/>
        </w:rPr>
        <w:t xml:space="preserve"> This description frequently applies to policing, especially in hierarchically structured organisations. Officers could feel that leadership structures don't support them, that bureaucratic procedures limit them, and that they have little control over their workplaces.  Officers' feelings of professional alienation may also be made worse by the politicisation of policing, public scrutiny, and unfavourable media representations. Moral injury, a psychological hurt that occurs when people believe their principles have been violated by the organisation or society they serve, can result from feeling underappreciated or harshly </w:t>
      </w:r>
      <w:r w:rsidRPr="007A7B88">
        <w:rPr>
          <w:rFonts w:ascii="Arial" w:hAnsi="Arial" w:cs="Arial"/>
        </w:rPr>
        <w:t>criticised (Watson and Andrews, 2020).</w:t>
      </w:r>
      <w:r w:rsidRPr="00390EFC">
        <w:rPr>
          <w:rFonts w:ascii="Arial" w:hAnsi="Arial" w:cs="Arial"/>
        </w:rPr>
        <w:t xml:space="preserve"> </w:t>
      </w:r>
    </w:p>
    <w:p w14:paraId="601E9DD4" w14:textId="1656D665" w:rsidR="00390EFC" w:rsidRPr="00390EFC" w:rsidRDefault="00390EFC" w:rsidP="00390EFC">
      <w:pPr>
        <w:spacing w:line="276" w:lineRule="auto"/>
        <w:jc w:val="both"/>
        <w:rPr>
          <w:rFonts w:ascii="Arial" w:hAnsi="Arial" w:cs="Arial"/>
        </w:rPr>
      </w:pPr>
      <w:r w:rsidRPr="00390EFC">
        <w:rPr>
          <w:rFonts w:ascii="Arial" w:hAnsi="Arial" w:cs="Arial"/>
        </w:rPr>
        <w:t xml:space="preserve">In addition to being morally required, managing mental health in the police force is also practically essential to positive working outcomes. Officers with strong mental health are more productive, resilient, and able to make wise decisions under stress.   Additionally, they are more likely to interact positively with the public, which promotes legitimacy and trust—two essential elements of democratic policing </w:t>
      </w:r>
      <w:r w:rsidRPr="007A7B88">
        <w:rPr>
          <w:rFonts w:ascii="Arial" w:hAnsi="Arial" w:cs="Arial"/>
        </w:rPr>
        <w:t>(Andersen</w:t>
      </w:r>
      <w:r w:rsidR="007A7B88" w:rsidRPr="007A7B88">
        <w:rPr>
          <w:rFonts w:ascii="Arial" w:hAnsi="Arial" w:cs="Arial"/>
        </w:rPr>
        <w:t xml:space="preserve"> </w:t>
      </w:r>
      <w:r w:rsidR="007A7B88" w:rsidRPr="007A7B88">
        <w:rPr>
          <w:rFonts w:ascii="Arial" w:hAnsi="Arial" w:cs="Arial"/>
          <w:i/>
          <w:iCs/>
        </w:rPr>
        <w:t>et al</w:t>
      </w:r>
      <w:r w:rsidR="007A7B88" w:rsidRPr="007A7B88">
        <w:rPr>
          <w:rFonts w:ascii="Arial" w:hAnsi="Arial" w:cs="Arial"/>
        </w:rPr>
        <w:t>,</w:t>
      </w:r>
      <w:r w:rsidR="007A7B88">
        <w:rPr>
          <w:rFonts w:ascii="Arial" w:hAnsi="Arial" w:cs="Arial"/>
        </w:rPr>
        <w:t xml:space="preserve"> 2022). </w:t>
      </w:r>
      <w:r w:rsidRPr="00390EFC">
        <w:rPr>
          <w:rFonts w:ascii="Arial" w:hAnsi="Arial" w:cs="Arial"/>
        </w:rPr>
        <w:t>A cycle of distress, dysfunction, and disengagement is sustained when mental health issues are not addressed. In order to end this loop and maintain a highly effective police force, proactive mental health management is crucial. This calls for both proactive and reactive tactics. within the police force. </w:t>
      </w:r>
    </w:p>
    <w:p w14:paraId="2B214471" w14:textId="3F72518B" w:rsidR="00390EFC" w:rsidRPr="00390EFC" w:rsidRDefault="00390EFC" w:rsidP="00390EFC">
      <w:pPr>
        <w:spacing w:line="276" w:lineRule="auto"/>
        <w:jc w:val="both"/>
        <w:rPr>
          <w:rFonts w:ascii="Arial" w:hAnsi="Arial" w:cs="Arial"/>
        </w:rPr>
      </w:pPr>
      <w:r w:rsidRPr="00390EFC">
        <w:rPr>
          <w:rFonts w:ascii="Arial" w:hAnsi="Arial" w:cs="Arial"/>
        </w:rPr>
        <w:t xml:space="preserve">Preventative measures aim to reduce the onset of psychological distress by modifying organisational structures and promoting resilience. </w:t>
      </w:r>
      <w:r w:rsidR="00A12B07" w:rsidRPr="00390EFC">
        <w:rPr>
          <w:rFonts w:ascii="Arial" w:hAnsi="Arial" w:cs="Arial"/>
        </w:rPr>
        <w:t>Firstly,</w:t>
      </w:r>
      <w:r w:rsidRPr="00390EFC">
        <w:rPr>
          <w:rFonts w:ascii="Arial" w:hAnsi="Arial" w:cs="Arial"/>
        </w:rPr>
        <w:t xml:space="preserve"> education and training </w:t>
      </w:r>
      <w:proofErr w:type="gramStart"/>
      <w:r w:rsidRPr="00390EFC">
        <w:rPr>
          <w:rFonts w:ascii="Arial" w:hAnsi="Arial" w:cs="Arial"/>
        </w:rPr>
        <w:t>is</w:t>
      </w:r>
      <w:proofErr w:type="gramEnd"/>
      <w:r w:rsidRPr="00390EFC">
        <w:rPr>
          <w:rFonts w:ascii="Arial" w:hAnsi="Arial" w:cs="Arial"/>
        </w:rPr>
        <w:t xml:space="preserve"> a preventative measure that could be utilised, providing officers with information about stress, trauma, and coping mechanisms available. Utilising leadership development is another measure, by educating managers on how to spot distress signals and react appropriately within police force teams. Additionally, redesigning the workplace can be utilised, for example, to lessen chronic stress, shift patterns should be changed, resources should be better allocated, and job control should be improved.  Initiatives for cultural change include </w:t>
      </w:r>
      <w:r w:rsidRPr="007A7B88">
        <w:rPr>
          <w:rFonts w:ascii="Arial" w:hAnsi="Arial" w:cs="Arial"/>
        </w:rPr>
        <w:t>fostering open communication and combating the stigma associated with mental health (Watson and Andrews, 2020).</w:t>
      </w:r>
      <w:r w:rsidRPr="00390EFC">
        <w:rPr>
          <w:rFonts w:ascii="Arial" w:hAnsi="Arial" w:cs="Arial"/>
        </w:rPr>
        <w:t> </w:t>
      </w:r>
    </w:p>
    <w:p w14:paraId="3E5D4A12" w14:textId="5ADC9D71" w:rsidR="00390EFC" w:rsidRPr="00390EFC" w:rsidRDefault="00390EFC" w:rsidP="00390EFC">
      <w:pPr>
        <w:spacing w:line="276" w:lineRule="auto"/>
        <w:jc w:val="both"/>
        <w:rPr>
          <w:rFonts w:ascii="Arial" w:hAnsi="Arial" w:cs="Arial"/>
        </w:rPr>
      </w:pPr>
      <w:r w:rsidRPr="00390EFC">
        <w:rPr>
          <w:rFonts w:ascii="Arial" w:hAnsi="Arial" w:cs="Arial"/>
        </w:rPr>
        <w:t xml:space="preserve">In addition, responsive strategies address mental health challenges after they arise within the police force, including Employee Assistance Programs (EAPs), which offer officers and their families private counselling services. Peer support networks is </w:t>
      </w:r>
      <w:r w:rsidRPr="00390EFC">
        <w:rPr>
          <w:rFonts w:ascii="Arial" w:hAnsi="Arial" w:cs="Arial"/>
        </w:rPr>
        <w:lastRenderedPageBreak/>
        <w:t>another method, educating officers on how to assist colleagues by sharing experiences and offering informal guidance.    After traumatic events, structured debriefings known as Critical Incident Stress Debriefing (CISD) are used to help process feelings and avoid long-term consequences.</w:t>
      </w:r>
      <w:r w:rsidR="007A7B88">
        <w:rPr>
          <w:rFonts w:ascii="Arial" w:hAnsi="Arial" w:cs="Arial"/>
        </w:rPr>
        <w:t xml:space="preserve"> </w:t>
      </w:r>
      <w:r w:rsidRPr="00390EFC">
        <w:rPr>
          <w:rFonts w:ascii="Arial" w:hAnsi="Arial" w:cs="Arial"/>
        </w:rPr>
        <w:t xml:space="preserve">Ensuring access to expert mental health treatments, such as counselling and psychiatric </w:t>
      </w:r>
      <w:r w:rsidR="00A12B07" w:rsidRPr="00390EFC">
        <w:rPr>
          <w:rFonts w:ascii="Arial" w:hAnsi="Arial" w:cs="Arial"/>
        </w:rPr>
        <w:t>care,</w:t>
      </w:r>
      <w:r w:rsidRPr="00390EFC">
        <w:rPr>
          <w:rFonts w:ascii="Arial" w:hAnsi="Arial" w:cs="Arial"/>
        </w:rPr>
        <w:t xml:space="preserve"> when necessary, is a utilised and effective clinical intervention method </w:t>
      </w:r>
      <w:r w:rsidRPr="007A7B88">
        <w:rPr>
          <w:rFonts w:ascii="Arial" w:hAnsi="Arial" w:cs="Arial"/>
        </w:rPr>
        <w:t>(Andersen</w:t>
      </w:r>
      <w:r w:rsidR="007A7B88" w:rsidRPr="007A7B88">
        <w:rPr>
          <w:rFonts w:ascii="Arial" w:hAnsi="Arial" w:cs="Arial"/>
        </w:rPr>
        <w:t xml:space="preserve"> </w:t>
      </w:r>
      <w:r w:rsidR="007A7B88" w:rsidRPr="007A7B88">
        <w:rPr>
          <w:rFonts w:ascii="Arial" w:hAnsi="Arial" w:cs="Arial"/>
          <w:i/>
          <w:iCs/>
        </w:rPr>
        <w:t>et al,</w:t>
      </w:r>
      <w:r w:rsidR="007A7B88" w:rsidRPr="007A7B88">
        <w:rPr>
          <w:rFonts w:ascii="Arial" w:hAnsi="Arial" w:cs="Arial"/>
        </w:rPr>
        <w:t xml:space="preserve"> </w:t>
      </w:r>
      <w:r w:rsidRPr="007A7B88">
        <w:rPr>
          <w:rFonts w:ascii="Arial" w:hAnsi="Arial" w:cs="Arial"/>
        </w:rPr>
        <w:t>2022).</w:t>
      </w:r>
      <w:r w:rsidRPr="00390EFC">
        <w:rPr>
          <w:rFonts w:ascii="Arial" w:hAnsi="Arial" w:cs="Arial"/>
        </w:rPr>
        <w:t xml:space="preserve">  Additionally, Senior leadership must also provide an example of supportive conduct, provide sufficient funding, and integrate wellbeing into the organization's mission in order to effectively manage mental health amongst officers. Even well-designed initiatives may fail for lack of credibility or participation if commitment from the hierarchy is not demonstrated. </w:t>
      </w:r>
    </w:p>
    <w:p w14:paraId="4BC08D08" w14:textId="5BE74D3B" w:rsidR="00390EFC" w:rsidRPr="00390EFC" w:rsidRDefault="00390EFC" w:rsidP="00390EFC">
      <w:pPr>
        <w:spacing w:line="276" w:lineRule="auto"/>
        <w:jc w:val="both"/>
        <w:rPr>
          <w:rFonts w:ascii="Arial" w:hAnsi="Arial" w:cs="Arial"/>
        </w:rPr>
      </w:pPr>
      <w:r w:rsidRPr="00390EFC">
        <w:rPr>
          <w:rFonts w:ascii="Arial" w:hAnsi="Arial" w:cs="Arial"/>
        </w:rPr>
        <w:t xml:space="preserve">International research on best practices provides important insights into improving police wellbeing. For instance, research conducted in Scandinavia indicates that including psychological services into routine police operations, as opposed to considering them emergency responses, can help normalise seeking assistance and lessen </w:t>
      </w:r>
      <w:r w:rsidRPr="007A7B88">
        <w:rPr>
          <w:rFonts w:ascii="Arial" w:hAnsi="Arial" w:cs="Arial"/>
        </w:rPr>
        <w:t>stigma (Andersen</w:t>
      </w:r>
      <w:r w:rsidR="007A7B88" w:rsidRPr="007A7B88">
        <w:rPr>
          <w:rFonts w:ascii="Arial" w:hAnsi="Arial" w:cs="Arial"/>
        </w:rPr>
        <w:t xml:space="preserve"> </w:t>
      </w:r>
      <w:r w:rsidR="007A7B88" w:rsidRPr="007A7B88">
        <w:rPr>
          <w:rFonts w:ascii="Arial" w:hAnsi="Arial" w:cs="Arial"/>
          <w:i/>
          <w:iCs/>
        </w:rPr>
        <w:t>et al</w:t>
      </w:r>
      <w:r w:rsidR="007A7B88" w:rsidRPr="007A7B88">
        <w:rPr>
          <w:rFonts w:ascii="Arial" w:hAnsi="Arial" w:cs="Arial"/>
        </w:rPr>
        <w:t xml:space="preserve">, </w:t>
      </w:r>
      <w:r w:rsidRPr="007A7B88">
        <w:rPr>
          <w:rFonts w:ascii="Arial" w:hAnsi="Arial" w:cs="Arial"/>
        </w:rPr>
        <w:t>2022).  Similarly, UK studies highlights the significance of early intervention. Officers who get assistance soon after experiencing trauma are less likely to develop long-term mental health issues. According to Watson and Andrews (2020),</w:t>
      </w:r>
      <w:r w:rsidRPr="00390EFC">
        <w:rPr>
          <w:rFonts w:ascii="Arial" w:hAnsi="Arial" w:cs="Arial"/>
        </w:rPr>
        <w:t xml:space="preserve"> this strengthens the case for integrating mental health specialists into departments to deliver prompt, context-sensitive care.  Furthermore, research continuously shows that leadership style has a big impact on wellbeing outcomes.   Officers who work for transformational leaders—those who uplift, encourage, and empower their subordinates—report feeling less stressed and more satisfied with their jobs. Thus, leadership development ought to be given top priority as a crucial element of a strategy for mental health within the police force (</w:t>
      </w:r>
      <w:r w:rsidRPr="007A7B88">
        <w:rPr>
          <w:rFonts w:ascii="Arial" w:hAnsi="Arial" w:cs="Arial"/>
        </w:rPr>
        <w:t>Huynh</w:t>
      </w:r>
      <w:r w:rsidR="007A7B88" w:rsidRPr="007A7B88">
        <w:rPr>
          <w:rFonts w:ascii="Arial" w:hAnsi="Arial" w:cs="Arial"/>
        </w:rPr>
        <w:t xml:space="preserve"> </w:t>
      </w:r>
      <w:r w:rsidR="007A7B88" w:rsidRPr="007A7B88">
        <w:rPr>
          <w:rFonts w:ascii="Arial" w:hAnsi="Arial" w:cs="Arial"/>
          <w:i/>
          <w:iCs/>
        </w:rPr>
        <w:t>et al,</w:t>
      </w:r>
      <w:r w:rsidR="007A7B88" w:rsidRPr="007A7B88">
        <w:rPr>
          <w:rFonts w:ascii="Arial" w:hAnsi="Arial" w:cs="Arial"/>
        </w:rPr>
        <w:t xml:space="preserve"> </w:t>
      </w:r>
      <w:r w:rsidRPr="007A7B88">
        <w:rPr>
          <w:rFonts w:ascii="Arial" w:hAnsi="Arial" w:cs="Arial"/>
        </w:rPr>
        <w:t>2012).</w:t>
      </w:r>
      <w:r w:rsidRPr="00390EFC">
        <w:rPr>
          <w:rFonts w:ascii="Arial" w:hAnsi="Arial" w:cs="Arial"/>
        </w:rPr>
        <w:t xml:space="preserve"> </w:t>
      </w:r>
    </w:p>
    <w:p w14:paraId="34713828" w14:textId="48E176F1" w:rsidR="00390EFC" w:rsidRPr="00390EFC" w:rsidRDefault="00390EFC" w:rsidP="00390EFC">
      <w:pPr>
        <w:spacing w:line="276" w:lineRule="auto"/>
        <w:jc w:val="both"/>
        <w:rPr>
          <w:rFonts w:ascii="Arial" w:hAnsi="Arial" w:cs="Arial"/>
        </w:rPr>
      </w:pPr>
    </w:p>
    <w:p w14:paraId="778AF0CF" w14:textId="646FAA1B" w:rsidR="00390EFC" w:rsidRPr="00390EFC" w:rsidRDefault="00390EFC" w:rsidP="00390EFC">
      <w:pPr>
        <w:spacing w:line="276" w:lineRule="auto"/>
        <w:jc w:val="both"/>
        <w:rPr>
          <w:rFonts w:ascii="Arial" w:hAnsi="Arial" w:cs="Arial"/>
          <w:b/>
          <w:bCs/>
        </w:rPr>
      </w:pPr>
      <w:r w:rsidRPr="00390EFC">
        <w:rPr>
          <w:rFonts w:ascii="Arial" w:hAnsi="Arial" w:cs="Arial"/>
          <w:b/>
          <w:bCs/>
        </w:rPr>
        <w:t>Conclusion</w:t>
      </w:r>
    </w:p>
    <w:p w14:paraId="00B7245B" w14:textId="4C90B216" w:rsidR="00390EFC" w:rsidRPr="00390EFC" w:rsidRDefault="00390EFC" w:rsidP="00390EFC">
      <w:pPr>
        <w:spacing w:line="276" w:lineRule="auto"/>
        <w:jc w:val="both"/>
        <w:rPr>
          <w:rFonts w:ascii="Arial" w:hAnsi="Arial" w:cs="Arial"/>
        </w:rPr>
      </w:pPr>
      <w:r w:rsidRPr="00390EFC">
        <w:rPr>
          <w:rFonts w:ascii="Arial" w:hAnsi="Arial" w:cs="Arial"/>
        </w:rPr>
        <w:t>In con</w:t>
      </w:r>
      <w:r w:rsidR="007A7B88">
        <w:rPr>
          <w:rFonts w:ascii="Arial" w:hAnsi="Arial" w:cs="Arial"/>
        </w:rPr>
        <w:t>cl</w:t>
      </w:r>
      <w:r w:rsidRPr="00390EFC">
        <w:rPr>
          <w:rFonts w:ascii="Arial" w:hAnsi="Arial" w:cs="Arial"/>
        </w:rPr>
        <w:t>usion, the difficulties of operational policing have significant and varied effects on the well-being of both individuals and groups. Officers frequently encounter traumatic incidents, ongoing stress, and organisational demands, which can result in physical and mental health problems as well as poor professional performance. These impacts extend beyond individuals and have an impact on public safety results, team dynamics, and organisational culture. Police agencies must acknowledge the gravity of these effects and make investments in comprehensive mental health initiatives. Preventive and responsive elements must be included in such initiatives, which must address organisational and operational stressors. Furthermore, creating situations where people's welfare is safeguarded and asking for help is accepted requires consistent leadership commitment and cultural change. Supporting individual officers is only one aspect of managing mental health in the police force; another is maintaining the institution's long-term effectiveness, moral character, and legitimacy.</w:t>
      </w:r>
    </w:p>
    <w:p w14:paraId="79ECD9D9" w14:textId="77777777" w:rsidR="008D53AB" w:rsidRDefault="008D53AB" w:rsidP="009C1923">
      <w:pPr>
        <w:spacing w:before="100" w:beforeAutospacing="1" w:after="100" w:afterAutospacing="1" w:line="240" w:lineRule="auto"/>
        <w:jc w:val="both"/>
        <w:outlineLvl w:val="2"/>
        <w:rPr>
          <w:rFonts w:ascii="Arial" w:eastAsia="Times New Roman" w:hAnsi="Arial" w:cs="Arial"/>
          <w:b/>
          <w:bCs/>
          <w:color w:val="000000"/>
          <w:kern w:val="0"/>
          <w14:ligatures w14:val="none"/>
        </w:rPr>
      </w:pPr>
    </w:p>
    <w:p w14:paraId="7B1B29E2" w14:textId="33D90FDB" w:rsidR="009C1923" w:rsidRPr="009C1923" w:rsidRDefault="009C1923" w:rsidP="009C1923">
      <w:pPr>
        <w:spacing w:before="100" w:beforeAutospacing="1" w:after="100" w:afterAutospacing="1" w:line="240" w:lineRule="auto"/>
        <w:jc w:val="both"/>
        <w:outlineLvl w:val="2"/>
        <w:rPr>
          <w:rFonts w:ascii="Arial" w:eastAsia="Times New Roman" w:hAnsi="Arial" w:cs="Arial"/>
          <w:b/>
          <w:bCs/>
          <w:color w:val="000000"/>
          <w:kern w:val="0"/>
          <w14:ligatures w14:val="none"/>
        </w:rPr>
      </w:pPr>
      <w:r w:rsidRPr="009C1923">
        <w:rPr>
          <w:rFonts w:ascii="Arial" w:eastAsia="Times New Roman" w:hAnsi="Arial" w:cs="Arial"/>
          <w:b/>
          <w:bCs/>
          <w:color w:val="000000"/>
          <w:kern w:val="0"/>
          <w14:ligatures w14:val="none"/>
        </w:rPr>
        <w:lastRenderedPageBreak/>
        <w:t>Reference</w:t>
      </w:r>
      <w:r w:rsidR="008D53AB">
        <w:rPr>
          <w:rFonts w:ascii="Arial" w:eastAsia="Times New Roman" w:hAnsi="Arial" w:cs="Arial"/>
          <w:b/>
          <w:bCs/>
          <w:color w:val="000000"/>
          <w:kern w:val="0"/>
          <w14:ligatures w14:val="none"/>
        </w:rPr>
        <w:t>s</w:t>
      </w:r>
    </w:p>
    <w:p w14:paraId="5C22CDF2" w14:textId="10624722" w:rsidR="009C1923" w:rsidRPr="007A7B88" w:rsidRDefault="009C1923" w:rsidP="009C1923">
      <w:pPr>
        <w:spacing w:before="100" w:beforeAutospacing="1" w:after="100" w:afterAutospacing="1" w:line="240" w:lineRule="auto"/>
        <w:jc w:val="both"/>
        <w:rPr>
          <w:rFonts w:ascii="Arial" w:hAnsi="Arial" w:cs="Arial"/>
          <w:color w:val="000000"/>
          <w:kern w:val="0"/>
          <w14:ligatures w14:val="none"/>
        </w:rPr>
      </w:pPr>
      <w:r w:rsidRPr="007A7B88">
        <w:rPr>
          <w:rFonts w:ascii="Arial" w:hAnsi="Arial" w:cs="Arial"/>
          <w:color w:val="000000"/>
          <w:kern w:val="0"/>
          <w14:ligatures w14:val="none"/>
        </w:rPr>
        <w:t>Andersen, J.P., Papazoglou, K.</w:t>
      </w:r>
      <w:r w:rsidR="00E24F24">
        <w:rPr>
          <w:rFonts w:ascii="Arial" w:hAnsi="Arial" w:cs="Arial"/>
          <w:color w:val="000000"/>
          <w:kern w:val="0"/>
          <w14:ligatures w14:val="none"/>
        </w:rPr>
        <w:t>,</w:t>
      </w:r>
      <w:r w:rsidRPr="007A7B88">
        <w:rPr>
          <w:rFonts w:ascii="Arial" w:hAnsi="Arial" w:cs="Arial"/>
          <w:color w:val="000000"/>
          <w:kern w:val="0"/>
          <w14:ligatures w14:val="none"/>
        </w:rPr>
        <w:t xml:space="preserve"> </w:t>
      </w:r>
      <w:proofErr w:type="spellStart"/>
      <w:r w:rsidRPr="007A7B88">
        <w:rPr>
          <w:rFonts w:ascii="Arial" w:hAnsi="Arial" w:cs="Arial"/>
          <w:color w:val="000000"/>
          <w:kern w:val="0"/>
          <w14:ligatures w14:val="none"/>
        </w:rPr>
        <w:t>Arnetz</w:t>
      </w:r>
      <w:proofErr w:type="spellEnd"/>
      <w:r w:rsidRPr="007A7B88">
        <w:rPr>
          <w:rFonts w:ascii="Arial" w:hAnsi="Arial" w:cs="Arial"/>
          <w:color w:val="000000"/>
          <w:kern w:val="0"/>
          <w14:ligatures w14:val="none"/>
        </w:rPr>
        <w:t>, B.B</w:t>
      </w:r>
      <w:r w:rsidR="00E24F24">
        <w:rPr>
          <w:rFonts w:ascii="Arial" w:hAnsi="Arial" w:cs="Arial"/>
          <w:color w:val="000000"/>
          <w:kern w:val="0"/>
          <w14:ligatures w14:val="none"/>
        </w:rPr>
        <w:t>. (</w:t>
      </w:r>
      <w:r w:rsidRPr="007A7B88">
        <w:rPr>
          <w:rFonts w:ascii="Arial" w:hAnsi="Arial" w:cs="Arial"/>
          <w:color w:val="000000"/>
          <w:kern w:val="0"/>
          <w14:ligatures w14:val="none"/>
        </w:rPr>
        <w:t>2022</w:t>
      </w:r>
      <w:r w:rsidR="00E24F24">
        <w:rPr>
          <w:rFonts w:ascii="Arial" w:hAnsi="Arial" w:cs="Arial"/>
          <w:color w:val="000000"/>
          <w:kern w:val="0"/>
          <w14:ligatures w14:val="none"/>
        </w:rPr>
        <w:t xml:space="preserve">) </w:t>
      </w:r>
      <w:r w:rsidRPr="007A7B88">
        <w:rPr>
          <w:rFonts w:ascii="Arial" w:hAnsi="Arial" w:cs="Arial"/>
          <w:color w:val="000000"/>
          <w:kern w:val="0"/>
          <w14:ligatures w14:val="none"/>
        </w:rPr>
        <w:t>Mental health and resilience interventions for law enforcement personnel: A review. </w:t>
      </w:r>
      <w:r w:rsidRPr="007A7B88">
        <w:rPr>
          <w:rFonts w:ascii="Arial" w:hAnsi="Arial" w:cs="Arial"/>
          <w:i/>
          <w:iCs/>
          <w:color w:val="000000"/>
          <w:kern w:val="0"/>
          <w14:ligatures w14:val="none"/>
        </w:rPr>
        <w:t>Policing: An International Journal</w:t>
      </w:r>
      <w:r w:rsidR="00E24F24">
        <w:rPr>
          <w:rFonts w:ascii="Arial" w:hAnsi="Arial" w:cs="Arial"/>
          <w:color w:val="000000"/>
          <w:kern w:val="0"/>
          <w14:ligatures w14:val="none"/>
        </w:rPr>
        <w:t xml:space="preserve">. </w:t>
      </w:r>
      <w:r w:rsidRPr="007A7B88">
        <w:rPr>
          <w:rFonts w:ascii="Arial" w:hAnsi="Arial" w:cs="Arial"/>
          <w:color w:val="000000"/>
          <w:kern w:val="0"/>
          <w14:ligatures w14:val="none"/>
        </w:rPr>
        <w:t>45(2), pp.243–260.</w:t>
      </w:r>
    </w:p>
    <w:p w14:paraId="3E43921C" w14:textId="05BFB60F" w:rsidR="009C1923" w:rsidRPr="007A7B88" w:rsidRDefault="009C1923" w:rsidP="009C1923">
      <w:pPr>
        <w:spacing w:before="100" w:beforeAutospacing="1" w:after="100" w:afterAutospacing="1" w:line="240" w:lineRule="auto"/>
        <w:jc w:val="both"/>
        <w:rPr>
          <w:rFonts w:ascii="Arial" w:hAnsi="Arial" w:cs="Arial"/>
          <w:color w:val="000000"/>
          <w:kern w:val="0"/>
          <w14:ligatures w14:val="none"/>
        </w:rPr>
      </w:pPr>
      <w:r w:rsidRPr="007A7B88">
        <w:rPr>
          <w:rFonts w:ascii="Arial" w:hAnsi="Arial" w:cs="Arial"/>
          <w:color w:val="000000"/>
          <w:kern w:val="0"/>
          <w14:ligatures w14:val="none"/>
        </w:rPr>
        <w:t>Brough, P., Chataway, S.</w:t>
      </w:r>
      <w:r w:rsidR="00E24F24">
        <w:rPr>
          <w:rFonts w:ascii="Arial" w:hAnsi="Arial" w:cs="Arial"/>
          <w:color w:val="000000"/>
          <w:kern w:val="0"/>
          <w14:ligatures w14:val="none"/>
        </w:rPr>
        <w:t xml:space="preserve">, </w:t>
      </w:r>
      <w:r w:rsidRPr="007A7B88">
        <w:rPr>
          <w:rFonts w:ascii="Arial" w:hAnsi="Arial" w:cs="Arial"/>
          <w:color w:val="000000"/>
          <w:kern w:val="0"/>
          <w14:ligatures w14:val="none"/>
        </w:rPr>
        <w:t xml:space="preserve">Biggs, A. </w:t>
      </w:r>
      <w:r w:rsidR="00E24F24">
        <w:rPr>
          <w:rFonts w:ascii="Arial" w:hAnsi="Arial" w:cs="Arial"/>
          <w:color w:val="000000"/>
          <w:kern w:val="0"/>
          <w14:ligatures w14:val="none"/>
        </w:rPr>
        <w:t>(</w:t>
      </w:r>
      <w:r w:rsidRPr="007A7B88">
        <w:rPr>
          <w:rFonts w:ascii="Arial" w:hAnsi="Arial" w:cs="Arial"/>
          <w:color w:val="000000"/>
          <w:kern w:val="0"/>
          <w14:ligatures w14:val="none"/>
        </w:rPr>
        <w:t>2013</w:t>
      </w:r>
      <w:proofErr w:type="gramStart"/>
      <w:r w:rsidR="00E24F24">
        <w:rPr>
          <w:rFonts w:ascii="Arial" w:hAnsi="Arial" w:cs="Arial"/>
          <w:color w:val="000000"/>
          <w:kern w:val="0"/>
          <w14:ligatures w14:val="none"/>
        </w:rPr>
        <w:t xml:space="preserve">) </w:t>
      </w:r>
      <w:r w:rsidRPr="007A7B88">
        <w:rPr>
          <w:rFonts w:ascii="Arial" w:hAnsi="Arial" w:cs="Arial"/>
          <w:color w:val="000000"/>
          <w:kern w:val="0"/>
          <w14:ligatures w14:val="none"/>
        </w:rPr>
        <w:t xml:space="preserve"> ‘</w:t>
      </w:r>
      <w:proofErr w:type="gramEnd"/>
      <w:r w:rsidRPr="007A7B88">
        <w:rPr>
          <w:rFonts w:ascii="Arial" w:hAnsi="Arial" w:cs="Arial"/>
          <w:color w:val="000000"/>
          <w:kern w:val="0"/>
          <w14:ligatures w14:val="none"/>
        </w:rPr>
        <w:t>You don’t want people knowing you’re a copper!’: A contemporary assessment of police organizational culture. </w:t>
      </w:r>
      <w:r w:rsidRPr="007A7B88">
        <w:rPr>
          <w:rFonts w:ascii="Arial" w:hAnsi="Arial" w:cs="Arial"/>
          <w:i/>
          <w:iCs/>
          <w:color w:val="000000"/>
          <w:kern w:val="0"/>
          <w14:ligatures w14:val="none"/>
        </w:rPr>
        <w:t>International Journal of Police Science &amp; Management</w:t>
      </w:r>
      <w:r w:rsidR="00E24F24">
        <w:rPr>
          <w:rFonts w:ascii="Arial" w:hAnsi="Arial" w:cs="Arial"/>
          <w:color w:val="000000"/>
          <w:kern w:val="0"/>
          <w14:ligatures w14:val="none"/>
        </w:rPr>
        <w:t xml:space="preserve">. </w:t>
      </w:r>
      <w:r w:rsidRPr="007A7B88">
        <w:rPr>
          <w:rFonts w:ascii="Arial" w:hAnsi="Arial" w:cs="Arial"/>
          <w:color w:val="000000"/>
          <w:kern w:val="0"/>
          <w14:ligatures w14:val="none"/>
        </w:rPr>
        <w:t>15(2), pp.78–86.</w:t>
      </w:r>
    </w:p>
    <w:p w14:paraId="414903CE" w14:textId="52984C61" w:rsidR="009C1923" w:rsidRPr="007A7B88" w:rsidRDefault="009C1923" w:rsidP="009C1923">
      <w:pPr>
        <w:spacing w:before="100" w:beforeAutospacing="1" w:after="100" w:afterAutospacing="1" w:line="240" w:lineRule="auto"/>
        <w:jc w:val="both"/>
        <w:rPr>
          <w:rFonts w:ascii="Arial" w:hAnsi="Arial" w:cs="Arial"/>
          <w:color w:val="000000"/>
          <w:kern w:val="0"/>
          <w14:ligatures w14:val="none"/>
        </w:rPr>
      </w:pPr>
      <w:r w:rsidRPr="007A7B88">
        <w:rPr>
          <w:rFonts w:ascii="Arial" w:hAnsi="Arial" w:cs="Arial"/>
          <w:color w:val="000000"/>
          <w:kern w:val="0"/>
          <w14:ligatures w14:val="none"/>
        </w:rPr>
        <w:t xml:space="preserve">Garbarino, S. and </w:t>
      </w:r>
      <w:proofErr w:type="spellStart"/>
      <w:r w:rsidRPr="007A7B88">
        <w:rPr>
          <w:rFonts w:ascii="Arial" w:hAnsi="Arial" w:cs="Arial"/>
          <w:color w:val="000000"/>
          <w:kern w:val="0"/>
          <w14:ligatures w14:val="none"/>
        </w:rPr>
        <w:t>Magnavita</w:t>
      </w:r>
      <w:proofErr w:type="spellEnd"/>
      <w:r w:rsidRPr="007A7B88">
        <w:rPr>
          <w:rFonts w:ascii="Arial" w:hAnsi="Arial" w:cs="Arial"/>
          <w:color w:val="000000"/>
          <w:kern w:val="0"/>
          <w14:ligatures w14:val="none"/>
        </w:rPr>
        <w:t>, N.</w:t>
      </w:r>
      <w:r w:rsidR="00E24F24">
        <w:rPr>
          <w:rFonts w:ascii="Arial" w:hAnsi="Arial" w:cs="Arial"/>
          <w:color w:val="000000"/>
          <w:kern w:val="0"/>
          <w14:ligatures w14:val="none"/>
        </w:rPr>
        <w:t xml:space="preserve"> (</w:t>
      </w:r>
      <w:r w:rsidRPr="007A7B88">
        <w:rPr>
          <w:rFonts w:ascii="Arial" w:hAnsi="Arial" w:cs="Arial"/>
          <w:color w:val="000000"/>
          <w:kern w:val="0"/>
          <w14:ligatures w14:val="none"/>
        </w:rPr>
        <w:t>2015</w:t>
      </w:r>
      <w:r w:rsidR="00E24F24">
        <w:rPr>
          <w:rFonts w:ascii="Arial" w:hAnsi="Arial" w:cs="Arial"/>
          <w:color w:val="000000"/>
          <w:kern w:val="0"/>
          <w14:ligatures w14:val="none"/>
        </w:rPr>
        <w:t>)</w:t>
      </w:r>
      <w:r w:rsidRPr="007A7B88">
        <w:rPr>
          <w:rFonts w:ascii="Arial" w:hAnsi="Arial" w:cs="Arial"/>
          <w:color w:val="000000"/>
          <w:kern w:val="0"/>
          <w14:ligatures w14:val="none"/>
        </w:rPr>
        <w:t xml:space="preserve"> Work stress and metabolic syndrome in police officers: A prospective study. </w:t>
      </w:r>
      <w:proofErr w:type="spellStart"/>
      <w:r w:rsidRPr="007A7B88">
        <w:rPr>
          <w:rFonts w:ascii="Arial" w:hAnsi="Arial" w:cs="Arial"/>
          <w:i/>
          <w:iCs/>
          <w:color w:val="000000"/>
          <w:kern w:val="0"/>
          <w14:ligatures w14:val="none"/>
        </w:rPr>
        <w:t>PLoS</w:t>
      </w:r>
      <w:proofErr w:type="spellEnd"/>
      <w:r w:rsidRPr="007A7B88">
        <w:rPr>
          <w:rFonts w:ascii="Arial" w:hAnsi="Arial" w:cs="Arial"/>
          <w:i/>
          <w:iCs/>
          <w:color w:val="000000"/>
          <w:kern w:val="0"/>
          <w14:ligatures w14:val="none"/>
        </w:rPr>
        <w:t xml:space="preserve"> ONE</w:t>
      </w:r>
      <w:r w:rsidR="00E24F24">
        <w:rPr>
          <w:rFonts w:ascii="Arial" w:hAnsi="Arial" w:cs="Arial"/>
          <w:color w:val="000000"/>
          <w:kern w:val="0"/>
          <w14:ligatures w14:val="none"/>
        </w:rPr>
        <w:t xml:space="preserve">. </w:t>
      </w:r>
      <w:r w:rsidRPr="007A7B88">
        <w:rPr>
          <w:rFonts w:ascii="Arial" w:hAnsi="Arial" w:cs="Arial"/>
          <w:color w:val="000000"/>
          <w:kern w:val="0"/>
          <w14:ligatures w14:val="none"/>
        </w:rPr>
        <w:t>10(12)</w:t>
      </w:r>
      <w:r w:rsidR="00E24F24">
        <w:rPr>
          <w:rFonts w:ascii="Arial" w:hAnsi="Arial" w:cs="Arial"/>
          <w:color w:val="000000"/>
          <w:kern w:val="0"/>
          <w14:ligatures w14:val="none"/>
        </w:rPr>
        <w:t xml:space="preserve">. </w:t>
      </w:r>
    </w:p>
    <w:p w14:paraId="2923C231" w14:textId="185B273A" w:rsidR="009C1923" w:rsidRPr="007A7B88" w:rsidRDefault="009C1923" w:rsidP="009C1923">
      <w:pPr>
        <w:spacing w:before="100" w:beforeAutospacing="1" w:after="100" w:afterAutospacing="1" w:line="240" w:lineRule="auto"/>
        <w:jc w:val="both"/>
        <w:rPr>
          <w:rFonts w:ascii="Arial" w:hAnsi="Arial" w:cs="Arial"/>
          <w:color w:val="000000"/>
          <w:kern w:val="0"/>
          <w14:ligatures w14:val="none"/>
        </w:rPr>
      </w:pPr>
      <w:r w:rsidRPr="007A7B88">
        <w:rPr>
          <w:rFonts w:ascii="Arial" w:hAnsi="Arial" w:cs="Arial"/>
          <w:color w:val="000000"/>
          <w:kern w:val="0"/>
          <w14:ligatures w14:val="none"/>
        </w:rPr>
        <w:t>Huynh, J.Y., Metzer, J.C.</w:t>
      </w:r>
      <w:r w:rsidR="00DC3BC7">
        <w:rPr>
          <w:rFonts w:ascii="Arial" w:hAnsi="Arial" w:cs="Arial"/>
          <w:color w:val="000000"/>
          <w:kern w:val="0"/>
          <w14:ligatures w14:val="none"/>
        </w:rPr>
        <w:t xml:space="preserve">, </w:t>
      </w:r>
      <w:proofErr w:type="spellStart"/>
      <w:r w:rsidRPr="007A7B88">
        <w:rPr>
          <w:rFonts w:ascii="Arial" w:hAnsi="Arial" w:cs="Arial"/>
          <w:color w:val="000000"/>
          <w:kern w:val="0"/>
          <w14:ligatures w14:val="none"/>
        </w:rPr>
        <w:t>Winefield</w:t>
      </w:r>
      <w:proofErr w:type="spellEnd"/>
      <w:r w:rsidRPr="007A7B88">
        <w:rPr>
          <w:rFonts w:ascii="Arial" w:hAnsi="Arial" w:cs="Arial"/>
          <w:color w:val="000000"/>
          <w:kern w:val="0"/>
          <w14:ligatures w14:val="none"/>
        </w:rPr>
        <w:t>, A.H.</w:t>
      </w:r>
      <w:r w:rsidR="00E24F24">
        <w:rPr>
          <w:rFonts w:ascii="Arial" w:hAnsi="Arial" w:cs="Arial"/>
          <w:color w:val="000000"/>
          <w:kern w:val="0"/>
          <w14:ligatures w14:val="none"/>
        </w:rPr>
        <w:t xml:space="preserve"> (</w:t>
      </w:r>
      <w:r w:rsidRPr="007A7B88">
        <w:rPr>
          <w:rFonts w:ascii="Arial" w:hAnsi="Arial" w:cs="Arial"/>
          <w:color w:val="000000"/>
          <w:kern w:val="0"/>
          <w14:ligatures w14:val="none"/>
        </w:rPr>
        <w:t>2012</w:t>
      </w:r>
      <w:r w:rsidR="00E24F24">
        <w:rPr>
          <w:rFonts w:ascii="Arial" w:hAnsi="Arial" w:cs="Arial"/>
          <w:color w:val="000000"/>
          <w:kern w:val="0"/>
          <w14:ligatures w14:val="none"/>
        </w:rPr>
        <w:t xml:space="preserve">) </w:t>
      </w:r>
      <w:r w:rsidRPr="007A7B88">
        <w:rPr>
          <w:rFonts w:ascii="Arial" w:hAnsi="Arial" w:cs="Arial"/>
          <w:color w:val="000000"/>
          <w:kern w:val="0"/>
          <w14:ligatures w14:val="none"/>
        </w:rPr>
        <w:t>Engaged or connected? A perspective of the motivational pathway of the Job Demands–Resources model in police work. </w:t>
      </w:r>
      <w:r w:rsidRPr="007A7B88">
        <w:rPr>
          <w:rFonts w:ascii="Arial" w:hAnsi="Arial" w:cs="Arial"/>
          <w:i/>
          <w:iCs/>
          <w:color w:val="000000"/>
          <w:kern w:val="0"/>
          <w14:ligatures w14:val="none"/>
        </w:rPr>
        <w:t>International Journal of Human Resource Management</w:t>
      </w:r>
      <w:r w:rsidR="00E24F24">
        <w:rPr>
          <w:rFonts w:ascii="Arial" w:hAnsi="Arial" w:cs="Arial"/>
          <w:color w:val="000000"/>
          <w:kern w:val="0"/>
          <w14:ligatures w14:val="none"/>
        </w:rPr>
        <w:t xml:space="preserve">. </w:t>
      </w:r>
      <w:r w:rsidRPr="007A7B88">
        <w:rPr>
          <w:rFonts w:ascii="Arial" w:hAnsi="Arial" w:cs="Arial"/>
          <w:color w:val="000000"/>
          <w:kern w:val="0"/>
          <w14:ligatures w14:val="none"/>
        </w:rPr>
        <w:t>23(8), pp.1775–1796.</w:t>
      </w:r>
    </w:p>
    <w:p w14:paraId="5BDD88CC" w14:textId="07945FC7" w:rsidR="009C1923" w:rsidRPr="007A7B88" w:rsidRDefault="009C1923" w:rsidP="009C1923">
      <w:pPr>
        <w:spacing w:before="100" w:beforeAutospacing="1" w:after="100" w:afterAutospacing="1" w:line="240" w:lineRule="auto"/>
        <w:jc w:val="both"/>
        <w:rPr>
          <w:rFonts w:ascii="Arial" w:hAnsi="Arial" w:cs="Arial"/>
          <w:color w:val="000000"/>
          <w:kern w:val="0"/>
          <w14:ligatures w14:val="none"/>
        </w:rPr>
      </w:pPr>
      <w:r w:rsidRPr="007A7B88">
        <w:rPr>
          <w:rFonts w:ascii="Arial" w:hAnsi="Arial" w:cs="Arial"/>
          <w:color w:val="000000"/>
          <w:kern w:val="0"/>
          <w14:ligatures w14:val="none"/>
        </w:rPr>
        <w:t xml:space="preserve">Karaffa, K.M. and </w:t>
      </w:r>
      <w:proofErr w:type="spellStart"/>
      <w:r w:rsidRPr="007A7B88">
        <w:rPr>
          <w:rFonts w:ascii="Arial" w:hAnsi="Arial" w:cs="Arial"/>
          <w:color w:val="000000"/>
          <w:kern w:val="0"/>
          <w14:ligatures w14:val="none"/>
        </w:rPr>
        <w:t>Tochkov</w:t>
      </w:r>
      <w:proofErr w:type="spellEnd"/>
      <w:r w:rsidRPr="007A7B88">
        <w:rPr>
          <w:rFonts w:ascii="Arial" w:hAnsi="Arial" w:cs="Arial"/>
          <w:color w:val="000000"/>
          <w:kern w:val="0"/>
          <w14:ligatures w14:val="none"/>
        </w:rPr>
        <w:t>, K.</w:t>
      </w:r>
      <w:r w:rsidR="00E24F24">
        <w:rPr>
          <w:rFonts w:ascii="Arial" w:hAnsi="Arial" w:cs="Arial"/>
          <w:color w:val="000000"/>
          <w:kern w:val="0"/>
          <w14:ligatures w14:val="none"/>
        </w:rPr>
        <w:t xml:space="preserve"> (</w:t>
      </w:r>
      <w:r w:rsidRPr="007A7B88">
        <w:rPr>
          <w:rFonts w:ascii="Arial" w:hAnsi="Arial" w:cs="Arial"/>
          <w:color w:val="000000"/>
          <w:kern w:val="0"/>
          <w14:ligatures w14:val="none"/>
        </w:rPr>
        <w:t>2013</w:t>
      </w:r>
      <w:r w:rsidR="00E24F24">
        <w:rPr>
          <w:rFonts w:ascii="Arial" w:hAnsi="Arial" w:cs="Arial"/>
          <w:color w:val="000000"/>
          <w:kern w:val="0"/>
          <w14:ligatures w14:val="none"/>
        </w:rPr>
        <w:t xml:space="preserve">) </w:t>
      </w:r>
      <w:r w:rsidRPr="007A7B88">
        <w:rPr>
          <w:rFonts w:ascii="Arial" w:hAnsi="Arial" w:cs="Arial"/>
          <w:color w:val="000000"/>
          <w:kern w:val="0"/>
          <w14:ligatures w14:val="none"/>
        </w:rPr>
        <w:t>Attitudes toward seeking mental health treatment among law enforcement officers. </w:t>
      </w:r>
      <w:r w:rsidRPr="007A7B88">
        <w:rPr>
          <w:rFonts w:ascii="Arial" w:hAnsi="Arial" w:cs="Arial"/>
          <w:i/>
          <w:iCs/>
          <w:color w:val="000000"/>
          <w:kern w:val="0"/>
          <w14:ligatures w14:val="none"/>
        </w:rPr>
        <w:t>Applied Psychology in Criminal Justice</w:t>
      </w:r>
      <w:r w:rsidR="00E24F24">
        <w:rPr>
          <w:rFonts w:ascii="Arial" w:hAnsi="Arial" w:cs="Arial"/>
          <w:color w:val="000000"/>
          <w:kern w:val="0"/>
          <w14:ligatures w14:val="none"/>
        </w:rPr>
        <w:t xml:space="preserve">. </w:t>
      </w:r>
      <w:r w:rsidRPr="007A7B88">
        <w:rPr>
          <w:rFonts w:ascii="Arial" w:hAnsi="Arial" w:cs="Arial"/>
          <w:color w:val="000000"/>
          <w:kern w:val="0"/>
          <w14:ligatures w14:val="none"/>
        </w:rPr>
        <w:t>9(2), pp.75–99.</w:t>
      </w:r>
    </w:p>
    <w:p w14:paraId="5CD5E063" w14:textId="55D6BDDE" w:rsidR="009C1923" w:rsidRPr="007A7B88" w:rsidRDefault="009C1923" w:rsidP="009C1923">
      <w:pPr>
        <w:spacing w:before="100" w:beforeAutospacing="1" w:after="100" w:afterAutospacing="1" w:line="240" w:lineRule="auto"/>
        <w:jc w:val="both"/>
        <w:rPr>
          <w:rFonts w:ascii="Arial" w:hAnsi="Arial" w:cs="Arial"/>
          <w:color w:val="000000"/>
          <w:kern w:val="0"/>
          <w14:ligatures w14:val="none"/>
        </w:rPr>
      </w:pPr>
      <w:r w:rsidRPr="007A7B88">
        <w:rPr>
          <w:rFonts w:ascii="Arial" w:hAnsi="Arial" w:cs="Arial"/>
          <w:color w:val="000000"/>
          <w:kern w:val="0"/>
          <w14:ligatures w14:val="none"/>
        </w:rPr>
        <w:t xml:space="preserve">Violanti, J.M., Owens, S.L., </w:t>
      </w:r>
      <w:proofErr w:type="spellStart"/>
      <w:r w:rsidRPr="007A7B88">
        <w:rPr>
          <w:rFonts w:ascii="Arial" w:hAnsi="Arial" w:cs="Arial"/>
          <w:color w:val="000000"/>
          <w:kern w:val="0"/>
          <w14:ligatures w14:val="none"/>
        </w:rPr>
        <w:t>Fekedulegn</w:t>
      </w:r>
      <w:proofErr w:type="spellEnd"/>
      <w:r w:rsidRPr="007A7B88">
        <w:rPr>
          <w:rFonts w:ascii="Arial" w:hAnsi="Arial" w:cs="Arial"/>
          <w:color w:val="000000"/>
          <w:kern w:val="0"/>
          <w14:ligatures w14:val="none"/>
        </w:rPr>
        <w:t>, D., Ma, C.C., Charles, L.E.</w:t>
      </w:r>
      <w:r w:rsidR="00DC3BC7">
        <w:rPr>
          <w:rFonts w:ascii="Arial" w:hAnsi="Arial" w:cs="Arial"/>
          <w:color w:val="000000"/>
          <w:kern w:val="0"/>
          <w14:ligatures w14:val="none"/>
        </w:rPr>
        <w:t>,</w:t>
      </w:r>
      <w:r w:rsidRPr="007A7B88">
        <w:rPr>
          <w:rFonts w:ascii="Arial" w:hAnsi="Arial" w:cs="Arial"/>
          <w:color w:val="000000"/>
          <w:kern w:val="0"/>
          <w14:ligatures w14:val="none"/>
        </w:rPr>
        <w:t xml:space="preserve"> Andrew, M.E.</w:t>
      </w:r>
      <w:r w:rsidR="00DC3BC7">
        <w:rPr>
          <w:rFonts w:ascii="Arial" w:hAnsi="Arial" w:cs="Arial"/>
          <w:color w:val="000000"/>
          <w:kern w:val="0"/>
          <w14:ligatures w14:val="none"/>
        </w:rPr>
        <w:t xml:space="preserve"> (</w:t>
      </w:r>
      <w:r w:rsidRPr="007A7B88">
        <w:rPr>
          <w:rFonts w:ascii="Arial" w:hAnsi="Arial" w:cs="Arial"/>
          <w:color w:val="000000"/>
          <w:kern w:val="0"/>
          <w14:ligatures w14:val="none"/>
        </w:rPr>
        <w:t>2018</w:t>
      </w:r>
      <w:r w:rsidR="00DC3BC7">
        <w:rPr>
          <w:rFonts w:ascii="Arial" w:hAnsi="Arial" w:cs="Arial"/>
          <w:color w:val="000000"/>
          <w:kern w:val="0"/>
          <w14:ligatures w14:val="none"/>
        </w:rPr>
        <w:t xml:space="preserve">) </w:t>
      </w:r>
      <w:r w:rsidRPr="007A7B88">
        <w:rPr>
          <w:rFonts w:ascii="Arial" w:hAnsi="Arial" w:cs="Arial"/>
          <w:color w:val="000000"/>
          <w:kern w:val="0"/>
          <w14:ligatures w14:val="none"/>
        </w:rPr>
        <w:t>Law enforcement suicide: A review. </w:t>
      </w:r>
      <w:r w:rsidRPr="007A7B88">
        <w:rPr>
          <w:rFonts w:ascii="Arial" w:hAnsi="Arial" w:cs="Arial"/>
          <w:i/>
          <w:iCs/>
          <w:color w:val="000000"/>
          <w:kern w:val="0"/>
          <w14:ligatures w14:val="none"/>
        </w:rPr>
        <w:t>Policing: A Journal of Policy and Practice</w:t>
      </w:r>
      <w:r w:rsidR="00DC3BC7">
        <w:rPr>
          <w:rFonts w:ascii="Arial" w:hAnsi="Arial" w:cs="Arial"/>
          <w:color w:val="000000"/>
          <w:kern w:val="0"/>
          <w14:ligatures w14:val="none"/>
        </w:rPr>
        <w:t xml:space="preserve">. </w:t>
      </w:r>
      <w:r w:rsidRPr="007A7B88">
        <w:rPr>
          <w:rFonts w:ascii="Arial" w:hAnsi="Arial" w:cs="Arial"/>
          <w:color w:val="000000"/>
          <w:kern w:val="0"/>
          <w14:ligatures w14:val="none"/>
        </w:rPr>
        <w:t>12(4), pp.351–361.</w:t>
      </w:r>
    </w:p>
    <w:p w14:paraId="140E0D7C" w14:textId="49335E38" w:rsidR="009C1923" w:rsidRPr="009C1923" w:rsidRDefault="009C1923" w:rsidP="009C1923">
      <w:pPr>
        <w:spacing w:before="100" w:beforeAutospacing="1" w:after="100" w:afterAutospacing="1" w:line="240" w:lineRule="auto"/>
        <w:jc w:val="both"/>
        <w:rPr>
          <w:rFonts w:ascii="Arial" w:hAnsi="Arial" w:cs="Arial"/>
          <w:color w:val="000000"/>
          <w:kern w:val="0"/>
          <w14:ligatures w14:val="none"/>
        </w:rPr>
      </w:pPr>
      <w:r w:rsidRPr="007A7B88">
        <w:rPr>
          <w:rFonts w:ascii="Arial" w:hAnsi="Arial" w:cs="Arial"/>
          <w:color w:val="000000"/>
          <w:kern w:val="0"/>
          <w14:ligatures w14:val="none"/>
        </w:rPr>
        <w:t>Watson, L. and Andrews, L.</w:t>
      </w:r>
      <w:r w:rsidR="00DC3BC7">
        <w:rPr>
          <w:rFonts w:ascii="Arial" w:hAnsi="Arial" w:cs="Arial"/>
          <w:color w:val="000000"/>
          <w:kern w:val="0"/>
          <w14:ligatures w14:val="none"/>
        </w:rPr>
        <w:t xml:space="preserve"> (</w:t>
      </w:r>
      <w:r w:rsidRPr="007A7B88">
        <w:rPr>
          <w:rFonts w:ascii="Arial" w:hAnsi="Arial" w:cs="Arial"/>
          <w:color w:val="000000"/>
          <w:kern w:val="0"/>
          <w14:ligatures w14:val="none"/>
        </w:rPr>
        <w:t>2020</w:t>
      </w:r>
      <w:r w:rsidR="00DC3BC7">
        <w:rPr>
          <w:rFonts w:ascii="Arial" w:hAnsi="Arial" w:cs="Arial"/>
          <w:color w:val="000000"/>
          <w:kern w:val="0"/>
          <w14:ligatures w14:val="none"/>
        </w:rPr>
        <w:t xml:space="preserve">) </w:t>
      </w:r>
      <w:r w:rsidRPr="007A7B88">
        <w:rPr>
          <w:rFonts w:ascii="Arial" w:hAnsi="Arial" w:cs="Arial"/>
          <w:color w:val="000000"/>
          <w:kern w:val="0"/>
          <w14:ligatures w14:val="none"/>
        </w:rPr>
        <w:t>Police mental health: The role of organizational culture. </w:t>
      </w:r>
      <w:r w:rsidRPr="007A7B88">
        <w:rPr>
          <w:rFonts w:ascii="Arial" w:hAnsi="Arial" w:cs="Arial"/>
          <w:i/>
          <w:iCs/>
          <w:color w:val="000000"/>
          <w:kern w:val="0"/>
          <w14:ligatures w14:val="none"/>
        </w:rPr>
        <w:t>Journal of Police and Criminal Psychology</w:t>
      </w:r>
      <w:r w:rsidR="00DC3BC7">
        <w:rPr>
          <w:rFonts w:ascii="Arial" w:hAnsi="Arial" w:cs="Arial"/>
          <w:color w:val="000000"/>
          <w:kern w:val="0"/>
          <w14:ligatures w14:val="none"/>
        </w:rPr>
        <w:t xml:space="preserve">. </w:t>
      </w:r>
      <w:r w:rsidRPr="007A7B88">
        <w:rPr>
          <w:rFonts w:ascii="Arial" w:hAnsi="Arial" w:cs="Arial"/>
          <w:color w:val="000000"/>
          <w:kern w:val="0"/>
          <w14:ligatures w14:val="none"/>
        </w:rPr>
        <w:t>35(2), pp.174–186.</w:t>
      </w:r>
    </w:p>
    <w:p w14:paraId="7A280783" w14:textId="77777777" w:rsidR="009C1923" w:rsidRPr="009C1923" w:rsidRDefault="009C1923" w:rsidP="009C1923">
      <w:pPr>
        <w:spacing w:before="100" w:beforeAutospacing="1" w:after="100" w:afterAutospacing="1" w:line="240" w:lineRule="auto"/>
        <w:jc w:val="both"/>
        <w:rPr>
          <w:rFonts w:ascii="Arial" w:hAnsi="Arial" w:cs="Arial"/>
          <w:color w:val="000000"/>
          <w:kern w:val="0"/>
          <w14:ligatures w14:val="none"/>
        </w:rPr>
      </w:pPr>
    </w:p>
    <w:p w14:paraId="0A2D9C86" w14:textId="77777777" w:rsidR="009C1923" w:rsidRDefault="009C1923" w:rsidP="009C1923">
      <w:pPr>
        <w:spacing w:before="100" w:beforeAutospacing="1" w:after="100" w:afterAutospacing="1" w:line="240" w:lineRule="auto"/>
        <w:jc w:val="both"/>
        <w:rPr>
          <w:rFonts w:ascii="Arial" w:eastAsia="Times New Roman" w:hAnsi="Arial" w:cs="Arial"/>
          <w:color w:val="000000"/>
          <w:u w:val="single"/>
        </w:rPr>
      </w:pPr>
    </w:p>
    <w:p w14:paraId="6133F960" w14:textId="77777777" w:rsidR="009C1923" w:rsidRDefault="009C1923" w:rsidP="009C1923">
      <w:pPr>
        <w:spacing w:before="100" w:beforeAutospacing="1" w:after="100" w:afterAutospacing="1" w:line="240" w:lineRule="auto"/>
        <w:jc w:val="both"/>
        <w:rPr>
          <w:rFonts w:ascii="Arial" w:eastAsia="Times New Roman" w:hAnsi="Arial" w:cs="Arial"/>
          <w:color w:val="000000"/>
          <w:u w:val="single"/>
        </w:rPr>
      </w:pPr>
    </w:p>
    <w:p w14:paraId="37C73135" w14:textId="77777777" w:rsidR="006060E5" w:rsidRDefault="006060E5" w:rsidP="009C1923">
      <w:pPr>
        <w:spacing w:before="100" w:beforeAutospacing="1" w:after="100" w:afterAutospacing="1" w:line="240" w:lineRule="auto"/>
        <w:jc w:val="both"/>
        <w:rPr>
          <w:rFonts w:ascii="Arial" w:eastAsia="Times New Roman" w:hAnsi="Arial" w:cs="Arial"/>
          <w:color w:val="000000"/>
          <w:u w:val="single"/>
        </w:rPr>
      </w:pPr>
    </w:p>
    <w:p w14:paraId="07BFFC4D" w14:textId="77777777" w:rsidR="00390EFC" w:rsidRDefault="00390EFC" w:rsidP="009C1923">
      <w:pPr>
        <w:spacing w:before="100" w:beforeAutospacing="1" w:after="100" w:afterAutospacing="1" w:line="240" w:lineRule="auto"/>
        <w:jc w:val="both"/>
        <w:rPr>
          <w:rFonts w:ascii="Arial" w:eastAsia="Times New Roman" w:hAnsi="Arial" w:cs="Arial"/>
          <w:b/>
          <w:bCs/>
          <w:color w:val="000000"/>
          <w:sz w:val="26"/>
          <w:szCs w:val="26"/>
        </w:rPr>
      </w:pPr>
    </w:p>
    <w:p w14:paraId="6435E1C4" w14:textId="77777777" w:rsidR="00390EFC" w:rsidRDefault="00390EFC" w:rsidP="009C1923">
      <w:pPr>
        <w:spacing w:before="100" w:beforeAutospacing="1" w:after="100" w:afterAutospacing="1" w:line="240" w:lineRule="auto"/>
        <w:jc w:val="both"/>
        <w:rPr>
          <w:rFonts w:ascii="Arial" w:eastAsia="Times New Roman" w:hAnsi="Arial" w:cs="Arial"/>
          <w:b/>
          <w:bCs/>
          <w:color w:val="000000"/>
          <w:sz w:val="26"/>
          <w:szCs w:val="26"/>
        </w:rPr>
      </w:pPr>
    </w:p>
    <w:p w14:paraId="13094CE0" w14:textId="77777777" w:rsidR="00390EFC" w:rsidRDefault="00390EFC" w:rsidP="009C1923">
      <w:pPr>
        <w:spacing w:before="100" w:beforeAutospacing="1" w:after="100" w:afterAutospacing="1" w:line="240" w:lineRule="auto"/>
        <w:jc w:val="both"/>
        <w:rPr>
          <w:rFonts w:ascii="Arial" w:eastAsia="Times New Roman" w:hAnsi="Arial" w:cs="Arial"/>
          <w:b/>
          <w:bCs/>
          <w:color w:val="000000"/>
          <w:sz w:val="26"/>
          <w:szCs w:val="26"/>
        </w:rPr>
      </w:pPr>
    </w:p>
    <w:p w14:paraId="66469217" w14:textId="77777777" w:rsidR="00A12B07" w:rsidRDefault="00A12B07" w:rsidP="009C1923">
      <w:pPr>
        <w:spacing w:before="100" w:beforeAutospacing="1" w:after="100" w:afterAutospacing="1" w:line="240" w:lineRule="auto"/>
        <w:jc w:val="both"/>
        <w:rPr>
          <w:rFonts w:ascii="Arial" w:eastAsia="Times New Roman" w:hAnsi="Arial" w:cs="Arial"/>
          <w:b/>
          <w:bCs/>
          <w:color w:val="000000"/>
          <w:sz w:val="26"/>
          <w:szCs w:val="26"/>
        </w:rPr>
      </w:pPr>
    </w:p>
    <w:p w14:paraId="30DC4971" w14:textId="77777777" w:rsidR="00A12B07" w:rsidRDefault="00A12B07" w:rsidP="009C1923">
      <w:pPr>
        <w:spacing w:before="100" w:beforeAutospacing="1" w:after="100" w:afterAutospacing="1" w:line="240" w:lineRule="auto"/>
        <w:jc w:val="both"/>
        <w:rPr>
          <w:rFonts w:ascii="Arial" w:eastAsia="Times New Roman" w:hAnsi="Arial" w:cs="Arial"/>
          <w:b/>
          <w:bCs/>
          <w:color w:val="000000"/>
          <w:sz w:val="26"/>
          <w:szCs w:val="26"/>
        </w:rPr>
      </w:pPr>
    </w:p>
    <w:p w14:paraId="52B9A178" w14:textId="77777777" w:rsidR="00A12B07" w:rsidRDefault="00A12B07" w:rsidP="009C1923">
      <w:pPr>
        <w:spacing w:before="100" w:beforeAutospacing="1" w:after="100" w:afterAutospacing="1" w:line="240" w:lineRule="auto"/>
        <w:jc w:val="both"/>
        <w:rPr>
          <w:rFonts w:ascii="Arial" w:eastAsia="Times New Roman" w:hAnsi="Arial" w:cs="Arial"/>
          <w:b/>
          <w:bCs/>
          <w:color w:val="000000"/>
          <w:sz w:val="26"/>
          <w:szCs w:val="26"/>
        </w:rPr>
      </w:pPr>
    </w:p>
    <w:p w14:paraId="168B2AB2" w14:textId="0DFA346B" w:rsidR="00AD115D" w:rsidRPr="006060E5" w:rsidRDefault="009C1923" w:rsidP="009C1923">
      <w:pPr>
        <w:spacing w:before="100" w:beforeAutospacing="1" w:after="100" w:afterAutospacing="1" w:line="240" w:lineRule="auto"/>
        <w:jc w:val="both"/>
        <w:rPr>
          <w:rFonts w:ascii="Arial" w:hAnsi="Arial" w:cs="Arial"/>
          <w:b/>
          <w:bCs/>
          <w:color w:val="000000"/>
          <w:kern w:val="0"/>
          <w:sz w:val="26"/>
          <w:szCs w:val="26"/>
          <w14:ligatures w14:val="none"/>
        </w:rPr>
      </w:pPr>
      <w:r w:rsidRPr="006060E5">
        <w:rPr>
          <w:rFonts w:ascii="Arial" w:eastAsia="Times New Roman" w:hAnsi="Arial" w:cs="Arial"/>
          <w:b/>
          <w:bCs/>
          <w:color w:val="000000"/>
          <w:sz w:val="26"/>
          <w:szCs w:val="26"/>
        </w:rPr>
        <w:lastRenderedPageBreak/>
        <w:t xml:space="preserve">Question </w:t>
      </w:r>
      <w:r w:rsidR="00B86DDF" w:rsidRPr="006060E5">
        <w:rPr>
          <w:rFonts w:ascii="Arial" w:eastAsia="Times New Roman" w:hAnsi="Arial" w:cs="Arial"/>
          <w:b/>
          <w:bCs/>
          <w:color w:val="000000"/>
          <w:sz w:val="26"/>
          <w:szCs w:val="26"/>
        </w:rPr>
        <w:t>3</w:t>
      </w:r>
      <w:r w:rsidR="006060E5" w:rsidRPr="006060E5">
        <w:rPr>
          <w:rFonts w:ascii="Arial" w:eastAsia="Times New Roman" w:hAnsi="Arial" w:cs="Arial"/>
          <w:b/>
          <w:bCs/>
          <w:color w:val="000000"/>
          <w:sz w:val="26"/>
          <w:szCs w:val="26"/>
        </w:rPr>
        <w:t xml:space="preserve">: </w:t>
      </w:r>
      <w:r w:rsidR="00B86DDF" w:rsidRPr="006060E5">
        <w:rPr>
          <w:rStyle w:val="s18"/>
          <w:rFonts w:ascii="Arial" w:eastAsia="Times New Roman" w:hAnsi="Arial" w:cs="Arial"/>
          <w:b/>
          <w:bCs/>
          <w:color w:val="000000"/>
          <w:sz w:val="26"/>
          <w:szCs w:val="26"/>
        </w:rPr>
        <w:t>What lessons have been learned from recent high-profile critical and major incidents, and how have these translated into best practice for policing?</w:t>
      </w:r>
    </w:p>
    <w:p w14:paraId="73F1BC70" w14:textId="77777777" w:rsidR="00AD115D" w:rsidRPr="006060E5" w:rsidRDefault="00AD115D" w:rsidP="009C1923">
      <w:pPr>
        <w:spacing w:before="100" w:beforeAutospacing="1" w:after="100" w:afterAutospacing="1" w:line="240" w:lineRule="auto"/>
        <w:jc w:val="both"/>
        <w:rPr>
          <w:rFonts w:ascii="Arial" w:hAnsi="Arial" w:cs="Arial"/>
          <w:b/>
          <w:bCs/>
          <w:color w:val="000000"/>
          <w:kern w:val="0"/>
          <w14:ligatures w14:val="none"/>
        </w:rPr>
      </w:pPr>
      <w:r w:rsidRPr="006060E5">
        <w:rPr>
          <w:rFonts w:ascii="Arial" w:hAnsi="Arial" w:cs="Arial"/>
          <w:b/>
          <w:bCs/>
          <w:color w:val="000000"/>
          <w:kern w:val="0"/>
          <w14:ligatures w14:val="none"/>
        </w:rPr>
        <w:t>Introduction</w:t>
      </w:r>
    </w:p>
    <w:p w14:paraId="5B4BDA43" w14:textId="40AFB9D7" w:rsidR="006060E5" w:rsidRDefault="006060E5" w:rsidP="006060E5">
      <w:pPr>
        <w:jc w:val="both"/>
        <w:rPr>
          <w:rFonts w:ascii="Arial" w:hAnsi="Arial" w:cs="Arial"/>
        </w:rPr>
      </w:pPr>
      <w:r w:rsidRPr="006060E5">
        <w:rPr>
          <w:rFonts w:ascii="Arial" w:hAnsi="Arial" w:cs="Arial"/>
        </w:rPr>
        <w:t>Today's police force works in a constantly changing social, political, and technological environment. In addition to preserving public safety and order, law enforcement organisations are also entrusted with defending democratic principles, building public confidence, and combating a growing variety of dangers. In this context high-profile, significant, and essential events—whether they be violent public disturbances, terrorist attacks, or police misconduct—act as turning points that expose structural flaws in the institutions of the police force.   These occurrences frequently lead to considerable public scrutiny, introspection, and policy changes. Crucially, they also present worthwhile chances to rethink law enforcement from the perspective of scholarly investigation and evidence-based practice. The main lessons learnt from recent high-profile, significant, and critical events are examined in this essay, along with how they have been applied to improve practices. It emphasises the effects of such situations on police accountability, evidence-based policing, crisis response, civil unrest readiness, critical incident management, technology transparency, and community engagement by drawing on academic literature and</w:t>
      </w:r>
      <w:r>
        <w:rPr>
          <w:rFonts w:ascii="Arial" w:hAnsi="Arial" w:cs="Arial"/>
        </w:rPr>
        <w:t xml:space="preserve"> </w:t>
      </w:r>
      <w:r w:rsidRPr="006060E5">
        <w:rPr>
          <w:rFonts w:ascii="Arial" w:hAnsi="Arial" w:cs="Arial"/>
        </w:rPr>
        <w:t>real-world case studies.</w:t>
      </w:r>
      <w:r w:rsidR="007A0B92">
        <w:rPr>
          <w:rFonts w:ascii="Arial" w:hAnsi="Arial" w:cs="Arial"/>
        </w:rPr>
        <w:t xml:space="preserve"> </w:t>
      </w:r>
      <w:r w:rsidRPr="006060E5">
        <w:rPr>
          <w:rFonts w:ascii="Arial" w:hAnsi="Arial" w:cs="Arial"/>
        </w:rPr>
        <w:t>The research conducted will demonstrate that the development of legal and successful policing depends on the conversion of crisis into learning within the police force moving forward. </w:t>
      </w:r>
    </w:p>
    <w:p w14:paraId="163A3DAA" w14:textId="77777777" w:rsidR="00655BCE" w:rsidRDefault="00655BCE" w:rsidP="006060E5">
      <w:pPr>
        <w:jc w:val="both"/>
        <w:rPr>
          <w:rFonts w:ascii="Arial" w:hAnsi="Arial" w:cs="Arial"/>
        </w:rPr>
      </w:pPr>
    </w:p>
    <w:p w14:paraId="1DEEE709" w14:textId="34566B44" w:rsidR="00655BCE" w:rsidRPr="00655BCE" w:rsidRDefault="00655BCE" w:rsidP="006060E5">
      <w:pPr>
        <w:jc w:val="both"/>
        <w:rPr>
          <w:rFonts w:ascii="Arial" w:hAnsi="Arial" w:cs="Arial"/>
          <w:b/>
          <w:bCs/>
        </w:rPr>
      </w:pPr>
      <w:r w:rsidRPr="00655BCE">
        <w:rPr>
          <w:rFonts w:ascii="Arial" w:hAnsi="Arial" w:cs="Arial"/>
          <w:b/>
          <w:bCs/>
        </w:rPr>
        <w:t>Main Body</w:t>
      </w:r>
    </w:p>
    <w:p w14:paraId="42BB156C" w14:textId="2C450EE8" w:rsidR="006060E5" w:rsidRDefault="006060E5" w:rsidP="006060E5">
      <w:pPr>
        <w:jc w:val="both"/>
        <w:rPr>
          <w:rFonts w:ascii="Arial" w:hAnsi="Arial" w:cs="Arial"/>
        </w:rPr>
      </w:pPr>
      <w:r w:rsidRPr="006060E5">
        <w:rPr>
          <w:rFonts w:ascii="Arial" w:hAnsi="Arial" w:cs="Arial"/>
        </w:rPr>
        <w:t>The significance of officer accountability and the early identification of problematic behaviour within the police force are two of the most important lessons to be drawn from recent high-profile incidents.</w:t>
      </w:r>
      <w:r>
        <w:rPr>
          <w:rFonts w:ascii="Arial" w:hAnsi="Arial" w:cs="Arial"/>
        </w:rPr>
        <w:t xml:space="preserve"> </w:t>
      </w:r>
      <w:r w:rsidRPr="006060E5">
        <w:rPr>
          <w:rFonts w:ascii="Arial" w:hAnsi="Arial" w:cs="Arial"/>
        </w:rPr>
        <w:t xml:space="preserve"> In 2021, serving police officer Wayne Couzens killed Sarah Everard, shocking the </w:t>
      </w:r>
      <w:r w:rsidR="007A0B92" w:rsidRPr="006060E5">
        <w:rPr>
          <w:rFonts w:ascii="Arial" w:hAnsi="Arial" w:cs="Arial"/>
        </w:rPr>
        <w:t>country,</w:t>
      </w:r>
      <w:r w:rsidRPr="006060E5">
        <w:rPr>
          <w:rFonts w:ascii="Arial" w:hAnsi="Arial" w:cs="Arial"/>
        </w:rPr>
        <w:t xml:space="preserve"> and sparking concerns within the public regarding internal police culture, misconduct, and vetting </w:t>
      </w:r>
      <w:r w:rsidRPr="00E84282">
        <w:rPr>
          <w:rFonts w:ascii="Arial" w:hAnsi="Arial" w:cs="Arial"/>
        </w:rPr>
        <w:t>(HMICFRS, 2022). Couzens had a concerning history of inappropriate behaviour and had been reported</w:t>
      </w:r>
      <w:r w:rsidRPr="006060E5">
        <w:rPr>
          <w:rFonts w:ascii="Arial" w:hAnsi="Arial" w:cs="Arial"/>
        </w:rPr>
        <w:t xml:space="preserve"> to the police several times prior to the murder, according to the findings of the Angiolini Inquiry that </w:t>
      </w:r>
      <w:r w:rsidRPr="00B422E3">
        <w:rPr>
          <w:rFonts w:ascii="Arial" w:hAnsi="Arial" w:cs="Arial"/>
        </w:rPr>
        <w:t>followed (Angiolini, 2023).</w:t>
      </w:r>
      <w:r w:rsidRPr="006060E5">
        <w:rPr>
          <w:rFonts w:ascii="Arial" w:hAnsi="Arial" w:cs="Arial"/>
        </w:rPr>
        <w:t xml:space="preserve">  This clarifies that concerns were raised, and no early intervention was used to prevent such event, enabling Couzens to act and abuse his power within the force. </w:t>
      </w:r>
    </w:p>
    <w:p w14:paraId="48B39668" w14:textId="32F68C4C" w:rsidR="006060E5" w:rsidRDefault="006060E5" w:rsidP="006060E5">
      <w:pPr>
        <w:jc w:val="both"/>
        <w:rPr>
          <w:rFonts w:ascii="Arial" w:hAnsi="Arial" w:cs="Arial"/>
        </w:rPr>
      </w:pPr>
      <w:r w:rsidRPr="006060E5">
        <w:rPr>
          <w:rFonts w:ascii="Arial" w:hAnsi="Arial" w:cs="Arial"/>
        </w:rPr>
        <w:t>Following on, the importance of Early Intervention Systems (EIS), which are intended to spot behavioural tendencies among officers that can point to misconduct or subpar performance, is highlighted by academic research (</w:t>
      </w:r>
      <w:r w:rsidRPr="00E84282">
        <w:rPr>
          <w:rFonts w:ascii="Arial" w:hAnsi="Arial" w:cs="Arial"/>
        </w:rPr>
        <w:t>Walker, 2005).</w:t>
      </w:r>
      <w:r w:rsidRPr="006060E5">
        <w:rPr>
          <w:rFonts w:ascii="Arial" w:hAnsi="Arial" w:cs="Arial"/>
        </w:rPr>
        <w:t xml:space="preserve"> These systems are dependent on data collection and analysis, including disciplinary proceedings, use-of-force reports, and citizen complaints. When used effectively, EIS can notify managers of officers who need assistance, retraining, or disciplinary measures. Furthermore, </w:t>
      </w:r>
      <w:r w:rsidRPr="006060E5">
        <w:rPr>
          <w:rFonts w:ascii="Arial" w:hAnsi="Arial" w:cs="Arial"/>
        </w:rPr>
        <w:lastRenderedPageBreak/>
        <w:t xml:space="preserve">academics like </w:t>
      </w:r>
      <w:proofErr w:type="spellStart"/>
      <w:r w:rsidRPr="00E84282">
        <w:rPr>
          <w:rFonts w:ascii="Arial" w:hAnsi="Arial" w:cs="Arial"/>
        </w:rPr>
        <w:t>Prenzler</w:t>
      </w:r>
      <w:proofErr w:type="spellEnd"/>
      <w:r w:rsidRPr="00E84282">
        <w:rPr>
          <w:rFonts w:ascii="Arial" w:hAnsi="Arial" w:cs="Arial"/>
        </w:rPr>
        <w:t xml:space="preserve"> and Faulkner (2020)</w:t>
      </w:r>
      <w:r w:rsidRPr="006060E5">
        <w:rPr>
          <w:rFonts w:ascii="Arial" w:hAnsi="Arial" w:cs="Arial"/>
        </w:rPr>
        <w:t xml:space="preserve"> contend that internal police cultures frequently impede accountability by promoting loyalty over integrity and opposing reporting. To guarantee that early warning systems result in significant change, it is crucial to promote a culture of openness and learning as opposed to defensiveness within the force. </w:t>
      </w:r>
    </w:p>
    <w:p w14:paraId="10134FA6" w14:textId="059BA232" w:rsidR="006060E5" w:rsidRPr="006060E5" w:rsidRDefault="006060E5" w:rsidP="006060E5">
      <w:pPr>
        <w:jc w:val="both"/>
        <w:rPr>
          <w:rFonts w:ascii="Arial" w:hAnsi="Arial" w:cs="Arial"/>
        </w:rPr>
      </w:pPr>
      <w:r w:rsidRPr="006060E5">
        <w:rPr>
          <w:rFonts w:ascii="Arial" w:hAnsi="Arial" w:cs="Arial"/>
        </w:rPr>
        <w:t>High-profile incidents often expose a divide between police and the communities they serve, especially in marginalized or historically over-policed groups. Therefore, rebuilding trust requires an ongoing commitment to co-production and community involvement.</w:t>
      </w:r>
      <w:r w:rsidR="00E84282">
        <w:rPr>
          <w:rFonts w:ascii="Arial" w:hAnsi="Arial" w:cs="Arial"/>
        </w:rPr>
        <w:t xml:space="preserve"> </w:t>
      </w:r>
      <w:r w:rsidRPr="00E84282">
        <w:rPr>
          <w:rFonts w:ascii="Arial" w:hAnsi="Arial" w:cs="Arial"/>
        </w:rPr>
        <w:t>Goldstein (1990)</w:t>
      </w:r>
      <w:r w:rsidRPr="006060E5">
        <w:rPr>
          <w:rFonts w:ascii="Arial" w:hAnsi="Arial" w:cs="Arial"/>
        </w:rPr>
        <w:t xml:space="preserve"> created problem-oriented policing (POP), which encourages the   police officer to identify and deal with the underlying causes of crime. Reactive models that just concentrate on enforcement stand in contrast to this. Long-term assessments of POP tactics reveal that they enhance community ties and lower </w:t>
      </w:r>
      <w:r w:rsidRPr="00E84282">
        <w:rPr>
          <w:rFonts w:ascii="Arial" w:hAnsi="Arial" w:cs="Arial"/>
        </w:rPr>
        <w:t xml:space="preserve">crime (Weisburd </w:t>
      </w:r>
      <w:r w:rsidRPr="00E84282">
        <w:rPr>
          <w:rFonts w:ascii="Arial" w:hAnsi="Arial" w:cs="Arial"/>
          <w:i/>
          <w:iCs/>
        </w:rPr>
        <w:t>et al</w:t>
      </w:r>
      <w:r w:rsidR="00E84282" w:rsidRPr="00E84282">
        <w:rPr>
          <w:rFonts w:ascii="Arial" w:hAnsi="Arial" w:cs="Arial"/>
          <w:i/>
          <w:iCs/>
        </w:rPr>
        <w:t>,</w:t>
      </w:r>
      <w:r w:rsidR="00E84282" w:rsidRPr="00E84282">
        <w:rPr>
          <w:rFonts w:ascii="Arial" w:hAnsi="Arial" w:cs="Arial"/>
        </w:rPr>
        <w:t xml:space="preserve"> </w:t>
      </w:r>
      <w:r w:rsidRPr="00E84282">
        <w:rPr>
          <w:rFonts w:ascii="Arial" w:hAnsi="Arial" w:cs="Arial"/>
        </w:rPr>
        <w:t>2010).</w:t>
      </w:r>
      <w:r w:rsidRPr="006060E5">
        <w:rPr>
          <w:rFonts w:ascii="Arial" w:hAnsi="Arial" w:cs="Arial"/>
        </w:rPr>
        <w:t xml:space="preserve">  The Neighbourhood Policing concept in the UK places a strong emphasis on accessible services, local partnerships, and tailored interventions (</w:t>
      </w:r>
      <w:r w:rsidRPr="00E84282">
        <w:rPr>
          <w:rFonts w:ascii="Arial" w:hAnsi="Arial" w:cs="Arial"/>
        </w:rPr>
        <w:t>Myhill, 2012).</w:t>
      </w:r>
      <w:r w:rsidRPr="006060E5">
        <w:rPr>
          <w:rFonts w:ascii="Arial" w:hAnsi="Arial" w:cs="Arial"/>
        </w:rPr>
        <w:t xml:space="preserve"> Building legitimacy—defined by </w:t>
      </w:r>
      <w:r w:rsidRPr="00F306D4">
        <w:rPr>
          <w:rFonts w:ascii="Arial" w:hAnsi="Arial" w:cs="Arial"/>
        </w:rPr>
        <w:t xml:space="preserve">Bottoms and </w:t>
      </w:r>
      <w:proofErr w:type="spellStart"/>
      <w:r w:rsidRPr="00F306D4">
        <w:rPr>
          <w:rFonts w:ascii="Arial" w:hAnsi="Arial" w:cs="Arial"/>
        </w:rPr>
        <w:t>Tankebe</w:t>
      </w:r>
      <w:proofErr w:type="spellEnd"/>
      <w:r w:rsidRPr="00F306D4">
        <w:rPr>
          <w:rFonts w:ascii="Arial" w:hAnsi="Arial" w:cs="Arial"/>
        </w:rPr>
        <w:t xml:space="preserve"> (2012)</w:t>
      </w:r>
      <w:r w:rsidRPr="006060E5">
        <w:rPr>
          <w:rFonts w:ascii="Arial" w:hAnsi="Arial" w:cs="Arial"/>
        </w:rPr>
        <w:t xml:space="preserve"> as the collective belief in police authority and fairness is a particularly successful goal of community policing tactics. </w:t>
      </w:r>
      <w:proofErr w:type="gramStart"/>
      <w:r w:rsidRPr="006060E5">
        <w:rPr>
          <w:rFonts w:ascii="Arial" w:hAnsi="Arial" w:cs="Arial"/>
        </w:rPr>
        <w:t>Overall</w:t>
      </w:r>
      <w:proofErr w:type="gramEnd"/>
      <w:r w:rsidRPr="006060E5">
        <w:rPr>
          <w:rFonts w:ascii="Arial" w:hAnsi="Arial" w:cs="Arial"/>
        </w:rPr>
        <w:t xml:space="preserve"> in literature, </w:t>
      </w:r>
      <w:r w:rsidR="00E84282" w:rsidRPr="006060E5">
        <w:rPr>
          <w:rFonts w:ascii="Arial" w:hAnsi="Arial" w:cs="Arial"/>
        </w:rPr>
        <w:t>it’s</w:t>
      </w:r>
      <w:r w:rsidRPr="006060E5">
        <w:rPr>
          <w:rFonts w:ascii="Arial" w:hAnsi="Arial" w:cs="Arial"/>
        </w:rPr>
        <w:t xml:space="preserve"> clear that the goal of successful community engagement is prevention. By establishing a foundation of trust that remains during times of crisis, it reduces the possibility of escalation and promotes collaborative solutions to problems.   </w:t>
      </w:r>
    </w:p>
    <w:p w14:paraId="69C24C88" w14:textId="7F52480F" w:rsidR="006060E5" w:rsidRPr="006060E5" w:rsidRDefault="006060E5" w:rsidP="006060E5">
      <w:pPr>
        <w:jc w:val="both"/>
        <w:rPr>
          <w:rFonts w:ascii="Arial" w:hAnsi="Arial" w:cs="Arial"/>
        </w:rPr>
      </w:pPr>
      <w:r w:rsidRPr="006060E5">
        <w:rPr>
          <w:rFonts w:ascii="Arial" w:hAnsi="Arial" w:cs="Arial"/>
        </w:rPr>
        <w:t>The growing focus on evidence-based policing following major incidents is another significant development.</w:t>
      </w:r>
      <w:r>
        <w:rPr>
          <w:rFonts w:ascii="Arial" w:hAnsi="Arial" w:cs="Arial"/>
        </w:rPr>
        <w:t xml:space="preserve"> </w:t>
      </w:r>
      <w:r w:rsidRPr="006060E5">
        <w:rPr>
          <w:rFonts w:ascii="Arial" w:hAnsi="Arial" w:cs="Arial"/>
        </w:rPr>
        <w:t>This approach promotes the use of rigorous research techniques to guide policing strategies, such as longitudinal studies and randomised controlled trials (</w:t>
      </w:r>
      <w:r w:rsidRPr="00E84282">
        <w:rPr>
          <w:rFonts w:ascii="Arial" w:hAnsi="Arial" w:cs="Arial"/>
        </w:rPr>
        <w:t>Sherman,</w:t>
      </w:r>
      <w:r w:rsidR="00E84282">
        <w:rPr>
          <w:rFonts w:ascii="Arial" w:hAnsi="Arial" w:cs="Arial"/>
        </w:rPr>
        <w:t xml:space="preserve"> </w:t>
      </w:r>
      <w:r w:rsidRPr="00E84282">
        <w:rPr>
          <w:rFonts w:ascii="Arial" w:hAnsi="Arial" w:cs="Arial"/>
        </w:rPr>
        <w:t>1998).</w:t>
      </w:r>
      <w:r>
        <w:rPr>
          <w:rFonts w:ascii="Arial" w:hAnsi="Arial" w:cs="Arial"/>
        </w:rPr>
        <w:t xml:space="preserve"> </w:t>
      </w:r>
      <w:r w:rsidRPr="006060E5">
        <w:rPr>
          <w:rFonts w:ascii="Arial" w:hAnsi="Arial" w:cs="Arial"/>
        </w:rPr>
        <w:t>Evidence-based policing has gained traction following incidents that revealed inefficiencies or harmful practices. For example, the Durham Checkpoint program used a diversionary strategy that integrated offender support programs with restorative justice. Reoffending decreased by 15%, according to evaluations (</w:t>
      </w:r>
      <w:r w:rsidRPr="00F306D4">
        <w:rPr>
          <w:rFonts w:ascii="Arial" w:hAnsi="Arial" w:cs="Arial"/>
        </w:rPr>
        <w:t xml:space="preserve">Disley </w:t>
      </w:r>
      <w:r w:rsidRPr="00F306D4">
        <w:rPr>
          <w:rFonts w:ascii="Arial" w:hAnsi="Arial" w:cs="Arial"/>
          <w:i/>
          <w:iCs/>
        </w:rPr>
        <w:t xml:space="preserve">et </w:t>
      </w:r>
      <w:proofErr w:type="gramStart"/>
      <w:r w:rsidRPr="00F306D4">
        <w:rPr>
          <w:rFonts w:ascii="Arial" w:hAnsi="Arial" w:cs="Arial"/>
          <w:i/>
          <w:iCs/>
        </w:rPr>
        <w:t>al</w:t>
      </w:r>
      <w:r w:rsidR="00F306D4">
        <w:rPr>
          <w:rFonts w:ascii="Arial" w:hAnsi="Arial" w:cs="Arial"/>
        </w:rPr>
        <w:t xml:space="preserve">, </w:t>
      </w:r>
      <w:r w:rsidRPr="00F306D4">
        <w:rPr>
          <w:rFonts w:ascii="Arial" w:hAnsi="Arial" w:cs="Arial"/>
        </w:rPr>
        <w:t xml:space="preserve"> 2016</w:t>
      </w:r>
      <w:proofErr w:type="gramEnd"/>
      <w:r w:rsidRPr="00F306D4">
        <w:rPr>
          <w:rFonts w:ascii="Arial" w:hAnsi="Arial" w:cs="Arial"/>
        </w:rPr>
        <w:t>).</w:t>
      </w:r>
      <w:r w:rsidRPr="006060E5">
        <w:rPr>
          <w:rFonts w:ascii="Arial" w:hAnsi="Arial" w:cs="Arial"/>
        </w:rPr>
        <w:t xml:space="preserve"> Similar to this, Boston's Operation Ceasefire, which used focused deterrence to reduce gang violence, demonstrated sharp drops in homicides among young </w:t>
      </w:r>
      <w:r w:rsidRPr="00F306D4">
        <w:rPr>
          <w:rFonts w:ascii="Arial" w:hAnsi="Arial" w:cs="Arial"/>
        </w:rPr>
        <w:t xml:space="preserve">people (Braga </w:t>
      </w:r>
      <w:r w:rsidRPr="00F306D4">
        <w:rPr>
          <w:rFonts w:ascii="Arial" w:hAnsi="Arial" w:cs="Arial"/>
          <w:i/>
          <w:iCs/>
        </w:rPr>
        <w:t>et al</w:t>
      </w:r>
      <w:r w:rsidR="00F306D4" w:rsidRPr="00F306D4">
        <w:rPr>
          <w:rFonts w:ascii="Arial" w:hAnsi="Arial" w:cs="Arial"/>
          <w:i/>
          <w:iCs/>
        </w:rPr>
        <w:t>,</w:t>
      </w:r>
      <w:r w:rsidR="00F306D4" w:rsidRPr="00F306D4">
        <w:rPr>
          <w:rFonts w:ascii="Arial" w:hAnsi="Arial" w:cs="Arial"/>
        </w:rPr>
        <w:t xml:space="preserve"> </w:t>
      </w:r>
      <w:r w:rsidRPr="00F306D4">
        <w:rPr>
          <w:rFonts w:ascii="Arial" w:hAnsi="Arial" w:cs="Arial"/>
        </w:rPr>
        <w:t>2001).</w:t>
      </w:r>
      <w:r w:rsidRPr="006060E5">
        <w:rPr>
          <w:rFonts w:ascii="Arial" w:hAnsi="Arial" w:cs="Arial"/>
        </w:rPr>
        <w:t xml:space="preserve">   These successes demonstrate a move away from reactive, punishment-based policing and towards social science-based strategies.</w:t>
      </w:r>
      <w:r>
        <w:rPr>
          <w:rFonts w:ascii="Arial" w:hAnsi="Arial" w:cs="Arial"/>
        </w:rPr>
        <w:t xml:space="preserve"> </w:t>
      </w:r>
      <w:r w:rsidRPr="006060E5">
        <w:rPr>
          <w:rFonts w:ascii="Arial" w:hAnsi="Arial" w:cs="Arial"/>
        </w:rPr>
        <w:t xml:space="preserve">To defend, </w:t>
      </w:r>
      <w:r w:rsidRPr="00E84282">
        <w:rPr>
          <w:rFonts w:ascii="Arial" w:hAnsi="Arial" w:cs="Arial"/>
        </w:rPr>
        <w:t>Lum and Koper (2017)</w:t>
      </w:r>
      <w:r w:rsidRPr="006060E5">
        <w:rPr>
          <w:rFonts w:ascii="Arial" w:hAnsi="Arial" w:cs="Arial"/>
        </w:rPr>
        <w:t xml:space="preserve"> propose that evidence-based policing improves legitimacy and efficiency by encouraging a culture of innovation and reflection.    </w:t>
      </w:r>
    </w:p>
    <w:p w14:paraId="5DFEE4BB" w14:textId="140ADE49" w:rsidR="006060E5" w:rsidRPr="006060E5" w:rsidRDefault="006060E5" w:rsidP="006060E5">
      <w:pPr>
        <w:jc w:val="both"/>
        <w:rPr>
          <w:rFonts w:ascii="Arial" w:hAnsi="Arial" w:cs="Arial"/>
        </w:rPr>
      </w:pPr>
      <w:r w:rsidRPr="006060E5">
        <w:rPr>
          <w:rFonts w:ascii="Arial" w:hAnsi="Arial" w:cs="Arial"/>
        </w:rPr>
        <w:t xml:space="preserve">Better crisis response standards and training are desperately needed, as evidenced by incidents involving police use of force against people experiencing mental health crises. Tragic incidents like Kevin Clarke's death in London in 2018 highlighted structural flaws in the way vulnerable people are handled within the </w:t>
      </w:r>
      <w:r w:rsidRPr="00E84282">
        <w:rPr>
          <w:rFonts w:ascii="Arial" w:hAnsi="Arial" w:cs="Arial"/>
        </w:rPr>
        <w:t>system (INQUEST, 2020).</w:t>
      </w:r>
      <w:r w:rsidRPr="006060E5">
        <w:rPr>
          <w:rFonts w:ascii="Arial" w:hAnsi="Arial" w:cs="Arial"/>
        </w:rPr>
        <w:t xml:space="preserve">  To improve outcomes, models like the Crisis Intervention Team (CIT) approach, which was created in the US, team police officers with mental health specialists. CIT-trained police officers were more likely to divert individuals to healthcare providers and used force less often, according to research by </w:t>
      </w:r>
      <w:r w:rsidRPr="00E84282">
        <w:rPr>
          <w:rFonts w:ascii="Arial" w:hAnsi="Arial" w:cs="Arial"/>
        </w:rPr>
        <w:t xml:space="preserve">Watson and </w:t>
      </w:r>
      <w:proofErr w:type="spellStart"/>
      <w:r w:rsidRPr="00E84282">
        <w:rPr>
          <w:rFonts w:ascii="Arial" w:hAnsi="Arial" w:cs="Arial"/>
        </w:rPr>
        <w:t>Fulambarker</w:t>
      </w:r>
      <w:proofErr w:type="spellEnd"/>
      <w:r w:rsidRPr="00E84282">
        <w:rPr>
          <w:rFonts w:ascii="Arial" w:hAnsi="Arial" w:cs="Arial"/>
        </w:rPr>
        <w:t xml:space="preserve"> (2012).</w:t>
      </w:r>
      <w:r w:rsidRPr="006060E5">
        <w:rPr>
          <w:rFonts w:ascii="Arial" w:hAnsi="Arial" w:cs="Arial"/>
        </w:rPr>
        <w:t xml:space="preserve">  </w:t>
      </w:r>
      <w:r w:rsidRPr="006060E5">
        <w:rPr>
          <w:rFonts w:ascii="Arial" w:hAnsi="Arial" w:cs="Arial"/>
        </w:rPr>
        <w:lastRenderedPageBreak/>
        <w:t>Street triage schemes have been established in the UK to link frontline officers with mental health professionals (</w:t>
      </w:r>
      <w:proofErr w:type="spellStart"/>
      <w:r w:rsidRPr="00E84282">
        <w:rPr>
          <w:rFonts w:ascii="Arial" w:hAnsi="Arial" w:cs="Arial"/>
        </w:rPr>
        <w:t>Reveruzzi</w:t>
      </w:r>
      <w:proofErr w:type="spellEnd"/>
      <w:r w:rsidRPr="00E84282">
        <w:rPr>
          <w:rFonts w:ascii="Arial" w:hAnsi="Arial" w:cs="Arial"/>
        </w:rPr>
        <w:t xml:space="preserve"> and Pilling, 2016).</w:t>
      </w:r>
      <w:r w:rsidRPr="006060E5">
        <w:rPr>
          <w:rFonts w:ascii="Arial" w:hAnsi="Arial" w:cs="Arial"/>
        </w:rPr>
        <w:t xml:space="preserve"> These programs seek to lessen injury and enhance judgement in stressful situations, creating better outcome possibilities for both the individuals and police officers involved.  Positively, police training is now more frequently incorporating de-escalation tactics and mental health awareness, with the use of scenario planning and simulation-based </w:t>
      </w:r>
      <w:r w:rsidRPr="00F306D4">
        <w:rPr>
          <w:rFonts w:ascii="Arial" w:hAnsi="Arial" w:cs="Arial"/>
        </w:rPr>
        <w:t xml:space="preserve">learning (Compton </w:t>
      </w:r>
      <w:r w:rsidRPr="00F306D4">
        <w:rPr>
          <w:rFonts w:ascii="Arial" w:hAnsi="Arial" w:cs="Arial"/>
          <w:i/>
          <w:iCs/>
        </w:rPr>
        <w:t>et al</w:t>
      </w:r>
      <w:r w:rsidR="00F306D4" w:rsidRPr="00F306D4">
        <w:rPr>
          <w:rFonts w:ascii="Arial" w:hAnsi="Arial" w:cs="Arial"/>
          <w:i/>
          <w:iCs/>
        </w:rPr>
        <w:t>,</w:t>
      </w:r>
      <w:r w:rsidR="00F306D4" w:rsidRPr="00F306D4">
        <w:rPr>
          <w:rFonts w:ascii="Arial" w:hAnsi="Arial" w:cs="Arial"/>
        </w:rPr>
        <w:t xml:space="preserve"> </w:t>
      </w:r>
      <w:r w:rsidRPr="00F306D4">
        <w:rPr>
          <w:rFonts w:ascii="Arial" w:hAnsi="Arial" w:cs="Arial"/>
        </w:rPr>
        <w:t>2014). This reflects a broader academic consensus that policing must adapt to the complexities of mental health in public safety contexts and are attempting to</w:t>
      </w:r>
      <w:r w:rsidRPr="006060E5">
        <w:rPr>
          <w:rFonts w:ascii="Arial" w:hAnsi="Arial" w:cs="Arial"/>
        </w:rPr>
        <w:t xml:space="preserve"> do so. </w:t>
      </w:r>
    </w:p>
    <w:p w14:paraId="54D0D6D4" w14:textId="77777777" w:rsidR="006060E5" w:rsidRDefault="006060E5" w:rsidP="006060E5">
      <w:pPr>
        <w:jc w:val="both"/>
        <w:rPr>
          <w:rFonts w:ascii="Arial" w:hAnsi="Arial" w:cs="Arial"/>
        </w:rPr>
      </w:pPr>
    </w:p>
    <w:p w14:paraId="37D06BB0" w14:textId="1A6A7631" w:rsidR="006060E5" w:rsidRDefault="006060E5" w:rsidP="006060E5">
      <w:pPr>
        <w:jc w:val="both"/>
        <w:rPr>
          <w:rFonts w:ascii="Arial" w:hAnsi="Arial" w:cs="Arial"/>
        </w:rPr>
      </w:pPr>
      <w:r w:rsidRPr="006060E5">
        <w:rPr>
          <w:rFonts w:ascii="Arial" w:hAnsi="Arial" w:cs="Arial"/>
        </w:rPr>
        <w:t xml:space="preserve">Events involving public disorder, such as the 2011 riots in England and the most recent one in 2024, </w:t>
      </w:r>
      <w:r w:rsidR="00655BCE" w:rsidRPr="006060E5">
        <w:rPr>
          <w:rFonts w:ascii="Arial" w:hAnsi="Arial" w:cs="Arial"/>
        </w:rPr>
        <w:t>shows</w:t>
      </w:r>
      <w:r w:rsidRPr="006060E5">
        <w:rPr>
          <w:rFonts w:ascii="Arial" w:hAnsi="Arial" w:cs="Arial"/>
        </w:rPr>
        <w:t> just how crucial it is to have better intelligence and planning when handling large public disturbances. Critical weaknesses in command structures, inter-agency cooperation, and early response have been identified repeatedly (</w:t>
      </w:r>
      <w:r w:rsidRPr="00E84282">
        <w:rPr>
          <w:rFonts w:ascii="Arial" w:hAnsi="Arial" w:cs="Arial"/>
        </w:rPr>
        <w:t>Riots Communities and Victims Panel, 2012).</w:t>
      </w:r>
      <w:r w:rsidRPr="006060E5">
        <w:rPr>
          <w:rFonts w:ascii="Arial" w:hAnsi="Arial" w:cs="Arial"/>
        </w:rPr>
        <w:t xml:space="preserve">  Academic literature highlights the importance of intelligence-driven policing in maintaining public order (</w:t>
      </w:r>
      <w:r w:rsidRPr="00E84282">
        <w:rPr>
          <w:rFonts w:ascii="Arial" w:hAnsi="Arial" w:cs="Arial"/>
        </w:rPr>
        <w:t>Ratcliffe, 2016).</w:t>
      </w:r>
      <w:r w:rsidRPr="006060E5">
        <w:rPr>
          <w:rFonts w:ascii="Arial" w:hAnsi="Arial" w:cs="Arial"/>
        </w:rPr>
        <w:t xml:space="preserve"> Anticipating and reducing unrest requires dynamic risk assessments, community involvement, and real-time social media monitoring. Additionally, public views of legitimacy are crucial. </w:t>
      </w:r>
      <w:r w:rsidRPr="00E84282">
        <w:rPr>
          <w:rFonts w:ascii="Arial" w:hAnsi="Arial" w:cs="Arial"/>
        </w:rPr>
        <w:t>Tyler (2006)</w:t>
      </w:r>
      <w:r w:rsidRPr="006060E5">
        <w:rPr>
          <w:rFonts w:ascii="Arial" w:hAnsi="Arial" w:cs="Arial"/>
        </w:rPr>
        <w:t xml:space="preserve"> found that even under stressful situations, compliance and cooperation improve when the public believe that police are perceived as fair and respectful.  The National Police Chiefs' Council (</w:t>
      </w:r>
      <w:r w:rsidRPr="00E84282">
        <w:rPr>
          <w:rFonts w:ascii="Arial" w:hAnsi="Arial" w:cs="Arial"/>
        </w:rPr>
        <w:t>NPCC, 2024)</w:t>
      </w:r>
      <w:r w:rsidRPr="006060E5">
        <w:rPr>
          <w:rFonts w:ascii="Arial" w:hAnsi="Arial" w:cs="Arial"/>
        </w:rPr>
        <w:t xml:space="preserve"> released new operating guidelines in response to recent unrest, highlighting community dialogue, proportionality, and de-escalation as fundamental principles.   This reflects the growing awareness that in order to maintain long-term stability, public legitimacy must be paired with tactical success going forward. </w:t>
      </w:r>
    </w:p>
    <w:p w14:paraId="46003302" w14:textId="77777777" w:rsidR="006060E5" w:rsidRPr="006060E5" w:rsidRDefault="006060E5" w:rsidP="006060E5">
      <w:pPr>
        <w:jc w:val="both"/>
        <w:rPr>
          <w:rFonts w:ascii="Arial" w:hAnsi="Arial" w:cs="Arial"/>
        </w:rPr>
      </w:pPr>
    </w:p>
    <w:p w14:paraId="06041010" w14:textId="7D12E8C6" w:rsidR="006060E5" w:rsidRDefault="006060E5" w:rsidP="006060E5">
      <w:pPr>
        <w:jc w:val="both"/>
        <w:rPr>
          <w:rFonts w:ascii="Arial" w:hAnsi="Arial" w:cs="Arial"/>
        </w:rPr>
      </w:pPr>
      <w:r w:rsidRPr="006060E5">
        <w:rPr>
          <w:rFonts w:ascii="Arial" w:hAnsi="Arial" w:cs="Arial"/>
        </w:rPr>
        <w:t xml:space="preserve">Clear leadership, coordination, and communication are necessary for the handling of critical occurrences, such as terrorist attacks or mass casualty incidents. The Manchester Arena bombing in 2017 exposed weaknesses in preparedness, especially </w:t>
      </w:r>
      <w:proofErr w:type="gramStart"/>
      <w:r w:rsidRPr="006060E5">
        <w:rPr>
          <w:rFonts w:ascii="Arial" w:hAnsi="Arial" w:cs="Arial"/>
        </w:rPr>
        <w:t>in regards to</w:t>
      </w:r>
      <w:proofErr w:type="gramEnd"/>
      <w:r w:rsidRPr="006060E5">
        <w:rPr>
          <w:rFonts w:ascii="Arial" w:hAnsi="Arial" w:cs="Arial"/>
        </w:rPr>
        <w:t xml:space="preserve"> emergency response protocols (</w:t>
      </w:r>
      <w:r w:rsidRPr="00E84282">
        <w:rPr>
          <w:rFonts w:ascii="Arial" w:hAnsi="Arial" w:cs="Arial"/>
        </w:rPr>
        <w:t>Kerslake, 2018).</w:t>
      </w:r>
      <w:r w:rsidRPr="006060E5">
        <w:rPr>
          <w:rFonts w:ascii="Arial" w:hAnsi="Arial" w:cs="Arial"/>
        </w:rPr>
        <w:t xml:space="preserve">  In response, the Joint Emergency Services Interoperability Principles (JESIP) standards, which support structured debriefs, coordinated decision-making, and a shared situational awareness, were strengthened by the </w:t>
      </w:r>
      <w:r w:rsidRPr="00F306D4">
        <w:rPr>
          <w:rFonts w:ascii="Arial" w:hAnsi="Arial" w:cs="Arial"/>
        </w:rPr>
        <w:t>College of Policing (2020)</w:t>
      </w:r>
      <w:r w:rsidRPr="006060E5">
        <w:rPr>
          <w:rFonts w:ascii="Arial" w:hAnsi="Arial" w:cs="Arial"/>
        </w:rPr>
        <w:t xml:space="preserve"> as an improvement strategy.  During high-stress situations, these guidelines are intended to guarantee smooth collaboration between the police, fire, and ambulance services. Post-incident debriefs also serve a psychological function; helping officers process trauma and develop </w:t>
      </w:r>
      <w:proofErr w:type="gramStart"/>
      <w:r w:rsidRPr="006060E5">
        <w:rPr>
          <w:rFonts w:ascii="Arial" w:hAnsi="Arial" w:cs="Arial"/>
        </w:rPr>
        <w:t>resilience  </w:t>
      </w:r>
      <w:r w:rsidRPr="00F306D4">
        <w:rPr>
          <w:rFonts w:ascii="Arial" w:hAnsi="Arial" w:cs="Arial"/>
        </w:rPr>
        <w:t>(</w:t>
      </w:r>
      <w:proofErr w:type="gramEnd"/>
      <w:r w:rsidRPr="00F306D4">
        <w:rPr>
          <w:rFonts w:ascii="Arial" w:hAnsi="Arial" w:cs="Arial"/>
        </w:rPr>
        <w:t xml:space="preserve">Andersen </w:t>
      </w:r>
      <w:r w:rsidRPr="00F306D4">
        <w:rPr>
          <w:rFonts w:ascii="Arial" w:hAnsi="Arial" w:cs="Arial"/>
          <w:i/>
          <w:iCs/>
        </w:rPr>
        <w:t>et al</w:t>
      </w:r>
      <w:r w:rsidR="00F306D4" w:rsidRPr="00F306D4">
        <w:rPr>
          <w:rFonts w:ascii="Arial" w:hAnsi="Arial" w:cs="Arial"/>
          <w:i/>
          <w:iCs/>
        </w:rPr>
        <w:t>,</w:t>
      </w:r>
      <w:r w:rsidR="00F306D4" w:rsidRPr="00F306D4">
        <w:rPr>
          <w:rFonts w:ascii="Arial" w:hAnsi="Arial" w:cs="Arial"/>
        </w:rPr>
        <w:t xml:space="preserve"> </w:t>
      </w:r>
      <w:r w:rsidRPr="00F306D4">
        <w:rPr>
          <w:rFonts w:ascii="Arial" w:hAnsi="Arial" w:cs="Arial"/>
        </w:rPr>
        <w:t>2015).</w:t>
      </w:r>
      <w:r w:rsidRPr="006060E5">
        <w:rPr>
          <w:rFonts w:ascii="Arial" w:hAnsi="Arial" w:cs="Arial"/>
        </w:rPr>
        <w:t xml:space="preserve"> According to research, reflecting methods can help officers who are frequently exposed to violence or disasters prevent burnout and moral harm (</w:t>
      </w:r>
      <w:r w:rsidRPr="00E84282">
        <w:rPr>
          <w:rFonts w:ascii="Arial" w:hAnsi="Arial" w:cs="Arial"/>
        </w:rPr>
        <w:t>Papazoglou and Andersen, 2014).</w:t>
      </w:r>
      <w:r w:rsidRPr="006060E5">
        <w:rPr>
          <w:rFonts w:ascii="Arial" w:hAnsi="Arial" w:cs="Arial"/>
        </w:rPr>
        <w:t xml:space="preserve">  Thus, critical incident management involves not only operational effectiveness but also police workforce sustainability and well-being. </w:t>
      </w:r>
    </w:p>
    <w:p w14:paraId="0A9B82D2" w14:textId="77777777" w:rsidR="006060E5" w:rsidRPr="006060E5" w:rsidRDefault="006060E5" w:rsidP="006060E5">
      <w:pPr>
        <w:jc w:val="both"/>
        <w:rPr>
          <w:rFonts w:ascii="Arial" w:hAnsi="Arial" w:cs="Arial"/>
        </w:rPr>
      </w:pPr>
    </w:p>
    <w:p w14:paraId="38A97274" w14:textId="4BA5DD3F" w:rsidR="006060E5" w:rsidRPr="006060E5" w:rsidRDefault="006060E5" w:rsidP="006060E5">
      <w:pPr>
        <w:jc w:val="both"/>
        <w:rPr>
          <w:rFonts w:ascii="Arial" w:hAnsi="Arial" w:cs="Arial"/>
        </w:rPr>
      </w:pPr>
      <w:r w:rsidRPr="006060E5">
        <w:rPr>
          <w:rFonts w:ascii="Arial" w:hAnsi="Arial" w:cs="Arial"/>
        </w:rPr>
        <w:t xml:space="preserve">Technological innovations have become integral to promoting transparency and accountability. Following high-profile use-of-force situations, the public demanded monitoring, which led to the widespread use of body-worn cameras (BWCs). According to research by </w:t>
      </w:r>
      <w:r w:rsidRPr="00F306D4">
        <w:rPr>
          <w:rFonts w:ascii="Arial" w:hAnsi="Arial" w:cs="Arial"/>
        </w:rPr>
        <w:t xml:space="preserve">Ariel </w:t>
      </w:r>
      <w:r w:rsidRPr="00F306D4">
        <w:rPr>
          <w:rFonts w:ascii="Arial" w:hAnsi="Arial" w:cs="Arial"/>
          <w:i/>
          <w:iCs/>
        </w:rPr>
        <w:t>et al</w:t>
      </w:r>
      <w:r w:rsidR="00F306D4" w:rsidRPr="00F306D4">
        <w:rPr>
          <w:rFonts w:ascii="Arial" w:hAnsi="Arial" w:cs="Arial"/>
        </w:rPr>
        <w:t xml:space="preserve"> </w:t>
      </w:r>
      <w:r w:rsidRPr="00F306D4">
        <w:rPr>
          <w:rFonts w:ascii="Arial" w:hAnsi="Arial" w:cs="Arial"/>
        </w:rPr>
        <w:t>(2016), BWCs</w:t>
      </w:r>
      <w:r w:rsidRPr="006060E5">
        <w:rPr>
          <w:rFonts w:ascii="Arial" w:hAnsi="Arial" w:cs="Arial"/>
        </w:rPr>
        <w:t xml:space="preserve"> can lower public member complaints and use-of-force incidents, especially when policies require routine use. However, as </w:t>
      </w:r>
      <w:r w:rsidRPr="00E84282">
        <w:rPr>
          <w:rFonts w:ascii="Arial" w:hAnsi="Arial" w:cs="Arial"/>
        </w:rPr>
        <w:t>White and Malm (2020)</w:t>
      </w:r>
      <w:r w:rsidRPr="006060E5">
        <w:rPr>
          <w:rFonts w:ascii="Arial" w:hAnsi="Arial" w:cs="Arial"/>
        </w:rPr>
        <w:t xml:space="preserve"> point out, their effectiveness is dependent upon solid data governance, officer buy-in, and clear guidelines. Additionally, BWCs are used as evidence in court cases and complaint investigations. The Independent Office for Police Conduct </w:t>
      </w:r>
      <w:r w:rsidRPr="00E84282">
        <w:rPr>
          <w:rFonts w:ascii="Arial" w:hAnsi="Arial" w:cs="Arial"/>
        </w:rPr>
        <w:t>(IOPC, 2023)</w:t>
      </w:r>
      <w:r w:rsidRPr="006060E5">
        <w:rPr>
          <w:rFonts w:ascii="Arial" w:hAnsi="Arial" w:cs="Arial"/>
        </w:rPr>
        <w:t xml:space="preserve"> in the United Kingdom has highlighted the importance of BWC footage in promoting public trust and fair results. However, concerns about surveillance and privacy still exist, especially with relation to marginalised populations and communities.  Transparency and ethical considerations must be balanced in best practices to make sure that technology serves public interest rather than undermining civil liberties. </w:t>
      </w:r>
    </w:p>
    <w:p w14:paraId="72AFFE78" w14:textId="77777777" w:rsidR="006060E5" w:rsidRPr="006060E5" w:rsidRDefault="006060E5" w:rsidP="006060E5">
      <w:pPr>
        <w:jc w:val="both"/>
        <w:rPr>
          <w:rFonts w:ascii="Arial" w:hAnsi="Arial" w:cs="Arial"/>
        </w:rPr>
      </w:pPr>
    </w:p>
    <w:p w14:paraId="64C23821" w14:textId="77777777" w:rsidR="006060E5" w:rsidRPr="006060E5" w:rsidRDefault="006060E5" w:rsidP="006060E5">
      <w:pPr>
        <w:jc w:val="both"/>
        <w:rPr>
          <w:rFonts w:ascii="Arial" w:hAnsi="Arial" w:cs="Arial"/>
          <w:b/>
          <w:bCs/>
        </w:rPr>
      </w:pPr>
      <w:r w:rsidRPr="006060E5">
        <w:rPr>
          <w:rFonts w:ascii="Arial" w:hAnsi="Arial" w:cs="Arial"/>
          <w:b/>
          <w:bCs/>
        </w:rPr>
        <w:t>Conclusion </w:t>
      </w:r>
    </w:p>
    <w:p w14:paraId="73D893A4" w14:textId="0B3F02DF" w:rsidR="006060E5" w:rsidRPr="006060E5" w:rsidRDefault="006060E5" w:rsidP="006060E5">
      <w:pPr>
        <w:spacing w:before="100" w:beforeAutospacing="1" w:after="100" w:afterAutospacing="1" w:line="276" w:lineRule="auto"/>
        <w:jc w:val="both"/>
        <w:rPr>
          <w:rFonts w:ascii="Arial" w:hAnsi="Arial" w:cs="Arial"/>
          <w:color w:val="000000"/>
          <w:kern w:val="0"/>
          <w14:ligatures w14:val="none"/>
        </w:rPr>
      </w:pPr>
      <w:r w:rsidRPr="009C1923">
        <w:rPr>
          <w:rFonts w:ascii="Arial" w:hAnsi="Arial" w:cs="Arial"/>
          <w:color w:val="000000"/>
          <w:kern w:val="0"/>
          <w14:ligatures w14:val="none"/>
        </w:rPr>
        <w:t>High-profile critical and major incidents are powerful catalysts for change in policing. While they often emerge from tragedy or failure, they also offer unique opportunities for reflection, reform, and the adoption of best practices. Drawing from academic research and empirical evidence, police forces have increasingly embraced strategies that prioritize accountability, effectiveness, and public legitimacy.</w:t>
      </w:r>
      <w:r>
        <w:rPr>
          <w:rFonts w:ascii="Arial" w:hAnsi="Arial" w:cs="Arial"/>
          <w:color w:val="000000"/>
          <w:kern w:val="0"/>
          <w14:ligatures w14:val="none"/>
        </w:rPr>
        <w:t xml:space="preserve"> </w:t>
      </w:r>
      <w:r w:rsidRPr="006060E5">
        <w:rPr>
          <w:rFonts w:ascii="Arial" w:hAnsi="Arial" w:cs="Arial"/>
        </w:rPr>
        <w:t>Every development, from crisis response to technology transparency, from early intervention programs to community policing, demonstrates an overall dedication to professionalisation and continuous learning within the police force. The integration of academic insights into operational police practice is not only beneficial, but essential. The police force must continue to be adaptable, knowledgeable, and accountable in a world where public expectations are growing, and threats are evolving.  The most crucial lesson shown through literature and following on from major incidents and learnings, is that optimal practice is continuous.   It must change to reflect new information, difficulties, and perspectives on equality and justice. By learning from past events and grounding reform in evidence, policing can move towards a future that is both effective and legitimate in the eyes of the public.</w:t>
      </w:r>
    </w:p>
    <w:p w14:paraId="17DB8AEF" w14:textId="77777777" w:rsidR="006060E5" w:rsidRDefault="006060E5" w:rsidP="006060E5">
      <w:pPr>
        <w:spacing w:before="100" w:beforeAutospacing="1" w:after="100" w:afterAutospacing="1" w:line="240" w:lineRule="auto"/>
        <w:jc w:val="both"/>
        <w:rPr>
          <w:rFonts w:ascii="Arial" w:hAnsi="Arial" w:cs="Arial"/>
          <w:b/>
          <w:bCs/>
          <w:color w:val="000000"/>
          <w:kern w:val="0"/>
          <w14:ligatures w14:val="none"/>
        </w:rPr>
      </w:pPr>
    </w:p>
    <w:p w14:paraId="3885AF01" w14:textId="77777777" w:rsidR="006060E5" w:rsidRDefault="006060E5" w:rsidP="009C1923">
      <w:pPr>
        <w:spacing w:before="100" w:beforeAutospacing="1" w:after="100" w:afterAutospacing="1" w:line="240" w:lineRule="auto"/>
        <w:jc w:val="both"/>
        <w:rPr>
          <w:rFonts w:ascii="Arial" w:hAnsi="Arial" w:cs="Arial"/>
          <w:color w:val="000000"/>
          <w:kern w:val="0"/>
          <w14:ligatures w14:val="none"/>
        </w:rPr>
      </w:pPr>
    </w:p>
    <w:p w14:paraId="375081BF" w14:textId="77777777" w:rsidR="008D53AB" w:rsidRDefault="008D53AB" w:rsidP="009C1923">
      <w:pPr>
        <w:spacing w:before="100" w:beforeAutospacing="1" w:after="100" w:afterAutospacing="1" w:line="240" w:lineRule="auto"/>
        <w:jc w:val="both"/>
        <w:rPr>
          <w:rFonts w:ascii="Arial" w:hAnsi="Arial" w:cs="Arial"/>
          <w:b/>
          <w:bCs/>
          <w:color w:val="000000"/>
          <w:kern w:val="0"/>
          <w14:ligatures w14:val="none"/>
        </w:rPr>
      </w:pPr>
    </w:p>
    <w:p w14:paraId="3BB47615" w14:textId="77777777" w:rsidR="008D53AB" w:rsidRDefault="008D53AB" w:rsidP="009C1923">
      <w:pPr>
        <w:spacing w:before="100" w:beforeAutospacing="1" w:after="100" w:afterAutospacing="1" w:line="240" w:lineRule="auto"/>
        <w:jc w:val="both"/>
        <w:rPr>
          <w:rFonts w:ascii="Arial" w:hAnsi="Arial" w:cs="Arial"/>
          <w:b/>
          <w:bCs/>
          <w:color w:val="000000"/>
          <w:kern w:val="0"/>
          <w14:ligatures w14:val="none"/>
        </w:rPr>
      </w:pPr>
    </w:p>
    <w:p w14:paraId="36C0FBD7" w14:textId="268E49DD" w:rsidR="00AD115D" w:rsidRPr="009C1923" w:rsidRDefault="00AD115D" w:rsidP="009C1923">
      <w:pPr>
        <w:spacing w:before="100" w:beforeAutospacing="1" w:after="100" w:afterAutospacing="1" w:line="240" w:lineRule="auto"/>
        <w:jc w:val="both"/>
        <w:rPr>
          <w:rFonts w:ascii="Arial" w:hAnsi="Arial" w:cs="Arial"/>
          <w:color w:val="000000"/>
          <w:kern w:val="0"/>
          <w14:ligatures w14:val="none"/>
        </w:rPr>
      </w:pPr>
      <w:r w:rsidRPr="009C1923">
        <w:rPr>
          <w:rFonts w:ascii="Arial" w:hAnsi="Arial" w:cs="Arial"/>
          <w:b/>
          <w:bCs/>
          <w:color w:val="000000"/>
          <w:kern w:val="0"/>
          <w14:ligatures w14:val="none"/>
        </w:rPr>
        <w:lastRenderedPageBreak/>
        <w:t xml:space="preserve">References </w:t>
      </w:r>
    </w:p>
    <w:p w14:paraId="248A4405" w14:textId="6A5E6AEF" w:rsidR="00AD115D" w:rsidRPr="00E84282" w:rsidRDefault="00AD115D" w:rsidP="009C1923">
      <w:pPr>
        <w:spacing w:before="100" w:beforeAutospacing="1" w:after="100" w:afterAutospacing="1" w:line="240" w:lineRule="auto"/>
        <w:jc w:val="both"/>
        <w:rPr>
          <w:rFonts w:ascii="Arial" w:hAnsi="Arial" w:cs="Arial"/>
          <w:color w:val="000000"/>
          <w:kern w:val="0"/>
          <w14:ligatures w14:val="none"/>
        </w:rPr>
      </w:pPr>
      <w:r w:rsidRPr="00E84282">
        <w:rPr>
          <w:rFonts w:ascii="Arial" w:hAnsi="Arial" w:cs="Arial"/>
          <w:color w:val="000000"/>
          <w:kern w:val="0"/>
          <w14:ligatures w14:val="none"/>
        </w:rPr>
        <w:t>Angiolini, E. (2023)</w:t>
      </w:r>
      <w:r w:rsidR="00DE2E1F">
        <w:rPr>
          <w:rFonts w:ascii="Arial" w:hAnsi="Arial" w:cs="Arial"/>
          <w:color w:val="000000"/>
          <w:kern w:val="0"/>
          <w14:ligatures w14:val="none"/>
        </w:rPr>
        <w:t xml:space="preserve"> </w:t>
      </w:r>
      <w:r w:rsidRPr="00E84282">
        <w:rPr>
          <w:rFonts w:ascii="Arial" w:hAnsi="Arial" w:cs="Arial"/>
          <w:i/>
          <w:iCs/>
          <w:color w:val="000000"/>
          <w:kern w:val="0"/>
          <w14:ligatures w14:val="none"/>
        </w:rPr>
        <w:t>The Independent Inquiry into the Murder of Sarah Everard by a Serving Police Officer: Part One Report</w:t>
      </w:r>
      <w:r w:rsidRPr="00E84282">
        <w:rPr>
          <w:rFonts w:ascii="Arial" w:hAnsi="Arial" w:cs="Arial"/>
          <w:color w:val="000000"/>
          <w:kern w:val="0"/>
          <w14:ligatures w14:val="none"/>
        </w:rPr>
        <w:t>. London: HM Government.</w:t>
      </w:r>
      <w:r w:rsidR="00DE2E1F">
        <w:rPr>
          <w:rFonts w:ascii="Arial" w:hAnsi="Arial" w:cs="Arial"/>
          <w:color w:val="000000"/>
          <w:kern w:val="0"/>
          <w14:ligatures w14:val="none"/>
        </w:rPr>
        <w:t xml:space="preserve"> Available at: </w:t>
      </w:r>
      <w:hyperlink r:id="rId5" w:history="1">
        <w:r w:rsidR="00DE2E1F" w:rsidRPr="00422D4C">
          <w:rPr>
            <w:rStyle w:val="Hyperlink"/>
            <w:rFonts w:ascii="Arial" w:hAnsi="Arial" w:cs="Arial"/>
            <w:kern w:val="0"/>
            <w14:ligatures w14:val="none"/>
          </w:rPr>
          <w:t>https://assets.publishing.service.gov.uk/media/65e05420cf7eb1b0e5f57eff/E02740018_Angiolini_Inquiry_HC_530_Accessible.pdf</w:t>
        </w:r>
      </w:hyperlink>
      <w:r w:rsidR="00DE2E1F">
        <w:rPr>
          <w:rFonts w:ascii="Arial" w:hAnsi="Arial" w:cs="Arial"/>
          <w:color w:val="000000"/>
          <w:kern w:val="0"/>
          <w14:ligatures w14:val="none"/>
        </w:rPr>
        <w:t xml:space="preserve"> (Accessed 10th May 2025) </w:t>
      </w:r>
    </w:p>
    <w:p w14:paraId="67603BBF" w14:textId="08AD9DDB" w:rsidR="00AD115D" w:rsidRPr="00E84282" w:rsidRDefault="00AD115D" w:rsidP="009C1923">
      <w:pPr>
        <w:spacing w:before="100" w:beforeAutospacing="1" w:after="100" w:afterAutospacing="1" w:line="240" w:lineRule="auto"/>
        <w:jc w:val="both"/>
        <w:rPr>
          <w:rFonts w:ascii="Arial" w:hAnsi="Arial" w:cs="Arial"/>
          <w:color w:val="000000"/>
          <w:kern w:val="0"/>
          <w14:ligatures w14:val="none"/>
        </w:rPr>
      </w:pPr>
      <w:r w:rsidRPr="00E84282">
        <w:rPr>
          <w:rFonts w:ascii="Arial" w:hAnsi="Arial" w:cs="Arial"/>
          <w:color w:val="000000"/>
          <w:kern w:val="0"/>
          <w14:ligatures w14:val="none"/>
        </w:rPr>
        <w:t>Andersen, J.P., Papazoglou, K</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Koskelainen, M.</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(2015)</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Critical incident stress debriefing and law enforcement: A review. </w:t>
      </w:r>
      <w:r w:rsidRPr="00E84282">
        <w:rPr>
          <w:rFonts w:ascii="Arial" w:hAnsi="Arial" w:cs="Arial"/>
          <w:i/>
          <w:iCs/>
          <w:color w:val="000000"/>
          <w:kern w:val="0"/>
          <w14:ligatures w14:val="none"/>
        </w:rPr>
        <w:t>International Journal of Emergency Mental Health and Human Resilience</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17(2), pp.661–663.</w:t>
      </w:r>
    </w:p>
    <w:p w14:paraId="71E0F69C" w14:textId="6C0B978B" w:rsidR="00AD115D" w:rsidRPr="00E84282" w:rsidRDefault="00AD115D" w:rsidP="009C1923">
      <w:pPr>
        <w:spacing w:before="100" w:beforeAutospacing="1" w:after="100" w:afterAutospacing="1" w:line="240" w:lineRule="auto"/>
        <w:jc w:val="both"/>
        <w:rPr>
          <w:rFonts w:ascii="Arial" w:hAnsi="Arial" w:cs="Arial"/>
          <w:color w:val="000000"/>
          <w:kern w:val="0"/>
          <w14:ligatures w14:val="none"/>
        </w:rPr>
      </w:pPr>
      <w:r w:rsidRPr="00E84282">
        <w:rPr>
          <w:rFonts w:ascii="Arial" w:hAnsi="Arial" w:cs="Arial"/>
          <w:color w:val="000000"/>
          <w:kern w:val="0"/>
          <w14:ligatures w14:val="none"/>
        </w:rPr>
        <w:t>Ariel, B., Farrar, W.A. and Sutherland, A., (2016</w:t>
      </w:r>
      <w:r w:rsidR="00E84282">
        <w:rPr>
          <w:rFonts w:ascii="Arial" w:hAnsi="Arial" w:cs="Arial"/>
          <w:color w:val="000000"/>
          <w:kern w:val="0"/>
          <w14:ligatures w14:val="none"/>
        </w:rPr>
        <w:t>)</w:t>
      </w:r>
      <w:r w:rsidRPr="00E84282">
        <w:rPr>
          <w:rFonts w:ascii="Arial" w:hAnsi="Arial" w:cs="Arial"/>
          <w:color w:val="000000"/>
          <w:kern w:val="0"/>
          <w14:ligatures w14:val="none"/>
        </w:rPr>
        <w:t xml:space="preserve"> The effect of police body-worn cameras on use of force and citizens’ complaints against the police: A randomized controlled trial. </w:t>
      </w:r>
      <w:r w:rsidRPr="00E84282">
        <w:rPr>
          <w:rFonts w:ascii="Arial" w:hAnsi="Arial" w:cs="Arial"/>
          <w:i/>
          <w:iCs/>
          <w:color w:val="000000"/>
          <w:kern w:val="0"/>
          <w14:ligatures w14:val="none"/>
        </w:rPr>
        <w:t>Journal of Quantitative Criminology</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31(3), pp.509–535.</w:t>
      </w:r>
    </w:p>
    <w:p w14:paraId="5E61B1E9" w14:textId="30E1DF1D" w:rsidR="00AD115D" w:rsidRPr="00E84282" w:rsidRDefault="00AD115D" w:rsidP="009C1923">
      <w:pPr>
        <w:spacing w:before="100" w:beforeAutospacing="1" w:after="100" w:afterAutospacing="1" w:line="240" w:lineRule="auto"/>
        <w:jc w:val="both"/>
        <w:rPr>
          <w:rFonts w:ascii="Arial" w:hAnsi="Arial" w:cs="Arial"/>
          <w:color w:val="000000"/>
          <w:kern w:val="0"/>
          <w14:ligatures w14:val="none"/>
        </w:rPr>
      </w:pPr>
      <w:r w:rsidRPr="00E84282">
        <w:rPr>
          <w:rFonts w:ascii="Arial" w:hAnsi="Arial" w:cs="Arial"/>
          <w:color w:val="000000"/>
          <w:kern w:val="0"/>
          <w14:ligatures w14:val="none"/>
        </w:rPr>
        <w:t>Bottoms, A.</w:t>
      </w:r>
      <w:r w:rsidR="00E84282">
        <w:rPr>
          <w:rFonts w:ascii="Arial" w:hAnsi="Arial" w:cs="Arial"/>
          <w:color w:val="000000"/>
          <w:kern w:val="0"/>
          <w14:ligatures w14:val="none"/>
        </w:rPr>
        <w:t xml:space="preserve">, </w:t>
      </w:r>
      <w:proofErr w:type="spellStart"/>
      <w:r w:rsidRPr="00E84282">
        <w:rPr>
          <w:rFonts w:ascii="Arial" w:hAnsi="Arial" w:cs="Arial"/>
          <w:color w:val="000000"/>
          <w:kern w:val="0"/>
          <w14:ligatures w14:val="none"/>
        </w:rPr>
        <w:t>Tankebe</w:t>
      </w:r>
      <w:proofErr w:type="spellEnd"/>
      <w:r w:rsidRPr="00E84282">
        <w:rPr>
          <w:rFonts w:ascii="Arial" w:hAnsi="Arial" w:cs="Arial"/>
          <w:color w:val="000000"/>
          <w:kern w:val="0"/>
          <w14:ligatures w14:val="none"/>
        </w:rPr>
        <w:t>, J. (2012)</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Beyond procedural justice: A dialogic approach to legitimacy in criminal justice. </w:t>
      </w:r>
      <w:r w:rsidRPr="00E84282">
        <w:rPr>
          <w:rFonts w:ascii="Arial" w:hAnsi="Arial" w:cs="Arial"/>
          <w:i/>
          <w:iCs/>
          <w:color w:val="000000"/>
          <w:kern w:val="0"/>
          <w14:ligatures w14:val="none"/>
        </w:rPr>
        <w:t>Journal of Criminal Law and Criminology</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102(1), pp.119–170.</w:t>
      </w:r>
    </w:p>
    <w:p w14:paraId="64F31F6B" w14:textId="5C353D33" w:rsidR="00AD115D" w:rsidRPr="00E84282" w:rsidRDefault="00AD115D" w:rsidP="009C1923">
      <w:pPr>
        <w:spacing w:before="100" w:beforeAutospacing="1" w:after="100" w:afterAutospacing="1" w:line="240" w:lineRule="auto"/>
        <w:jc w:val="both"/>
        <w:rPr>
          <w:rFonts w:ascii="Arial" w:hAnsi="Arial" w:cs="Arial"/>
          <w:color w:val="000000"/>
          <w:kern w:val="0"/>
          <w14:ligatures w14:val="none"/>
        </w:rPr>
      </w:pPr>
      <w:r w:rsidRPr="00E84282">
        <w:rPr>
          <w:rFonts w:ascii="Arial" w:hAnsi="Arial" w:cs="Arial"/>
          <w:color w:val="000000"/>
          <w:kern w:val="0"/>
          <w14:ligatures w14:val="none"/>
        </w:rPr>
        <w:t>Braga, A.A., Kennedy, D.M., Waring, E.J.</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Piehl, A.M.</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(2001)</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Problem-oriented policing, deterrence, and youth violence: An evaluation of Boston’s Operation Ceasefire. </w:t>
      </w:r>
      <w:r w:rsidRPr="00E84282">
        <w:rPr>
          <w:rFonts w:ascii="Arial" w:hAnsi="Arial" w:cs="Arial"/>
          <w:i/>
          <w:iCs/>
          <w:color w:val="000000"/>
          <w:kern w:val="0"/>
          <w14:ligatures w14:val="none"/>
        </w:rPr>
        <w:t>Journal of Research in Crime and Delinquency</w:t>
      </w:r>
      <w:r w:rsidRPr="00E84282">
        <w:rPr>
          <w:rFonts w:ascii="Arial" w:hAnsi="Arial" w:cs="Arial"/>
          <w:color w:val="000000"/>
          <w:kern w:val="0"/>
          <w14:ligatures w14:val="none"/>
        </w:rPr>
        <w:t>, 38(3), pp.195–225.</w:t>
      </w:r>
    </w:p>
    <w:p w14:paraId="5E093BAA" w14:textId="2AE829CD" w:rsidR="00AD115D" w:rsidRPr="00E84282" w:rsidRDefault="00AD115D" w:rsidP="009C1923">
      <w:pPr>
        <w:spacing w:before="100" w:beforeAutospacing="1" w:after="100" w:afterAutospacing="1" w:line="240" w:lineRule="auto"/>
        <w:jc w:val="both"/>
        <w:rPr>
          <w:rFonts w:ascii="Arial" w:hAnsi="Arial" w:cs="Arial"/>
          <w:color w:val="000000"/>
          <w:kern w:val="0"/>
          <w14:ligatures w14:val="none"/>
        </w:rPr>
      </w:pPr>
      <w:r w:rsidRPr="00E84282">
        <w:rPr>
          <w:rFonts w:ascii="Arial" w:hAnsi="Arial" w:cs="Arial"/>
          <w:color w:val="000000"/>
          <w:kern w:val="0"/>
          <w14:ligatures w14:val="none"/>
        </w:rPr>
        <w:t>College of Policing (2020)</w:t>
      </w:r>
      <w:r w:rsidR="00E84282">
        <w:rPr>
          <w:rFonts w:ascii="Arial" w:hAnsi="Arial" w:cs="Arial"/>
          <w:color w:val="000000"/>
          <w:kern w:val="0"/>
          <w14:ligatures w14:val="none"/>
        </w:rPr>
        <w:t xml:space="preserve"> </w:t>
      </w:r>
      <w:r w:rsidRPr="00E84282">
        <w:rPr>
          <w:rFonts w:ascii="Arial" w:hAnsi="Arial" w:cs="Arial"/>
          <w:i/>
          <w:iCs/>
          <w:color w:val="000000"/>
          <w:kern w:val="0"/>
          <w14:ligatures w14:val="none"/>
        </w:rPr>
        <w:t>Critical Incident Management Guidance</w:t>
      </w:r>
      <w:r w:rsidRPr="00E84282">
        <w:rPr>
          <w:rFonts w:ascii="Arial" w:hAnsi="Arial" w:cs="Arial"/>
          <w:color w:val="000000"/>
          <w:kern w:val="0"/>
          <w14:ligatures w14:val="none"/>
        </w:rPr>
        <w:t>. Coventry: College of Policing.</w:t>
      </w:r>
      <w:r w:rsidR="00E84282">
        <w:rPr>
          <w:rFonts w:ascii="Arial" w:hAnsi="Arial" w:cs="Arial"/>
          <w:color w:val="000000"/>
          <w:kern w:val="0"/>
          <w14:ligatures w14:val="none"/>
        </w:rPr>
        <w:t xml:space="preserve"> Available at: </w:t>
      </w:r>
      <w:hyperlink r:id="rId6" w:history="1">
        <w:r w:rsidR="00E84282" w:rsidRPr="00422D4C">
          <w:rPr>
            <w:rStyle w:val="Hyperlink"/>
            <w:rFonts w:ascii="Arial" w:hAnsi="Arial" w:cs="Arial"/>
            <w:kern w:val="0"/>
            <w14:ligatures w14:val="none"/>
          </w:rPr>
          <w:t>https://www.college.police.uk/app/critical-incident-management</w:t>
        </w:r>
      </w:hyperlink>
      <w:r w:rsidR="00E84282">
        <w:rPr>
          <w:rFonts w:ascii="Arial" w:hAnsi="Arial" w:cs="Arial"/>
          <w:color w:val="000000"/>
          <w:kern w:val="0"/>
          <w14:ligatures w14:val="none"/>
        </w:rPr>
        <w:t xml:space="preserve"> (Accessed 20th May) </w:t>
      </w:r>
    </w:p>
    <w:p w14:paraId="2342C2E6" w14:textId="6C34749D" w:rsidR="00AD115D" w:rsidRPr="00E84282" w:rsidRDefault="00AD115D" w:rsidP="009C1923">
      <w:pPr>
        <w:spacing w:before="100" w:beforeAutospacing="1" w:after="100" w:afterAutospacing="1" w:line="240" w:lineRule="auto"/>
        <w:jc w:val="both"/>
        <w:rPr>
          <w:rFonts w:ascii="Arial" w:hAnsi="Arial" w:cs="Arial"/>
          <w:color w:val="000000"/>
          <w:kern w:val="0"/>
          <w14:ligatures w14:val="none"/>
        </w:rPr>
      </w:pPr>
      <w:r w:rsidRPr="00E84282">
        <w:rPr>
          <w:rFonts w:ascii="Arial" w:hAnsi="Arial" w:cs="Arial"/>
          <w:color w:val="000000"/>
          <w:kern w:val="0"/>
          <w14:ligatures w14:val="none"/>
        </w:rPr>
        <w:t>Compton, M.T., Bakeman, R., Broussard, B., Hankerson-Dyson, D., Husbands, L., Krishan, S., Watson, A.C. (2014)</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The police-based Crisis Intervention Team (CIT) model: Effects on level of force and resolution, referral, and arrest. </w:t>
      </w:r>
      <w:r w:rsidRPr="00E84282">
        <w:rPr>
          <w:rFonts w:ascii="Arial" w:hAnsi="Arial" w:cs="Arial"/>
          <w:i/>
          <w:iCs/>
          <w:color w:val="000000"/>
          <w:kern w:val="0"/>
          <w14:ligatures w14:val="none"/>
        </w:rPr>
        <w:t>Psychiatric Services</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65(4), pp.517–522.</w:t>
      </w:r>
    </w:p>
    <w:p w14:paraId="533BB8BC" w14:textId="1555E011" w:rsidR="00AD115D" w:rsidRPr="00E84282" w:rsidRDefault="00AD115D" w:rsidP="009C1923">
      <w:pPr>
        <w:spacing w:before="100" w:beforeAutospacing="1" w:after="100" w:afterAutospacing="1" w:line="240" w:lineRule="auto"/>
        <w:jc w:val="both"/>
        <w:rPr>
          <w:rFonts w:ascii="Arial" w:hAnsi="Arial" w:cs="Arial"/>
          <w:color w:val="000000"/>
          <w:kern w:val="0"/>
          <w14:ligatures w14:val="none"/>
        </w:rPr>
      </w:pPr>
      <w:r w:rsidRPr="00E84282">
        <w:rPr>
          <w:rFonts w:ascii="Arial" w:hAnsi="Arial" w:cs="Arial"/>
          <w:color w:val="000000"/>
          <w:kern w:val="0"/>
          <w14:ligatures w14:val="none"/>
        </w:rPr>
        <w:t>Disley, E., Pollitt, A., Ralph, T., van Staden, L., Taylor, C.,</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Turnbull, P. J. (2016)</w:t>
      </w:r>
      <w:r w:rsidR="00E84282">
        <w:rPr>
          <w:rFonts w:ascii="Arial" w:hAnsi="Arial" w:cs="Arial"/>
          <w:color w:val="000000"/>
          <w:kern w:val="0"/>
          <w14:ligatures w14:val="none"/>
        </w:rPr>
        <w:t xml:space="preserve"> </w:t>
      </w:r>
      <w:r w:rsidRPr="00E84282">
        <w:rPr>
          <w:rFonts w:ascii="Arial" w:hAnsi="Arial" w:cs="Arial"/>
          <w:i/>
          <w:iCs/>
          <w:color w:val="000000"/>
          <w:kern w:val="0"/>
          <w14:ligatures w14:val="none"/>
        </w:rPr>
        <w:t>Evaluation of the Checkpoint programme</w:t>
      </w:r>
      <w:r w:rsidRPr="00E84282">
        <w:rPr>
          <w:rFonts w:ascii="Arial" w:hAnsi="Arial" w:cs="Arial"/>
          <w:color w:val="000000"/>
          <w:kern w:val="0"/>
          <w14:ligatures w14:val="none"/>
        </w:rPr>
        <w:t>. RAND Corporation.</w:t>
      </w:r>
      <w:r w:rsidR="00E84282">
        <w:rPr>
          <w:rFonts w:ascii="Arial" w:hAnsi="Arial" w:cs="Arial"/>
          <w:color w:val="000000"/>
          <w:kern w:val="0"/>
          <w14:ligatures w14:val="none"/>
        </w:rPr>
        <w:t xml:space="preserve"> </w:t>
      </w:r>
    </w:p>
    <w:p w14:paraId="352AF391" w14:textId="747445E0" w:rsidR="00AD115D" w:rsidRPr="006060E5" w:rsidRDefault="00AD115D" w:rsidP="009C1923">
      <w:pPr>
        <w:spacing w:before="100" w:beforeAutospacing="1" w:after="100" w:afterAutospacing="1" w:line="240" w:lineRule="auto"/>
        <w:jc w:val="both"/>
        <w:rPr>
          <w:rFonts w:ascii="Arial" w:hAnsi="Arial" w:cs="Arial"/>
          <w:color w:val="000000"/>
          <w:kern w:val="0"/>
          <w:highlight w:val="yellow"/>
          <w14:ligatures w14:val="none"/>
        </w:rPr>
      </w:pPr>
      <w:r w:rsidRPr="00E84282">
        <w:rPr>
          <w:rFonts w:ascii="Arial" w:hAnsi="Arial" w:cs="Arial"/>
          <w:color w:val="000000"/>
          <w:kern w:val="0"/>
          <w14:ligatures w14:val="none"/>
        </w:rPr>
        <w:t>Goldstein, H (1990). </w:t>
      </w:r>
      <w:r w:rsidRPr="00E84282">
        <w:rPr>
          <w:rFonts w:ascii="Arial" w:hAnsi="Arial" w:cs="Arial"/>
          <w:i/>
          <w:iCs/>
          <w:color w:val="000000"/>
          <w:kern w:val="0"/>
          <w14:ligatures w14:val="none"/>
        </w:rPr>
        <w:t>Problem-Oriented Policing</w:t>
      </w:r>
      <w:r w:rsidRPr="00E84282">
        <w:rPr>
          <w:rFonts w:ascii="Arial" w:hAnsi="Arial" w:cs="Arial"/>
          <w:color w:val="000000"/>
          <w:kern w:val="0"/>
          <w14:ligatures w14:val="none"/>
        </w:rPr>
        <w:t>. New York: McGraw-Hill.</w:t>
      </w:r>
      <w:r w:rsidR="00E84282" w:rsidRPr="00E84282">
        <w:rPr>
          <w:rFonts w:ascii="Arial" w:hAnsi="Arial" w:cs="Arial"/>
          <w:color w:val="000000"/>
          <w:kern w:val="0"/>
          <w14:ligatures w14:val="none"/>
        </w:rPr>
        <w:t xml:space="preserve"> Available at: </w:t>
      </w:r>
      <w:hyperlink r:id="rId7" w:history="1">
        <w:r w:rsidR="00E84282" w:rsidRPr="00422D4C">
          <w:rPr>
            <w:rStyle w:val="Hyperlink"/>
            <w:rFonts w:ascii="Arial" w:hAnsi="Arial" w:cs="Arial"/>
            <w:kern w:val="0"/>
            <w14:ligatures w14:val="none"/>
          </w:rPr>
          <w:t>https://www.ojp.gov/ncjrs/virtual-library/abstracts/problem-oriented-policing-1</w:t>
        </w:r>
      </w:hyperlink>
      <w:r w:rsidR="00E84282">
        <w:rPr>
          <w:rFonts w:ascii="Arial" w:hAnsi="Arial" w:cs="Arial"/>
          <w:color w:val="000000"/>
          <w:kern w:val="0"/>
          <w14:ligatures w14:val="none"/>
        </w:rPr>
        <w:t xml:space="preserve"> (Accessed 20th May 2025) </w:t>
      </w:r>
    </w:p>
    <w:p w14:paraId="4BCED166" w14:textId="336AAEE9" w:rsidR="00AD115D" w:rsidRPr="00E84282" w:rsidRDefault="00AD115D" w:rsidP="009C1923">
      <w:pPr>
        <w:spacing w:before="100" w:beforeAutospacing="1" w:after="100" w:afterAutospacing="1" w:line="240" w:lineRule="auto"/>
        <w:jc w:val="both"/>
        <w:rPr>
          <w:rFonts w:ascii="Arial" w:hAnsi="Arial" w:cs="Arial"/>
          <w:color w:val="000000"/>
          <w:kern w:val="0"/>
          <w14:ligatures w14:val="none"/>
        </w:rPr>
      </w:pPr>
      <w:r w:rsidRPr="00E84282">
        <w:rPr>
          <w:rFonts w:ascii="Arial" w:hAnsi="Arial" w:cs="Arial"/>
          <w:color w:val="000000"/>
          <w:kern w:val="0"/>
          <w14:ligatures w14:val="none"/>
        </w:rPr>
        <w:t>HMICFRS (2022) </w:t>
      </w:r>
      <w:r w:rsidRPr="00E84282">
        <w:rPr>
          <w:rFonts w:ascii="Arial" w:hAnsi="Arial" w:cs="Arial"/>
          <w:i/>
          <w:iCs/>
          <w:color w:val="000000"/>
          <w:kern w:val="0"/>
          <w14:ligatures w14:val="none"/>
        </w:rPr>
        <w:t>An inspection of vetting, misconduct, and misogyny in the police service</w:t>
      </w:r>
      <w:r w:rsidRPr="00E84282">
        <w:rPr>
          <w:rFonts w:ascii="Arial" w:hAnsi="Arial" w:cs="Arial"/>
          <w:color w:val="000000"/>
          <w:kern w:val="0"/>
          <w14:ligatures w14:val="none"/>
        </w:rPr>
        <w:t>. London: HMICFRS.</w:t>
      </w:r>
      <w:r w:rsidR="00E84282">
        <w:rPr>
          <w:rFonts w:ascii="Arial" w:hAnsi="Arial" w:cs="Arial"/>
          <w:color w:val="000000"/>
          <w:kern w:val="0"/>
          <w14:ligatures w14:val="none"/>
        </w:rPr>
        <w:t xml:space="preserve"> Available at: </w:t>
      </w:r>
      <w:hyperlink r:id="rId8" w:history="1">
        <w:r w:rsidR="00E84282" w:rsidRPr="00422D4C">
          <w:rPr>
            <w:rStyle w:val="Hyperlink"/>
            <w:rFonts w:ascii="Arial" w:hAnsi="Arial" w:cs="Arial"/>
            <w:kern w:val="0"/>
            <w14:ligatures w14:val="none"/>
          </w:rPr>
          <w:t>https://hmicfrs.justiceinspectorates.gov.uk/publications/an-inspection-of-vetting-misconduct-and-misogyny-in-the-police-service/</w:t>
        </w:r>
      </w:hyperlink>
      <w:r w:rsidR="00E84282">
        <w:rPr>
          <w:rFonts w:ascii="Arial" w:hAnsi="Arial" w:cs="Arial"/>
          <w:color w:val="000000"/>
          <w:kern w:val="0"/>
          <w14:ligatures w14:val="none"/>
        </w:rPr>
        <w:t xml:space="preserve"> (Accessed 13</w:t>
      </w:r>
      <w:r w:rsidR="00E84282" w:rsidRPr="00E84282">
        <w:rPr>
          <w:rFonts w:ascii="Arial" w:hAnsi="Arial" w:cs="Arial"/>
          <w:color w:val="000000"/>
          <w:kern w:val="0"/>
          <w:vertAlign w:val="superscript"/>
          <w14:ligatures w14:val="none"/>
        </w:rPr>
        <w:t>th</w:t>
      </w:r>
      <w:r w:rsidR="00E84282">
        <w:rPr>
          <w:rFonts w:ascii="Arial" w:hAnsi="Arial" w:cs="Arial"/>
          <w:color w:val="000000"/>
          <w:kern w:val="0"/>
          <w14:ligatures w14:val="none"/>
        </w:rPr>
        <w:t xml:space="preserve"> May 2025) </w:t>
      </w:r>
    </w:p>
    <w:p w14:paraId="58441A15" w14:textId="4DEC95BA" w:rsidR="00AD115D" w:rsidRPr="00E84282" w:rsidRDefault="00AD115D" w:rsidP="009C1923">
      <w:pPr>
        <w:spacing w:before="100" w:beforeAutospacing="1" w:after="100" w:afterAutospacing="1" w:line="240" w:lineRule="auto"/>
        <w:jc w:val="both"/>
        <w:rPr>
          <w:rFonts w:ascii="Arial" w:hAnsi="Arial" w:cs="Arial"/>
          <w:color w:val="000000"/>
          <w:kern w:val="0"/>
          <w14:ligatures w14:val="none"/>
        </w:rPr>
      </w:pPr>
      <w:r w:rsidRPr="00E84282">
        <w:rPr>
          <w:rFonts w:ascii="Arial" w:hAnsi="Arial" w:cs="Arial"/>
          <w:color w:val="000000"/>
          <w:kern w:val="0"/>
          <w14:ligatures w14:val="none"/>
        </w:rPr>
        <w:t>Independent Office for Police Conduct (IOPC) (2023)</w:t>
      </w:r>
      <w:r w:rsidR="00E84282">
        <w:rPr>
          <w:rFonts w:ascii="Arial" w:hAnsi="Arial" w:cs="Arial"/>
          <w:color w:val="000000"/>
          <w:kern w:val="0"/>
          <w14:ligatures w14:val="none"/>
        </w:rPr>
        <w:t xml:space="preserve"> </w:t>
      </w:r>
      <w:r w:rsidRPr="00E84282">
        <w:rPr>
          <w:rFonts w:ascii="Arial" w:hAnsi="Arial" w:cs="Arial"/>
          <w:i/>
          <w:iCs/>
          <w:color w:val="000000"/>
          <w:kern w:val="0"/>
          <w14:ligatures w14:val="none"/>
        </w:rPr>
        <w:t>Annual Report and Accounts 2022/23</w:t>
      </w:r>
      <w:r w:rsidRPr="00E84282">
        <w:rPr>
          <w:rFonts w:ascii="Arial" w:hAnsi="Arial" w:cs="Arial"/>
          <w:color w:val="000000"/>
          <w:kern w:val="0"/>
          <w14:ligatures w14:val="none"/>
        </w:rPr>
        <w:t xml:space="preserve">. </w:t>
      </w:r>
      <w:r w:rsidR="00E84282" w:rsidRPr="00E84282">
        <w:rPr>
          <w:rFonts w:ascii="Arial" w:hAnsi="Arial" w:cs="Arial"/>
          <w:color w:val="000000"/>
          <w:kern w:val="0"/>
          <w14:ligatures w14:val="none"/>
        </w:rPr>
        <w:t xml:space="preserve">Available at: </w:t>
      </w:r>
      <w:hyperlink r:id="rId9" w:history="1">
        <w:r w:rsidR="00E84282" w:rsidRPr="00E84282">
          <w:rPr>
            <w:rStyle w:val="Hyperlink"/>
            <w:rFonts w:ascii="Arial" w:hAnsi="Arial" w:cs="Arial"/>
            <w:kern w:val="0"/>
            <w14:ligatures w14:val="none"/>
          </w:rPr>
          <w:t>https://www.policeconduct.gov.uk/publications/annual-report-and-accounts-202223</w:t>
        </w:r>
      </w:hyperlink>
      <w:r w:rsidR="00E84282" w:rsidRPr="00E84282">
        <w:rPr>
          <w:rFonts w:ascii="Arial" w:hAnsi="Arial" w:cs="Arial"/>
          <w:color w:val="000000"/>
          <w:kern w:val="0"/>
          <w14:ligatures w14:val="none"/>
        </w:rPr>
        <w:t xml:space="preserve"> (Accessed 10th May 2025) </w:t>
      </w:r>
    </w:p>
    <w:p w14:paraId="47A98446" w14:textId="0838DF95" w:rsidR="00AD115D" w:rsidRPr="00E84282" w:rsidRDefault="00AD115D" w:rsidP="009C1923">
      <w:pPr>
        <w:spacing w:before="100" w:beforeAutospacing="1" w:after="100" w:afterAutospacing="1" w:line="240" w:lineRule="auto"/>
        <w:jc w:val="both"/>
        <w:rPr>
          <w:rFonts w:ascii="Arial" w:hAnsi="Arial" w:cs="Arial"/>
          <w:color w:val="000000"/>
          <w:kern w:val="0"/>
          <w14:ligatures w14:val="none"/>
        </w:rPr>
      </w:pPr>
      <w:r w:rsidRPr="00E84282">
        <w:rPr>
          <w:rFonts w:ascii="Arial" w:hAnsi="Arial" w:cs="Arial"/>
          <w:color w:val="000000"/>
          <w:kern w:val="0"/>
          <w14:ligatures w14:val="none"/>
        </w:rPr>
        <w:lastRenderedPageBreak/>
        <w:t>INQUEST (2020) </w:t>
      </w:r>
      <w:r w:rsidRPr="00E84282">
        <w:rPr>
          <w:rFonts w:ascii="Arial" w:hAnsi="Arial" w:cs="Arial"/>
          <w:i/>
          <w:iCs/>
          <w:color w:val="000000"/>
          <w:kern w:val="0"/>
          <w14:ligatures w14:val="none"/>
        </w:rPr>
        <w:t>Kevin Clarke: Death Following Police Contact</w:t>
      </w:r>
      <w:r w:rsidRPr="00E84282">
        <w:rPr>
          <w:rFonts w:ascii="Arial" w:hAnsi="Arial" w:cs="Arial"/>
          <w:color w:val="000000"/>
          <w:kern w:val="0"/>
          <w14:ligatures w14:val="none"/>
        </w:rPr>
        <w:t>. London: INQUEST.</w:t>
      </w:r>
      <w:r w:rsidR="00E84282">
        <w:rPr>
          <w:rFonts w:ascii="Arial" w:hAnsi="Arial" w:cs="Arial"/>
          <w:color w:val="000000"/>
          <w:kern w:val="0"/>
          <w14:ligatures w14:val="none"/>
        </w:rPr>
        <w:t xml:space="preserve"> Available at: </w:t>
      </w:r>
      <w:hyperlink r:id="rId10" w:history="1">
        <w:r w:rsidR="00E84282" w:rsidRPr="00422D4C">
          <w:rPr>
            <w:rStyle w:val="Hyperlink"/>
            <w:rFonts w:ascii="Arial" w:hAnsi="Arial" w:cs="Arial"/>
            <w:kern w:val="0"/>
            <w14:ligatures w14:val="none"/>
          </w:rPr>
          <w:t>https://www.inquest.org.uk/kevin-clarke-misconduct-outcome</w:t>
        </w:r>
      </w:hyperlink>
      <w:r w:rsidR="00E84282">
        <w:rPr>
          <w:rFonts w:ascii="Arial" w:hAnsi="Arial" w:cs="Arial"/>
          <w:color w:val="000000"/>
          <w:kern w:val="0"/>
          <w14:ligatures w14:val="none"/>
        </w:rPr>
        <w:t xml:space="preserve"> (Accessed 2oth May 2025) </w:t>
      </w:r>
    </w:p>
    <w:p w14:paraId="4D4459CE" w14:textId="3E0825A4" w:rsidR="00AD115D" w:rsidRPr="00E84282" w:rsidRDefault="00AD115D" w:rsidP="009C1923">
      <w:pPr>
        <w:spacing w:before="100" w:beforeAutospacing="1" w:after="100" w:afterAutospacing="1" w:line="240" w:lineRule="auto"/>
        <w:jc w:val="both"/>
        <w:rPr>
          <w:rFonts w:ascii="Arial" w:hAnsi="Arial" w:cs="Arial"/>
          <w:color w:val="000000"/>
          <w:kern w:val="0"/>
          <w14:ligatures w14:val="none"/>
        </w:rPr>
      </w:pPr>
      <w:r w:rsidRPr="00E84282">
        <w:rPr>
          <w:rFonts w:ascii="Arial" w:hAnsi="Arial" w:cs="Arial"/>
          <w:color w:val="000000"/>
          <w:kern w:val="0"/>
          <w14:ligatures w14:val="none"/>
        </w:rPr>
        <w:t>Kerslake, L. (2018)</w:t>
      </w:r>
      <w:r w:rsidR="00E84282">
        <w:rPr>
          <w:rFonts w:ascii="Arial" w:hAnsi="Arial" w:cs="Arial"/>
          <w:color w:val="000000"/>
          <w:kern w:val="0"/>
          <w14:ligatures w14:val="none"/>
        </w:rPr>
        <w:t xml:space="preserve"> </w:t>
      </w:r>
      <w:r w:rsidRPr="00E84282">
        <w:rPr>
          <w:rFonts w:ascii="Arial" w:hAnsi="Arial" w:cs="Arial"/>
          <w:i/>
          <w:iCs/>
          <w:color w:val="000000"/>
          <w:kern w:val="0"/>
          <w14:ligatures w14:val="none"/>
        </w:rPr>
        <w:t>The Kerslake Report: An Independent Review into the Preparedness for and Emergency Response to the Manchester Arena Attack on 22nd May 2017</w:t>
      </w:r>
      <w:r w:rsidRPr="00E84282">
        <w:rPr>
          <w:rFonts w:ascii="Arial" w:hAnsi="Arial" w:cs="Arial"/>
          <w:color w:val="000000"/>
          <w:kern w:val="0"/>
          <w14:ligatures w14:val="none"/>
        </w:rPr>
        <w:t>. Manchester: Manchester City Council.</w:t>
      </w:r>
      <w:r w:rsidR="00E84282">
        <w:rPr>
          <w:rFonts w:ascii="Arial" w:hAnsi="Arial" w:cs="Arial"/>
          <w:color w:val="000000"/>
          <w:kern w:val="0"/>
          <w14:ligatures w14:val="none"/>
        </w:rPr>
        <w:t xml:space="preserve"> Available at:  </w:t>
      </w:r>
      <w:hyperlink r:id="rId11" w:history="1">
        <w:r w:rsidR="00E84282" w:rsidRPr="00422D4C">
          <w:rPr>
            <w:rStyle w:val="Hyperlink"/>
            <w:rFonts w:ascii="Arial" w:hAnsi="Arial" w:cs="Arial"/>
            <w:kern w:val="0"/>
            <w14:ligatures w14:val="none"/>
          </w:rPr>
          <w:t>https://www.jesip.org.uk/uploads/media/Documents%20Products/Kerslake_Report_Manchester_Are.pdf</w:t>
        </w:r>
      </w:hyperlink>
      <w:r w:rsidR="00E84282">
        <w:rPr>
          <w:rFonts w:ascii="Arial" w:hAnsi="Arial" w:cs="Arial"/>
          <w:color w:val="000000"/>
          <w:kern w:val="0"/>
          <w14:ligatures w14:val="none"/>
        </w:rPr>
        <w:t xml:space="preserve"> (Accessed 20th May 2025) </w:t>
      </w:r>
    </w:p>
    <w:p w14:paraId="52360EA6" w14:textId="6A40E10C" w:rsidR="00AD115D" w:rsidRPr="00E84282" w:rsidRDefault="00AD115D" w:rsidP="009C1923">
      <w:pPr>
        <w:spacing w:before="100" w:beforeAutospacing="1" w:after="100" w:afterAutospacing="1" w:line="240" w:lineRule="auto"/>
        <w:jc w:val="both"/>
        <w:rPr>
          <w:rFonts w:ascii="Arial" w:hAnsi="Arial" w:cs="Arial"/>
          <w:color w:val="000000"/>
          <w:kern w:val="0"/>
          <w14:ligatures w14:val="none"/>
        </w:rPr>
      </w:pPr>
      <w:r w:rsidRPr="00E84282">
        <w:rPr>
          <w:rFonts w:ascii="Arial" w:hAnsi="Arial" w:cs="Arial"/>
          <w:color w:val="000000"/>
          <w:kern w:val="0"/>
          <w14:ligatures w14:val="none"/>
        </w:rPr>
        <w:t>Lum, C.</w:t>
      </w:r>
      <w:r w:rsidR="00E84282">
        <w:rPr>
          <w:rFonts w:ascii="Arial" w:hAnsi="Arial" w:cs="Arial"/>
          <w:color w:val="000000"/>
          <w:kern w:val="0"/>
          <w14:ligatures w14:val="none"/>
        </w:rPr>
        <w:t>,</w:t>
      </w:r>
      <w:r w:rsidRPr="00E84282">
        <w:rPr>
          <w:rFonts w:ascii="Arial" w:hAnsi="Arial" w:cs="Arial"/>
          <w:color w:val="000000"/>
          <w:kern w:val="0"/>
          <w14:ligatures w14:val="none"/>
        </w:rPr>
        <w:t xml:space="preserve"> Koper, C.S. (2017)</w:t>
      </w:r>
      <w:r w:rsidR="00E84282">
        <w:rPr>
          <w:rFonts w:ascii="Arial" w:hAnsi="Arial" w:cs="Arial"/>
          <w:color w:val="000000"/>
          <w:kern w:val="0"/>
          <w14:ligatures w14:val="none"/>
        </w:rPr>
        <w:t xml:space="preserve"> </w:t>
      </w:r>
      <w:r w:rsidRPr="00E84282">
        <w:rPr>
          <w:rFonts w:ascii="Arial" w:hAnsi="Arial" w:cs="Arial"/>
          <w:i/>
          <w:iCs/>
          <w:color w:val="000000"/>
          <w:kern w:val="0"/>
          <w14:ligatures w14:val="none"/>
        </w:rPr>
        <w:t>Evidence-Based Policing: Translating Research into Practice</w:t>
      </w:r>
      <w:r w:rsidRPr="00E84282">
        <w:rPr>
          <w:rFonts w:ascii="Arial" w:hAnsi="Arial" w:cs="Arial"/>
          <w:color w:val="000000"/>
          <w:kern w:val="0"/>
          <w14:ligatures w14:val="none"/>
        </w:rPr>
        <w:t>. Oxford: Oxford University Press.</w:t>
      </w:r>
      <w:r w:rsidR="00E84282" w:rsidRPr="00E84282">
        <w:rPr>
          <w:rFonts w:ascii="Arial" w:hAnsi="Arial" w:cs="Arial"/>
          <w:color w:val="000000"/>
          <w:kern w:val="0"/>
          <w14:ligatures w14:val="none"/>
        </w:rPr>
        <w:t xml:space="preserve"> </w:t>
      </w:r>
      <w:r w:rsidR="00E84282">
        <w:rPr>
          <w:rFonts w:ascii="Arial" w:hAnsi="Arial" w:cs="Arial"/>
          <w:color w:val="000000"/>
          <w:kern w:val="0"/>
          <w14:ligatures w14:val="none"/>
        </w:rPr>
        <w:t xml:space="preserve">Available at: </w:t>
      </w:r>
      <w:hyperlink r:id="rId12" w:history="1">
        <w:r w:rsidR="00E84282" w:rsidRPr="00422D4C">
          <w:rPr>
            <w:rStyle w:val="Hyperlink"/>
            <w:rFonts w:ascii="Arial" w:hAnsi="Arial" w:cs="Arial"/>
            <w:kern w:val="0"/>
            <w14:ligatures w14:val="none"/>
          </w:rPr>
          <w:t>https://cebcp.org/wp-content/evidence-based-policing/EvidenceBasedPolicingDefined.pdf</w:t>
        </w:r>
      </w:hyperlink>
      <w:r w:rsidR="00E84282">
        <w:rPr>
          <w:rFonts w:ascii="Arial" w:hAnsi="Arial" w:cs="Arial"/>
          <w:color w:val="000000"/>
          <w:kern w:val="0"/>
          <w14:ligatures w14:val="none"/>
        </w:rPr>
        <w:t xml:space="preserve"> (Accessed 20th May 2025) </w:t>
      </w:r>
    </w:p>
    <w:p w14:paraId="7EDCD5D6" w14:textId="7876B1A7" w:rsidR="00AD115D" w:rsidRPr="00E84282" w:rsidRDefault="00AD115D" w:rsidP="009C1923">
      <w:pPr>
        <w:spacing w:before="100" w:beforeAutospacing="1" w:after="100" w:afterAutospacing="1" w:line="240" w:lineRule="auto"/>
        <w:jc w:val="both"/>
        <w:rPr>
          <w:rFonts w:ascii="Arial" w:hAnsi="Arial" w:cs="Arial"/>
          <w:color w:val="000000"/>
          <w:kern w:val="0"/>
          <w14:ligatures w14:val="none"/>
        </w:rPr>
      </w:pPr>
      <w:r w:rsidRPr="00E84282">
        <w:rPr>
          <w:rFonts w:ascii="Arial" w:hAnsi="Arial" w:cs="Arial"/>
          <w:color w:val="000000"/>
          <w:kern w:val="0"/>
          <w14:ligatures w14:val="none"/>
        </w:rPr>
        <w:t>Myhill, A. (2012)</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Community engagement in policing: Lessons from the literature. </w:t>
      </w:r>
      <w:r w:rsidRPr="00E84282">
        <w:rPr>
          <w:rFonts w:ascii="Arial" w:hAnsi="Arial" w:cs="Arial"/>
          <w:i/>
          <w:iCs/>
          <w:color w:val="000000"/>
          <w:kern w:val="0"/>
          <w14:ligatures w14:val="none"/>
        </w:rPr>
        <w:t>Home Office Research Report 59</w:t>
      </w:r>
      <w:r w:rsidRPr="00E84282">
        <w:rPr>
          <w:rFonts w:ascii="Arial" w:hAnsi="Arial" w:cs="Arial"/>
          <w:color w:val="000000"/>
          <w:kern w:val="0"/>
          <w14:ligatures w14:val="none"/>
        </w:rPr>
        <w:t>. London: Home Office.</w:t>
      </w:r>
    </w:p>
    <w:p w14:paraId="79046348" w14:textId="32F10A88" w:rsidR="00AD115D" w:rsidRPr="006060E5" w:rsidRDefault="00AD115D" w:rsidP="009C1923">
      <w:pPr>
        <w:spacing w:before="100" w:beforeAutospacing="1" w:after="100" w:afterAutospacing="1" w:line="240" w:lineRule="auto"/>
        <w:jc w:val="both"/>
        <w:rPr>
          <w:rFonts w:ascii="Arial" w:hAnsi="Arial" w:cs="Arial"/>
          <w:color w:val="000000"/>
          <w:kern w:val="0"/>
          <w:highlight w:val="yellow"/>
          <w14:ligatures w14:val="none"/>
        </w:rPr>
      </w:pPr>
      <w:r w:rsidRPr="00E84282">
        <w:rPr>
          <w:rFonts w:ascii="Arial" w:hAnsi="Arial" w:cs="Arial"/>
          <w:color w:val="000000"/>
          <w:kern w:val="0"/>
          <w14:ligatures w14:val="none"/>
        </w:rPr>
        <w:t>National Police Chiefs’ Council (NPCC) (2024)</w:t>
      </w:r>
      <w:r w:rsidR="00E84282">
        <w:rPr>
          <w:rFonts w:ascii="Arial" w:hAnsi="Arial" w:cs="Arial"/>
          <w:color w:val="000000"/>
          <w:kern w:val="0"/>
          <w14:ligatures w14:val="none"/>
        </w:rPr>
        <w:t xml:space="preserve"> </w:t>
      </w:r>
      <w:r w:rsidRPr="00E84282">
        <w:rPr>
          <w:rFonts w:ascii="Arial" w:hAnsi="Arial" w:cs="Arial"/>
          <w:i/>
          <w:iCs/>
          <w:color w:val="000000"/>
          <w:kern w:val="0"/>
          <w14:ligatures w14:val="none"/>
        </w:rPr>
        <w:t>Public Order and Protest: Operational Guidance Update</w:t>
      </w:r>
      <w:r w:rsidRPr="00E84282">
        <w:rPr>
          <w:rFonts w:ascii="Arial" w:hAnsi="Arial" w:cs="Arial"/>
          <w:color w:val="000000"/>
          <w:kern w:val="0"/>
          <w14:ligatures w14:val="none"/>
        </w:rPr>
        <w:t>. London: NPCC.</w:t>
      </w:r>
      <w:r w:rsidR="00E84282" w:rsidRPr="00E84282">
        <w:rPr>
          <w:rFonts w:ascii="Arial" w:hAnsi="Arial" w:cs="Arial"/>
          <w:color w:val="000000"/>
          <w:kern w:val="0"/>
          <w14:ligatures w14:val="none"/>
        </w:rPr>
        <w:t xml:space="preserve"> Available at:</w:t>
      </w:r>
      <w:hyperlink r:id="rId13" w:history="1">
        <w:r w:rsidR="00E84282" w:rsidRPr="00422D4C">
          <w:rPr>
            <w:rStyle w:val="Hyperlink"/>
            <w:rFonts w:ascii="Arial" w:hAnsi="Arial" w:cs="Arial"/>
            <w:kern w:val="0"/>
            <w14:ligatures w14:val="none"/>
          </w:rPr>
          <w:t>https://hmicfrs.justiceinspectorates.gov.uk/publication-html/police-response-to-public-disorder-in-july-and-august-2024-tranche-1/</w:t>
        </w:r>
      </w:hyperlink>
      <w:r w:rsidR="00E84282">
        <w:rPr>
          <w:rFonts w:ascii="Arial" w:hAnsi="Arial" w:cs="Arial"/>
          <w:color w:val="000000"/>
          <w:kern w:val="0"/>
          <w14:ligatures w14:val="none"/>
        </w:rPr>
        <w:t xml:space="preserve"> (Accessed 11</w:t>
      </w:r>
      <w:r w:rsidR="00E84282" w:rsidRPr="00E84282">
        <w:rPr>
          <w:rFonts w:ascii="Arial" w:hAnsi="Arial" w:cs="Arial"/>
          <w:color w:val="000000"/>
          <w:kern w:val="0"/>
          <w:vertAlign w:val="superscript"/>
          <w14:ligatures w14:val="none"/>
        </w:rPr>
        <w:t>th</w:t>
      </w:r>
      <w:r w:rsidR="00E84282">
        <w:rPr>
          <w:rFonts w:ascii="Arial" w:hAnsi="Arial" w:cs="Arial"/>
          <w:color w:val="000000"/>
          <w:kern w:val="0"/>
          <w14:ligatures w14:val="none"/>
        </w:rPr>
        <w:t xml:space="preserve"> May 2025) </w:t>
      </w:r>
    </w:p>
    <w:p w14:paraId="3861BA9E" w14:textId="6CCACC3F" w:rsidR="00AD115D" w:rsidRPr="00E84282" w:rsidRDefault="00AD115D" w:rsidP="009C1923">
      <w:pPr>
        <w:spacing w:before="100" w:beforeAutospacing="1" w:after="100" w:afterAutospacing="1" w:line="240" w:lineRule="auto"/>
        <w:jc w:val="both"/>
        <w:rPr>
          <w:rFonts w:ascii="Arial" w:hAnsi="Arial" w:cs="Arial"/>
          <w:color w:val="000000"/>
          <w:kern w:val="0"/>
          <w14:ligatures w14:val="none"/>
        </w:rPr>
      </w:pPr>
      <w:r w:rsidRPr="00E84282">
        <w:rPr>
          <w:rFonts w:ascii="Arial" w:hAnsi="Arial" w:cs="Arial"/>
          <w:color w:val="000000"/>
          <w:kern w:val="0"/>
          <w14:ligatures w14:val="none"/>
        </w:rPr>
        <w:t>Papazoglou, K.</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Andersen, J.P. (2014)</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A guide to the prevention and treatment of traumatic stress in policing. </w:t>
      </w:r>
      <w:r w:rsidRPr="00E84282">
        <w:rPr>
          <w:rFonts w:ascii="Arial" w:hAnsi="Arial" w:cs="Arial"/>
          <w:i/>
          <w:iCs/>
          <w:color w:val="000000"/>
          <w:kern w:val="0"/>
          <w14:ligatures w14:val="none"/>
        </w:rPr>
        <w:t>Traumatology</w:t>
      </w:r>
      <w:r w:rsidRPr="00E84282">
        <w:rPr>
          <w:rFonts w:ascii="Arial" w:hAnsi="Arial" w:cs="Arial"/>
          <w:color w:val="000000"/>
          <w:kern w:val="0"/>
          <w14:ligatures w14:val="none"/>
        </w:rPr>
        <w:t>, 20(2), pp.103–111.</w:t>
      </w:r>
    </w:p>
    <w:p w14:paraId="184103D0" w14:textId="3B0A6BD2" w:rsidR="00AD115D" w:rsidRPr="00E84282" w:rsidRDefault="00AD115D" w:rsidP="009C1923">
      <w:pPr>
        <w:spacing w:before="100" w:beforeAutospacing="1" w:after="100" w:afterAutospacing="1" w:line="240" w:lineRule="auto"/>
        <w:jc w:val="both"/>
        <w:rPr>
          <w:rFonts w:ascii="Arial" w:hAnsi="Arial" w:cs="Arial"/>
          <w:color w:val="000000"/>
          <w:kern w:val="0"/>
          <w14:ligatures w14:val="none"/>
        </w:rPr>
      </w:pPr>
      <w:proofErr w:type="spellStart"/>
      <w:r w:rsidRPr="00E84282">
        <w:rPr>
          <w:rFonts w:ascii="Arial" w:hAnsi="Arial" w:cs="Arial"/>
          <w:color w:val="000000"/>
          <w:kern w:val="0"/>
          <w14:ligatures w14:val="none"/>
        </w:rPr>
        <w:t>Prenzler</w:t>
      </w:r>
      <w:proofErr w:type="spellEnd"/>
      <w:r w:rsidRPr="00E84282">
        <w:rPr>
          <w:rFonts w:ascii="Arial" w:hAnsi="Arial" w:cs="Arial"/>
          <w:color w:val="000000"/>
          <w:kern w:val="0"/>
          <w14:ligatures w14:val="none"/>
        </w:rPr>
        <w:t>, T</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Faulkner, N. (2020) Towards a model public sector integrity commission. </w:t>
      </w:r>
      <w:r w:rsidRPr="00E84282">
        <w:rPr>
          <w:rFonts w:ascii="Arial" w:hAnsi="Arial" w:cs="Arial"/>
          <w:i/>
          <w:iCs/>
          <w:color w:val="000000"/>
          <w:kern w:val="0"/>
          <w14:ligatures w14:val="none"/>
        </w:rPr>
        <w:t>Australian Journal of Public Administration</w:t>
      </w:r>
      <w:r w:rsidRPr="00E84282">
        <w:rPr>
          <w:rFonts w:ascii="Arial" w:hAnsi="Arial" w:cs="Arial"/>
          <w:color w:val="000000"/>
          <w:kern w:val="0"/>
          <w14:ligatures w14:val="none"/>
        </w:rPr>
        <w:t>, 79(2), pp.151–171.</w:t>
      </w:r>
    </w:p>
    <w:p w14:paraId="113BEFD3" w14:textId="4F7C44E9" w:rsidR="00AD115D" w:rsidRPr="00E84282" w:rsidRDefault="00AD115D" w:rsidP="009C1923">
      <w:pPr>
        <w:spacing w:before="100" w:beforeAutospacing="1" w:after="100" w:afterAutospacing="1" w:line="240" w:lineRule="auto"/>
        <w:jc w:val="both"/>
        <w:rPr>
          <w:rFonts w:ascii="Arial" w:hAnsi="Arial" w:cs="Arial"/>
          <w:color w:val="000000"/>
          <w:kern w:val="0"/>
          <w14:ligatures w14:val="none"/>
        </w:rPr>
      </w:pPr>
      <w:r w:rsidRPr="00E84282">
        <w:rPr>
          <w:rFonts w:ascii="Arial" w:hAnsi="Arial" w:cs="Arial"/>
          <w:color w:val="000000"/>
          <w:kern w:val="0"/>
          <w14:ligatures w14:val="none"/>
        </w:rPr>
        <w:t>Ratcliffe, J. H. (2016)</w:t>
      </w:r>
      <w:r w:rsidR="00E84282">
        <w:rPr>
          <w:rFonts w:ascii="Arial" w:hAnsi="Arial" w:cs="Arial"/>
          <w:color w:val="000000"/>
          <w:kern w:val="0"/>
          <w14:ligatures w14:val="none"/>
        </w:rPr>
        <w:t xml:space="preserve"> </w:t>
      </w:r>
      <w:r w:rsidRPr="00E84282">
        <w:rPr>
          <w:rFonts w:ascii="Arial" w:hAnsi="Arial" w:cs="Arial"/>
          <w:i/>
          <w:iCs/>
          <w:color w:val="000000"/>
          <w:kern w:val="0"/>
          <w14:ligatures w14:val="none"/>
        </w:rPr>
        <w:t>Intelligence-Led Policing</w:t>
      </w:r>
      <w:r w:rsidRPr="00E84282">
        <w:rPr>
          <w:rFonts w:ascii="Arial" w:hAnsi="Arial" w:cs="Arial"/>
          <w:color w:val="000000"/>
          <w:kern w:val="0"/>
          <w14:ligatures w14:val="none"/>
        </w:rPr>
        <w:t>. 2nd ed. Abingdon: Routledge.</w:t>
      </w:r>
    </w:p>
    <w:p w14:paraId="436C1A0A" w14:textId="621FE7B5" w:rsidR="00AD115D" w:rsidRPr="006060E5" w:rsidRDefault="00AD115D" w:rsidP="009C1923">
      <w:pPr>
        <w:spacing w:before="100" w:beforeAutospacing="1" w:after="100" w:afterAutospacing="1" w:line="240" w:lineRule="auto"/>
        <w:jc w:val="both"/>
        <w:rPr>
          <w:rFonts w:ascii="Arial" w:hAnsi="Arial" w:cs="Arial"/>
          <w:color w:val="000000"/>
          <w:kern w:val="0"/>
          <w:highlight w:val="yellow"/>
          <w14:ligatures w14:val="none"/>
        </w:rPr>
      </w:pPr>
      <w:proofErr w:type="spellStart"/>
      <w:r w:rsidRPr="00E84282">
        <w:rPr>
          <w:rFonts w:ascii="Arial" w:hAnsi="Arial" w:cs="Arial"/>
          <w:color w:val="000000"/>
          <w:kern w:val="0"/>
          <w14:ligatures w14:val="none"/>
        </w:rPr>
        <w:t>Reveruzzi</w:t>
      </w:r>
      <w:proofErr w:type="spellEnd"/>
      <w:r w:rsidRPr="00E84282">
        <w:rPr>
          <w:rFonts w:ascii="Arial" w:hAnsi="Arial" w:cs="Arial"/>
          <w:color w:val="000000"/>
          <w:kern w:val="0"/>
          <w14:ligatures w14:val="none"/>
        </w:rPr>
        <w:t>, B.</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Pilling, S. (2016)</w:t>
      </w:r>
      <w:r w:rsidR="00E84282">
        <w:rPr>
          <w:rFonts w:ascii="Arial" w:hAnsi="Arial" w:cs="Arial"/>
          <w:color w:val="000000"/>
          <w:kern w:val="0"/>
          <w14:ligatures w14:val="none"/>
        </w:rPr>
        <w:t xml:space="preserve"> </w:t>
      </w:r>
      <w:r w:rsidRPr="00E84282">
        <w:rPr>
          <w:rFonts w:ascii="Arial" w:hAnsi="Arial" w:cs="Arial"/>
          <w:i/>
          <w:iCs/>
          <w:color w:val="000000"/>
          <w:kern w:val="0"/>
          <w14:ligatures w14:val="none"/>
        </w:rPr>
        <w:t>Street Triage: Report on the Evaluation of Nine Pilot Schemes in England</w:t>
      </w:r>
      <w:r w:rsidRPr="00E84282">
        <w:rPr>
          <w:rFonts w:ascii="Arial" w:hAnsi="Arial" w:cs="Arial"/>
          <w:color w:val="000000"/>
          <w:kern w:val="0"/>
          <w14:ligatures w14:val="none"/>
        </w:rPr>
        <w:t>. London: UCL</w:t>
      </w:r>
      <w:r w:rsidR="00E84282" w:rsidRPr="00E84282">
        <w:rPr>
          <w:rFonts w:ascii="Arial" w:hAnsi="Arial" w:cs="Arial"/>
          <w:color w:val="000000"/>
          <w:kern w:val="0"/>
          <w14:ligatures w14:val="none"/>
        </w:rPr>
        <w:t xml:space="preserve">. Available at: </w:t>
      </w:r>
      <w:hyperlink r:id="rId14" w:history="1">
        <w:r w:rsidR="00E84282" w:rsidRPr="00E84282">
          <w:rPr>
            <w:rStyle w:val="Hyperlink"/>
            <w:rFonts w:ascii="Arial" w:hAnsi="Arial" w:cs="Arial"/>
            <w:kern w:val="0"/>
            <w14:ligatures w14:val="none"/>
          </w:rPr>
          <w:t>https://www.ucl.ac.uk/pals/sites/pals/files/street_triage_evaluation_final_report.pdf</w:t>
        </w:r>
      </w:hyperlink>
      <w:r w:rsidR="00E84282">
        <w:rPr>
          <w:rFonts w:ascii="Arial" w:hAnsi="Arial" w:cs="Arial"/>
          <w:color w:val="000000"/>
          <w:kern w:val="0"/>
          <w14:ligatures w14:val="none"/>
        </w:rPr>
        <w:t xml:space="preserve"> (Accessed 12th May 2025) </w:t>
      </w:r>
    </w:p>
    <w:p w14:paraId="252FC7CD" w14:textId="641AD06B" w:rsidR="00AD115D" w:rsidRPr="006060E5" w:rsidRDefault="00AD115D" w:rsidP="009C1923">
      <w:pPr>
        <w:spacing w:before="100" w:beforeAutospacing="1" w:after="100" w:afterAutospacing="1" w:line="240" w:lineRule="auto"/>
        <w:jc w:val="both"/>
        <w:rPr>
          <w:rFonts w:ascii="Arial" w:hAnsi="Arial" w:cs="Arial"/>
          <w:color w:val="000000"/>
          <w:kern w:val="0"/>
          <w:highlight w:val="yellow"/>
          <w14:ligatures w14:val="none"/>
        </w:rPr>
      </w:pPr>
      <w:r w:rsidRPr="00E84282">
        <w:rPr>
          <w:rFonts w:ascii="Arial" w:hAnsi="Arial" w:cs="Arial"/>
          <w:color w:val="000000"/>
          <w:kern w:val="0"/>
          <w14:ligatures w14:val="none"/>
        </w:rPr>
        <w:t>Riots Communities and Victims Panel (2012)</w:t>
      </w:r>
      <w:r w:rsidR="00E84282">
        <w:rPr>
          <w:rFonts w:ascii="Arial" w:hAnsi="Arial" w:cs="Arial"/>
          <w:color w:val="000000"/>
          <w:kern w:val="0"/>
          <w14:ligatures w14:val="none"/>
        </w:rPr>
        <w:t xml:space="preserve"> </w:t>
      </w:r>
      <w:r w:rsidRPr="00E84282">
        <w:rPr>
          <w:rFonts w:ascii="Arial" w:hAnsi="Arial" w:cs="Arial"/>
          <w:i/>
          <w:iCs/>
          <w:color w:val="000000"/>
          <w:kern w:val="0"/>
          <w14:ligatures w14:val="none"/>
        </w:rPr>
        <w:t>Final Report</w:t>
      </w:r>
      <w:r w:rsidRPr="00E84282">
        <w:rPr>
          <w:rFonts w:ascii="Arial" w:hAnsi="Arial" w:cs="Arial"/>
          <w:color w:val="000000"/>
          <w:kern w:val="0"/>
          <w14:ligatures w14:val="none"/>
        </w:rPr>
        <w:t>. London: HM Government.</w:t>
      </w:r>
      <w:r w:rsidR="00E84282" w:rsidRPr="00E84282">
        <w:rPr>
          <w:rFonts w:ascii="Arial" w:hAnsi="Arial" w:cs="Arial"/>
          <w:color w:val="000000"/>
          <w:kern w:val="0"/>
          <w14:ligatures w14:val="none"/>
        </w:rPr>
        <w:t xml:space="preserve"> Available at: </w:t>
      </w:r>
      <w:hyperlink r:id="rId15" w:history="1">
        <w:r w:rsidR="00E84282" w:rsidRPr="00422D4C">
          <w:rPr>
            <w:rStyle w:val="Hyperlink"/>
            <w:rFonts w:ascii="Arial" w:hAnsi="Arial" w:cs="Arial"/>
            <w:kern w:val="0"/>
            <w14:ligatures w14:val="none"/>
          </w:rPr>
          <w:t>https://hansard.parliament.uk/lords/2012-05-28/debates/12052820000199/RiotsCommunitiesAndVictimsPanelFinalReport</w:t>
        </w:r>
      </w:hyperlink>
      <w:r w:rsidR="00E84282">
        <w:rPr>
          <w:rFonts w:ascii="Arial" w:hAnsi="Arial" w:cs="Arial"/>
          <w:color w:val="000000"/>
          <w:kern w:val="0"/>
          <w14:ligatures w14:val="none"/>
        </w:rPr>
        <w:t xml:space="preserve"> (Accessed 12th May 2025) </w:t>
      </w:r>
    </w:p>
    <w:p w14:paraId="3510D8F8" w14:textId="0F2E57BF" w:rsidR="00AD115D" w:rsidRPr="006060E5" w:rsidRDefault="00AD115D" w:rsidP="009C1923">
      <w:pPr>
        <w:spacing w:before="100" w:beforeAutospacing="1" w:after="100" w:afterAutospacing="1" w:line="240" w:lineRule="auto"/>
        <w:jc w:val="both"/>
        <w:rPr>
          <w:rFonts w:ascii="Arial" w:hAnsi="Arial" w:cs="Arial"/>
          <w:color w:val="000000"/>
          <w:kern w:val="0"/>
          <w:highlight w:val="yellow"/>
          <w14:ligatures w14:val="none"/>
        </w:rPr>
      </w:pPr>
      <w:r w:rsidRPr="00E84282">
        <w:rPr>
          <w:rFonts w:ascii="Arial" w:hAnsi="Arial" w:cs="Arial"/>
          <w:color w:val="000000"/>
          <w:kern w:val="0"/>
          <w14:ligatures w14:val="none"/>
        </w:rPr>
        <w:t>Sherman, L.W. (1998)</w:t>
      </w:r>
      <w:r w:rsidR="00E84282">
        <w:rPr>
          <w:rFonts w:ascii="Arial" w:hAnsi="Arial" w:cs="Arial"/>
          <w:color w:val="000000"/>
          <w:kern w:val="0"/>
          <w14:ligatures w14:val="none"/>
        </w:rPr>
        <w:t xml:space="preserve"> </w:t>
      </w:r>
      <w:r w:rsidRPr="00E84282">
        <w:rPr>
          <w:rFonts w:ascii="Arial" w:hAnsi="Arial" w:cs="Arial"/>
          <w:i/>
          <w:iCs/>
          <w:color w:val="000000"/>
          <w:kern w:val="0"/>
          <w14:ligatures w14:val="none"/>
        </w:rPr>
        <w:t>Evidence-Based Policing</w:t>
      </w:r>
      <w:r w:rsidRPr="00E84282">
        <w:rPr>
          <w:rFonts w:ascii="Arial" w:hAnsi="Arial" w:cs="Arial"/>
          <w:color w:val="000000"/>
          <w:kern w:val="0"/>
          <w14:ligatures w14:val="none"/>
        </w:rPr>
        <w:t>. Washington, D.C.: Police Foundation.</w:t>
      </w:r>
      <w:r w:rsidR="00E84282" w:rsidRPr="00E84282">
        <w:rPr>
          <w:rFonts w:ascii="Arial" w:hAnsi="Arial" w:cs="Arial"/>
          <w:color w:val="000000"/>
          <w:kern w:val="0"/>
          <w14:ligatures w14:val="none"/>
        </w:rPr>
        <w:t xml:space="preserve"> Available at: </w:t>
      </w:r>
      <w:hyperlink r:id="rId16" w:history="1">
        <w:r w:rsidR="00E84282" w:rsidRPr="00E84282">
          <w:rPr>
            <w:rStyle w:val="Hyperlink"/>
            <w:rFonts w:ascii="Arial" w:hAnsi="Arial" w:cs="Arial"/>
            <w:kern w:val="0"/>
            <w14:ligatures w14:val="none"/>
          </w:rPr>
          <w:t>https://www.policinginstitute.org/wp-content/uploads/2015/06/Sherman-1998-Evidence-Based-Policing.pdf</w:t>
        </w:r>
      </w:hyperlink>
      <w:r w:rsidR="00E84282">
        <w:rPr>
          <w:rFonts w:ascii="Arial" w:hAnsi="Arial" w:cs="Arial"/>
          <w:color w:val="000000"/>
          <w:kern w:val="0"/>
          <w14:ligatures w14:val="none"/>
        </w:rPr>
        <w:t xml:space="preserve"> (Accessed 10th May 2025) </w:t>
      </w:r>
    </w:p>
    <w:p w14:paraId="62605F3C" w14:textId="26C61FC7" w:rsidR="00AD115D" w:rsidRPr="006060E5" w:rsidRDefault="00AD115D" w:rsidP="009C1923">
      <w:pPr>
        <w:spacing w:before="100" w:beforeAutospacing="1" w:after="100" w:afterAutospacing="1" w:line="240" w:lineRule="auto"/>
        <w:jc w:val="both"/>
        <w:rPr>
          <w:rFonts w:ascii="Arial" w:hAnsi="Arial" w:cs="Arial"/>
          <w:color w:val="000000"/>
          <w:kern w:val="0"/>
          <w:highlight w:val="yellow"/>
          <w14:ligatures w14:val="none"/>
        </w:rPr>
      </w:pPr>
      <w:r w:rsidRPr="00E84282">
        <w:rPr>
          <w:rFonts w:ascii="Arial" w:hAnsi="Arial" w:cs="Arial"/>
          <w:color w:val="000000"/>
          <w:kern w:val="0"/>
          <w14:ligatures w14:val="none"/>
        </w:rPr>
        <w:t>Tyler, T.R. (2006</w:t>
      </w:r>
      <w:proofErr w:type="gramStart"/>
      <w:r w:rsidRPr="00E84282">
        <w:rPr>
          <w:rFonts w:ascii="Arial" w:hAnsi="Arial" w:cs="Arial"/>
          <w:color w:val="000000"/>
          <w:kern w:val="0"/>
          <w14:ligatures w14:val="none"/>
        </w:rPr>
        <w:t>)</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 </w:t>
      </w:r>
      <w:r w:rsidRPr="00E84282">
        <w:rPr>
          <w:rFonts w:ascii="Arial" w:hAnsi="Arial" w:cs="Arial"/>
          <w:i/>
          <w:iCs/>
          <w:color w:val="000000"/>
          <w:kern w:val="0"/>
          <w14:ligatures w14:val="none"/>
        </w:rPr>
        <w:t>Why</w:t>
      </w:r>
      <w:proofErr w:type="gramEnd"/>
      <w:r w:rsidRPr="00E84282">
        <w:rPr>
          <w:rFonts w:ascii="Arial" w:hAnsi="Arial" w:cs="Arial"/>
          <w:i/>
          <w:iCs/>
          <w:color w:val="000000"/>
          <w:kern w:val="0"/>
          <w14:ligatures w14:val="none"/>
        </w:rPr>
        <w:t xml:space="preserve"> People Obey the Law</w:t>
      </w:r>
      <w:r w:rsidRPr="00E84282">
        <w:rPr>
          <w:rFonts w:ascii="Arial" w:hAnsi="Arial" w:cs="Arial"/>
          <w:color w:val="000000"/>
          <w:kern w:val="0"/>
          <w14:ligatures w14:val="none"/>
        </w:rPr>
        <w:t>. Princeton: Princeton University Press.</w:t>
      </w:r>
      <w:r w:rsidR="00E84282" w:rsidRPr="00E84282">
        <w:rPr>
          <w:rFonts w:ascii="Arial" w:hAnsi="Arial" w:cs="Arial"/>
          <w:color w:val="000000"/>
          <w:kern w:val="0"/>
          <w14:ligatures w14:val="none"/>
        </w:rPr>
        <w:t xml:space="preserve"> Available at: </w:t>
      </w:r>
      <w:hyperlink r:id="rId17" w:history="1">
        <w:r w:rsidR="00E84282" w:rsidRPr="00E84282">
          <w:rPr>
            <w:rStyle w:val="Hyperlink"/>
            <w:rFonts w:ascii="Arial" w:hAnsi="Arial" w:cs="Arial"/>
            <w:kern w:val="0"/>
            <w14:ligatures w14:val="none"/>
          </w:rPr>
          <w:t>https://press.princeton.edu/books/paperback/9780691126739/why-people-obey-the-law?srsltid=AfmBOopizW8wJOYe1p-TBweUqRuMoqOvGEVxmXgq68xnTTp-ho6vYPyj</w:t>
        </w:r>
      </w:hyperlink>
      <w:r w:rsidR="00E84282">
        <w:rPr>
          <w:rFonts w:ascii="Arial" w:hAnsi="Arial" w:cs="Arial"/>
          <w:color w:val="000000"/>
          <w:kern w:val="0"/>
          <w14:ligatures w14:val="none"/>
        </w:rPr>
        <w:t xml:space="preserve"> (Accessed 10</w:t>
      </w:r>
      <w:r w:rsidR="00E84282" w:rsidRPr="00E84282">
        <w:rPr>
          <w:rFonts w:ascii="Arial" w:hAnsi="Arial" w:cs="Arial"/>
          <w:color w:val="000000"/>
          <w:kern w:val="0"/>
          <w:vertAlign w:val="superscript"/>
          <w14:ligatures w14:val="none"/>
        </w:rPr>
        <w:t>th</w:t>
      </w:r>
      <w:r w:rsidR="00E84282">
        <w:rPr>
          <w:rFonts w:ascii="Arial" w:hAnsi="Arial" w:cs="Arial"/>
          <w:color w:val="000000"/>
          <w:kern w:val="0"/>
          <w14:ligatures w14:val="none"/>
        </w:rPr>
        <w:t xml:space="preserve"> May 2025) </w:t>
      </w:r>
    </w:p>
    <w:p w14:paraId="26326308" w14:textId="22E2A730" w:rsidR="00AD115D" w:rsidRPr="006060E5" w:rsidRDefault="00AD115D" w:rsidP="009C1923">
      <w:pPr>
        <w:spacing w:before="100" w:beforeAutospacing="1" w:after="100" w:afterAutospacing="1" w:line="240" w:lineRule="auto"/>
        <w:jc w:val="both"/>
        <w:rPr>
          <w:rFonts w:ascii="Arial" w:hAnsi="Arial" w:cs="Arial"/>
          <w:color w:val="000000"/>
          <w:kern w:val="0"/>
          <w:highlight w:val="yellow"/>
          <w14:ligatures w14:val="none"/>
        </w:rPr>
      </w:pPr>
      <w:r w:rsidRPr="00E84282">
        <w:rPr>
          <w:rFonts w:ascii="Arial" w:hAnsi="Arial" w:cs="Arial"/>
          <w:color w:val="000000"/>
          <w:kern w:val="0"/>
          <w14:ligatures w14:val="none"/>
        </w:rPr>
        <w:lastRenderedPageBreak/>
        <w:t>Walker, S. (2005</w:t>
      </w:r>
      <w:proofErr w:type="gramStart"/>
      <w:r w:rsidRPr="00E84282">
        <w:rPr>
          <w:rFonts w:ascii="Arial" w:hAnsi="Arial" w:cs="Arial"/>
          <w:color w:val="000000"/>
          <w:kern w:val="0"/>
          <w14:ligatures w14:val="none"/>
        </w:rPr>
        <w:t>)</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 </w:t>
      </w:r>
      <w:r w:rsidRPr="00E84282">
        <w:rPr>
          <w:rFonts w:ascii="Arial" w:hAnsi="Arial" w:cs="Arial"/>
          <w:i/>
          <w:iCs/>
          <w:color w:val="000000"/>
          <w:kern w:val="0"/>
          <w14:ligatures w14:val="none"/>
        </w:rPr>
        <w:t>The</w:t>
      </w:r>
      <w:proofErr w:type="gramEnd"/>
      <w:r w:rsidRPr="00E84282">
        <w:rPr>
          <w:rFonts w:ascii="Arial" w:hAnsi="Arial" w:cs="Arial"/>
          <w:i/>
          <w:iCs/>
          <w:color w:val="000000"/>
          <w:kern w:val="0"/>
          <w14:ligatures w14:val="none"/>
        </w:rPr>
        <w:t xml:space="preserve"> New World of Police Accountability</w:t>
      </w:r>
      <w:r w:rsidRPr="00E84282">
        <w:rPr>
          <w:rFonts w:ascii="Arial" w:hAnsi="Arial" w:cs="Arial"/>
          <w:color w:val="000000"/>
          <w:kern w:val="0"/>
          <w14:ligatures w14:val="none"/>
        </w:rPr>
        <w:t>. Thousand Oaks</w:t>
      </w:r>
      <w:r w:rsidR="00E84282" w:rsidRPr="00E84282">
        <w:rPr>
          <w:rFonts w:ascii="Arial" w:hAnsi="Arial" w:cs="Arial"/>
          <w:color w:val="000000"/>
          <w:kern w:val="0"/>
          <w14:ligatures w14:val="none"/>
        </w:rPr>
        <w:t xml:space="preserve">: Sage.  Available at: </w:t>
      </w:r>
      <w:hyperlink r:id="rId18" w:history="1">
        <w:r w:rsidR="00E84282" w:rsidRPr="00422D4C">
          <w:rPr>
            <w:rStyle w:val="Hyperlink"/>
            <w:rFonts w:ascii="Arial" w:hAnsi="Arial" w:cs="Arial"/>
            <w:kern w:val="0"/>
            <w14:ligatures w14:val="none"/>
          </w:rPr>
          <w:t>https://sk.sagepub.com/book/mono/the-new-world-of-police-accountability/chpt/future-the-new-police-accountability</w:t>
        </w:r>
      </w:hyperlink>
      <w:r w:rsidR="00E84282">
        <w:rPr>
          <w:rFonts w:ascii="Arial" w:hAnsi="Arial" w:cs="Arial"/>
          <w:color w:val="000000"/>
          <w:kern w:val="0"/>
          <w14:ligatures w14:val="none"/>
        </w:rPr>
        <w:t xml:space="preserve"> (Accessed 10th May 2025) </w:t>
      </w:r>
    </w:p>
    <w:p w14:paraId="760DE266" w14:textId="4408F52A" w:rsidR="00AD115D" w:rsidRPr="00E84282" w:rsidRDefault="00AD115D" w:rsidP="009C1923">
      <w:pPr>
        <w:spacing w:before="100" w:beforeAutospacing="1" w:after="100" w:afterAutospacing="1" w:line="240" w:lineRule="auto"/>
        <w:jc w:val="both"/>
        <w:rPr>
          <w:rFonts w:ascii="Arial" w:hAnsi="Arial" w:cs="Arial"/>
          <w:color w:val="000000"/>
          <w:kern w:val="0"/>
          <w14:ligatures w14:val="none"/>
        </w:rPr>
      </w:pPr>
      <w:r w:rsidRPr="00E84282">
        <w:rPr>
          <w:rFonts w:ascii="Arial" w:hAnsi="Arial" w:cs="Arial"/>
          <w:color w:val="000000"/>
          <w:kern w:val="0"/>
          <w14:ligatures w14:val="none"/>
        </w:rPr>
        <w:t>Watson, A.C.</w:t>
      </w:r>
      <w:r w:rsidR="00E84282">
        <w:rPr>
          <w:rFonts w:ascii="Arial" w:hAnsi="Arial" w:cs="Arial"/>
          <w:color w:val="000000"/>
          <w:kern w:val="0"/>
          <w14:ligatures w14:val="none"/>
        </w:rPr>
        <w:t xml:space="preserve">, </w:t>
      </w:r>
      <w:proofErr w:type="spellStart"/>
      <w:r w:rsidRPr="00E84282">
        <w:rPr>
          <w:rFonts w:ascii="Arial" w:hAnsi="Arial" w:cs="Arial"/>
          <w:color w:val="000000"/>
          <w:kern w:val="0"/>
          <w14:ligatures w14:val="none"/>
        </w:rPr>
        <w:t>Fulambarker</w:t>
      </w:r>
      <w:proofErr w:type="spellEnd"/>
      <w:r w:rsidRPr="00E84282">
        <w:rPr>
          <w:rFonts w:ascii="Arial" w:hAnsi="Arial" w:cs="Arial"/>
          <w:color w:val="000000"/>
          <w:kern w:val="0"/>
          <w14:ligatures w14:val="none"/>
        </w:rPr>
        <w:t>, A.J. (2012)</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The Crisis Intervention Team model of police response to mental health crises: A primer for mental health practitioners. </w:t>
      </w:r>
      <w:r w:rsidRPr="00E84282">
        <w:rPr>
          <w:rFonts w:ascii="Arial" w:hAnsi="Arial" w:cs="Arial"/>
          <w:i/>
          <w:iCs/>
          <w:color w:val="000000"/>
          <w:kern w:val="0"/>
          <w14:ligatures w14:val="none"/>
        </w:rPr>
        <w:t>Best Practices in Mental Health</w:t>
      </w:r>
      <w:r w:rsidR="00E84282">
        <w:rPr>
          <w:rFonts w:ascii="Arial" w:hAnsi="Arial" w:cs="Arial"/>
          <w:color w:val="000000"/>
          <w:kern w:val="0"/>
          <w14:ligatures w14:val="none"/>
        </w:rPr>
        <w:t>.</w:t>
      </w:r>
      <w:r w:rsidRPr="00E84282">
        <w:rPr>
          <w:rFonts w:ascii="Arial" w:hAnsi="Arial" w:cs="Arial"/>
          <w:color w:val="000000"/>
          <w:kern w:val="0"/>
          <w14:ligatures w14:val="none"/>
        </w:rPr>
        <w:t xml:space="preserve"> 8(2), pp.71–81.</w:t>
      </w:r>
    </w:p>
    <w:p w14:paraId="0DB3619D" w14:textId="0DE7E54C" w:rsidR="00AD115D" w:rsidRPr="00E84282" w:rsidRDefault="00AD115D" w:rsidP="009C1923">
      <w:pPr>
        <w:spacing w:before="100" w:beforeAutospacing="1" w:after="100" w:afterAutospacing="1" w:line="240" w:lineRule="auto"/>
        <w:jc w:val="both"/>
        <w:rPr>
          <w:rFonts w:ascii="Arial" w:hAnsi="Arial" w:cs="Arial"/>
          <w:color w:val="000000"/>
          <w:kern w:val="0"/>
          <w14:ligatures w14:val="none"/>
        </w:rPr>
      </w:pPr>
      <w:r w:rsidRPr="00E84282">
        <w:rPr>
          <w:rFonts w:ascii="Arial" w:hAnsi="Arial" w:cs="Arial"/>
          <w:color w:val="000000"/>
          <w:kern w:val="0"/>
          <w14:ligatures w14:val="none"/>
        </w:rPr>
        <w:t>Weisburd, D., Telep, C.W., Hinkle, J.C.</w:t>
      </w:r>
      <w:r w:rsidR="00E84282" w:rsidRPr="00E84282">
        <w:rPr>
          <w:rFonts w:ascii="Arial" w:hAnsi="Arial" w:cs="Arial"/>
          <w:color w:val="000000"/>
          <w:kern w:val="0"/>
          <w14:ligatures w14:val="none"/>
        </w:rPr>
        <w:t xml:space="preserve">, </w:t>
      </w:r>
      <w:r w:rsidRPr="00E84282">
        <w:rPr>
          <w:rFonts w:ascii="Arial" w:hAnsi="Arial" w:cs="Arial"/>
          <w:color w:val="000000"/>
          <w:kern w:val="0"/>
          <w14:ligatures w14:val="none"/>
        </w:rPr>
        <w:t>Eck, J.E. (2010</w:t>
      </w:r>
      <w:r w:rsidR="00E84282">
        <w:rPr>
          <w:rFonts w:ascii="Arial" w:hAnsi="Arial" w:cs="Arial"/>
          <w:color w:val="000000"/>
          <w:kern w:val="0"/>
          <w14:ligatures w14:val="none"/>
        </w:rPr>
        <w:t xml:space="preserve">) </w:t>
      </w:r>
      <w:r w:rsidRPr="00E84282">
        <w:rPr>
          <w:rFonts w:ascii="Arial" w:hAnsi="Arial" w:cs="Arial"/>
          <w:color w:val="000000"/>
          <w:kern w:val="0"/>
          <w14:ligatures w14:val="none"/>
        </w:rPr>
        <w:t>Is problem-oriented policing effective in reducing crime and disorder? </w:t>
      </w:r>
      <w:r w:rsidRPr="00E84282">
        <w:rPr>
          <w:rFonts w:ascii="Arial" w:hAnsi="Arial" w:cs="Arial"/>
          <w:i/>
          <w:iCs/>
          <w:color w:val="000000"/>
          <w:kern w:val="0"/>
          <w14:ligatures w14:val="none"/>
        </w:rPr>
        <w:t>Criminology &amp; Public Policy</w:t>
      </w:r>
      <w:r w:rsidR="00E84282" w:rsidRPr="00E84282">
        <w:rPr>
          <w:rFonts w:ascii="Arial" w:hAnsi="Arial" w:cs="Arial"/>
          <w:color w:val="000000"/>
          <w:kern w:val="0"/>
          <w14:ligatures w14:val="none"/>
        </w:rPr>
        <w:t xml:space="preserve">. </w:t>
      </w:r>
      <w:r w:rsidRPr="00E84282">
        <w:rPr>
          <w:rFonts w:ascii="Arial" w:hAnsi="Arial" w:cs="Arial"/>
          <w:color w:val="000000"/>
          <w:kern w:val="0"/>
          <w14:ligatures w14:val="none"/>
        </w:rPr>
        <w:t>9(1), pp.139–172.</w:t>
      </w:r>
    </w:p>
    <w:p w14:paraId="35B46F92" w14:textId="2D5A3ED9" w:rsidR="00AD115D" w:rsidRPr="009C1923" w:rsidRDefault="00AD115D" w:rsidP="009C1923">
      <w:pPr>
        <w:spacing w:before="100" w:beforeAutospacing="1" w:after="100" w:afterAutospacing="1" w:line="240" w:lineRule="auto"/>
        <w:jc w:val="both"/>
        <w:rPr>
          <w:rFonts w:ascii="Arial" w:hAnsi="Arial" w:cs="Arial"/>
          <w:color w:val="000000"/>
          <w:kern w:val="0"/>
          <w14:ligatures w14:val="none"/>
        </w:rPr>
      </w:pPr>
      <w:r w:rsidRPr="00E84282">
        <w:rPr>
          <w:rFonts w:ascii="Arial" w:hAnsi="Arial" w:cs="Arial"/>
          <w:color w:val="000000"/>
          <w:kern w:val="0"/>
          <w14:ligatures w14:val="none"/>
        </w:rPr>
        <w:t>White, M.D.</w:t>
      </w:r>
      <w:r w:rsidR="00E84282">
        <w:rPr>
          <w:rFonts w:ascii="Arial" w:hAnsi="Arial" w:cs="Arial"/>
          <w:color w:val="000000"/>
          <w:kern w:val="0"/>
          <w14:ligatures w14:val="none"/>
        </w:rPr>
        <w:t>,</w:t>
      </w:r>
      <w:r w:rsidRPr="00E84282">
        <w:rPr>
          <w:rFonts w:ascii="Arial" w:hAnsi="Arial" w:cs="Arial"/>
          <w:color w:val="000000"/>
          <w:kern w:val="0"/>
          <w14:ligatures w14:val="none"/>
        </w:rPr>
        <w:t xml:space="preserve"> Malm, A. (2020)</w:t>
      </w:r>
      <w:r w:rsidR="00E84282">
        <w:rPr>
          <w:rFonts w:ascii="Arial" w:hAnsi="Arial" w:cs="Arial"/>
          <w:color w:val="000000"/>
          <w:kern w:val="0"/>
          <w14:ligatures w14:val="none"/>
        </w:rPr>
        <w:t xml:space="preserve"> </w:t>
      </w:r>
      <w:r w:rsidRPr="00E84282">
        <w:rPr>
          <w:rFonts w:ascii="Arial" w:hAnsi="Arial" w:cs="Arial"/>
          <w:i/>
          <w:iCs/>
          <w:color w:val="000000"/>
          <w:kern w:val="0"/>
          <w14:ligatures w14:val="none"/>
        </w:rPr>
        <w:t>Cameras on the Streets: The Use of Body-Worn Cameras by Police</w:t>
      </w:r>
      <w:r w:rsidRPr="00E84282">
        <w:rPr>
          <w:rFonts w:ascii="Arial" w:hAnsi="Arial" w:cs="Arial"/>
          <w:color w:val="000000"/>
          <w:kern w:val="0"/>
          <w14:ligatures w14:val="none"/>
        </w:rPr>
        <w:t>. New York: NYU Press.</w:t>
      </w:r>
      <w:r w:rsidR="00E84282">
        <w:rPr>
          <w:rFonts w:ascii="Arial" w:hAnsi="Arial" w:cs="Arial"/>
          <w:color w:val="000000"/>
          <w:kern w:val="0"/>
          <w14:ligatures w14:val="none"/>
        </w:rPr>
        <w:t xml:space="preserve"> Available at: </w:t>
      </w:r>
      <w:hyperlink r:id="rId19" w:history="1">
        <w:r w:rsidR="00E84282" w:rsidRPr="00422D4C">
          <w:rPr>
            <w:rStyle w:val="Hyperlink"/>
            <w:rFonts w:ascii="Arial" w:hAnsi="Arial" w:cs="Arial"/>
            <w:kern w:val="0"/>
            <w14:ligatures w14:val="none"/>
          </w:rPr>
          <w:t>https://www.researchgate.net/publication/351332314_Michael_D_White_Aili_Malm_2020_Cops_Cameras_and_Crisis_The_Potential_and_the_Perils_of_Police_Body-Worn_Cameras_New_York_New_York_University_Press</w:t>
        </w:r>
      </w:hyperlink>
      <w:r w:rsidR="00E84282">
        <w:rPr>
          <w:rFonts w:ascii="Arial" w:hAnsi="Arial" w:cs="Arial"/>
          <w:color w:val="000000"/>
          <w:kern w:val="0"/>
          <w14:ligatures w14:val="none"/>
        </w:rPr>
        <w:t xml:space="preserve"> (Accessed 11th May 2025) </w:t>
      </w:r>
    </w:p>
    <w:p w14:paraId="4FD310C8" w14:textId="5DC4D471" w:rsidR="00AD115D" w:rsidRPr="009C1923" w:rsidRDefault="00AD115D" w:rsidP="009C1923">
      <w:pPr>
        <w:spacing w:after="0" w:line="240" w:lineRule="auto"/>
        <w:jc w:val="both"/>
        <w:rPr>
          <w:rFonts w:ascii="Arial" w:eastAsia="Times New Roman" w:hAnsi="Arial" w:cs="Arial"/>
          <w:kern w:val="0"/>
          <w14:ligatures w14:val="none"/>
        </w:rPr>
      </w:pPr>
    </w:p>
    <w:p w14:paraId="314ECC67" w14:textId="77777777" w:rsidR="00BF3CEC" w:rsidRPr="009C1923" w:rsidRDefault="00BF3CEC" w:rsidP="009C1923">
      <w:pPr>
        <w:spacing w:before="100" w:beforeAutospacing="1" w:after="100" w:afterAutospacing="1" w:line="240" w:lineRule="auto"/>
        <w:jc w:val="both"/>
        <w:rPr>
          <w:rFonts w:ascii="Arial" w:hAnsi="Arial" w:cs="Arial"/>
          <w:color w:val="000000"/>
          <w:kern w:val="0"/>
          <w14:ligatures w14:val="none"/>
        </w:rPr>
      </w:pPr>
    </w:p>
    <w:p w14:paraId="65248DFB" w14:textId="77777777" w:rsidR="00BF3CEC" w:rsidRPr="009C1923" w:rsidRDefault="00BF3CEC" w:rsidP="009C1923">
      <w:pPr>
        <w:spacing w:before="100" w:beforeAutospacing="1" w:after="100" w:afterAutospacing="1" w:line="240" w:lineRule="auto"/>
        <w:jc w:val="both"/>
        <w:rPr>
          <w:rFonts w:ascii="Arial" w:hAnsi="Arial" w:cs="Arial"/>
          <w:color w:val="000000"/>
          <w:kern w:val="0"/>
          <w14:ligatures w14:val="none"/>
        </w:rPr>
      </w:pPr>
    </w:p>
    <w:sectPr w:rsidR="00BF3CEC" w:rsidRPr="009C19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082E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6714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9411751">
    <w:abstractNumId w:val="1"/>
  </w:num>
  <w:num w:numId="2" w16cid:durableId="18441211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15D"/>
    <w:rsid w:val="0001593C"/>
    <w:rsid w:val="000609EA"/>
    <w:rsid w:val="00131590"/>
    <w:rsid w:val="00174B0D"/>
    <w:rsid w:val="00200E38"/>
    <w:rsid w:val="00226BFB"/>
    <w:rsid w:val="002830A8"/>
    <w:rsid w:val="00390EFC"/>
    <w:rsid w:val="003D3DAC"/>
    <w:rsid w:val="0041282C"/>
    <w:rsid w:val="004B6231"/>
    <w:rsid w:val="005F5441"/>
    <w:rsid w:val="006060E5"/>
    <w:rsid w:val="00655BCE"/>
    <w:rsid w:val="00683C7D"/>
    <w:rsid w:val="007353F0"/>
    <w:rsid w:val="007A0B92"/>
    <w:rsid w:val="007A7B88"/>
    <w:rsid w:val="007E45B6"/>
    <w:rsid w:val="00845E85"/>
    <w:rsid w:val="008D53AB"/>
    <w:rsid w:val="009C1923"/>
    <w:rsid w:val="00A12B07"/>
    <w:rsid w:val="00AD115D"/>
    <w:rsid w:val="00B422E3"/>
    <w:rsid w:val="00B86DDF"/>
    <w:rsid w:val="00BA2DAA"/>
    <w:rsid w:val="00BC6B9D"/>
    <w:rsid w:val="00BF3CEC"/>
    <w:rsid w:val="00CB5D5F"/>
    <w:rsid w:val="00DC3281"/>
    <w:rsid w:val="00DC3BC7"/>
    <w:rsid w:val="00DE2E1F"/>
    <w:rsid w:val="00E24F24"/>
    <w:rsid w:val="00E45CD8"/>
    <w:rsid w:val="00E84282"/>
    <w:rsid w:val="00F30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D3146"/>
  <w15:chartTrackingRefBased/>
  <w15:docId w15:val="{0C2D49F6-67A3-1F4D-9286-A99542D9A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11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11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D11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11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11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11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11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11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11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1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11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11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11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11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11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11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11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115D"/>
    <w:rPr>
      <w:rFonts w:eastAsiaTheme="majorEastAsia" w:cstheme="majorBidi"/>
      <w:color w:val="272727" w:themeColor="text1" w:themeTint="D8"/>
    </w:rPr>
  </w:style>
  <w:style w:type="paragraph" w:styleId="Title">
    <w:name w:val="Title"/>
    <w:basedOn w:val="Normal"/>
    <w:next w:val="Normal"/>
    <w:link w:val="TitleChar"/>
    <w:uiPriority w:val="10"/>
    <w:qFormat/>
    <w:rsid w:val="00AD11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11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11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11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115D"/>
    <w:pPr>
      <w:spacing w:before="160"/>
      <w:jc w:val="center"/>
    </w:pPr>
    <w:rPr>
      <w:i/>
      <w:iCs/>
      <w:color w:val="404040" w:themeColor="text1" w:themeTint="BF"/>
    </w:rPr>
  </w:style>
  <w:style w:type="character" w:customStyle="1" w:styleId="QuoteChar">
    <w:name w:val="Quote Char"/>
    <w:basedOn w:val="DefaultParagraphFont"/>
    <w:link w:val="Quote"/>
    <w:uiPriority w:val="29"/>
    <w:rsid w:val="00AD115D"/>
    <w:rPr>
      <w:i/>
      <w:iCs/>
      <w:color w:val="404040" w:themeColor="text1" w:themeTint="BF"/>
    </w:rPr>
  </w:style>
  <w:style w:type="paragraph" w:styleId="ListParagraph">
    <w:name w:val="List Paragraph"/>
    <w:basedOn w:val="Normal"/>
    <w:uiPriority w:val="34"/>
    <w:qFormat/>
    <w:rsid w:val="00AD115D"/>
    <w:pPr>
      <w:ind w:left="720"/>
      <w:contextualSpacing/>
    </w:pPr>
  </w:style>
  <w:style w:type="character" w:styleId="IntenseEmphasis">
    <w:name w:val="Intense Emphasis"/>
    <w:basedOn w:val="DefaultParagraphFont"/>
    <w:uiPriority w:val="21"/>
    <w:qFormat/>
    <w:rsid w:val="00AD115D"/>
    <w:rPr>
      <w:i/>
      <w:iCs/>
      <w:color w:val="0F4761" w:themeColor="accent1" w:themeShade="BF"/>
    </w:rPr>
  </w:style>
  <w:style w:type="paragraph" w:styleId="IntenseQuote">
    <w:name w:val="Intense Quote"/>
    <w:basedOn w:val="Normal"/>
    <w:next w:val="Normal"/>
    <w:link w:val="IntenseQuoteChar"/>
    <w:uiPriority w:val="30"/>
    <w:qFormat/>
    <w:rsid w:val="00AD11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115D"/>
    <w:rPr>
      <w:i/>
      <w:iCs/>
      <w:color w:val="0F4761" w:themeColor="accent1" w:themeShade="BF"/>
    </w:rPr>
  </w:style>
  <w:style w:type="character" w:styleId="IntenseReference">
    <w:name w:val="Intense Reference"/>
    <w:basedOn w:val="DefaultParagraphFont"/>
    <w:uiPriority w:val="32"/>
    <w:qFormat/>
    <w:rsid w:val="00AD115D"/>
    <w:rPr>
      <w:b/>
      <w:bCs/>
      <w:smallCaps/>
      <w:color w:val="0F4761" w:themeColor="accent1" w:themeShade="BF"/>
      <w:spacing w:val="5"/>
    </w:rPr>
  </w:style>
  <w:style w:type="paragraph" w:styleId="NormalWeb">
    <w:name w:val="Normal (Web)"/>
    <w:basedOn w:val="Normal"/>
    <w:uiPriority w:val="99"/>
    <w:semiHidden/>
    <w:unhideWhenUsed/>
    <w:rsid w:val="00AD115D"/>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AD115D"/>
  </w:style>
  <w:style w:type="character" w:styleId="Strong">
    <w:name w:val="Strong"/>
    <w:basedOn w:val="DefaultParagraphFont"/>
    <w:uiPriority w:val="22"/>
    <w:qFormat/>
    <w:rsid w:val="00AD115D"/>
    <w:rPr>
      <w:b/>
      <w:bCs/>
    </w:rPr>
  </w:style>
  <w:style w:type="character" w:styleId="Emphasis">
    <w:name w:val="Emphasis"/>
    <w:basedOn w:val="DefaultParagraphFont"/>
    <w:uiPriority w:val="20"/>
    <w:qFormat/>
    <w:rsid w:val="00AD115D"/>
    <w:rPr>
      <w:i/>
      <w:iCs/>
    </w:rPr>
  </w:style>
  <w:style w:type="character" w:customStyle="1" w:styleId="s18">
    <w:name w:val="s18"/>
    <w:basedOn w:val="DefaultParagraphFont"/>
    <w:rsid w:val="00131590"/>
  </w:style>
  <w:style w:type="character" w:styleId="Hyperlink">
    <w:name w:val="Hyperlink"/>
    <w:basedOn w:val="DefaultParagraphFont"/>
    <w:uiPriority w:val="99"/>
    <w:unhideWhenUsed/>
    <w:rsid w:val="00E84282"/>
    <w:rPr>
      <w:color w:val="467886" w:themeColor="hyperlink"/>
      <w:u w:val="single"/>
    </w:rPr>
  </w:style>
  <w:style w:type="character" w:styleId="UnresolvedMention">
    <w:name w:val="Unresolved Mention"/>
    <w:basedOn w:val="DefaultParagraphFont"/>
    <w:uiPriority w:val="99"/>
    <w:semiHidden/>
    <w:unhideWhenUsed/>
    <w:rsid w:val="00E842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3987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micfrs.justiceinspectorates.gov.uk/publications/an-inspection-of-vetting-misconduct-and-misogyny-in-the-police-service/" TargetMode="External"/><Relationship Id="rId13" Type="http://schemas.openxmlformats.org/officeDocument/2006/relationships/hyperlink" Target="https://hmicfrs.justiceinspectorates.gov.uk/publication-html/police-response-to-public-disorder-in-july-and-august-2024-tranche-1/" TargetMode="External"/><Relationship Id="rId18" Type="http://schemas.openxmlformats.org/officeDocument/2006/relationships/hyperlink" Target="https://sk.sagepub.com/book/mono/the-new-world-of-police-accountability/chpt/future-the-new-police-accountabilit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ojp.gov/ncjrs/virtual-library/abstracts/problem-oriented-policing-1" TargetMode="External"/><Relationship Id="rId12" Type="http://schemas.openxmlformats.org/officeDocument/2006/relationships/hyperlink" Target="https://cebcp.org/wp-content/evidence-based-policing/EvidenceBasedPolicingDefined.pdf" TargetMode="External"/><Relationship Id="rId17" Type="http://schemas.openxmlformats.org/officeDocument/2006/relationships/hyperlink" Target="https://press.princeton.edu/books/paperback/9780691126739/why-people-obey-the-law?srsltid=AfmBOopizW8wJOYe1p-TBweUqRuMoqOvGEVxmXgq68xnTTp-ho6vYPyj" TargetMode="External"/><Relationship Id="rId2" Type="http://schemas.openxmlformats.org/officeDocument/2006/relationships/styles" Target="styles.xml"/><Relationship Id="rId16" Type="http://schemas.openxmlformats.org/officeDocument/2006/relationships/hyperlink" Target="https://www.policinginstitute.org/wp-content/uploads/2015/06/Sherman-1998-Evidence-Based-Policing.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ollege.police.uk/app/critical-incident-management" TargetMode="External"/><Relationship Id="rId11" Type="http://schemas.openxmlformats.org/officeDocument/2006/relationships/hyperlink" Target="https://www.jesip.org.uk/uploads/media/Documents%20Products/Kerslake_Report_Manchester_Are.pdf" TargetMode="External"/><Relationship Id="rId5" Type="http://schemas.openxmlformats.org/officeDocument/2006/relationships/hyperlink" Target="https://assets.publishing.service.gov.uk/media/65e05420cf7eb1b0e5f57eff/E02740018_Angiolini_Inquiry_HC_530_Accessible.pdf" TargetMode="External"/><Relationship Id="rId15" Type="http://schemas.openxmlformats.org/officeDocument/2006/relationships/hyperlink" Target="https://hansard.parliament.uk/lords/2012-05-28/debates/12052820000199/RiotsCommunitiesAndVictimsPanelFinalReport" TargetMode="External"/><Relationship Id="rId10" Type="http://schemas.openxmlformats.org/officeDocument/2006/relationships/hyperlink" Target="https://www.inquest.org.uk/kevin-clarke-misconduct-outcome" TargetMode="External"/><Relationship Id="rId19" Type="http://schemas.openxmlformats.org/officeDocument/2006/relationships/hyperlink" Target="https://www.researchgate.net/publication/351332314_Michael_D_White_Aili_Malm_2020_Cops_Cameras_and_Crisis_The_Potential_and_the_Perils_of_Police_Body-Worn_Cameras_New_York_New_York_University_Press" TargetMode="External"/><Relationship Id="rId4" Type="http://schemas.openxmlformats.org/officeDocument/2006/relationships/webSettings" Target="webSettings.xml"/><Relationship Id="rId9" Type="http://schemas.openxmlformats.org/officeDocument/2006/relationships/hyperlink" Target="https://www.policeconduct.gov.uk/publications/annual-report-and-accounts-202223" TargetMode="External"/><Relationship Id="rId14" Type="http://schemas.openxmlformats.org/officeDocument/2006/relationships/hyperlink" Target="https://www.ucl.ac.uk/pals/sites/pals/files/street_triage_evaluation_final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5018</Words>
  <Characters>28603</Characters>
  <Application>Microsoft Office Word</Application>
  <DocSecurity>0</DocSecurity>
  <Lines>238</Lines>
  <Paragraphs>67</Paragraphs>
  <ScaleCrop>false</ScaleCrop>
  <Company/>
  <LinksUpToDate>false</LinksUpToDate>
  <CharactersWithSpaces>33554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447542737341</dc:creator>
  <cp:keywords/>
  <dc:description/>
  <cp:lastModifiedBy>Burrows,Dylan swp8223</cp:lastModifiedBy>
  <cp:revision>2</cp:revision>
  <dcterms:created xsi:type="dcterms:W3CDTF">2025-05-26T22:33:00Z</dcterms:created>
  <dcterms:modified xsi:type="dcterms:W3CDTF">2025-05-26T22:33:00Z</dcterms:modified>
</cp:coreProperties>
</file>