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54318" w14:textId="3A846DB5" w:rsidR="005E7AC2" w:rsidRDefault="005E7AC2" w:rsidP="00BD59CF">
      <w:pPr>
        <w:spacing w:line="360" w:lineRule="auto"/>
        <w:rPr>
          <w:b/>
          <w:sz w:val="50"/>
          <w:szCs w:val="50"/>
        </w:rPr>
      </w:pPr>
    </w:p>
    <w:p w14:paraId="3CDBD266" w14:textId="77777777" w:rsidR="005E7AC2" w:rsidRDefault="005E7AC2" w:rsidP="005E7AC2">
      <w:pPr>
        <w:spacing w:line="360" w:lineRule="auto"/>
        <w:jc w:val="center"/>
        <w:rPr>
          <w:b/>
          <w:sz w:val="50"/>
          <w:szCs w:val="50"/>
        </w:rPr>
      </w:pPr>
    </w:p>
    <w:p w14:paraId="30580E89" w14:textId="77777777" w:rsidR="005E7AC2" w:rsidRPr="00C77DD2" w:rsidRDefault="005E7AC2" w:rsidP="005E7AC2"/>
    <w:p w14:paraId="3D327549" w14:textId="77777777" w:rsidR="005E7AC2" w:rsidRPr="006F6E46" w:rsidRDefault="005E7AC2" w:rsidP="005E7AC2">
      <w:pPr>
        <w:jc w:val="center"/>
      </w:pPr>
      <w:r w:rsidRPr="006F6E46">
        <w:rPr>
          <w:noProof/>
          <w:lang w:val="en-IN" w:eastAsia="en-IN"/>
        </w:rPr>
        <w:drawing>
          <wp:inline distT="0" distB="0" distL="0" distR="0" wp14:anchorId="61C59F3D" wp14:editId="757AD647">
            <wp:extent cx="3985260" cy="1371600"/>
            <wp:effectExtent l="0" t="0" r="0" b="0"/>
            <wp:docPr id="2080421357"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21357" name="Picture 11" descr="A close-up of a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85260" cy="1371600"/>
                    </a:xfrm>
                    <a:prstGeom prst="rect">
                      <a:avLst/>
                    </a:prstGeom>
                    <a:noFill/>
                    <a:ln>
                      <a:noFill/>
                    </a:ln>
                  </pic:spPr>
                </pic:pic>
              </a:graphicData>
            </a:graphic>
          </wp:inline>
        </w:drawing>
      </w:r>
    </w:p>
    <w:p w14:paraId="53CA515A" w14:textId="77777777" w:rsidR="005E7AC2" w:rsidRPr="00C77DD2" w:rsidRDefault="005E7AC2" w:rsidP="005E7AC2"/>
    <w:p w14:paraId="139FCFC0" w14:textId="77777777" w:rsidR="005E7AC2" w:rsidRPr="00C77DD2" w:rsidRDefault="005E7AC2" w:rsidP="005E7AC2"/>
    <w:p w14:paraId="74F1BB5C" w14:textId="77777777" w:rsidR="005E7AC2" w:rsidRPr="00C77DD2" w:rsidRDefault="005E7AC2" w:rsidP="005E7AC2"/>
    <w:p w14:paraId="4CCB4627" w14:textId="139E8033" w:rsidR="005E7AC2" w:rsidRPr="005E7AC2" w:rsidRDefault="005E7AC2" w:rsidP="005E7AC2">
      <w:pPr>
        <w:shd w:val="clear" w:color="auto" w:fill="FFFFFF"/>
        <w:spacing w:after="100" w:afterAutospacing="1" w:line="240" w:lineRule="auto"/>
        <w:outlineLvl w:val="0"/>
        <w:rPr>
          <w:rFonts w:eastAsia="Times New Roman"/>
          <w:b/>
          <w:bCs/>
          <w:color w:val="1D2125"/>
          <w:kern w:val="36"/>
          <w:sz w:val="32"/>
          <w:szCs w:val="32"/>
          <w:lang w:val="en-GB"/>
        </w:rPr>
      </w:pPr>
      <w:r>
        <w:rPr>
          <w:rFonts w:eastAsia="Times New Roman"/>
          <w:b/>
          <w:bCs/>
          <w:color w:val="1D2125"/>
          <w:kern w:val="36"/>
          <w:sz w:val="32"/>
          <w:szCs w:val="32"/>
          <w:lang w:val="en-GB"/>
        </w:rPr>
        <w:t xml:space="preserve">         </w:t>
      </w:r>
      <w:r w:rsidRPr="005E7AC2">
        <w:rPr>
          <w:rFonts w:eastAsia="Times New Roman"/>
          <w:b/>
          <w:bCs/>
          <w:color w:val="1D2125"/>
          <w:kern w:val="36"/>
          <w:sz w:val="32"/>
          <w:szCs w:val="32"/>
          <w:lang w:val="en-GB"/>
        </w:rPr>
        <w:t>Sustainable Hospitality &amp; Tourism Management</w:t>
      </w:r>
    </w:p>
    <w:p w14:paraId="78ADA49D" w14:textId="7C299C1D" w:rsidR="005E7AC2" w:rsidRDefault="005E7AC2" w:rsidP="005E7AC2">
      <w:pPr>
        <w:ind w:left="2160" w:firstLine="720"/>
        <w:rPr>
          <w:b/>
          <w:bCs/>
          <w:sz w:val="32"/>
          <w:szCs w:val="28"/>
        </w:rPr>
      </w:pPr>
    </w:p>
    <w:p w14:paraId="38912654" w14:textId="08D08EFA" w:rsidR="005E7AC2" w:rsidRDefault="005E7AC2" w:rsidP="005E7AC2">
      <w:pPr>
        <w:ind w:left="2880" w:firstLine="720"/>
        <w:rPr>
          <w:b/>
          <w:bCs/>
          <w:sz w:val="32"/>
          <w:szCs w:val="28"/>
        </w:rPr>
      </w:pPr>
      <w:r>
        <w:rPr>
          <w:b/>
          <w:bCs/>
          <w:sz w:val="32"/>
          <w:szCs w:val="28"/>
        </w:rPr>
        <w:t>BMIH5006</w:t>
      </w:r>
    </w:p>
    <w:p w14:paraId="337831C5" w14:textId="77777777" w:rsidR="005E7AC2" w:rsidRDefault="005E7AC2" w:rsidP="005E7AC2">
      <w:pPr>
        <w:jc w:val="center"/>
        <w:rPr>
          <w:b/>
          <w:bCs/>
          <w:sz w:val="32"/>
          <w:szCs w:val="28"/>
        </w:rPr>
      </w:pPr>
    </w:p>
    <w:p w14:paraId="251A1076" w14:textId="77777777" w:rsidR="005E7AC2" w:rsidRDefault="005E7AC2" w:rsidP="005E7AC2">
      <w:pPr>
        <w:jc w:val="center"/>
        <w:rPr>
          <w:rFonts w:eastAsia="Times New Roman"/>
          <w:color w:val="000000"/>
          <w:kern w:val="24"/>
          <w:sz w:val="36"/>
          <w:szCs w:val="36"/>
          <w:lang w:val="en-US"/>
        </w:rPr>
      </w:pPr>
      <w:r>
        <w:rPr>
          <w:b/>
          <w:bCs/>
          <w:sz w:val="32"/>
          <w:szCs w:val="28"/>
        </w:rPr>
        <w:t>Student Name: Maria Magdalena Radu</w:t>
      </w:r>
      <w:r w:rsidRPr="006F6E46">
        <w:rPr>
          <w:rFonts w:eastAsia="Times New Roman"/>
          <w:color w:val="000000"/>
          <w:kern w:val="24"/>
          <w:sz w:val="36"/>
          <w:szCs w:val="36"/>
          <w:lang w:val="en-US"/>
        </w:rPr>
        <w:t xml:space="preserve"> </w:t>
      </w:r>
    </w:p>
    <w:p w14:paraId="73F633B0" w14:textId="77777777" w:rsidR="005E7AC2" w:rsidRDefault="005E7AC2" w:rsidP="005E7AC2">
      <w:pPr>
        <w:jc w:val="center"/>
        <w:rPr>
          <w:rFonts w:eastAsia="Times New Roman"/>
          <w:b/>
          <w:bCs/>
          <w:color w:val="000000"/>
          <w:kern w:val="24"/>
          <w:sz w:val="32"/>
          <w:szCs w:val="32"/>
          <w:lang w:val="en-US"/>
        </w:rPr>
      </w:pPr>
      <w:r w:rsidRPr="006F6E46">
        <w:rPr>
          <w:rFonts w:eastAsia="Times New Roman"/>
          <w:b/>
          <w:bCs/>
          <w:color w:val="000000"/>
          <w:kern w:val="24"/>
          <w:sz w:val="32"/>
          <w:szCs w:val="32"/>
          <w:lang w:val="en-US"/>
        </w:rPr>
        <w:t>Student id: 2126508</w:t>
      </w:r>
    </w:p>
    <w:p w14:paraId="4729E950" w14:textId="77777777" w:rsidR="005E7AC2" w:rsidRDefault="005E7AC2" w:rsidP="005E7AC2">
      <w:pPr>
        <w:jc w:val="center"/>
        <w:rPr>
          <w:rFonts w:eastAsia="Times New Roman"/>
          <w:b/>
          <w:bCs/>
          <w:color w:val="000000"/>
          <w:kern w:val="24"/>
          <w:sz w:val="32"/>
          <w:szCs w:val="32"/>
          <w:lang w:val="en-US"/>
        </w:rPr>
      </w:pPr>
    </w:p>
    <w:p w14:paraId="2DE87E00" w14:textId="6F1E33AE" w:rsidR="005E7AC2" w:rsidRDefault="005E7AC2" w:rsidP="005E7AC2">
      <w:pPr>
        <w:jc w:val="center"/>
        <w:rPr>
          <w:rFonts w:eastAsia="Times New Roman"/>
          <w:b/>
          <w:bCs/>
          <w:color w:val="000000"/>
          <w:kern w:val="24"/>
          <w:sz w:val="32"/>
          <w:szCs w:val="32"/>
          <w:lang w:val="en-US"/>
        </w:rPr>
      </w:pPr>
      <w:r>
        <w:rPr>
          <w:rFonts w:eastAsia="Times New Roman"/>
          <w:b/>
          <w:bCs/>
          <w:color w:val="000000"/>
          <w:kern w:val="24"/>
          <w:sz w:val="32"/>
          <w:szCs w:val="32"/>
          <w:lang w:val="en-US"/>
        </w:rPr>
        <w:t>Lecturer: Kathryn Roberts</w:t>
      </w:r>
    </w:p>
    <w:p w14:paraId="4B369AF8" w14:textId="77777777" w:rsidR="005E7AC2" w:rsidRDefault="005E7AC2" w:rsidP="005E7AC2">
      <w:pPr>
        <w:jc w:val="center"/>
        <w:rPr>
          <w:rFonts w:eastAsia="Times New Roman"/>
          <w:b/>
          <w:bCs/>
          <w:color w:val="000000"/>
          <w:kern w:val="24"/>
          <w:sz w:val="32"/>
          <w:szCs w:val="32"/>
          <w:lang w:val="en-US"/>
        </w:rPr>
      </w:pPr>
    </w:p>
    <w:p w14:paraId="08E3F530" w14:textId="34CC8A59" w:rsidR="005E7AC2" w:rsidRDefault="005E7AC2" w:rsidP="005E7AC2">
      <w:pPr>
        <w:rPr>
          <w:b/>
          <w:bCs/>
          <w:sz w:val="32"/>
          <w:szCs w:val="28"/>
        </w:rPr>
      </w:pPr>
    </w:p>
    <w:p w14:paraId="2C41E4CA" w14:textId="77777777" w:rsidR="005E7AC2" w:rsidRPr="006F6E46" w:rsidRDefault="005E7AC2" w:rsidP="005E7AC2">
      <w:pPr>
        <w:jc w:val="center"/>
        <w:rPr>
          <w:b/>
          <w:bCs/>
          <w:sz w:val="32"/>
          <w:szCs w:val="32"/>
        </w:rPr>
      </w:pPr>
    </w:p>
    <w:p w14:paraId="76F2F59E" w14:textId="77777777" w:rsidR="005E7AC2" w:rsidRPr="00C77DD2" w:rsidRDefault="005E7AC2" w:rsidP="005E7AC2">
      <w:pPr>
        <w:jc w:val="center"/>
        <w:rPr>
          <w:b/>
          <w:bCs/>
          <w:sz w:val="32"/>
          <w:szCs w:val="28"/>
        </w:rPr>
      </w:pPr>
    </w:p>
    <w:p w14:paraId="5823755C" w14:textId="77777777" w:rsidR="005E7AC2" w:rsidRDefault="005E7AC2" w:rsidP="005E7AC2">
      <w:pPr>
        <w:spacing w:line="360" w:lineRule="auto"/>
        <w:jc w:val="both"/>
        <w:rPr>
          <w:sz w:val="24"/>
          <w:szCs w:val="24"/>
        </w:rPr>
      </w:pPr>
    </w:p>
    <w:p w14:paraId="635A303F" w14:textId="77777777" w:rsidR="005E7AC2" w:rsidRDefault="005E7AC2" w:rsidP="005E7AC2">
      <w:pPr>
        <w:spacing w:line="360" w:lineRule="auto"/>
        <w:jc w:val="both"/>
        <w:rPr>
          <w:sz w:val="24"/>
          <w:szCs w:val="24"/>
        </w:rPr>
      </w:pPr>
    </w:p>
    <w:p w14:paraId="15F9DB53" w14:textId="77777777" w:rsidR="005E7AC2" w:rsidRDefault="005E7AC2" w:rsidP="005E7AC2">
      <w:pPr>
        <w:spacing w:line="360" w:lineRule="auto"/>
        <w:jc w:val="both"/>
        <w:rPr>
          <w:sz w:val="24"/>
          <w:szCs w:val="24"/>
        </w:rPr>
      </w:pPr>
    </w:p>
    <w:p w14:paraId="2D5FAAFD" w14:textId="77777777" w:rsidR="005E7AC2" w:rsidRDefault="005E7AC2" w:rsidP="005E7AC2">
      <w:pPr>
        <w:spacing w:line="360" w:lineRule="auto"/>
        <w:jc w:val="both"/>
        <w:rPr>
          <w:sz w:val="24"/>
          <w:szCs w:val="24"/>
        </w:rPr>
      </w:pPr>
    </w:p>
    <w:p w14:paraId="4A2F695A" w14:textId="35F8A5F3" w:rsidR="005E7AC2" w:rsidRDefault="005E7AC2" w:rsidP="005E7AC2">
      <w:pPr>
        <w:spacing w:line="360" w:lineRule="auto"/>
        <w:jc w:val="center"/>
        <w:rPr>
          <w:b/>
          <w:sz w:val="50"/>
          <w:szCs w:val="50"/>
        </w:rPr>
      </w:pPr>
      <w:r>
        <w:br w:type="page"/>
      </w:r>
    </w:p>
    <w:p w14:paraId="36726CC0" w14:textId="77777777" w:rsidR="00BD59CF" w:rsidRPr="00BD59CF" w:rsidRDefault="00BD59CF" w:rsidP="00BD59CF">
      <w:pPr>
        <w:pStyle w:val="Normal1"/>
        <w:spacing w:after="240"/>
        <w:rPr>
          <w:lang w:val="en-GB"/>
        </w:rPr>
      </w:pPr>
      <w:r w:rsidRPr="00BD59CF">
        <w:rPr>
          <w:lang w:val="en-GB"/>
        </w:rPr>
        <w:lastRenderedPageBreak/>
        <w:t xml:space="preserve">Hospitality organisations in the present world that allow corporate social responsibility practices implement a circular economy system. This represents an economic model that helps maintain sustainability by the process of minimizing waste production (Cooper, 2020). The process also helps in efficient uses of resources within the hospitality sector to bring out better sustainability procedures. The adoption of a circular economic system within the hospitality sector implements the diversion from linear practices. </w:t>
      </w:r>
    </w:p>
    <w:p w14:paraId="7208B502" w14:textId="56660D6F" w:rsidR="00BD59CF" w:rsidRPr="00BD59CF" w:rsidRDefault="00BD59CF" w:rsidP="00BD59CF">
      <w:pPr>
        <w:pStyle w:val="Normal1"/>
        <w:spacing w:after="240"/>
        <w:rPr>
          <w:lang w:val="en-GB"/>
        </w:rPr>
      </w:pPr>
      <w:r w:rsidRPr="00BD59CF">
        <w:rPr>
          <w:lang w:val="en-GB"/>
        </w:rPr>
        <w:t xml:space="preserve">The current essay is focused on understanding the corporate social responsibility of Marriott International Hotels. It also helps in understanding the circular economy practices withheld within the organisation. The study helps in providing a detailed understanding of the circular economy in the corporate social responsibilities structure. A specific evaluation of the CSR determines the proposition value and the future focus towards the maintenance of sustainability. The essay also provides significant industry examples to enable a better circular economic approach in enhancing comparison with other organisations. The process helps in strategizing multiple processes to enable a better circular economy within Marriott hotels. </w:t>
      </w:r>
    </w:p>
    <w:p w14:paraId="53151439" w14:textId="77777777" w:rsidR="00BD59CF" w:rsidRPr="00BD59CF" w:rsidRDefault="00BD59CF" w:rsidP="00BD59CF">
      <w:pPr>
        <w:pStyle w:val="Normal1"/>
        <w:spacing w:after="240"/>
        <w:rPr>
          <w:lang w:val="en-GB"/>
        </w:rPr>
      </w:pPr>
      <w:r w:rsidRPr="00BD59CF">
        <w:rPr>
          <w:lang w:val="en-GB"/>
        </w:rPr>
        <w:t>The Understanding Of linear against circular economy can be well understood by focusing on the comparisons. Linear economy consists of traditional models that implement, extract, consume, and produce of disposable economy. The process is also implicit in the linear flow of resources within the organisation (</w:t>
      </w:r>
      <w:proofErr w:type="spellStart"/>
      <w:r w:rsidRPr="00BD59CF">
        <w:rPr>
          <w:lang w:val="en-GB"/>
        </w:rPr>
        <w:t>Haski</w:t>
      </w:r>
      <w:proofErr w:type="spellEnd"/>
      <w:r w:rsidRPr="00BD59CF">
        <w:rPr>
          <w:lang w:val="en-GB"/>
        </w:rPr>
        <w:t xml:space="preserve">-Leventhal, 2018). On the contrary, the ideation of a CE focuses on the minimization of waste and the maximization of valuing resources. The process of proportion, recycling and reusing of resources enables reduction of environmental impacts and maximization of net carbon zero. </w:t>
      </w:r>
    </w:p>
    <w:p w14:paraId="6AB5AA58" w14:textId="77777777" w:rsidR="00BD59CF" w:rsidRPr="00BD59CF" w:rsidRDefault="00BD59CF" w:rsidP="00BD59CF">
      <w:pPr>
        <w:pStyle w:val="Normal1"/>
        <w:spacing w:after="240"/>
        <w:rPr>
          <w:lang w:val="en-GB"/>
        </w:rPr>
      </w:pPr>
      <w:r w:rsidRPr="00BD59CF">
        <w:rPr>
          <w:lang w:val="en-GB"/>
        </w:rPr>
        <w:t xml:space="preserve">An understanding of the key principles involves design and sustainability, to develop specific products and services that possess the value of reliability and longevity. The approach of signifying resource efficiency is an integral part of utilising circular economy within the corporate social responsibility approaches (Davies and Egas, 2022). The optimisation of resources has been integral towards the minimisation of waste. The process also founders upon the utilisation of materials in a recyclable manner. The relation can be well signified in the case of hospitality organisations in terms of daily use items and kitchen wastage. The value of a CE system can be </w:t>
      </w:r>
      <w:r w:rsidRPr="00BD59CF">
        <w:rPr>
          <w:lang w:val="en-GB"/>
        </w:rPr>
        <w:lastRenderedPageBreak/>
        <w:t>understood by observing the benefits that it provides within hospitality organisations like Marriott (Antón and Almeida, 2019).</w:t>
      </w:r>
    </w:p>
    <w:p w14:paraId="5654D16D" w14:textId="77777777" w:rsidR="00BD59CF" w:rsidRPr="00BD59CF" w:rsidRDefault="00BD59CF" w:rsidP="00BD59CF">
      <w:pPr>
        <w:pStyle w:val="Normal1"/>
        <w:spacing w:after="240"/>
        <w:rPr>
          <w:lang w:val="en-GB"/>
        </w:rPr>
      </w:pPr>
      <w:r w:rsidRPr="00BD59CF">
        <w:rPr>
          <w:lang w:val="en-GB"/>
        </w:rPr>
        <w:t xml:space="preserve">Signifying the cost-saving approach, the reduction of resource consumption and the minimization of waste disposal costs are some of the vital approaches. The process also helps in enlarging the brand image by developing an enhanced reputation for demonstrating the commitment towards effective sustainability. </w:t>
      </w:r>
    </w:p>
    <w:p w14:paraId="21F26B34" w14:textId="444BDD9C" w:rsidR="00BD59CF" w:rsidRPr="00BD59CF" w:rsidRDefault="00BD59CF" w:rsidP="00BD59CF">
      <w:pPr>
        <w:pStyle w:val="Normal1"/>
        <w:spacing w:after="240"/>
        <w:rPr>
          <w:lang w:val="en-GB"/>
        </w:rPr>
      </w:pPr>
      <w:r w:rsidRPr="00BD59CF">
        <w:rPr>
          <w:lang w:val="en-GB"/>
        </w:rPr>
        <w:t>The significance of increased resilience and mitigation of resource scarcity is also terms as a major approach in maintaining the regulatory changes by implementing a circular economic system. The identification of circular practices through the process of waste reduction has also been observed to be minimised by single-use plastics and their adoption of specific recycling programs (</w:t>
      </w:r>
      <w:proofErr w:type="spellStart"/>
      <w:r w:rsidRPr="00BD59CF">
        <w:rPr>
          <w:lang w:val="en-GB"/>
        </w:rPr>
        <w:t>Kucukusta</w:t>
      </w:r>
      <w:proofErr w:type="spellEnd"/>
      <w:r w:rsidRPr="00BD59CF">
        <w:rPr>
          <w:lang w:val="en-GB"/>
        </w:rPr>
        <w:t>, Mak, and Chan, 2022). On the other hand, the approach to energy efficiency has been improvised by the implementation of energy-saving technology and practices. The focus towards sustainable sourcing by selecting the suppliers for the organisation helps in the significant environmental development of friendly practices. According to the case study observations of other organisations, the process of exploring examples has successfully enhanced circular economic practices within the hospital Industry. The process of highlighting multiple organisations for the implementation of sustainable initiatives enhances the circumference of positive outcomes within hospitality organisations.</w:t>
      </w:r>
    </w:p>
    <w:p w14:paraId="6C076DD9" w14:textId="77777777" w:rsidR="00BD59CF" w:rsidRPr="00BD59CF" w:rsidRDefault="00BD59CF" w:rsidP="00BD59CF">
      <w:pPr>
        <w:pStyle w:val="Normal1"/>
        <w:spacing w:after="240"/>
        <w:rPr>
          <w:lang w:val="en-GB"/>
        </w:rPr>
      </w:pPr>
      <w:r w:rsidRPr="00BD59CF">
        <w:rPr>
          <w:lang w:val="en-GB"/>
        </w:rPr>
        <w:t xml:space="preserve">The implementation of a circular economy within the CSR system of Marriott International Hotels can be signified by identifying the background of the organisation. Marriott International is one of the greatest Global hospitality organisations that has been operating in more than 125 countries (Liang, Watters and </w:t>
      </w:r>
      <w:proofErr w:type="spellStart"/>
      <w:r w:rsidRPr="00BD59CF">
        <w:rPr>
          <w:lang w:val="en-GB"/>
        </w:rPr>
        <w:t>Lemański</w:t>
      </w:r>
      <w:proofErr w:type="spellEnd"/>
      <w:r w:rsidRPr="00BD59CF">
        <w:rPr>
          <w:lang w:val="en-GB"/>
        </w:rPr>
        <w:t>, 2022). The recognition of global responsibilities helps develop unique opportunities for the brand for a positive impact on the world. According to the chief Global officer of Marriott International, the organisation aims to bring about good by incorporating an effective environment and social initiative. The routing of this initiative within their business practices.</w:t>
      </w:r>
    </w:p>
    <w:p w14:paraId="740E145E" w14:textId="77777777" w:rsidR="00BD59CF" w:rsidRPr="00BD59CF" w:rsidRDefault="00BD59CF" w:rsidP="00BD59CF">
      <w:pPr>
        <w:pStyle w:val="Normal1"/>
        <w:spacing w:after="240"/>
        <w:rPr>
          <w:lang w:val="en-GB"/>
        </w:rPr>
      </w:pPr>
      <w:r w:rsidRPr="00BD59CF">
        <w:rPr>
          <w:lang w:val="en-GB"/>
        </w:rPr>
        <w:t xml:space="preserve">The approach of Corporate Social Responsibility is guided by the Sustainability Development Goals organisation, and it has introduced a Serve 360 program for </w:t>
      </w:r>
      <w:r w:rsidRPr="00BD59CF">
        <w:rPr>
          <w:lang w:val="en-GB"/>
        </w:rPr>
        <w:lastRenderedPageBreak/>
        <w:t>Marriott. The process helps in developing a comprehensive initiative towards the guidance of the commitment of CSR and delivering positive results in high-priority areas (Marriott, 2019).</w:t>
      </w:r>
    </w:p>
    <w:p w14:paraId="5B3041C6" w14:textId="77777777" w:rsidR="00BD59CF" w:rsidRPr="00BD59CF" w:rsidRDefault="00BD59CF" w:rsidP="00BD59CF">
      <w:pPr>
        <w:pStyle w:val="Normal1"/>
        <w:spacing w:after="240"/>
        <w:rPr>
          <w:lang w:val="en-GB"/>
        </w:rPr>
      </w:pPr>
      <w:r w:rsidRPr="00BD59CF">
        <w:rPr>
          <w:lang w:val="en-GB"/>
        </w:rPr>
        <w:t xml:space="preserve">The focus of the organisation's multiple sectors in Corporate Social Responsibility involves the development of the world, sustaining responsible operations, creating various opportunities for empowerment, and protecting older and ushering in new human rights. </w:t>
      </w:r>
    </w:p>
    <w:p w14:paraId="65582ADC" w14:textId="77777777" w:rsidR="00BD59CF" w:rsidRPr="00BD59CF" w:rsidRDefault="00BD59CF" w:rsidP="00BD59CF">
      <w:pPr>
        <w:pStyle w:val="Normal1"/>
        <w:spacing w:after="240"/>
        <w:rPr>
          <w:lang w:val="en-GB"/>
        </w:rPr>
      </w:pPr>
      <w:r w:rsidRPr="00BD59CF">
        <w:rPr>
          <w:i/>
          <w:lang w:val="en-GB"/>
        </w:rPr>
        <w:t xml:space="preserve">Nurturing World </w:t>
      </w:r>
      <w:r w:rsidRPr="00BD59CF">
        <w:rPr>
          <w:lang w:val="en-GB"/>
        </w:rPr>
        <w:t xml:space="preserve">Has been one of the advancing resilience sea development programmes to the community of the supply chain involved by Marriott. The significance of sustainable operations by Marriott is committed towards the reduction of environmental impacts and the sourcing of responsible and constructing processes. The significance of operating sustainable hotels also enhances the empowerment of opportunities (Marriott, 2023). The organisation aims to help people prepare for jobs within the hospitality sector. The approach of Marriott is highly dedicated towards the creation of a specific welcoming environment for both the Associates and the consumers of their brand. </w:t>
      </w:r>
    </w:p>
    <w:p w14:paraId="02712346" w14:textId="77777777" w:rsidR="00BD59CF" w:rsidRPr="00BD59CF" w:rsidRDefault="00BD59CF" w:rsidP="00BD59CF">
      <w:pPr>
        <w:pStyle w:val="Normal1"/>
        <w:spacing w:after="240"/>
        <w:rPr>
          <w:lang w:val="en-GB"/>
        </w:rPr>
      </w:pPr>
      <w:r w:rsidRPr="00BD59CF">
        <w:rPr>
          <w:lang w:val="en-GB"/>
        </w:rPr>
        <w:t>The implementation of a CE signifies ambitious goals and an onset reduction of water usage by 15%, carbon emission by 30% reduction of food waste by 50% and other wastages by 45%. The contribution of the organisation is possible due to the 25% skill-based labour and the capitalisation of personal talents. The endorsement of sustainability practices and the implementation of a circular economy to enhance proper resource utilization has been one of the core business skills of the organisation (</w:t>
      </w:r>
      <w:proofErr w:type="spellStart"/>
      <w:r w:rsidRPr="00BD59CF">
        <w:rPr>
          <w:lang w:val="en-GB"/>
        </w:rPr>
        <w:t>Kucukusta</w:t>
      </w:r>
      <w:proofErr w:type="spellEnd"/>
      <w:r w:rsidRPr="00BD59CF">
        <w:rPr>
          <w:lang w:val="en-GB"/>
        </w:rPr>
        <w:t xml:space="preserve">, Mak, and Chan, 2022). The process of training every associate to recognise the science of human trafficking has been one of the initiatives by Marriott to assertive and overall approach towards corporate social responsibility. Embedding the criteria of human rights within the organisation efficiently helps in sourcing policies.  </w:t>
      </w:r>
    </w:p>
    <w:p w14:paraId="4962F6BE" w14:textId="77777777" w:rsidR="00BD59CF" w:rsidRPr="00BD59CF" w:rsidRDefault="00BD59CF" w:rsidP="00BD59CF">
      <w:pPr>
        <w:pStyle w:val="Normal1"/>
        <w:spacing w:after="240"/>
        <w:rPr>
          <w:i/>
          <w:lang w:val="en-GB"/>
        </w:rPr>
      </w:pPr>
      <w:r w:rsidRPr="00BD59CF">
        <w:rPr>
          <w:i/>
          <w:lang w:val="en-GB"/>
        </w:rPr>
        <w:t>Evaluation and review of Marriott CSR Policy</w:t>
      </w:r>
    </w:p>
    <w:p w14:paraId="74A0A759" w14:textId="77777777" w:rsidR="00BD59CF" w:rsidRPr="00BD59CF" w:rsidRDefault="00BD59CF" w:rsidP="00BD59CF">
      <w:pPr>
        <w:pStyle w:val="Normal1"/>
        <w:spacing w:after="240"/>
        <w:rPr>
          <w:lang w:val="en-GB"/>
        </w:rPr>
      </w:pPr>
      <w:r w:rsidRPr="00BD59CF">
        <w:rPr>
          <w:lang w:val="en-GB"/>
        </w:rPr>
        <w:t>The evaluation of Marriott's corporate social responsibility policies by Serve 360 reflects on its commitment to sustainability. The ideation of social responsibilities and ethical business practices by the organisation enables the better standing of a circular economic system.</w:t>
      </w:r>
    </w:p>
    <w:p w14:paraId="5240E762" w14:textId="77777777" w:rsidR="00BD59CF" w:rsidRPr="00BD59CF" w:rsidRDefault="00BD59CF" w:rsidP="00BD59CF">
      <w:pPr>
        <w:pStyle w:val="Normal1"/>
        <w:spacing w:after="240"/>
        <w:rPr>
          <w:lang w:val="en-GB"/>
        </w:rPr>
      </w:pPr>
      <w:r w:rsidRPr="00BD59CF">
        <w:rPr>
          <w:lang w:val="en-GB"/>
        </w:rPr>
        <w:lastRenderedPageBreak/>
        <w:t>The identification of the strings of CSR at Marriott helps in determining a better approach towards the implementation of the circular economy. The comprehensive approach of the Marriott 360 initiative helps cover vast prospects of sustainability and social responsibility (Xie, 2024). The significance of interesting environmental impacts and community development with human rights enables the associative well-being of the organisation. The adherence to measuring targets and maintenance of ambitious goals helps in reducing the water and energy consumption process within the organisation. The goals of the organisation also focus on the management of waste and food waste to enhance these sustainability measures. The demonstration of the goals signifies the commitment to making a meaningful impact in nature and enhancing the reputation of the organisation.</w:t>
      </w:r>
    </w:p>
    <w:p w14:paraId="1EF983BA" w14:textId="77777777" w:rsidR="00BD59CF" w:rsidRPr="00BD59CF" w:rsidRDefault="00BD59CF" w:rsidP="00BD59CF">
      <w:pPr>
        <w:pStyle w:val="Normal1"/>
        <w:spacing w:after="240"/>
        <w:rPr>
          <w:lang w:val="en-GB"/>
        </w:rPr>
      </w:pPr>
      <w:r w:rsidRPr="00BD59CF">
        <w:rPr>
          <w:lang w:val="en-GB"/>
        </w:rPr>
        <w:t xml:space="preserve">The significant attention to abiding human rights and training programs for every employee has enabled Marriott to meet CSR protocols. The awareness of human rights processes impacts the identification of human trafficking issues and the addressing of serious global issues at multiple levels (Kim, Milliman, and Lucas, 2021). The alignment of the comprehensive dedication of the organisation by creating a specified safe environment allows both organisations to empower guests. The integration of sustainable practices allows the circular economy to help in embedding human rights criteria of the treatment. Marriott also helps with sourcing policies and indicating commitments to ethical business practices towards the maintenance of their supply chain. The implication of global perspectives and the acknowledgement of global responsibility incorporation with the United Nations sustainable development goals enable the repetition of the organisation. The adoption of these procedures signifies a commitment to addressing global challenges over a broader scale. </w:t>
      </w:r>
    </w:p>
    <w:p w14:paraId="653F4A57" w14:textId="77777777" w:rsidR="00BD59CF" w:rsidRPr="00BD59CF" w:rsidRDefault="00BD59CF" w:rsidP="00BD59CF">
      <w:pPr>
        <w:pStyle w:val="Normal1"/>
        <w:spacing w:after="240"/>
        <w:rPr>
          <w:lang w:val="en-GB"/>
        </w:rPr>
      </w:pPr>
      <w:r w:rsidRPr="00BD59CF">
        <w:rPr>
          <w:lang w:val="en-GB"/>
        </w:rPr>
        <w:t xml:space="preserve">The maintenance of communication and transparency at Marriott implements the CSR efforts to focus on the Serve 360 program. The ease of information accessibility to the stakeholders of the organisation plays a vital role in maintaining trust factors and enhancing the value of the organisation (Yu, </w:t>
      </w:r>
      <w:proofErr w:type="spellStart"/>
      <w:r w:rsidRPr="00BD59CF">
        <w:rPr>
          <w:lang w:val="en-GB"/>
        </w:rPr>
        <w:t>Lho</w:t>
      </w:r>
      <w:proofErr w:type="spellEnd"/>
      <w:r w:rsidRPr="00BD59CF">
        <w:rPr>
          <w:lang w:val="en-GB"/>
        </w:rPr>
        <w:t xml:space="preserve">, and Han, 2022). The process of regular reporting and the sharing of goals on the website demonstrate the high level of transparency within the organisation. The process also initiates funding processes from multiple investors over the trusted ground to enhance corporate social responsibility grounds. </w:t>
      </w:r>
    </w:p>
    <w:p w14:paraId="39F7B32C" w14:textId="5789944C" w:rsidR="00BD59CF" w:rsidRPr="00BD59CF" w:rsidRDefault="00BD59CF" w:rsidP="00BD59CF">
      <w:pPr>
        <w:pStyle w:val="Normal1"/>
        <w:spacing w:after="240"/>
        <w:rPr>
          <w:lang w:val="en-GB"/>
        </w:rPr>
      </w:pPr>
      <w:r w:rsidRPr="00BD59CF">
        <w:rPr>
          <w:lang w:val="en-GB"/>
        </w:rPr>
        <w:lastRenderedPageBreak/>
        <w:t xml:space="preserve">It is through the addressing of the benefits that Marriott is witnessing through the implementation of specific CSR policies that the identification of areas of improvement can be determined. To benefit more from the practices that are witnessed by the organisation, the period of goals is an eminent process. The ambitious CSR representative of Marriott has been targeting the goals of 2025. The organisation plans to provide an interim progress update to display the maintenance of accountability. The primary approach to this process is engagement with the supply chain. The maintenance of the policies within the CSR initiative helps in a wedding human rights criterion for social policy. The countering factor observed here is the demand for detailed information on the engagement of the global Supply Chain Management process. The identification of the sustainability Practices and the ethical approaches ascertains an understanding of future developments. The involvement of the associates within the CSR policies helps in emphasising the associate training programs and involvement in encouraging and contributing to training. The final prospect of stakeholders and engagement can prove to be a more detailed objective for Marriott to engage in the local community. The involvement of NGOs and governments turns towards holistic and inclusive sustainability progress. </w:t>
      </w:r>
    </w:p>
    <w:p w14:paraId="6EA17539" w14:textId="77777777" w:rsidR="00BD59CF" w:rsidRPr="00BD59CF" w:rsidRDefault="00BD59CF" w:rsidP="00BD59CF">
      <w:pPr>
        <w:pStyle w:val="Normal1"/>
        <w:spacing w:after="240"/>
        <w:rPr>
          <w:lang w:val="en-GB"/>
        </w:rPr>
      </w:pPr>
      <w:r w:rsidRPr="00BD59CF">
        <w:rPr>
          <w:lang w:val="en-GB"/>
        </w:rPr>
        <w:t>The implementation of a CE is specifically observed in multiple organisations that practice corporate social responsibility. The demonstration of the initiative helps in implementing innovative approaches and sustainable practices within the organisation. The providence of examples helps in determining better concepts of CE in other organisations that are closely related to the hospitality sector.</w:t>
      </w:r>
    </w:p>
    <w:p w14:paraId="431B0E88" w14:textId="77777777" w:rsidR="00BD59CF" w:rsidRPr="00BD59CF" w:rsidRDefault="00BD59CF" w:rsidP="00BD59CF">
      <w:pPr>
        <w:pStyle w:val="Normal1"/>
        <w:spacing w:after="240"/>
        <w:rPr>
          <w:lang w:val="en-GB"/>
        </w:rPr>
      </w:pPr>
      <w:r w:rsidRPr="00BD59CF">
        <w:rPr>
          <w:i/>
          <w:lang w:val="en-GB"/>
        </w:rPr>
        <w:t>Fashion and Apparel:</w:t>
      </w:r>
      <w:r w:rsidRPr="00BD59CF">
        <w:rPr>
          <w:lang w:val="en-GB"/>
        </w:rPr>
        <w:t xml:space="preserve"> Patagonia has been one of the major contributing organisations that encourages the repairing and recycling of products. The ideation is closely related to the maintenance of a circular economy and the inheritance of corporate social responsibility. The organisation also implements in programs and maintenance of sustainability materials in the clothing line. The significance of the Worn Wear Program enables the promotion of buying and selling of Patagonia gears.</w:t>
      </w:r>
    </w:p>
    <w:p w14:paraId="000956F2" w14:textId="77777777" w:rsidR="00BD59CF" w:rsidRPr="00BD59CF" w:rsidRDefault="00BD59CF" w:rsidP="00BD59CF">
      <w:pPr>
        <w:pStyle w:val="Normal1"/>
        <w:spacing w:after="240"/>
        <w:rPr>
          <w:lang w:val="en-GB"/>
        </w:rPr>
      </w:pPr>
      <w:r w:rsidRPr="00BD59CF">
        <w:rPr>
          <w:lang w:val="en-GB"/>
        </w:rPr>
        <w:t xml:space="preserve">Electronic technologies: The implementation of electronic Technology organisations like Dell is closely linked with the recycling systems. The organisation utilises old electronics and collects these assembled parts and components for the process of utilisation (Lund-Durlacher, 2020). The development of new products within Dell </w:t>
      </w:r>
      <w:r w:rsidRPr="00BD59CF">
        <w:rPr>
          <w:lang w:val="en-GB"/>
        </w:rPr>
        <w:lastRenderedPageBreak/>
        <w:t xml:space="preserve">enables the implementation of a circular economic system within the organisation. The significance of enhancing sustainable materials and manufacturing specified processes helps in meeting the initiatives of the circular economy. </w:t>
      </w:r>
    </w:p>
    <w:p w14:paraId="54094A08" w14:textId="063FCC6B" w:rsidR="00BD59CF" w:rsidRPr="00BD59CF" w:rsidRDefault="00BD59CF" w:rsidP="00BD59CF">
      <w:pPr>
        <w:pStyle w:val="Normal1"/>
        <w:spacing w:after="240"/>
        <w:rPr>
          <w:lang w:val="en-GB"/>
        </w:rPr>
      </w:pPr>
      <w:r w:rsidRPr="00BD59CF">
        <w:rPr>
          <w:lang w:val="en-GB"/>
        </w:rPr>
        <w:t xml:space="preserve">Automotive: Renault has been one of the major players in remanufacturing and refurbishing vehicles from an end-to-end life system (Jaeger and Upadhyay, 2020). The significance of aiming to increase recycled materials in their cars helps in impressing the economic system of the organisation. The significance of entertaining the development of a circular economy through the implementation of electric vehicle batteries has been one of the major achievements of the organisation. The implementation of the circular practices helps in promoting better corporate social responsibility for Renault (Arruda </w:t>
      </w:r>
      <w:r w:rsidRPr="00BD59CF">
        <w:rPr>
          <w:i/>
          <w:lang w:val="en-GB"/>
        </w:rPr>
        <w:t>et al.</w:t>
      </w:r>
      <w:r w:rsidRPr="00BD59CF">
        <w:rPr>
          <w:lang w:val="en-GB"/>
        </w:rPr>
        <w:t xml:space="preserve">, 2021).  </w:t>
      </w:r>
    </w:p>
    <w:p w14:paraId="0369E6E6" w14:textId="77777777" w:rsidR="00BD59CF" w:rsidRPr="00BD59CF" w:rsidRDefault="00BD59CF" w:rsidP="00BD59CF">
      <w:pPr>
        <w:pStyle w:val="Normal1"/>
        <w:spacing w:after="240"/>
        <w:rPr>
          <w:lang w:val="en-GB"/>
        </w:rPr>
      </w:pPr>
      <w:r w:rsidRPr="00BD59CF">
        <w:rPr>
          <w:lang w:val="en-GB"/>
        </w:rPr>
        <w:t xml:space="preserve">It is concluded, that in the present day, the application of a circular economy is highly essential for organisations to develop. The focus of organisations and multinational companies towards the implementation of effective CSR to develop the repetition is on priority. Apart from that, the initiative of the government to reach out to net carbon zero emissions in 2013 has been one of the integral factors in enhancing the implementation of CSR processes. The significance of entertaining creative sustainability materials when in the hospitality sector helps in effective waste reduction. The implementation of new technology and enhancement guides the organisation's human resource development process and ascertains the approachability towards a better organization. </w:t>
      </w:r>
    </w:p>
    <w:p w14:paraId="10CBC120" w14:textId="77777777" w:rsidR="00BD59CF" w:rsidRPr="00BD59CF" w:rsidRDefault="00BD59CF" w:rsidP="00BD59CF">
      <w:pPr>
        <w:pStyle w:val="Heading1"/>
        <w:spacing w:after="240" w:line="360" w:lineRule="auto"/>
        <w:rPr>
          <w:rFonts w:ascii="Arial" w:eastAsia="Arial" w:hAnsi="Arial" w:cs="Arial"/>
          <w:color w:val="auto"/>
          <w:sz w:val="24"/>
          <w:szCs w:val="24"/>
        </w:rPr>
      </w:pPr>
      <w:r w:rsidRPr="00BD59CF">
        <w:rPr>
          <w:rFonts w:ascii="Times New Roman" w:eastAsia="Times New Roman" w:hAnsi="Times New Roman" w:cs="Times New Roman"/>
          <w:b/>
          <w:color w:val="auto"/>
          <w:sz w:val="24"/>
          <w:szCs w:val="24"/>
        </w:rPr>
        <w:br w:type="page"/>
      </w:r>
      <w:bookmarkStart w:id="0" w:name="_t9bwu67ezhhd"/>
      <w:bookmarkEnd w:id="0"/>
    </w:p>
    <w:p w14:paraId="73BCAB9C" w14:textId="77777777" w:rsidR="00BD59CF" w:rsidRPr="00BD59CF" w:rsidRDefault="00BD59CF" w:rsidP="00BD59CF">
      <w:pPr>
        <w:pStyle w:val="Heading1"/>
        <w:spacing w:after="240" w:line="360" w:lineRule="auto"/>
        <w:rPr>
          <w:rFonts w:ascii="Arial" w:eastAsia="Arial" w:hAnsi="Arial" w:cs="Arial"/>
          <w:color w:val="auto"/>
          <w:sz w:val="24"/>
          <w:szCs w:val="24"/>
        </w:rPr>
      </w:pPr>
      <w:bookmarkStart w:id="1" w:name="_Toc157034744"/>
      <w:r w:rsidRPr="00BD59CF">
        <w:rPr>
          <w:rFonts w:ascii="Arial" w:eastAsia="Arial" w:hAnsi="Arial" w:cs="Arial"/>
          <w:color w:val="auto"/>
          <w:sz w:val="24"/>
          <w:szCs w:val="24"/>
        </w:rPr>
        <w:lastRenderedPageBreak/>
        <w:t>References</w:t>
      </w:r>
      <w:bookmarkEnd w:id="1"/>
    </w:p>
    <w:p w14:paraId="28106859" w14:textId="77777777" w:rsidR="00BD59CF" w:rsidRPr="00BD59CF" w:rsidRDefault="00BD59CF" w:rsidP="00BD59CF">
      <w:pPr>
        <w:pStyle w:val="Normal1"/>
        <w:spacing w:after="240"/>
        <w:rPr>
          <w:lang w:val="en-GB"/>
        </w:rPr>
      </w:pPr>
      <w:r w:rsidRPr="00BD59CF">
        <w:rPr>
          <w:lang w:val="en-GB"/>
        </w:rPr>
        <w:t xml:space="preserve">Antón, R. and Almeida, A. (2019) ‘The Circular Economy Strategy in Hospitality: A </w:t>
      </w:r>
      <w:proofErr w:type="spellStart"/>
      <w:r w:rsidRPr="00BD59CF">
        <w:rPr>
          <w:lang w:val="en-GB"/>
        </w:rPr>
        <w:t>Multicase</w:t>
      </w:r>
      <w:proofErr w:type="spellEnd"/>
      <w:r w:rsidRPr="00BD59CF">
        <w:rPr>
          <w:lang w:val="en-GB"/>
        </w:rPr>
        <w:t xml:space="preserve"> Approach’, </w:t>
      </w:r>
      <w:r w:rsidRPr="00BD59CF">
        <w:rPr>
          <w:i/>
          <w:lang w:val="en-GB"/>
        </w:rPr>
        <w:t>Sustainability</w:t>
      </w:r>
      <w:r w:rsidRPr="00BD59CF">
        <w:rPr>
          <w:lang w:val="en-GB"/>
        </w:rPr>
        <w:t>, 11(20), p. 5665. DOI: https://doi.org/10.3390/su11205665.</w:t>
      </w:r>
    </w:p>
    <w:p w14:paraId="187FEEBC" w14:textId="77777777" w:rsidR="00BD59CF" w:rsidRPr="00BD59CF" w:rsidRDefault="00BD59CF" w:rsidP="00BD59CF">
      <w:pPr>
        <w:pStyle w:val="Normal1"/>
        <w:spacing w:after="240"/>
        <w:rPr>
          <w:lang w:val="en-GB"/>
        </w:rPr>
      </w:pPr>
      <w:r w:rsidRPr="00BD59CF">
        <w:rPr>
          <w:lang w:val="en-GB"/>
        </w:rPr>
        <w:t xml:space="preserve">Arruda, E. H. </w:t>
      </w:r>
      <w:r w:rsidRPr="00BD59CF">
        <w:rPr>
          <w:i/>
          <w:lang w:val="en-GB"/>
        </w:rPr>
        <w:t>et al.</w:t>
      </w:r>
      <w:r w:rsidRPr="00BD59CF">
        <w:rPr>
          <w:lang w:val="en-GB"/>
        </w:rPr>
        <w:t xml:space="preserve"> (2021) ‘Circular Economy: A Brief Literature Review (2015-2020)’, </w:t>
      </w:r>
      <w:r w:rsidRPr="00BD59CF">
        <w:rPr>
          <w:i/>
          <w:lang w:val="en-GB"/>
        </w:rPr>
        <w:t>Sustainable Operations and Computers</w:t>
      </w:r>
      <w:r w:rsidRPr="00BD59CF">
        <w:rPr>
          <w:lang w:val="en-GB"/>
        </w:rPr>
        <w:t>, 2. DOI: https://doi.org/10.1016/j.susoc.2021.05.001.</w:t>
      </w:r>
    </w:p>
    <w:p w14:paraId="7EF651F3" w14:textId="77777777" w:rsidR="00BD59CF" w:rsidRPr="00BD59CF" w:rsidRDefault="00BD59CF" w:rsidP="00BD59CF">
      <w:pPr>
        <w:pStyle w:val="Normal1"/>
        <w:spacing w:after="240"/>
        <w:rPr>
          <w:lang w:val="en-GB"/>
        </w:rPr>
      </w:pPr>
      <w:r w:rsidRPr="00BD59CF">
        <w:rPr>
          <w:lang w:val="en-GB"/>
        </w:rPr>
        <w:t xml:space="preserve">Cooper, C. (2020) </w:t>
      </w:r>
      <w:r w:rsidRPr="00BD59CF">
        <w:rPr>
          <w:i/>
          <w:lang w:val="en-GB"/>
        </w:rPr>
        <w:t>Essentials of Tourism</w:t>
      </w:r>
      <w:r w:rsidRPr="00BD59CF">
        <w:rPr>
          <w:lang w:val="en-GB"/>
        </w:rPr>
        <w:t xml:space="preserve">. 3rd </w:t>
      </w:r>
      <w:proofErr w:type="spellStart"/>
      <w:r w:rsidRPr="00BD59CF">
        <w:rPr>
          <w:lang w:val="en-GB"/>
        </w:rPr>
        <w:t>edn</w:t>
      </w:r>
      <w:proofErr w:type="spellEnd"/>
      <w:r w:rsidRPr="00BD59CF">
        <w:rPr>
          <w:lang w:val="en-GB"/>
        </w:rPr>
        <w:t xml:space="preserve">, </w:t>
      </w:r>
      <w:proofErr w:type="spellStart"/>
      <w:r w:rsidRPr="00BD59CF">
        <w:rPr>
          <w:i/>
          <w:lang w:val="en-GB"/>
        </w:rPr>
        <w:t>Perlego</w:t>
      </w:r>
      <w:proofErr w:type="spellEnd"/>
      <w:r w:rsidRPr="00BD59CF">
        <w:rPr>
          <w:lang w:val="en-GB"/>
        </w:rPr>
        <w:t>. 3rd ed. SAGE Publications Ltd. Available at: https://www.perlego.com/book/3271708/essentials-of-tourism-pdf (Accessed: 24 January 2024).</w:t>
      </w:r>
    </w:p>
    <w:p w14:paraId="4AB2C532" w14:textId="77777777" w:rsidR="00BD59CF" w:rsidRPr="00BD59CF" w:rsidRDefault="00BD59CF" w:rsidP="00BD59CF">
      <w:pPr>
        <w:pStyle w:val="Normal1"/>
        <w:spacing w:after="240"/>
        <w:rPr>
          <w:lang w:val="en-GB"/>
        </w:rPr>
      </w:pPr>
      <w:r w:rsidRPr="00BD59CF">
        <w:rPr>
          <w:lang w:val="en-GB"/>
        </w:rPr>
        <w:t xml:space="preserve">Davies, S. J. and Egas, J. L. (2022) ‘Do social corporate responsibility initiatives help to promote circular economic activity and quality of work life for employees?’, </w:t>
      </w:r>
      <w:r w:rsidRPr="00BD59CF">
        <w:rPr>
          <w:i/>
          <w:lang w:val="en-GB"/>
        </w:rPr>
        <w:t>Worldwide Hospitality and Tourism Themes</w:t>
      </w:r>
      <w:r w:rsidRPr="00BD59CF">
        <w:rPr>
          <w:lang w:val="en-GB"/>
        </w:rPr>
        <w:t xml:space="preserve">, 14(3), pp. 221–235. </w:t>
      </w:r>
      <w:proofErr w:type="spellStart"/>
      <w:r w:rsidRPr="00BD59CF">
        <w:rPr>
          <w:lang w:val="en-GB"/>
        </w:rPr>
        <w:t>doi</w:t>
      </w:r>
      <w:proofErr w:type="spellEnd"/>
      <w:r w:rsidRPr="00BD59CF">
        <w:rPr>
          <w:lang w:val="en-GB"/>
        </w:rPr>
        <w:t>: https://doi.org/10.1108/whatt-02-2022-0018.</w:t>
      </w:r>
    </w:p>
    <w:p w14:paraId="4743FAFC" w14:textId="77777777" w:rsidR="00BD59CF" w:rsidRPr="00BD59CF" w:rsidRDefault="00BD59CF" w:rsidP="00BD59CF">
      <w:pPr>
        <w:pStyle w:val="Normal1"/>
        <w:spacing w:after="240"/>
        <w:rPr>
          <w:lang w:val="en-GB"/>
        </w:rPr>
      </w:pPr>
      <w:proofErr w:type="spellStart"/>
      <w:r w:rsidRPr="00BD59CF">
        <w:rPr>
          <w:lang w:val="en-GB"/>
        </w:rPr>
        <w:t>Haski</w:t>
      </w:r>
      <w:proofErr w:type="spellEnd"/>
      <w:r w:rsidRPr="00BD59CF">
        <w:rPr>
          <w:lang w:val="en-GB"/>
        </w:rPr>
        <w:t xml:space="preserve">-Leventhal, D. (2018) </w:t>
      </w:r>
      <w:r w:rsidRPr="00BD59CF">
        <w:rPr>
          <w:i/>
          <w:lang w:val="en-GB"/>
        </w:rPr>
        <w:t>Strategic corporate social responsibility: tools &amp; theories for responsible management</w:t>
      </w:r>
      <w:r w:rsidRPr="00BD59CF">
        <w:rPr>
          <w:lang w:val="en-GB"/>
        </w:rPr>
        <w:t xml:space="preserve">, </w:t>
      </w:r>
      <w:r w:rsidRPr="00BD59CF">
        <w:rPr>
          <w:i/>
          <w:lang w:val="en-GB"/>
        </w:rPr>
        <w:t>researchers.mq.edu.au</w:t>
      </w:r>
      <w:r w:rsidRPr="00BD59CF">
        <w:rPr>
          <w:lang w:val="en-GB"/>
        </w:rPr>
        <w:t>. SAGE Publications. Available at: https://researchers.mq.edu.au/en/publications/strategic-corporate-social-responsibility-tools-amp-theories-for- (Accessed: 24 January 2024).</w:t>
      </w:r>
    </w:p>
    <w:p w14:paraId="16007E00" w14:textId="77777777" w:rsidR="00BD59CF" w:rsidRPr="00BD59CF" w:rsidRDefault="00BD59CF" w:rsidP="00BD59CF">
      <w:pPr>
        <w:pStyle w:val="Normal1"/>
        <w:spacing w:after="240"/>
        <w:rPr>
          <w:lang w:val="en-GB"/>
        </w:rPr>
      </w:pPr>
      <w:proofErr w:type="spellStart"/>
      <w:r w:rsidRPr="00BD59CF">
        <w:rPr>
          <w:lang w:val="en-GB"/>
        </w:rPr>
        <w:t>Inkson</w:t>
      </w:r>
      <w:proofErr w:type="spellEnd"/>
      <w:r w:rsidRPr="00BD59CF">
        <w:rPr>
          <w:lang w:val="en-GB"/>
        </w:rPr>
        <w:t xml:space="preserve">, C. and Minnaert, L. (2018) </w:t>
      </w:r>
      <w:r w:rsidRPr="00BD59CF">
        <w:rPr>
          <w:i/>
          <w:lang w:val="en-GB"/>
        </w:rPr>
        <w:t>Tourism Management - an introduction (2nd edition)</w:t>
      </w:r>
      <w:r w:rsidRPr="00BD59CF">
        <w:rPr>
          <w:lang w:val="en-GB"/>
        </w:rPr>
        <w:t xml:space="preserve">, </w:t>
      </w:r>
      <w:r w:rsidRPr="00BD59CF">
        <w:rPr>
          <w:i/>
          <w:lang w:val="en-GB"/>
        </w:rPr>
        <w:t>westminsterresearch.westminster.ac.uk</w:t>
      </w:r>
      <w:r w:rsidRPr="00BD59CF">
        <w:rPr>
          <w:lang w:val="en-GB"/>
        </w:rPr>
        <w:t>. London: Sage. Available at: https://westminsterresearch.westminster.ac.uk/item/q2965/tourism-management-an-introduction-2nd-edition (Accessed: 24 January 2024).</w:t>
      </w:r>
    </w:p>
    <w:p w14:paraId="2BEE816B" w14:textId="77777777" w:rsidR="00BD59CF" w:rsidRPr="00BD59CF" w:rsidRDefault="00BD59CF" w:rsidP="00BD59CF">
      <w:pPr>
        <w:pStyle w:val="Normal1"/>
        <w:spacing w:after="240"/>
        <w:rPr>
          <w:lang w:val="en-GB"/>
        </w:rPr>
      </w:pPr>
      <w:r w:rsidRPr="00BD59CF">
        <w:rPr>
          <w:lang w:val="en-GB"/>
        </w:rPr>
        <w:t xml:space="preserve">Jaeger, B. and Upadhyay, A. (2020) ‘Understanding barriers to circular economy: cases from the manufacturing industry’, </w:t>
      </w:r>
      <w:r w:rsidRPr="00BD59CF">
        <w:rPr>
          <w:i/>
          <w:lang w:val="en-GB"/>
        </w:rPr>
        <w:t>Journal of Enterprise Information Management</w:t>
      </w:r>
      <w:r w:rsidRPr="00BD59CF">
        <w:rPr>
          <w:lang w:val="en-GB"/>
        </w:rPr>
        <w:t xml:space="preserve">, 33(4), pp. 729–745. </w:t>
      </w:r>
      <w:proofErr w:type="spellStart"/>
      <w:r w:rsidRPr="00BD59CF">
        <w:rPr>
          <w:lang w:val="en-GB"/>
        </w:rPr>
        <w:t>doi</w:t>
      </w:r>
      <w:proofErr w:type="spellEnd"/>
      <w:r w:rsidRPr="00BD59CF">
        <w:rPr>
          <w:lang w:val="en-GB"/>
        </w:rPr>
        <w:t>: https://doi.org/10.1108/jeim-02-2019-0047.</w:t>
      </w:r>
    </w:p>
    <w:p w14:paraId="77E7C148" w14:textId="77777777" w:rsidR="00BD59CF" w:rsidRPr="00BD59CF" w:rsidRDefault="00BD59CF" w:rsidP="00BD59CF">
      <w:pPr>
        <w:pStyle w:val="Normal1"/>
        <w:spacing w:after="240"/>
        <w:rPr>
          <w:lang w:val="en-GB"/>
        </w:rPr>
      </w:pPr>
      <w:r w:rsidRPr="00BD59CF">
        <w:rPr>
          <w:lang w:val="en-GB"/>
        </w:rPr>
        <w:t xml:space="preserve">Kim, J, Milliman, J. F. and Lucas, A. F. (2021) ‘Effects of Internal and External CSR on Supportive and Harmful Employee Attitudes’, </w:t>
      </w:r>
      <w:r w:rsidRPr="00BD59CF">
        <w:rPr>
          <w:i/>
          <w:lang w:val="en-GB"/>
        </w:rPr>
        <w:t>Cornell Hospitality Quarterly</w:t>
      </w:r>
      <w:r w:rsidRPr="00BD59CF">
        <w:rPr>
          <w:lang w:val="en-GB"/>
        </w:rPr>
        <w:t xml:space="preserve">, p. 193896552110631. </w:t>
      </w:r>
      <w:bookmarkStart w:id="2" w:name="_Hlk157777730"/>
      <w:r w:rsidRPr="00BD59CF">
        <w:rPr>
          <w:lang w:val="en-GB"/>
        </w:rPr>
        <w:t>DOI</w:t>
      </w:r>
      <w:bookmarkEnd w:id="2"/>
      <w:r w:rsidRPr="00BD59CF">
        <w:rPr>
          <w:lang w:val="en-GB"/>
        </w:rPr>
        <w:t>: https://doi.org/10.1177/19389655211063198.</w:t>
      </w:r>
    </w:p>
    <w:p w14:paraId="10EED814" w14:textId="77777777" w:rsidR="00BD59CF" w:rsidRPr="00BD59CF" w:rsidRDefault="00BD59CF" w:rsidP="00BD59CF">
      <w:pPr>
        <w:pStyle w:val="Normal1"/>
        <w:spacing w:after="240"/>
        <w:rPr>
          <w:lang w:val="en-GB"/>
        </w:rPr>
      </w:pPr>
      <w:proofErr w:type="spellStart"/>
      <w:r w:rsidRPr="00BD59CF">
        <w:rPr>
          <w:lang w:val="en-GB"/>
        </w:rPr>
        <w:lastRenderedPageBreak/>
        <w:t>Kucukusta</w:t>
      </w:r>
      <w:proofErr w:type="spellEnd"/>
      <w:r w:rsidRPr="00BD59CF">
        <w:rPr>
          <w:lang w:val="en-GB"/>
        </w:rPr>
        <w:t xml:space="preserve">, D., Mak, A. and Chan, X. (2022) ‘Corporate social responsibility practices in four and five-star hotels: Perspectives from Hong Kong visitors’, </w:t>
      </w:r>
      <w:r w:rsidRPr="00BD59CF">
        <w:rPr>
          <w:i/>
          <w:lang w:val="en-GB"/>
        </w:rPr>
        <w:t>International Journal of Hospitality Management</w:t>
      </w:r>
      <w:r w:rsidRPr="00BD59CF">
        <w:rPr>
          <w:lang w:val="en-GB"/>
        </w:rPr>
        <w:t>, 34, pp. 19–30. DOI: https://doi.org/10.1016/j.ijhm.2013.01.010.</w:t>
      </w:r>
    </w:p>
    <w:p w14:paraId="35E4208D" w14:textId="77777777" w:rsidR="00BD59CF" w:rsidRPr="00BD59CF" w:rsidRDefault="00BD59CF" w:rsidP="00BD59CF">
      <w:pPr>
        <w:pStyle w:val="Normal1"/>
        <w:spacing w:after="240"/>
        <w:rPr>
          <w:lang w:val="en-GB"/>
        </w:rPr>
      </w:pPr>
      <w:r w:rsidRPr="00BD59CF">
        <w:rPr>
          <w:lang w:val="en-GB"/>
        </w:rPr>
        <w:t xml:space="preserve">Liang, Y., Watters, C. and </w:t>
      </w:r>
      <w:proofErr w:type="spellStart"/>
      <w:r w:rsidRPr="00BD59CF">
        <w:rPr>
          <w:lang w:val="en-GB"/>
        </w:rPr>
        <w:t>Lemański</w:t>
      </w:r>
      <w:proofErr w:type="spellEnd"/>
      <w:r w:rsidRPr="00BD59CF">
        <w:rPr>
          <w:lang w:val="en-GB"/>
        </w:rPr>
        <w:t xml:space="preserve">, M. K. (2022) ‘Responsible Management in the Hotel Industry: An Integrative Review and Future Research Directions’, </w:t>
      </w:r>
      <w:r w:rsidRPr="00BD59CF">
        <w:rPr>
          <w:i/>
          <w:lang w:val="en-GB"/>
        </w:rPr>
        <w:t>Sustainability</w:t>
      </w:r>
      <w:r w:rsidRPr="00BD59CF">
        <w:rPr>
          <w:lang w:val="en-GB"/>
        </w:rPr>
        <w:t>, 14(24), p. 17050. DOI: https://doi.org/10.3390/su142417050.</w:t>
      </w:r>
    </w:p>
    <w:p w14:paraId="0BC19E49" w14:textId="77777777" w:rsidR="00BD59CF" w:rsidRPr="00BD59CF" w:rsidRDefault="00BD59CF" w:rsidP="00BD59CF">
      <w:pPr>
        <w:pStyle w:val="Normal1"/>
        <w:spacing w:after="240"/>
        <w:rPr>
          <w:lang w:val="en-GB"/>
        </w:rPr>
      </w:pPr>
      <w:r w:rsidRPr="00BD59CF">
        <w:rPr>
          <w:lang w:val="en-GB"/>
        </w:rPr>
        <w:t xml:space="preserve">Lund-Durlacher, D. (2020) ‘Corporate Social Responsibility and Tourism’, </w:t>
      </w:r>
      <w:r w:rsidRPr="00BD59CF">
        <w:rPr>
          <w:i/>
          <w:lang w:val="en-GB"/>
        </w:rPr>
        <w:t>Education for Sustainability in Tourism</w:t>
      </w:r>
      <w:r w:rsidRPr="00BD59CF">
        <w:rPr>
          <w:lang w:val="en-GB"/>
        </w:rPr>
        <w:t>, pp. 59–73. DOI: https://doi.org/10.1007/978-3-662-47470-9_4.</w:t>
      </w:r>
    </w:p>
    <w:p w14:paraId="1DE220ED" w14:textId="77777777" w:rsidR="00BD59CF" w:rsidRPr="00BD59CF" w:rsidRDefault="00BD59CF" w:rsidP="00BD59CF">
      <w:pPr>
        <w:pStyle w:val="Normal1"/>
        <w:spacing w:after="240"/>
        <w:rPr>
          <w:lang w:val="en-GB"/>
        </w:rPr>
      </w:pPr>
      <w:r w:rsidRPr="00BD59CF">
        <w:rPr>
          <w:lang w:val="en-GB"/>
        </w:rPr>
        <w:t xml:space="preserve">Marriott (2019). </w:t>
      </w:r>
      <w:proofErr w:type="spellStart"/>
      <w:r w:rsidRPr="00BD59CF">
        <w:rPr>
          <w:i/>
          <w:lang w:val="en-GB"/>
        </w:rPr>
        <w:t>csr-marriott</w:t>
      </w:r>
      <w:proofErr w:type="spellEnd"/>
      <w:r w:rsidRPr="00BD59CF">
        <w:rPr>
          <w:lang w:val="en-GB"/>
        </w:rPr>
        <w:t xml:space="preserve">, </w:t>
      </w:r>
      <w:proofErr w:type="spellStart"/>
      <w:r w:rsidRPr="00BD59CF">
        <w:rPr>
          <w:i/>
          <w:lang w:val="en-GB"/>
        </w:rPr>
        <w:t>csr-marriott</w:t>
      </w:r>
      <w:proofErr w:type="spellEnd"/>
      <w:r w:rsidRPr="00BD59CF">
        <w:rPr>
          <w:lang w:val="en-GB"/>
        </w:rPr>
        <w:t>. Available at: https://serve360.marriott.com/. (Accessed: 24 January 2024).</w:t>
      </w:r>
    </w:p>
    <w:p w14:paraId="0715E5BD" w14:textId="77777777" w:rsidR="00BD59CF" w:rsidRPr="00BD59CF" w:rsidRDefault="00BD59CF" w:rsidP="00BD59CF">
      <w:pPr>
        <w:pStyle w:val="Normal1"/>
        <w:spacing w:after="240"/>
        <w:rPr>
          <w:lang w:val="en-GB"/>
        </w:rPr>
      </w:pPr>
      <w:r w:rsidRPr="00BD59CF">
        <w:rPr>
          <w:lang w:val="en-GB"/>
        </w:rPr>
        <w:t xml:space="preserve">Marriott (2023) </w:t>
      </w:r>
      <w:r w:rsidRPr="00BD59CF">
        <w:rPr>
          <w:i/>
          <w:lang w:val="en-GB"/>
        </w:rPr>
        <w:t>Corporate Social Responsibility (‘</w:t>
      </w:r>
      <w:proofErr w:type="spellStart"/>
      <w:r w:rsidRPr="00BD59CF">
        <w:rPr>
          <w:i/>
          <w:lang w:val="en-GB"/>
        </w:rPr>
        <w:t>Csr</w:t>
      </w:r>
      <w:proofErr w:type="spellEnd"/>
      <w:r w:rsidRPr="00BD59CF">
        <w:rPr>
          <w:i/>
          <w:lang w:val="en-GB"/>
        </w:rPr>
        <w:t xml:space="preserve">’) Policy </w:t>
      </w:r>
      <w:proofErr w:type="gramStart"/>
      <w:r w:rsidRPr="00BD59CF">
        <w:rPr>
          <w:i/>
          <w:lang w:val="en-GB"/>
        </w:rPr>
        <w:t>For</w:t>
      </w:r>
      <w:proofErr w:type="gramEnd"/>
      <w:r w:rsidRPr="00BD59CF">
        <w:rPr>
          <w:i/>
          <w:lang w:val="en-GB"/>
        </w:rPr>
        <w:t xml:space="preserve"> Marriott Hotels India Private Limited (‘MHIPL’)</w:t>
      </w:r>
      <w:r w:rsidRPr="00BD59CF">
        <w:rPr>
          <w:lang w:val="en-GB"/>
        </w:rPr>
        <w:t>. Available at: https://www.marriott.com/marriottassets/Multimedia/PDF/CorporateResponsibility/CSR_Policy_India.pdf (Accessed: 24 January 2024).</w:t>
      </w:r>
    </w:p>
    <w:p w14:paraId="6E1B3BA1" w14:textId="77777777" w:rsidR="00BD59CF" w:rsidRPr="00BD59CF" w:rsidRDefault="00BD59CF" w:rsidP="00BD59CF">
      <w:pPr>
        <w:pStyle w:val="Normal1"/>
        <w:spacing w:after="240"/>
        <w:rPr>
          <w:lang w:val="en-GB"/>
        </w:rPr>
      </w:pPr>
      <w:r w:rsidRPr="00BD59CF">
        <w:rPr>
          <w:lang w:val="en-GB"/>
        </w:rPr>
        <w:t xml:space="preserve">Sloan, P. (2016) </w:t>
      </w:r>
      <w:r w:rsidRPr="00BD59CF">
        <w:rPr>
          <w:i/>
          <w:lang w:val="en-GB"/>
        </w:rPr>
        <w:t>Sustainability in the Hospitality Industry: Principles of sustainable operations, 3rd Edition (Paperback) - Routledge</w:t>
      </w:r>
      <w:r w:rsidRPr="00BD59CF">
        <w:rPr>
          <w:lang w:val="en-GB"/>
        </w:rPr>
        <w:t xml:space="preserve">, </w:t>
      </w:r>
      <w:r w:rsidRPr="00BD59CF">
        <w:rPr>
          <w:i/>
          <w:lang w:val="en-GB"/>
        </w:rPr>
        <w:t>Routledge.com</w:t>
      </w:r>
      <w:r w:rsidRPr="00BD59CF">
        <w:rPr>
          <w:lang w:val="en-GB"/>
        </w:rPr>
        <w:t>. Available at: https://www.routledge.com/Sustainability-in-the-Hospitality-Industry-Principles-of-sustainable-operations/Legrand-Sloan-Chen/p/book/9781138915367.</w:t>
      </w:r>
    </w:p>
    <w:p w14:paraId="25CB83A1" w14:textId="77777777" w:rsidR="00BD59CF" w:rsidRPr="00BD59CF" w:rsidRDefault="00BD59CF" w:rsidP="00BD59CF">
      <w:pPr>
        <w:pStyle w:val="Normal1"/>
        <w:spacing w:after="240"/>
        <w:rPr>
          <w:lang w:val="en-GB"/>
        </w:rPr>
      </w:pPr>
      <w:r w:rsidRPr="00BD59CF">
        <w:rPr>
          <w:lang w:val="en-GB"/>
        </w:rPr>
        <w:t xml:space="preserve">Xie, Y. (2024) </w:t>
      </w:r>
      <w:r w:rsidRPr="00BD59CF">
        <w:rPr>
          <w:i/>
          <w:lang w:val="en-GB"/>
        </w:rPr>
        <w:t>Corporate Social Responsibility: Concept and Cases A Focus on Hotel and Lodging Industry</w:t>
      </w:r>
      <w:r w:rsidRPr="00BD59CF">
        <w:rPr>
          <w:lang w:val="en-GB"/>
        </w:rPr>
        <w:t>. Available at: https://www.atlantis-press.com/article/125973890.pdf (Accessed: 24 January 2024).</w:t>
      </w:r>
    </w:p>
    <w:p w14:paraId="7E31D0EE" w14:textId="77777777" w:rsidR="00BD59CF" w:rsidRPr="00F45668" w:rsidRDefault="00BD59CF" w:rsidP="00BD59CF">
      <w:pPr>
        <w:pStyle w:val="Normal1"/>
        <w:spacing w:after="240"/>
        <w:rPr>
          <w:lang w:val="en-GB"/>
        </w:rPr>
      </w:pPr>
      <w:r w:rsidRPr="00BD59CF">
        <w:rPr>
          <w:lang w:val="en-GB"/>
        </w:rPr>
        <w:t xml:space="preserve">Yu, J., </w:t>
      </w:r>
      <w:proofErr w:type="spellStart"/>
      <w:r w:rsidRPr="00BD59CF">
        <w:rPr>
          <w:lang w:val="en-GB"/>
        </w:rPr>
        <w:t>Lho</w:t>
      </w:r>
      <w:proofErr w:type="spellEnd"/>
      <w:r w:rsidRPr="00BD59CF">
        <w:rPr>
          <w:lang w:val="en-GB"/>
        </w:rPr>
        <w:t xml:space="preserve">, L. H. and Han, H. (2022) ‘Corporate social responsibility (environment, product, diversity, employee, and community) and the hotel employees’ job performance: Exploring the role of the employment types’, </w:t>
      </w:r>
      <w:r w:rsidRPr="00BD59CF">
        <w:rPr>
          <w:i/>
          <w:lang w:val="en-GB"/>
        </w:rPr>
        <w:t>Corporate Social Responsibility and Environmental Management</w:t>
      </w:r>
      <w:r w:rsidRPr="00BD59CF">
        <w:rPr>
          <w:lang w:val="en-GB"/>
        </w:rPr>
        <w:t xml:space="preserve">. </w:t>
      </w:r>
      <w:r>
        <w:rPr>
          <w:lang w:val="en-GB"/>
        </w:rPr>
        <w:t>DOI</w:t>
      </w:r>
      <w:r w:rsidRPr="00F45668">
        <w:rPr>
          <w:lang w:val="en-GB"/>
        </w:rPr>
        <w:t>: https://doi.org/10.1002/csr.2330.</w:t>
      </w:r>
    </w:p>
    <w:p w14:paraId="39C0B5C9" w14:textId="582930C6" w:rsidR="0055540C" w:rsidRPr="00BD59CF" w:rsidRDefault="0055540C" w:rsidP="00BD59CF">
      <w:pPr>
        <w:spacing w:line="360" w:lineRule="auto"/>
        <w:rPr>
          <w:rFonts w:ascii="Times New Roman" w:hAnsi="Times New Roman" w:cs="Times New Roman"/>
          <w:sz w:val="24"/>
          <w:szCs w:val="24"/>
        </w:rPr>
      </w:pPr>
    </w:p>
    <w:sectPr w:rsidR="0055540C" w:rsidRPr="00BD5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40C"/>
    <w:rsid w:val="0006048B"/>
    <w:rsid w:val="00367C48"/>
    <w:rsid w:val="0055540C"/>
    <w:rsid w:val="005E7AC2"/>
    <w:rsid w:val="008D2975"/>
    <w:rsid w:val="00A67909"/>
    <w:rsid w:val="00AE3EE6"/>
    <w:rsid w:val="00B6032D"/>
    <w:rsid w:val="00BD59CF"/>
    <w:rsid w:val="00DE4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C2ECE"/>
  <w15:chartTrackingRefBased/>
  <w15:docId w15:val="{5B21B4D9-1A23-4B52-93D0-3A3757F04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AC2"/>
    <w:pPr>
      <w:spacing w:after="0" w:line="276" w:lineRule="auto"/>
    </w:pPr>
    <w:rPr>
      <w:rFonts w:ascii="Arial" w:eastAsia="Arial" w:hAnsi="Arial" w:cs="Arial"/>
      <w:kern w:val="0"/>
      <w:lang w:val="en" w:eastAsia="en-GB"/>
      <w14:ligatures w14:val="none"/>
    </w:rPr>
  </w:style>
  <w:style w:type="paragraph" w:styleId="Heading1">
    <w:name w:val="heading 1"/>
    <w:basedOn w:val="Normal"/>
    <w:next w:val="Normal"/>
    <w:link w:val="Heading1Char"/>
    <w:uiPriority w:val="9"/>
    <w:qFormat/>
    <w:rsid w:val="0055540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55540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55540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55540C"/>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55540C"/>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55540C"/>
    <w:pPr>
      <w:keepNext/>
      <w:keepLines/>
      <w:spacing w:before="40" w:line="259" w:lineRule="auto"/>
      <w:outlineLvl w:val="5"/>
    </w:pPr>
    <w:rPr>
      <w:rFonts w:asciiTheme="minorHAnsi" w:eastAsiaTheme="majorEastAsia" w:hAnsiTheme="minorHAnsi"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55540C"/>
    <w:pPr>
      <w:keepNext/>
      <w:keepLines/>
      <w:spacing w:before="40" w:line="259" w:lineRule="auto"/>
      <w:outlineLvl w:val="6"/>
    </w:pPr>
    <w:rPr>
      <w:rFonts w:asciiTheme="minorHAnsi" w:eastAsiaTheme="majorEastAsia" w:hAnsiTheme="minorHAnsi"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55540C"/>
    <w:pPr>
      <w:keepNext/>
      <w:keepLines/>
      <w:spacing w:line="259" w:lineRule="auto"/>
      <w:outlineLvl w:val="7"/>
    </w:pPr>
    <w:rPr>
      <w:rFonts w:asciiTheme="minorHAnsi" w:eastAsiaTheme="majorEastAsia" w:hAnsiTheme="minorHAnsi"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55540C"/>
    <w:pPr>
      <w:keepNext/>
      <w:keepLines/>
      <w:spacing w:line="259" w:lineRule="auto"/>
      <w:outlineLvl w:val="8"/>
    </w:pPr>
    <w:rPr>
      <w:rFonts w:asciiTheme="minorHAnsi" w:eastAsiaTheme="majorEastAsia" w:hAnsiTheme="minorHAnsi"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4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54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54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54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54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54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54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54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540C"/>
    <w:rPr>
      <w:rFonts w:eastAsiaTheme="majorEastAsia" w:cstheme="majorBidi"/>
      <w:color w:val="272727" w:themeColor="text1" w:themeTint="D8"/>
    </w:rPr>
  </w:style>
  <w:style w:type="paragraph" w:styleId="Title">
    <w:name w:val="Title"/>
    <w:basedOn w:val="Normal"/>
    <w:next w:val="Normal"/>
    <w:link w:val="TitleChar"/>
    <w:uiPriority w:val="10"/>
    <w:qFormat/>
    <w:rsid w:val="0055540C"/>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5554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540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5554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540C"/>
    <w:pPr>
      <w:spacing w:before="160" w:after="160" w:line="259" w:lineRule="auto"/>
      <w:jc w:val="center"/>
    </w:pPr>
    <w:rPr>
      <w:rFonts w:asciiTheme="minorHAnsi" w:eastAsiaTheme="minorHAnsi" w:hAnsiTheme="minorHAnsi" w:cstheme="minorBid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55540C"/>
    <w:rPr>
      <w:i/>
      <w:iCs/>
      <w:color w:val="404040" w:themeColor="text1" w:themeTint="BF"/>
    </w:rPr>
  </w:style>
  <w:style w:type="paragraph" w:styleId="ListParagraph">
    <w:name w:val="List Paragraph"/>
    <w:basedOn w:val="Normal"/>
    <w:uiPriority w:val="34"/>
    <w:qFormat/>
    <w:rsid w:val="0055540C"/>
    <w:pPr>
      <w:spacing w:after="160" w:line="259" w:lineRule="auto"/>
      <w:ind w:left="720"/>
      <w:contextualSpacing/>
    </w:pPr>
    <w:rPr>
      <w:rFonts w:asciiTheme="minorHAnsi" w:eastAsiaTheme="minorHAnsi" w:hAnsiTheme="minorHAnsi" w:cstheme="minorBidi"/>
      <w:kern w:val="2"/>
      <w:lang w:val="en-GB" w:eastAsia="en-US"/>
      <w14:ligatures w14:val="standardContextual"/>
    </w:rPr>
  </w:style>
  <w:style w:type="character" w:styleId="IntenseEmphasis">
    <w:name w:val="Intense Emphasis"/>
    <w:basedOn w:val="DefaultParagraphFont"/>
    <w:uiPriority w:val="21"/>
    <w:qFormat/>
    <w:rsid w:val="0055540C"/>
    <w:rPr>
      <w:i/>
      <w:iCs/>
      <w:color w:val="0F4761" w:themeColor="accent1" w:themeShade="BF"/>
    </w:rPr>
  </w:style>
  <w:style w:type="paragraph" w:styleId="IntenseQuote">
    <w:name w:val="Intense Quote"/>
    <w:basedOn w:val="Normal"/>
    <w:next w:val="Normal"/>
    <w:link w:val="IntenseQuoteChar"/>
    <w:uiPriority w:val="30"/>
    <w:qFormat/>
    <w:rsid w:val="0055540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55540C"/>
    <w:rPr>
      <w:i/>
      <w:iCs/>
      <w:color w:val="0F4761" w:themeColor="accent1" w:themeShade="BF"/>
    </w:rPr>
  </w:style>
  <w:style w:type="character" w:styleId="IntenseReference">
    <w:name w:val="Intense Reference"/>
    <w:basedOn w:val="DefaultParagraphFont"/>
    <w:uiPriority w:val="32"/>
    <w:qFormat/>
    <w:rsid w:val="0055540C"/>
    <w:rPr>
      <w:b/>
      <w:bCs/>
      <w:smallCaps/>
      <w:color w:val="0F4761" w:themeColor="accent1" w:themeShade="BF"/>
      <w:spacing w:val="5"/>
    </w:rPr>
  </w:style>
  <w:style w:type="paragraph" w:customStyle="1" w:styleId="Normal1">
    <w:name w:val="Normal1"/>
    <w:rsid w:val="00BD59CF"/>
    <w:pPr>
      <w:spacing w:after="0" w:line="360" w:lineRule="auto"/>
      <w:jc w:val="both"/>
    </w:pPr>
    <w:rPr>
      <w:rFonts w:ascii="Arial" w:eastAsia="Arial" w:hAnsi="Arial" w:cs="Arial"/>
      <w:kern w:val="0"/>
      <w:sz w:val="24"/>
      <w:szCs w:val="24"/>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246298">
      <w:bodyDiv w:val="1"/>
      <w:marLeft w:val="0"/>
      <w:marRight w:val="0"/>
      <w:marTop w:val="0"/>
      <w:marBottom w:val="0"/>
      <w:divBdr>
        <w:top w:val="none" w:sz="0" w:space="0" w:color="auto"/>
        <w:left w:val="none" w:sz="0" w:space="0" w:color="auto"/>
        <w:bottom w:val="none" w:sz="0" w:space="0" w:color="auto"/>
        <w:right w:val="none" w:sz="0" w:space="0" w:color="auto"/>
      </w:divBdr>
    </w:div>
    <w:div w:id="195455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1062</TotalTime>
  <Pages>1</Pages>
  <Words>2672</Words>
  <Characters>15232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Radu</dc:creator>
  <cp:keywords/>
  <dc:description/>
  <cp:lastModifiedBy>Magda Radu</cp:lastModifiedBy>
  <cp:revision>8</cp:revision>
  <dcterms:created xsi:type="dcterms:W3CDTF">2024-01-23T12:30:00Z</dcterms:created>
  <dcterms:modified xsi:type="dcterms:W3CDTF">2024-02-02T17:40:00Z</dcterms:modified>
</cp:coreProperties>
</file>