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03714" w:rsidRDefault="000E2E7E" w14:paraId="6713002F" w14:textId="59EE91EB">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rsidR="000E2E7E" w:rsidRDefault="000E2E7E" w14:paraId="0E3F4352" w14:textId="77777777"/>
    <w:p w:rsidR="000E2E7E" w:rsidRDefault="000E2E7E" w14:paraId="73022E7D" w14:textId="77777777">
      <w:pPr>
        <w:rPr>
          <w:sz w:val="52"/>
          <w:szCs w:val="52"/>
        </w:rPr>
      </w:pPr>
    </w:p>
    <w:p w:rsidRPr="000E2E7E" w:rsidR="000E2E7E" w:rsidRDefault="000E2E7E" w14:paraId="0C87A799" w14:textId="2E11B833">
      <w:pPr>
        <w:rPr>
          <w:b/>
          <w:bCs/>
          <w:sz w:val="52"/>
          <w:szCs w:val="52"/>
        </w:rPr>
      </w:pPr>
      <w:r w:rsidRPr="000E2E7E">
        <w:rPr>
          <w:b/>
          <w:bCs/>
          <w:sz w:val="52"/>
          <w:szCs w:val="52"/>
        </w:rPr>
        <w:t>Module Code:</w:t>
      </w:r>
      <w:r>
        <w:rPr>
          <w:b/>
          <w:bCs/>
          <w:sz w:val="52"/>
          <w:szCs w:val="52"/>
        </w:rPr>
        <w:t xml:space="preserve">  </w:t>
      </w:r>
      <w:r w:rsidRPr="000E2E7E">
        <w:rPr>
          <w:b/>
          <w:bCs/>
          <w:sz w:val="48"/>
          <w:szCs w:val="48"/>
        </w:rPr>
        <w:t>ECAD</w:t>
      </w:r>
      <w:r w:rsidR="00510D18">
        <w:rPr>
          <w:b/>
          <w:bCs/>
          <w:sz w:val="48"/>
          <w:szCs w:val="48"/>
        </w:rPr>
        <w:t>5014</w:t>
      </w:r>
    </w:p>
    <w:p w:rsidRPr="000E2E7E" w:rsidR="000E2E7E" w:rsidRDefault="000E2E7E" w14:paraId="10FFAE95" w14:textId="77777777">
      <w:pPr>
        <w:rPr>
          <w:b/>
          <w:bCs/>
          <w:sz w:val="52"/>
          <w:szCs w:val="52"/>
        </w:rPr>
      </w:pPr>
    </w:p>
    <w:p w:rsidR="000E2E7E" w:rsidRDefault="000E2E7E" w14:paraId="12C585B1" w14:textId="77777777">
      <w:pPr>
        <w:rPr>
          <w:b/>
          <w:bCs/>
          <w:sz w:val="52"/>
          <w:szCs w:val="52"/>
        </w:rPr>
      </w:pPr>
      <w:r w:rsidRPr="000E2E7E">
        <w:rPr>
          <w:b/>
          <w:bCs/>
          <w:sz w:val="52"/>
          <w:szCs w:val="52"/>
        </w:rPr>
        <w:t>Assignment Title:</w:t>
      </w:r>
      <w:r>
        <w:rPr>
          <w:b/>
          <w:bCs/>
          <w:sz w:val="52"/>
          <w:szCs w:val="52"/>
        </w:rPr>
        <w:t xml:space="preserve"> </w:t>
      </w:r>
    </w:p>
    <w:p w:rsidRPr="000E2E7E" w:rsidR="000E2E7E" w:rsidRDefault="00510D18" w14:paraId="1648AA10" w14:textId="0F7AD627">
      <w:pPr>
        <w:rPr>
          <w:b/>
          <w:bCs/>
          <w:sz w:val="52"/>
          <w:szCs w:val="52"/>
        </w:rPr>
      </w:pPr>
      <w:r>
        <w:rPr>
          <w:b/>
          <w:bCs/>
          <w:sz w:val="44"/>
          <w:szCs w:val="44"/>
        </w:rPr>
        <w:t>Design and conduct a small-scale research study, and critically evaluate the chosen research tools, and the impact of your findings on your professional practice.</w:t>
      </w:r>
    </w:p>
    <w:p w:rsidRPr="000E2E7E" w:rsidR="000E2E7E" w:rsidRDefault="000E2E7E" w14:paraId="78DCE9B9" w14:textId="77777777">
      <w:pPr>
        <w:rPr>
          <w:b/>
          <w:bCs/>
          <w:sz w:val="52"/>
          <w:szCs w:val="52"/>
        </w:rPr>
      </w:pPr>
    </w:p>
    <w:p w:rsidRPr="000E2E7E" w:rsidR="000E2E7E" w:rsidRDefault="000E2E7E" w14:paraId="47D65DC0" w14:textId="1DF3DE23">
      <w:pPr>
        <w:rPr>
          <w:b w:val="1"/>
          <w:bCs w:val="1"/>
          <w:sz w:val="52"/>
          <w:szCs w:val="52"/>
        </w:rPr>
      </w:pPr>
      <w:r w:rsidRPr="627E11C5" w:rsidR="000E2E7E">
        <w:rPr>
          <w:b w:val="1"/>
          <w:bCs w:val="1"/>
          <w:sz w:val="52"/>
          <w:szCs w:val="52"/>
        </w:rPr>
        <w:t>Student Name:</w:t>
      </w:r>
      <w:r w:rsidRPr="627E11C5" w:rsidR="1DC9062A">
        <w:rPr>
          <w:b w:val="1"/>
          <w:bCs w:val="1"/>
          <w:sz w:val="52"/>
          <w:szCs w:val="52"/>
        </w:rPr>
        <w:t xml:space="preserve"> Keira Wickham</w:t>
      </w:r>
    </w:p>
    <w:p w:rsidRPr="000E2E7E" w:rsidR="000E2E7E" w:rsidRDefault="000E2E7E" w14:paraId="1025240F" w14:textId="5D853F16">
      <w:pPr>
        <w:rPr>
          <w:b w:val="1"/>
          <w:bCs w:val="1"/>
          <w:sz w:val="52"/>
          <w:szCs w:val="52"/>
        </w:rPr>
      </w:pPr>
      <w:r w:rsidRPr="627E11C5" w:rsidR="000E2E7E">
        <w:rPr>
          <w:b w:val="1"/>
          <w:bCs w:val="1"/>
          <w:sz w:val="52"/>
          <w:szCs w:val="52"/>
        </w:rPr>
        <w:t>Student Number:</w:t>
      </w:r>
      <w:r w:rsidRPr="627E11C5" w:rsidR="43B896F3">
        <w:rPr>
          <w:b w:val="1"/>
          <w:bCs w:val="1"/>
          <w:sz w:val="52"/>
          <w:szCs w:val="52"/>
        </w:rPr>
        <w:t xml:space="preserve"> 2300800</w:t>
      </w:r>
    </w:p>
    <w:p w:rsidR="000E2E7E" w:rsidRDefault="000E2E7E" w14:paraId="66EB3C44" w14:textId="3EA69FAC">
      <w:pPr>
        <w:rPr>
          <w:b/>
          <w:bCs/>
          <w:sz w:val="52"/>
          <w:szCs w:val="52"/>
        </w:rPr>
      </w:pPr>
      <w:r w:rsidRPr="000E2E7E">
        <w:rPr>
          <w:b/>
          <w:bCs/>
          <w:sz w:val="52"/>
          <w:szCs w:val="52"/>
        </w:rPr>
        <w:t>BA Primary Education (QTS)</w:t>
      </w:r>
    </w:p>
    <w:p w:rsidRPr="000E2E7E" w:rsidR="000E2E7E" w:rsidRDefault="000E2E7E" w14:paraId="097A6454" w14:textId="77777777">
      <w:pPr>
        <w:rPr>
          <w:b/>
          <w:bCs/>
          <w:sz w:val="52"/>
          <w:szCs w:val="52"/>
        </w:rPr>
      </w:pPr>
    </w:p>
    <w:p w:rsidR="627E11C5" w:rsidP="627E11C5" w:rsidRDefault="627E11C5" w14:paraId="1590ECA5" w14:textId="647298D9">
      <w:pPr>
        <w:rPr>
          <w:b w:val="1"/>
          <w:bCs w:val="1"/>
          <w:sz w:val="32"/>
          <w:szCs w:val="32"/>
          <w:u w:val="single"/>
        </w:rPr>
      </w:pPr>
    </w:p>
    <w:p w:rsidRPr="00E243A8" w:rsidR="000E2E7E" w:rsidP="000E2E7E" w:rsidRDefault="000E2E7E" w14:paraId="0BE6D22C" w14:textId="77777777">
      <w:pPr>
        <w:rPr>
          <w:b/>
          <w:bCs/>
          <w:sz w:val="32"/>
          <w:szCs w:val="32"/>
          <w:u w:val="single"/>
        </w:rPr>
      </w:pPr>
      <w:r w:rsidRPr="00E243A8">
        <w:rPr>
          <w:b/>
          <w:bCs/>
          <w:sz w:val="32"/>
          <w:szCs w:val="32"/>
          <w:u w:val="single"/>
        </w:rPr>
        <w:lastRenderedPageBreak/>
        <w:t>AI Acknowledgement</w:t>
      </w:r>
    </w:p>
    <w:p w:rsidR="000E2E7E" w:rsidP="000E2E7E" w:rsidRDefault="000E2E7E" w14:paraId="311990D1" w14:textId="77777777"/>
    <w:p w:rsidR="000E2E7E" w:rsidP="000E2E7E" w:rsidRDefault="000E2E7E" w14:paraId="3CD5698F" w14:textId="77777777">
      <w:r w:rsidRPr="00E243A8">
        <w:t xml:space="preserve">I confirm that I have not used any AI tools in the research and creation of this assignment. </w:t>
      </w:r>
    </w:p>
    <w:p w:rsidR="000E2E7E" w:rsidP="000E2E7E" w:rsidRDefault="000E2E7E" w14:paraId="623F5F4D" w14:textId="77777777">
      <w:r w:rsidRPr="00E243A8">
        <w:t xml:space="preserve">I confirm that I have not presented any AI generated materials as my own work. </w:t>
      </w:r>
    </w:p>
    <w:p w:rsidRPr="00E243A8" w:rsidR="000E2E7E" w:rsidP="000E2E7E" w:rsidRDefault="000E2E7E" w14:paraId="3437EA56" w14:textId="77777777">
      <w:r w:rsidRPr="00E243A8">
        <w:t xml:space="preserve">I confirm </w:t>
      </w:r>
      <w:r>
        <w:t xml:space="preserve">that </w:t>
      </w:r>
      <w:r w:rsidRPr="00E243A8">
        <w:t>I have copies of my drafts, notes, and other resources I used, which I may be asked to provide in evidence.</w:t>
      </w:r>
    </w:p>
    <w:p w:rsidR="000E2E7E" w:rsidP="627E11C5" w:rsidRDefault="000E2E7E" w14:paraId="6CDE5B9A" w14:noSpellErr="1" w14:textId="7E9FDD41">
      <w:pPr>
        <w:pStyle w:val="Normal"/>
      </w:pPr>
    </w:p>
    <w:p w:rsidR="000E2E7E" w:rsidP="000E2E7E" w:rsidRDefault="000E2E7E" w14:paraId="576F22A4" w14:textId="77777777">
      <w:pPr>
        <w:rPr>
          <w:sz w:val="16"/>
          <w:szCs w:val="16"/>
        </w:rPr>
      </w:pPr>
    </w:p>
    <w:tbl>
      <w:tblPr>
        <w:tblStyle w:val="TableGrid"/>
        <w:tblW w:w="6374" w:type="dxa"/>
        <w:tblLook w:val="04A0" w:firstRow="1" w:lastRow="0" w:firstColumn="1" w:lastColumn="0" w:noHBand="0" w:noVBand="1"/>
      </w:tblPr>
      <w:tblGrid>
        <w:gridCol w:w="3256"/>
        <w:gridCol w:w="3118"/>
      </w:tblGrid>
      <w:tr w:rsidRPr="001B4AB4" w:rsidR="000E2E7E" w:rsidTr="627E11C5" w14:paraId="0ADB3F25" w14:textId="77777777">
        <w:trPr>
          <w:trHeight w:val="300"/>
        </w:trPr>
        <w:tc>
          <w:tcPr>
            <w:tcW w:w="3256" w:type="dxa"/>
            <w:tcMar/>
          </w:tcPr>
          <w:p w:rsidRPr="00121BB2" w:rsidR="000E2E7E" w:rsidP="00AE36BB" w:rsidRDefault="000E2E7E" w14:paraId="2110C93E" w14:textId="45B7432A">
            <w:pPr>
              <w:rPr>
                <w:b/>
                <w:bCs/>
                <w:color w:val="FFFFFF"/>
                <w:sz w:val="28"/>
                <w:szCs w:val="28"/>
                <w:lang w:val="cy-GB"/>
              </w:rPr>
            </w:pPr>
            <w:r w:rsidRPr="00121BB2">
              <w:rPr>
                <w:b/>
                <w:bCs/>
                <w:sz w:val="28"/>
                <w:szCs w:val="28"/>
                <w:lang w:val="cy-GB"/>
              </w:rPr>
              <w:lastRenderedPageBreak/>
              <w:t>Targets from previous module</w:t>
            </w:r>
          </w:p>
        </w:tc>
        <w:tc>
          <w:tcPr>
            <w:tcW w:w="3118" w:type="dxa"/>
            <w:tcMar/>
          </w:tcPr>
          <w:p w:rsidRPr="00121BB2" w:rsidR="000E2E7E" w:rsidP="00AE36BB" w:rsidRDefault="000E2E7E" w14:paraId="1C0504E0" w14:textId="648CF4FC">
            <w:pPr>
              <w:rPr>
                <w:b/>
                <w:bCs/>
                <w:color w:val="FFFFFF"/>
                <w:sz w:val="28"/>
                <w:szCs w:val="28"/>
                <w:lang w:val="cy-GB"/>
              </w:rPr>
            </w:pPr>
            <w:r w:rsidRPr="00121BB2">
              <w:rPr>
                <w:b/>
                <w:bCs/>
                <w:sz w:val="28"/>
                <w:szCs w:val="28"/>
                <w:lang w:val="cy-GB"/>
              </w:rPr>
              <w:t>How I have worked on these?</w:t>
            </w:r>
          </w:p>
        </w:tc>
      </w:tr>
      <w:tr w:rsidRPr="001B4AB4" w:rsidR="000E2E7E" w:rsidTr="627E11C5" w14:paraId="0EC7171C" w14:textId="77777777">
        <w:trPr>
          <w:trHeight w:val="300"/>
        </w:trPr>
        <w:tc>
          <w:tcPr>
            <w:tcW w:w="3256" w:type="dxa"/>
            <w:tcMar/>
          </w:tcPr>
          <w:p w:rsidR="000E2E7E" w:rsidP="627E11C5" w:rsidRDefault="000E2E7E" w14:paraId="4DC5C8A2" w14:textId="77777777" w14:noSpellErr="1">
            <w:pPr>
              <w:rPr>
                <w:rFonts w:ascii="Aptos" w:hAnsi="Aptos" w:eastAsia="Aptos" w:cs="Aptos" w:asciiTheme="minorAscii" w:hAnsiTheme="minorAscii" w:eastAsiaTheme="minorAscii" w:cstheme="minorAscii"/>
                <w:color w:val="auto"/>
                <w:sz w:val="28"/>
                <w:szCs w:val="28"/>
                <w:lang w:val="cy-GB"/>
              </w:rPr>
            </w:pPr>
          </w:p>
          <w:p w:rsidRPr="001B4AB4" w:rsidR="000E2E7E" w:rsidP="627E11C5" w:rsidRDefault="000E2E7E" w14:paraId="678E7C39" w14:textId="6575F07C">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pP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Continue</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 xml:space="preserve"> to </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broaden</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 xml:space="preserve"> </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your</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 xml:space="preserve"> </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literary</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 xml:space="preserve"> </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scope</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 xml:space="preserve">, </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tapping</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 xml:space="preserve"> </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into</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 xml:space="preserve"> </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cutting-edge</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 xml:space="preserve"> </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research</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 xml:space="preserve"> </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and</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 xml:space="preserve"> </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diverse</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 xml:space="preserve"> </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academic</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 xml:space="preserve"> </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discussions</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 xml:space="preserve">. </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Consistency</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 xml:space="preserve"> </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in</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 xml:space="preserve"> </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flawless</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 xml:space="preserve"> </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referencing</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 xml:space="preserve"> </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should</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 xml:space="preserve"> </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remain</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 xml:space="preserve"> a </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priority</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cy-GB"/>
              </w:rPr>
              <w:t xml:space="preserve">. </w:t>
            </w:r>
          </w:p>
          <w:p w:rsidRPr="001B4AB4" w:rsidR="000E2E7E" w:rsidP="627E11C5" w:rsidRDefault="000E2E7E" w14:paraId="43969701" w14:textId="11405270">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color w:val="auto"/>
                <w:sz w:val="28"/>
                <w:szCs w:val="28"/>
              </w:rPr>
            </w:pPr>
          </w:p>
          <w:p w:rsidRPr="001B4AB4" w:rsidR="000E2E7E" w:rsidP="627E11C5" w:rsidRDefault="000E2E7E" w14:paraId="18121FAC" w14:textId="707E420D">
            <w:pPr>
              <w:rPr>
                <w:rFonts w:ascii="Aptos" w:hAnsi="Aptos" w:eastAsia="Aptos" w:cs="Aptos" w:asciiTheme="minorAscii" w:hAnsiTheme="minorAscii" w:eastAsiaTheme="minorAscii" w:cstheme="minorAscii"/>
                <w:color w:val="auto"/>
                <w:sz w:val="28"/>
                <w:szCs w:val="28"/>
                <w:lang w:val="cy-GB"/>
              </w:rPr>
            </w:pPr>
          </w:p>
        </w:tc>
        <w:tc>
          <w:tcPr>
            <w:tcW w:w="3118" w:type="dxa"/>
            <w:tcMar/>
          </w:tcPr>
          <w:p w:rsidRPr="001B4AB4" w:rsidR="000E2E7E" w:rsidP="00AE36BB" w:rsidRDefault="000E2E7E" w14:paraId="0A55C9ED" w14:textId="362BCFE5">
            <w:pPr>
              <w:rPr>
                <w:lang w:val="cy-GB"/>
              </w:rPr>
            </w:pPr>
            <w:r w:rsidRPr="627E11C5" w:rsidR="640F3193">
              <w:rPr>
                <w:lang w:val="cy-GB"/>
              </w:rPr>
              <w:t xml:space="preserve">I </w:t>
            </w:r>
            <w:r w:rsidRPr="627E11C5" w:rsidR="640F3193">
              <w:rPr>
                <w:lang w:val="cy-GB"/>
              </w:rPr>
              <w:t>have</w:t>
            </w:r>
            <w:r w:rsidRPr="627E11C5" w:rsidR="640F3193">
              <w:rPr>
                <w:lang w:val="cy-GB"/>
              </w:rPr>
              <w:t xml:space="preserve"> </w:t>
            </w:r>
            <w:r w:rsidRPr="627E11C5" w:rsidR="640F3193">
              <w:rPr>
                <w:lang w:val="cy-GB"/>
              </w:rPr>
              <w:t>worked</w:t>
            </w:r>
            <w:r w:rsidRPr="627E11C5" w:rsidR="640F3193">
              <w:rPr>
                <w:lang w:val="cy-GB"/>
              </w:rPr>
              <w:t xml:space="preserve"> </w:t>
            </w:r>
            <w:r w:rsidRPr="627E11C5" w:rsidR="640F3193">
              <w:rPr>
                <w:lang w:val="cy-GB"/>
              </w:rPr>
              <w:t>on</w:t>
            </w:r>
            <w:r w:rsidRPr="627E11C5" w:rsidR="640F3193">
              <w:rPr>
                <w:lang w:val="cy-GB"/>
              </w:rPr>
              <w:t xml:space="preserve"> </w:t>
            </w:r>
            <w:r w:rsidRPr="627E11C5" w:rsidR="640F3193">
              <w:rPr>
                <w:lang w:val="cy-GB"/>
              </w:rPr>
              <w:t>this</w:t>
            </w:r>
            <w:r w:rsidRPr="627E11C5" w:rsidR="640F3193">
              <w:rPr>
                <w:lang w:val="cy-GB"/>
              </w:rPr>
              <w:t xml:space="preserve"> by </w:t>
            </w:r>
            <w:r w:rsidRPr="627E11C5" w:rsidR="640F3193">
              <w:rPr>
                <w:lang w:val="cy-GB"/>
              </w:rPr>
              <w:t>researching</w:t>
            </w:r>
            <w:r w:rsidRPr="627E11C5" w:rsidR="640F3193">
              <w:rPr>
                <w:lang w:val="cy-GB"/>
              </w:rPr>
              <w:t xml:space="preserve"> </w:t>
            </w:r>
            <w:r w:rsidRPr="627E11C5" w:rsidR="640F3193">
              <w:rPr>
                <w:lang w:val="cy-GB"/>
              </w:rPr>
              <w:t>beforehand</w:t>
            </w:r>
            <w:r w:rsidRPr="627E11C5" w:rsidR="640F3193">
              <w:rPr>
                <w:lang w:val="cy-GB"/>
              </w:rPr>
              <w:t xml:space="preserve"> using a range of sources.</w:t>
            </w:r>
          </w:p>
        </w:tc>
      </w:tr>
      <w:tr w:rsidRPr="001B4AB4" w:rsidR="000E2E7E" w:rsidTr="627E11C5" w14:paraId="388E36FE" w14:textId="77777777">
        <w:trPr>
          <w:trHeight w:val="300"/>
        </w:trPr>
        <w:tc>
          <w:tcPr>
            <w:tcW w:w="3256" w:type="dxa"/>
            <w:tcMar/>
          </w:tcPr>
          <w:p w:rsidR="000E2E7E" w:rsidP="627E11C5" w:rsidRDefault="000E2E7E" w14:paraId="2740262D" w14:textId="77777777" w14:noSpellErr="1">
            <w:pPr>
              <w:rPr>
                <w:rFonts w:ascii="Aptos" w:hAnsi="Aptos" w:eastAsia="Aptos" w:cs="Aptos" w:asciiTheme="minorAscii" w:hAnsiTheme="minorAscii" w:eastAsiaTheme="minorAscii" w:cstheme="minorAscii"/>
                <w:color w:val="auto"/>
                <w:sz w:val="28"/>
                <w:szCs w:val="28"/>
                <w:lang w:val="cy-GB"/>
              </w:rPr>
            </w:pPr>
          </w:p>
          <w:p w:rsidRPr="001B4AB4" w:rsidR="000E2E7E" w:rsidP="627E11C5" w:rsidRDefault="000E2E7E" w14:paraId="1A34FA1D" w14:textId="5323B4F7">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en-GB"/>
              </w:rPr>
            </w:pP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en-GB"/>
              </w:rPr>
              <w:t xml:space="preserve">Continue to develop the skills of synthesis and analysis by </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en-GB"/>
              </w:rPr>
              <w:t>comparing and contrasting</w:t>
            </w:r>
            <w:r w:rsidRPr="627E11C5" w:rsidR="44235FC1">
              <w:rPr>
                <w:rFonts w:ascii="Aptos" w:hAnsi="Aptos" w:eastAsia="Aptos" w:cs="Aptos" w:asciiTheme="minorAscii" w:hAnsiTheme="minorAscii" w:eastAsiaTheme="minorAscii" w:cstheme="minorAscii"/>
                <w:b w:val="0"/>
                <w:bCs w:val="0"/>
                <w:i w:val="0"/>
                <w:iCs w:val="0"/>
                <w:caps w:val="0"/>
                <w:smallCaps w:val="0"/>
                <w:noProof w:val="0"/>
                <w:color w:val="auto"/>
                <w:sz w:val="28"/>
                <w:szCs w:val="28"/>
                <w:lang w:val="en-GB"/>
              </w:rPr>
              <w:t xml:space="preserve"> the main arguments that arise across multiple sources.</w:t>
            </w:r>
          </w:p>
          <w:p w:rsidRPr="001B4AB4" w:rsidR="000E2E7E" w:rsidP="627E11C5" w:rsidRDefault="000E2E7E" w14:paraId="06CE4F7D" w14:textId="1E37D7C3">
            <w:pPr>
              <w:rPr>
                <w:rFonts w:ascii="Aptos" w:hAnsi="Aptos" w:eastAsia="Aptos" w:cs="Aptos" w:asciiTheme="minorAscii" w:hAnsiTheme="minorAscii" w:eastAsiaTheme="minorAscii" w:cstheme="minorAscii"/>
                <w:color w:val="auto"/>
                <w:sz w:val="28"/>
                <w:szCs w:val="28"/>
                <w:lang w:val="cy-GB"/>
              </w:rPr>
            </w:pPr>
          </w:p>
        </w:tc>
        <w:tc>
          <w:tcPr>
            <w:tcW w:w="3118" w:type="dxa"/>
            <w:tcMar/>
          </w:tcPr>
          <w:p w:rsidRPr="001B4AB4" w:rsidR="000E2E7E" w:rsidP="00AE36BB" w:rsidRDefault="000E2E7E" w14:paraId="33CC185F" w14:textId="09C79DF3">
            <w:pPr>
              <w:rPr>
                <w:lang w:val="cy-GB"/>
              </w:rPr>
            </w:pPr>
            <w:r w:rsidRPr="627E11C5" w:rsidR="7250D8CC">
              <w:rPr>
                <w:lang w:val="cy-GB"/>
              </w:rPr>
              <w:t>I feel like I have done this as I have given both sides of a point throughout my work.</w:t>
            </w:r>
          </w:p>
        </w:tc>
      </w:tr>
    </w:tbl>
    <w:p w:rsidRPr="000E2E7E" w:rsidR="000E2E7E" w:rsidP="000E2E7E" w:rsidRDefault="000E2E7E" w14:paraId="44B6B5EF" w14:textId="77777777">
      <w:pPr>
        <w:rPr>
          <w:sz w:val="16"/>
          <w:szCs w:val="16"/>
          <w:lang w:val="cy-GB"/>
        </w:rPr>
      </w:pPr>
    </w:p>
    <w:p w:rsidR="000E2E7E" w:rsidP="000E2E7E" w:rsidRDefault="000E2E7E" w14:paraId="4CF6C14B" w14:textId="77777777">
      <w:pPr>
        <w:rPr>
          <w:sz w:val="16"/>
          <w:szCs w:val="16"/>
        </w:rPr>
      </w:pPr>
    </w:p>
    <w:p w:rsidR="000E2E7E" w:rsidP="000E2E7E" w:rsidRDefault="000E2E7E" w14:paraId="316233A3" w14:textId="77777777">
      <w:pPr>
        <w:rPr>
          <w:sz w:val="16"/>
          <w:szCs w:val="16"/>
        </w:rPr>
      </w:pPr>
    </w:p>
    <w:p w:rsidR="627E11C5" w:rsidP="627E11C5" w:rsidRDefault="627E11C5" w14:paraId="494B8B85" w14:textId="153BD827">
      <w:pPr>
        <w:spacing w:before="0" w:beforeAutospacing="off" w:after="0" w:afterAutospacing="off"/>
        <w:jc w:val="center"/>
        <w:rPr>
          <w:b w:val="1"/>
          <w:bCs w:val="1"/>
          <w:sz w:val="36"/>
          <w:szCs w:val="36"/>
        </w:rPr>
      </w:pPr>
    </w:p>
    <w:p w:rsidR="627E11C5" w:rsidP="627E11C5" w:rsidRDefault="627E11C5" w14:paraId="7D4C0CD2" w14:textId="5C534AC6">
      <w:pPr>
        <w:spacing w:before="0" w:beforeAutospacing="off" w:after="0" w:afterAutospacing="off"/>
        <w:jc w:val="center"/>
        <w:rPr>
          <w:b w:val="1"/>
          <w:bCs w:val="1"/>
          <w:sz w:val="36"/>
          <w:szCs w:val="36"/>
        </w:rPr>
      </w:pPr>
    </w:p>
    <w:p w:rsidR="627E11C5" w:rsidP="627E11C5" w:rsidRDefault="627E11C5" w14:paraId="721D0296" w14:textId="61F1C464">
      <w:pPr>
        <w:spacing w:before="0" w:beforeAutospacing="off" w:after="0" w:afterAutospacing="off"/>
        <w:jc w:val="center"/>
        <w:rPr>
          <w:b w:val="1"/>
          <w:bCs w:val="1"/>
          <w:sz w:val="36"/>
          <w:szCs w:val="36"/>
        </w:rPr>
      </w:pPr>
    </w:p>
    <w:p w:rsidRPr="000E2E7E" w:rsidR="000E2E7E" w:rsidP="627E11C5" w:rsidRDefault="000E2E7E" w14:paraId="33643F31" w14:textId="68358645">
      <w:pPr>
        <w:spacing w:before="0" w:beforeAutospacing="off" w:after="0" w:afterAutospacing="off"/>
        <w:jc w:val="center"/>
        <w:rPr>
          <w:b w:val="1"/>
          <w:bCs w:val="1"/>
          <w:sz w:val="36"/>
          <w:szCs w:val="36"/>
        </w:rPr>
      </w:pPr>
      <w:r w:rsidRPr="627E11C5" w:rsidR="000E2E7E">
        <w:rPr>
          <w:b w:val="1"/>
          <w:bCs w:val="1"/>
          <w:sz w:val="36"/>
          <w:szCs w:val="36"/>
        </w:rPr>
        <w:t>Research Question</w:t>
      </w:r>
      <w:r w:rsidRPr="627E11C5" w:rsidR="7F74C2B6">
        <w:rPr>
          <w:b w:val="1"/>
          <w:bCs w:val="1"/>
          <w:sz w:val="36"/>
          <w:szCs w:val="36"/>
        </w:rPr>
        <w:t>:</w:t>
      </w:r>
    </w:p>
    <w:p w:rsidRPr="000E2E7E" w:rsidR="000E2E7E" w:rsidP="627E11C5" w:rsidRDefault="000E2E7E" w14:paraId="6CAAE3FE" w14:textId="396DB4E8">
      <w:pPr>
        <w:spacing w:before="0" w:beforeAutospacing="off" w:after="0" w:afterAutospacing="off"/>
        <w:jc w:val="center"/>
        <w:rPr>
          <w:rFonts w:ascii="Verdana" w:hAnsi="Verdana" w:eastAsia="Verdana" w:cs="Verdana"/>
          <w:b w:val="1"/>
          <w:bCs w:val="1"/>
          <w:i w:val="0"/>
          <w:iCs w:val="0"/>
          <w:caps w:val="0"/>
          <w:smallCaps w:val="0"/>
          <w:noProof w:val="0"/>
          <w:color w:val="000000" w:themeColor="text1" w:themeTint="FF" w:themeShade="FF"/>
          <w:sz w:val="24"/>
          <w:szCs w:val="24"/>
          <w:lang w:val="en-GB"/>
        </w:rPr>
      </w:pPr>
      <w:r w:rsidRPr="627E11C5" w:rsidR="7F74C2B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What is the effectiveness and impact of using live marking as an Assessment for Learning tool for teaching and learning?</w:t>
      </w:r>
    </w:p>
    <w:p w:rsidRPr="000E2E7E" w:rsidR="000E2E7E" w:rsidP="627E11C5" w:rsidRDefault="000E2E7E" w14:paraId="1CD1FA79" w14:textId="3AA1F3E0">
      <w:pPr>
        <w:rPr>
          <w:sz w:val="36"/>
          <w:szCs w:val="36"/>
        </w:rPr>
      </w:pPr>
    </w:p>
    <w:p w:rsidR="168B5336" w:rsidP="627E11C5" w:rsidRDefault="168B5336" w14:paraId="59DA1C30" w14:textId="66C6DE12">
      <w:pPr>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r w:rsidRPr="627E11C5" w:rsidR="168B5336">
        <w:rPr>
          <w:rFonts w:ascii="Aptos" w:hAnsi="Aptos" w:eastAsia="Aptos" w:cs="Aptos"/>
          <w:b w:val="0"/>
          <w:bCs w:val="0"/>
          <w:i w:val="0"/>
          <w:iCs w:val="0"/>
          <w:caps w:val="0"/>
          <w:smallCaps w:val="0"/>
          <w:strike w:val="0"/>
          <w:dstrike w:val="0"/>
          <w:noProof w:val="0"/>
          <w:color w:val="000000" w:themeColor="text1" w:themeTint="FF" w:themeShade="FF"/>
          <w:sz w:val="32"/>
          <w:szCs w:val="32"/>
          <w:u w:val="single"/>
          <w:lang w:val="en-GB"/>
        </w:rPr>
        <w:t>Introduction</w:t>
      </w:r>
    </w:p>
    <w:p w:rsidR="168B5336" w:rsidP="627E11C5" w:rsidRDefault="168B5336" w14:paraId="155DB7D0" w14:textId="6ADDD7BD">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The aim of this study is to investigate learners' and staff perceptions of live marking as an Assessment for Learning (AfL) strategy and its effect on teaching and learning, particularly within Key Stage 2. The research will explore how live marking, a key component of AfL, facilitates immediate feedback, enhances student understanding, and improves teaching strategies within the framework of the Curriculum for Wales, which focuses on learner progression, personalised learning, and the development of essential skills across all subject areas. The purpose of this study is to gain a deeper understanding of the effectiveness of live marking and to identify potential areas for improvement in practice.</w:t>
      </w:r>
    </w:p>
    <w:p w:rsidR="627E11C5" w:rsidP="627E11C5" w:rsidRDefault="627E11C5" w14:paraId="2DBAB538" w14:textId="344213B8">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p>
    <w:p w:rsidR="168B5336" w:rsidP="627E11C5" w:rsidRDefault="168B5336" w14:paraId="11C24A08" w14:textId="52852061">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This research takes place in a Year 4 class, where the use of live marking is a key approach for formative assessment. The class consists of 28 students, with a diverse range of abilities. The teacher aims to provide real-time feedback that guides learners toward achieving their learning goals, encouraging a deeper understanding.</w:t>
      </w:r>
    </w:p>
    <w:p w:rsidR="627E11C5" w:rsidP="627E11C5" w:rsidRDefault="627E11C5" w14:paraId="629AC7EB" w14:textId="37F6E6BB">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p>
    <w:p w:rsidR="168B5336" w:rsidP="627E11C5" w:rsidRDefault="168B5336" w14:paraId="3ED4793D" w14:textId="07971FAC">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r w:rsidRPr="627E11C5" w:rsidR="168B5336">
        <w:rPr>
          <w:rFonts w:ascii="Aptos" w:hAnsi="Aptos" w:eastAsia="Aptos" w:cs="Aptos"/>
          <w:b w:val="0"/>
          <w:bCs w:val="0"/>
          <w:i w:val="0"/>
          <w:iCs w:val="0"/>
          <w:caps w:val="0"/>
          <w:smallCaps w:val="0"/>
          <w:strike w:val="0"/>
          <w:dstrike w:val="0"/>
          <w:noProof w:val="0"/>
          <w:color w:val="000000" w:themeColor="text1" w:themeTint="FF" w:themeShade="FF"/>
          <w:sz w:val="32"/>
          <w:szCs w:val="32"/>
          <w:u w:val="single"/>
          <w:lang w:val="en-GB"/>
        </w:rPr>
        <w:t>Literature Review</w:t>
      </w:r>
    </w:p>
    <w:p w:rsidR="168B5336" w:rsidP="627E11C5" w:rsidRDefault="168B5336" w14:paraId="18FDB05F" w14:textId="20DE9F07">
      <w:pPr>
        <w:spacing w:before="240" w:beforeAutospacing="off" w:after="24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32"/>
          <w:szCs w:val="32"/>
          <w:lang w:val="en-GB"/>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Assessment for Learning (AfL) is an educational approach that emphasises the use of assessment to guide teaching and enhance student learning. It is a continuous process that informs both teaching and learning throughout the instructional period, differing to summative assessment, which evaluates student performance at the end of a learning cycle. It involves providing timely, constructive feedback, clarifying learning objectives, and engaging students in self-assessment and peer assessment. The aim is to help students understand their progress and identify areas for improvement, thus fostering a deeper understanding of the subject matter (Black and Wiliam, 1998). When implemented effectively, AfL can significantly improve student learning outcomes. Black and William (1998) argue that formative assessment practices, such as feedback, can lead to a notable improvement in student achievement. AfL also promotes student agency, which encourages learners to take responsibility for their own learning. It encourages them to become active participants in the learning process. AfL strategies, such as self-assessment and peer-assessment, can enable learners to develop their critical thinking skills. This, in turn, allows them to monitor their progress and identify potential areas for improvement (William, 2018). </w:t>
      </w:r>
    </w:p>
    <w:p w:rsidR="627E11C5" w:rsidP="627E11C5" w:rsidRDefault="627E11C5" w14:paraId="7C8E61CD" w14:textId="5137484D">
      <w:pPr>
        <w:spacing w:before="240" w:beforeAutospacing="off" w:after="24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32"/>
          <w:szCs w:val="32"/>
          <w:lang w:val="en-GB"/>
        </w:rPr>
      </w:pPr>
    </w:p>
    <w:p w:rsidR="168B5336" w:rsidP="627E11C5" w:rsidRDefault="168B5336" w14:paraId="768E7DE9" w14:textId="664E073B">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Live marking is a formative assessment strategy that provides learners with immediate feedback while they are actively engaged in a learning task. Unlike traditional marking, where feedback is given after the work is completed, live marking takes place during the learning process. To ensure its effectiveness, teachers circulate around the classroom, observing learners' progress and offering timely, constructive feedback. For example, if a pupil is working on a maths problem, the teacher can intervene in real-time to address misconceptions, guide their problem-solving approach, and enhance their mathematical understanding more effectively (Prospero Teaching, 2023). This provides immediate, actionable feedback that supports learners in enhancing their work and addressing mistakes (Hattie, 2009). </w:t>
      </w:r>
    </w:p>
    <w:p w:rsidR="627E11C5" w:rsidP="627E11C5" w:rsidRDefault="627E11C5" w14:paraId="0542CC68" w14:textId="5477C9FA">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p>
    <w:p w:rsidR="168B5336" w:rsidP="627E11C5" w:rsidRDefault="168B5336" w14:paraId="298B3CA6" w14:textId="50F60061">
      <w:pPr>
        <w:spacing w:before="240" w:beforeAutospacing="off" w:after="24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32"/>
          <w:szCs w:val="32"/>
          <w:lang w:val="en-GB"/>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One of the key aspects of live marking is its alignment with the principles of formative assessment, which emphasises feedback as a key driver for student improvement (Black and Wiliam, 1998). They stress the importance of integrating continuous assessment into the learning process, which leads to increased student engagement and improved achievement. Their research suggests that when feedback is embedded within lessons, as in live marking, learners are more likely to engage with the feedback and apply it effectively. This allows teachers to make real-time adjustments to their instruction, catering to the unique needs of each learner and providing personalised support. However, feedback quality and consistency can be problematic. In fast-paced classrooms, teachers may lack the time to thoroughly reflect on each student's work, leading to feedback that can be inadequate or unclear, thus reducing its impact on student learning (Clarke, 2008). Wiliam (2018) further explains that AfL strategies not only improve academic outcomes but also foster learner autonomy, as students actively use feedback to enhance their understanding. Providing real-time feedback enables students to make adjustments in the moment, fostering responsibility and ownership over their progress while helping them understand mistakes and develop self-regulation skills.</w:t>
      </w:r>
    </w:p>
    <w:p w:rsidR="627E11C5" w:rsidP="627E11C5" w:rsidRDefault="627E11C5" w14:paraId="694F1CCC" w14:textId="33841AAB">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p>
    <w:p w:rsidR="168B5336" w:rsidP="627E11C5" w:rsidRDefault="168B5336" w14:paraId="54C8DC41" w14:textId="64899A2E">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Similarly to Wiliam, Hattie highlights the role of feedback in promoting metacognition and self-regulation, encouraging learners to take responsibility for their progress by reflecting on and adjusting their work immediately. Another important aspect of live marking is its timeliness. Feedback is most beneficial when given promptly, as it allows students to act on it while their understanding of the task is still clear. Hattie (2009) identifies feedback as one of the most influential factors on student achievement. He argues that for feedback to have an impact, it must be timely, specific, and focused on improvement. These principles align with those of live marking, as it enables students to refine their work in real time, preventing misconceptions from becoming ingrained and reinforcing correct understanding at the right moment. However, it is crucial to ensure that feedback remains focused on learning rather than simply correcting mistakes. Another challenge is that live marking can sometimes become overly focused on identifying errors instead of promoting deeper learning. Without proper training, teachers may prioritise pointing out mistakes over guiding students through reflective thinking or helping them make connections with broader learning objectives (Hattie and Timperley, 2007).</w:t>
      </w:r>
    </w:p>
    <w:p w:rsidR="627E11C5" w:rsidP="627E11C5" w:rsidRDefault="627E11C5" w14:paraId="5CA38069" w14:textId="23641153">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p>
    <w:p w:rsidR="168B5336" w:rsidP="627E11C5" w:rsidRDefault="168B5336" w14:paraId="5EA2E0B3" w14:textId="109BEA0C">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Additionally, live marking supports differentiated learning. By tailoring feedback to meet the individual needs of each student, teachers are better able to target their strengths and areas for improvement. This approach is especially valuable in diverse classrooms, where students may require different levels of support. Immediate feedback ensures that all students are actively engaged in the learning process, regardless of their ability level (Stanford Centre for Teaching and Learning, n.d.). However, time management can be a challenge. Providing individual feedback to every student during a lesson can be time-consuming, particularly in larger classes. This time pressure may lead to rushed or incomplete feedback, potentially reducing the effectiveness of live marking (Clarke, 2008).</w:t>
      </w:r>
    </w:p>
    <w:p w:rsidR="627E11C5" w:rsidP="627E11C5" w:rsidRDefault="627E11C5" w14:paraId="71931E0A" w14:textId="398C4F2B">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p>
    <w:p w:rsidR="168B5336" w:rsidP="627E11C5" w:rsidRDefault="168B5336" w14:paraId="597C84F7" w14:textId="78427D60">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r w:rsidRPr="627E11C5" w:rsidR="168B5336">
        <w:rPr>
          <w:rFonts w:ascii="Aptos" w:hAnsi="Aptos" w:eastAsia="Aptos" w:cs="Aptos"/>
          <w:b w:val="0"/>
          <w:bCs w:val="0"/>
          <w:i w:val="0"/>
          <w:iCs w:val="0"/>
          <w:caps w:val="0"/>
          <w:smallCaps w:val="0"/>
          <w:strike w:val="0"/>
          <w:dstrike w:val="0"/>
          <w:noProof w:val="0"/>
          <w:color w:val="000000" w:themeColor="text1" w:themeTint="FF" w:themeShade="FF"/>
          <w:sz w:val="32"/>
          <w:szCs w:val="32"/>
          <w:u w:val="single"/>
          <w:lang w:val="en-GB"/>
        </w:rPr>
        <w:t>Methodology</w:t>
      </w:r>
    </w:p>
    <w:p w:rsidR="168B5336" w:rsidP="627E11C5" w:rsidRDefault="168B5336" w14:paraId="286FD9DB" w14:textId="1F41D2E7">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This research study employed a mixed-methods approach, combining qualitative and quantitative data through questionnaires and interviews, to gain a comprehensive understanding of the effectiveness of live marking. The aim was to explore both teacher perspectives and student experiences. Data collection included an online questionnaire for staff, focusing on teachers' views of live marking, as well as semi-structured interviews with pupils to gain insights into how live marking impacted their learning. By integrating both qualitative and quantitative methods, the study enables data cross-validation, ensuring a thorough examination of the research question. This approach provides a deeper and more refined understanding of the topic, producing strong findings that can guide both current practices and future research on AfL strategies (Creswell, 2014).</w:t>
      </w:r>
    </w:p>
    <w:p w:rsidR="627E11C5" w:rsidP="627E11C5" w:rsidRDefault="627E11C5" w14:paraId="317C89DE" w14:textId="10DA7AC6">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p>
    <w:p w:rsidR="168B5336" w:rsidP="627E11C5" w:rsidRDefault="168B5336" w14:paraId="15E50D93" w14:textId="44BC9F53">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An interview is defined as a "method of data collection that involves direct interaction between the researcher and the respondent, typically through conversation or questioning" (Bryman, 2016, p. 201). Interviews can take various forms, including structured, unstructured, and semi-structured formats (Denscombe, 2021). This study employed a semi-structured interview approach, which allowed for open-ended responses, enabling students to reflect in depth on their thoughts and feelings about the feedback they received. The interview questions focused on how live marking affected their understanding of tasks, engagement in lessons, and their confidence in learning. The reliability of the qualitative data gathered depends on the accuracy and honesty of the interviewees (QuestionPro, n.d.). For instance, respondents may provide answers they believe the interviewer wants to hear rather than their genuine opinions. This highlights a key challenge of interviews - the risk of researcher bias and the influence of social desirability (Cohen, Manion, &amp; Morrison, 2018).</w:t>
      </w:r>
    </w:p>
    <w:p w:rsidR="627E11C5" w:rsidP="627E11C5" w:rsidRDefault="627E11C5" w14:paraId="23CAE575" w14:textId="0BD6AA9A">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p>
    <w:p w:rsidR="168B5336" w:rsidP="627E11C5" w:rsidRDefault="168B5336" w14:paraId="591840F3" w14:textId="75CE95CD">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The pupil interview data were analysed using content analysis (Krippendorff, 2018). Rather than relying on full transcripts, detailed notes from each interview were carefully reviewed multiple times to identify key themes and patterns expressed by the pupils. The analysis focused on aspects such as students' engagement with live marking, their understanding of the feedback, and its perceived impact on their confidence and learning. Through this process, several prominent themes emerged, including "feedback timing preferences," "immediate understanding," and "emotional responses to feedback." These themes offered valuable insights into how live marking influenced students' learning experiences, specifically regarding how immediate feedback affected their comprehension of tasks, motivation, and emotional well-being. The use of content analysis enabled a deeper understanding of the pupils' sense of agency and ownership over their learning, revealing significant trends in how live marking shaped their academic development and approach to learning.</w:t>
      </w:r>
    </w:p>
    <w:p w:rsidR="627E11C5" w:rsidP="627E11C5" w:rsidRDefault="627E11C5" w14:paraId="6A34A922" w14:textId="572D33B6">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p>
    <w:p w:rsidR="168B5336" w:rsidP="627E11C5" w:rsidRDefault="168B5336" w14:paraId="796107EE" w14:textId="4676CD76">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A questionnaire is described as a "structured set of questions designed to gather data from respondents, typically used to collect opinions, experiences, or attitudes" (Denscombe, 2021, p. 85). The staff questionnaire was distributed online using Microsoft Forms to ensure ease of access and encourage participation. Conducting the survey online allowed for anonymous responses, which helped foster honesty among teachers when sharing their opinions on live marking. The questionnaire contained both closed-ended likert-scale questions (e.g., strongly agree, agree, disagree) to generate measurable data, as well as open-ended questions to capture more in-depth reflections. Responses were automatically recorded and exported for analysis, ensuring efficiency in data collection (Denscombe, 2021). However, a limitation of questionnaires is that they rely on self-reporting, which can be influenced by factors such as social desirability, where respondents may provide answers they believe are expected, rather than their true feelings, a limitation also observed in interviews (Cohen, Manion, &amp; Morrison, 2018).</w:t>
      </w:r>
    </w:p>
    <w:p w:rsidR="627E11C5" w:rsidP="627E11C5" w:rsidRDefault="627E11C5" w14:paraId="0FD85229" w14:textId="1AFAC734">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p>
    <w:p w:rsidR="168B5336" w:rsidP="627E11C5" w:rsidRDefault="168B5336" w14:paraId="245CF7A0" w14:textId="4EF5B63B">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The data from the online staff questionnaire, collected via Microsoft Forms, were analysed using descriptive statistics (Microsoft, 2025). Microsoft Forms automatically provided insights into teachers' views on the effectiveness of live marking, such as whether they believed it improved student learning and reduced the need for further feedback. The results were presented in graphs and tables, offering a clear visual representation of trends and patterns (Denscombe, 2021).</w:t>
      </w:r>
    </w:p>
    <w:p w:rsidR="627E11C5" w:rsidP="627E11C5" w:rsidRDefault="627E11C5" w14:paraId="47DB9BD1" w14:textId="701C6CD1">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p>
    <w:p w:rsidR="168B5336" w:rsidP="627E11C5" w:rsidRDefault="168B5336" w14:paraId="3E764716" w14:textId="49091086">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The research took place in a primary school in South Wales with a total of 435 pupils, aged three to eleven, on roll. To maintain confidentiality and adhere to ethical guidelines, the school will be referred to as ‘School A.’ It is situated in a deprived area of South Wales, where 29% of pupils qualify for free school meals (Estyn, 2023). The sample for the study included two groups from School A: teachers and pupils. The initial aim was to include six Key Stage 2 teachers from the placement school, but only four teachers responded to the questionnaire. For the pupil sample, six Year 4 students were selected based on ability: two low ability, two medium ability, and two high ability. The pupil sample was purposefully chosen to ensure representation across a range of academic abilities, providing insights from diverse student perspectives.</w:t>
      </w:r>
    </w:p>
    <w:p w:rsidR="627E11C5" w:rsidP="627E11C5" w:rsidRDefault="627E11C5" w14:paraId="48D25CFA" w14:textId="366E683E">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p>
    <w:p w:rsidR="168B5336" w:rsidP="627E11C5" w:rsidRDefault="168B5336" w14:paraId="5B665B20" w14:textId="09662D5F">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Before data collection began, informed consent was obtained from both the teachers and the pupils. For teachers, the voluntary nature of participation was clearly stated at the beginning of the online questionnaire, and by completing it, they gave their informed consent. For pupils, consent was granted through a blanket consent form previously signed by the class teacher (see Appendix 25) which covered participation in school-based research activities. The study was explained to the pupils in an age-appropriate manner, and they were given the option to decline participation. All participants were informed that they could withdraw from the study at any time without consequence.</w:t>
      </w:r>
    </w:p>
    <w:p w:rsidR="627E11C5" w:rsidP="627E11C5" w:rsidRDefault="627E11C5" w14:paraId="36AB974B" w14:textId="403C75BF">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p>
    <w:p w:rsidR="168B5336" w:rsidP="627E11C5" w:rsidRDefault="168B5336" w14:paraId="016914D7" w14:textId="3AC1B3BB">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To safeguard participants' privacy, all data were stored securely and anonymised during the analysis process. Pseudonyms were assigned to the pupils involved in the interviews, and any identifying details were removed to ensure anonymity was maintained throughout the study. This approach aligns with the ethical principles set out by the British Educational Research Association (BERA, 2024), which emphasise the importance of confidentiality, secure data handling, and the protection of participants’ identities in educational research.</w:t>
      </w:r>
    </w:p>
    <w:p w:rsidR="627E11C5" w:rsidP="627E11C5" w:rsidRDefault="627E11C5" w14:paraId="34E0EE95" w14:textId="082AF583">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p>
    <w:p w:rsidR="168B5336" w:rsidP="627E11C5" w:rsidRDefault="168B5336" w14:paraId="2D5C18BD" w14:textId="277B2417">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Ethical approval for the research was approved by the university’s ethics committee. A copy of the approval form can be found in the appendix (Appendix 24). This confirmed that the study complied with established ethical standards, including safeguarding vulnerable participants and ensuring the responsible collection, storage, and use of research data.</w:t>
      </w:r>
    </w:p>
    <w:p w:rsidR="627E11C5" w:rsidP="627E11C5" w:rsidRDefault="627E11C5" w14:paraId="3CC0D845" w14:textId="75D382B0">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p>
    <w:p w:rsidR="168B5336" w:rsidP="627E11C5" w:rsidRDefault="168B5336" w14:paraId="0535A51E" w14:textId="16297C33">
      <w:pPr>
        <w:spacing w:before="240" w:beforeAutospacing="off" w:after="24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32"/>
          <w:szCs w:val="32"/>
          <w:lang w:val="en-GB"/>
        </w:rPr>
      </w:pPr>
      <w:r w:rsidRPr="627E11C5" w:rsidR="168B5336">
        <w:rPr>
          <w:rFonts w:ascii="Aptos" w:hAnsi="Aptos" w:eastAsia="Aptos" w:cs="Aptos"/>
          <w:b w:val="0"/>
          <w:bCs w:val="0"/>
          <w:i w:val="0"/>
          <w:iCs w:val="0"/>
          <w:caps w:val="0"/>
          <w:smallCaps w:val="0"/>
          <w:strike w:val="0"/>
          <w:dstrike w:val="0"/>
          <w:noProof w:val="0"/>
          <w:color w:val="000000" w:themeColor="text1" w:themeTint="FF" w:themeShade="FF"/>
          <w:sz w:val="32"/>
          <w:szCs w:val="32"/>
          <w:u w:val="single"/>
          <w:lang w:val="en-GB"/>
        </w:rPr>
        <w:t>Discussion and Findings</w:t>
      </w:r>
    </w:p>
    <w:p w:rsidR="168B5336" w:rsidP="627E11C5" w:rsidRDefault="168B5336" w14:paraId="566E77A7" w14:textId="6C86BA56">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GB"/>
        </w:rPr>
        <w:t xml:space="preserve">Question 7 of the questionnaire shows that teachers view live marking as highly effective for supporting pupil progress. Many stated it allows misconceptions to be addressed immediately, helping pupils understand the material more clearly. One teacher noted “It allows you to address any misconceptions there and then.” This supports Black and Wiliam’s (1998) view that timely feedback is key to effective learning. Teachers also felt that the immediate nature of live marking made it more impactful than traditional, delayed marking, which was evidenced in Question 6. Question 7 also shows that teachers view live marking as effective for supporting pupil engagement. Many observed that it kept pupils focused and involved in their learning. One teacher noted “It reassures students and helps build confidence,” highlighting how immediate feedback can boost self-assurance. Pupils were also more motivated to improve when feedback was given in real time, supporting Hattie and Timperley’s (2007) view that timely, constructive feedback enhances motivation. </w:t>
      </w:r>
    </w:p>
    <w:p w:rsidR="627E11C5" w:rsidP="627E11C5" w:rsidRDefault="627E11C5" w14:paraId="0CF3020F" w14:textId="1B0361A1">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p>
    <w:p w:rsidR="168B5336" w:rsidP="627E11C5" w:rsidRDefault="168B5336" w14:paraId="5C781A91" w14:textId="196C4F2E">
      <w:pPr>
        <w:spacing w:before="240" w:beforeAutospacing="off" w:after="24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Teachers felt that live marking was an effective tool for teaching and learning. All of the teachers rated live marking as “very effective” (Question 5), with many stating that it helped students engage with their learning in ways traditional marking could not. This aligns with research by Hattie and Timperley (2007), who found that timely, actionable feedback significantly enhances student engagement and learning. Additionally, Question 8 revealed that 2 out of 4 teachers observed increased pupil independence as a result of live marking, with the remaining two feeling somewhere in the middle. Thus implying that pupils were more likely to take ownership of their learning, as they could immediately apply feedback and make corrections during the lesson. This supports the findings of Black and Wiliam (1998), who emphasise the importance of formative assessment in fostering self-regulated learning. </w:t>
      </w:r>
    </w:p>
    <w:p w:rsidR="627E11C5" w:rsidP="627E11C5" w:rsidRDefault="627E11C5" w14:paraId="31002E3B" w14:textId="21B1473B">
      <w:pPr>
        <w:spacing w:before="240" w:beforeAutospacing="off" w:after="240" w:afterAutospacing="off" w:line="360" w:lineRule="auto"/>
        <w:ind w:left="0" w:right="0"/>
        <w:jc w:val="left"/>
        <w:rPr>
          <w:rFonts w:ascii="Aptos" w:hAnsi="Aptos" w:eastAsia="Aptos" w:cs="Aptos"/>
          <w:b w:val="0"/>
          <w:bCs w:val="0"/>
          <w:i w:val="0"/>
          <w:iCs w:val="0"/>
          <w:caps w:val="0"/>
          <w:smallCaps w:val="0"/>
          <w:noProof w:val="0"/>
          <w:color w:val="000000" w:themeColor="text1" w:themeTint="FF" w:themeShade="FF"/>
          <w:sz w:val="32"/>
          <w:szCs w:val="32"/>
          <w:lang w:val="en-US"/>
        </w:rPr>
      </w:pPr>
    </w:p>
    <w:p w:rsidR="168B5336" w:rsidP="627E11C5" w:rsidRDefault="168B5336" w14:paraId="4ADA028C" w14:textId="403284ED">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Although teachers see live marking as an effective way to improve pupil progress and engagement, managing it alongside other tasks can be challenging, particularly since feedback must be tailored to different student needs. Question 10 revealed that 3 out of 4 teachers identified the difficulty of addressing multiple students' needs simultaneously, which implies it is difficult to mark every student’s work in real-time while maintaining the flow of the lesson. However, teachers noted that live marking ultimately reduced their workload by eliminating the need for extensive after-school marking (Question 15). The use of answer sheets to streamline the process was mentioned, illustrating how practical adjustments can enhance the efficiency of live marking. This supports Wiliam’s (2011) view that while formative assessment is flexible, it requires careful attention to meet the diverse needs of learners effectively. This suggests that while live marking has clear benefits, its effectiveness may be limited by subject-specific demands and the practicality of implementing it across all areas of the curriculum. It is evident that live marking is not used to its full capacity, as from Question 4, as teachers do not use it in every subject. It is mainly used for subjects like maths, science, and English.</w:t>
      </w:r>
    </w:p>
    <w:p w:rsidR="627E11C5" w:rsidP="627E11C5" w:rsidRDefault="627E11C5" w14:paraId="5FE88F6D" w14:textId="6C277647">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p>
    <w:p w:rsidR="168B5336" w:rsidP="627E11C5" w:rsidRDefault="168B5336" w14:paraId="505E9FDF" w14:textId="16A8BAD6">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Pupils had mixed views on live marking as a tool for improving understanding, as indicated in Appendix 2. While 3 out of 6 pupils valued receiving immediate feedback during lessons, as it helped them correct mistakes and clarify concepts in real time, the other 3 preferred receiving feedback at the end of the lesson, stating that live marking disrupted their concentration and they would rather focus on their work. One pupil commented “It helps me know what I did wrong and fix it straight away,” emphasising its role in enhancing comprehension. This supports Black and Wiliam's (1998) argument that timely feedback is essential for effective learning. </w:t>
      </w:r>
    </w:p>
    <w:p w:rsidR="627E11C5" w:rsidP="627E11C5" w:rsidRDefault="627E11C5" w14:paraId="54CF6801" w14:textId="42A86DA7">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p>
    <w:p w:rsidR="168B5336" w:rsidP="627E11C5" w:rsidRDefault="168B5336" w14:paraId="20EC8D3C" w14:textId="2649A4DF">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Adding to this, as indicated in Question 3, all pupils stated that live marking helps them to understand their work better. They explained that receiving feedback from the teacher allows them to identify what they have done correctly and, if they have made mistakes, gives them the opportunity to correct and learn from them for the future. One pupil noted that she uses this time to ask the teacher questions when she finds the work difficult, further highlighting how live marking facilitates a deeper understanding of the material. This aligns with Black and Wiliam’s (1998) assertion that immediate feedback is critical in helping pupils identify and correct mistakes, fostering deeper learning. Additionally, Hattie and Timperley (2007) argue that feedback that provides clear guidance on how to improve enhances pupil engagement and understanding, which is consistent with the positive feedback pupils provided regarding their experiences with live marking.</w:t>
      </w:r>
    </w:p>
    <w:p w:rsidR="627E11C5" w:rsidP="627E11C5" w:rsidRDefault="627E11C5" w14:paraId="01E651CC" w14:textId="077AD90E">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p>
    <w:p w:rsidR="168B5336" w:rsidP="627E11C5" w:rsidRDefault="168B5336" w14:paraId="67EF7866" w14:textId="19666347">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Responses to Question 2 highlighted the emotional impact of live marking on pupils, particularly in relation to their confidence and motivation. Most pupils did not mind receiving feedback through live marking, with several expressing that it helped them improve and better understand their work One pupil remarked “It makes me feel like the smartest human in the world.” reflecting how real-time feedback contributes to a sense of achievement. This supports Black and Wiliam’s (1998) view that effective formative feedback not only enhances learning but also promotes pupil confidence and engagement. This emotional benefit is also consistent with Dweck’s (2006) theory of growth mindset, which suggests that timely, constructive feedback encourages resilience and helps pupils view mistakes as valuable learning opportunities. By addressing errors in the moment, live marking enables pupils to feel more in control of their progress, fostering a positive attitude towards learning.</w:t>
      </w:r>
    </w:p>
    <w:p w:rsidR="627E11C5" w:rsidP="627E11C5" w:rsidRDefault="627E11C5" w14:paraId="0B5217E6" w14:textId="074EDE6E">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p>
    <w:p w:rsidR="168B5336" w:rsidP="627E11C5" w:rsidRDefault="168B5336" w14:paraId="372F0CA1" w14:textId="75CE0BA6">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strike w:val="0"/>
          <w:dstrike w:val="0"/>
          <w:noProof w:val="0"/>
          <w:color w:val="000000" w:themeColor="text1" w:themeTint="FF" w:themeShade="FF"/>
          <w:sz w:val="32"/>
          <w:szCs w:val="32"/>
          <w:u w:val="single"/>
          <w:lang w:val="en-GB"/>
        </w:rPr>
        <w:t>Conclusion</w:t>
      </w:r>
    </w:p>
    <w:p w:rsidR="168B5336" w:rsidP="627E11C5" w:rsidRDefault="168B5336" w14:paraId="33E77D2C" w14:textId="39217767">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In response to the research question ‘What is the effectiveness and impact of using live marking as an Assessment for Learning tool for teaching and learning?’</w:t>
      </w:r>
      <w:r w:rsidRPr="627E11C5" w:rsidR="168B5336">
        <w:rPr>
          <w:rFonts w:ascii="Aptos" w:hAnsi="Aptos" w:eastAsia="Aptos" w:cs="Aptos"/>
          <w:b w:val="0"/>
          <w:bCs w:val="0"/>
          <w:i w:val="1"/>
          <w:iCs w:val="1"/>
          <w:caps w:val="0"/>
          <w:smallCaps w:val="0"/>
          <w:noProof w:val="0"/>
          <w:color w:val="000000" w:themeColor="text1" w:themeTint="FF" w:themeShade="FF"/>
          <w:sz w:val="32"/>
          <w:szCs w:val="32"/>
          <w:lang w:val="en-GB"/>
        </w:rPr>
        <w:t xml:space="preserve"> </w:t>
      </w: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this study has shown that both teachers and pupils view live marking positively. Key strengths include its immediate feedback, ability to address misconceptions in real-time, and boost to pupil confidence and engagement. However, challenges such as time constraints and varying pupil responses must be considered. Although limited by sample size, the research has deepened understanding of effective AfL strategies. Moving forward, this can help student teachers (like me) prioritise responsive, formative feedback to enhance pupil progress and classroom practice.</w:t>
      </w:r>
    </w:p>
    <w:p w:rsidR="627E11C5" w:rsidP="627E11C5" w:rsidRDefault="627E11C5" w14:paraId="0953EF35" w14:textId="4B393DDA">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p>
    <w:p w:rsidR="627E11C5" w:rsidP="627E11C5" w:rsidRDefault="627E11C5" w14:paraId="6E7A0936" w14:textId="2EE6EA1E">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p>
    <w:p w:rsidR="627E11C5" w:rsidP="627E11C5" w:rsidRDefault="627E11C5" w14:paraId="42C6A0E9" w14:textId="5C28DB61">
      <w:pPr>
        <w:pStyle w:val="Normal"/>
        <w:spacing w:before="240" w:beforeAutospacing="off" w:after="240" w:afterAutospacing="off" w:line="360" w:lineRule="auto"/>
        <w:jc w:val="left"/>
        <w:rPr>
          <w:rFonts w:ascii="Aptos" w:hAnsi="Aptos" w:eastAsia="Aptos" w:cs="Aptos"/>
          <w:b w:val="1"/>
          <w:bCs w:val="1"/>
          <w:i w:val="0"/>
          <w:iCs w:val="0"/>
          <w:caps w:val="0"/>
          <w:smallCaps w:val="0"/>
          <w:noProof w:val="0"/>
          <w:color w:val="000000" w:themeColor="text1" w:themeTint="FF" w:themeShade="FF"/>
          <w:sz w:val="32"/>
          <w:szCs w:val="32"/>
          <w:lang w:val="en-GB"/>
        </w:rPr>
      </w:pPr>
    </w:p>
    <w:p w:rsidR="168B5336" w:rsidP="627E11C5" w:rsidRDefault="168B5336" w14:paraId="098AC1D6" w14:textId="03DED598">
      <w:pPr>
        <w:pStyle w:val="Normal"/>
        <w:spacing w:before="240" w:beforeAutospacing="off" w:after="240" w:afterAutospacing="off" w:line="360" w:lineRule="auto"/>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1"/>
          <w:bCs w:val="1"/>
          <w:i w:val="0"/>
          <w:iCs w:val="0"/>
          <w:caps w:val="0"/>
          <w:smallCaps w:val="0"/>
          <w:noProof w:val="0"/>
          <w:color w:val="000000" w:themeColor="text1" w:themeTint="FF" w:themeShade="FF"/>
          <w:sz w:val="32"/>
          <w:szCs w:val="32"/>
          <w:lang w:val="en-GB"/>
        </w:rPr>
        <w:t>Reference List</w:t>
      </w:r>
    </w:p>
    <w:p w:rsidR="168B5336" w:rsidP="627E11C5" w:rsidRDefault="168B5336" w14:paraId="173C45BA" w14:textId="3CA37BB9">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Bryman, A. (2016). </w:t>
      </w:r>
      <w:r w:rsidRPr="627E11C5" w:rsidR="168B5336">
        <w:rPr>
          <w:rFonts w:ascii="Aptos" w:hAnsi="Aptos" w:eastAsia="Aptos" w:cs="Aptos"/>
          <w:b w:val="0"/>
          <w:bCs w:val="0"/>
          <w:i w:val="1"/>
          <w:iCs w:val="1"/>
          <w:caps w:val="0"/>
          <w:smallCaps w:val="0"/>
          <w:noProof w:val="0"/>
          <w:color w:val="000000" w:themeColor="text1" w:themeTint="FF" w:themeShade="FF"/>
          <w:sz w:val="32"/>
          <w:szCs w:val="32"/>
          <w:lang w:val="en-GB"/>
        </w:rPr>
        <w:t>Social Research Methods</w:t>
      </w: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 (5th ed.). Oxford University Press.</w:t>
      </w:r>
    </w:p>
    <w:p w:rsidR="168B5336" w:rsidP="627E11C5" w:rsidRDefault="168B5336" w14:paraId="5EA6C837" w14:textId="7ED04F0D">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Black, P. and Wiliam, D. (1998) ‘Inside the Black Box: Raising Standards Through Classroom Assessment’, </w:t>
      </w:r>
      <w:r w:rsidRPr="627E11C5" w:rsidR="168B5336">
        <w:rPr>
          <w:rFonts w:ascii="Aptos" w:hAnsi="Aptos" w:eastAsia="Aptos" w:cs="Aptos"/>
          <w:b w:val="0"/>
          <w:bCs w:val="0"/>
          <w:i w:val="1"/>
          <w:iCs w:val="1"/>
          <w:caps w:val="0"/>
          <w:smallCaps w:val="0"/>
          <w:noProof w:val="0"/>
          <w:color w:val="000000" w:themeColor="text1" w:themeTint="FF" w:themeShade="FF"/>
          <w:sz w:val="32"/>
          <w:szCs w:val="32"/>
          <w:lang w:val="en-GB"/>
        </w:rPr>
        <w:t>Phi Delta Kappan</w:t>
      </w: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80(2), pp. 139-148.</w:t>
      </w:r>
    </w:p>
    <w:p w:rsidR="168B5336" w:rsidP="627E11C5" w:rsidRDefault="168B5336" w14:paraId="31C4C2B3" w14:textId="1E97065D">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Black, P., Wiliam, D. and King’s College London. Department of Education and Professional Studies. (1998) </w:t>
      </w:r>
      <w:r w:rsidRPr="627E11C5" w:rsidR="168B5336">
        <w:rPr>
          <w:rFonts w:ascii="Aptos" w:hAnsi="Aptos" w:eastAsia="Aptos" w:cs="Aptos"/>
          <w:b w:val="0"/>
          <w:bCs w:val="0"/>
          <w:i w:val="1"/>
          <w:iCs w:val="1"/>
          <w:caps w:val="0"/>
          <w:smallCaps w:val="0"/>
          <w:noProof w:val="0"/>
          <w:color w:val="000000" w:themeColor="text1" w:themeTint="FF" w:themeShade="FF"/>
          <w:sz w:val="32"/>
          <w:szCs w:val="32"/>
          <w:lang w:val="en-GB"/>
        </w:rPr>
        <w:t>Inside the black box: raising standards through classroom assessment</w:t>
      </w: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London: GL Assessment.</w:t>
      </w:r>
    </w:p>
    <w:p w:rsidR="168B5336" w:rsidP="627E11C5" w:rsidRDefault="168B5336" w14:paraId="343C0BD3" w14:textId="2B9A7AB7">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British Educational Research Association (BERA), 2024. </w:t>
      </w:r>
      <w:r w:rsidRPr="627E11C5" w:rsidR="168B5336">
        <w:rPr>
          <w:rFonts w:ascii="Aptos" w:hAnsi="Aptos" w:eastAsia="Aptos" w:cs="Aptos"/>
          <w:b w:val="0"/>
          <w:bCs w:val="0"/>
          <w:i w:val="1"/>
          <w:iCs w:val="1"/>
          <w:caps w:val="0"/>
          <w:smallCaps w:val="0"/>
          <w:noProof w:val="0"/>
          <w:color w:val="000000" w:themeColor="text1" w:themeTint="FF" w:themeShade="FF"/>
          <w:sz w:val="32"/>
          <w:szCs w:val="32"/>
          <w:lang w:val="en-GB"/>
        </w:rPr>
        <w:t>Ethical Guidelines for Educational Research</w:t>
      </w: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5th ed. London: British Educational Research Association.</w:t>
      </w:r>
    </w:p>
    <w:p w:rsidR="168B5336" w:rsidP="627E11C5" w:rsidRDefault="168B5336" w14:paraId="24D70159" w14:textId="7C7C8E6A">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Clarke, S. (2008) </w:t>
      </w:r>
      <w:r w:rsidRPr="627E11C5" w:rsidR="168B5336">
        <w:rPr>
          <w:rFonts w:ascii="Aptos" w:hAnsi="Aptos" w:eastAsia="Aptos" w:cs="Aptos"/>
          <w:b w:val="0"/>
          <w:bCs w:val="0"/>
          <w:i w:val="1"/>
          <w:iCs w:val="1"/>
          <w:caps w:val="0"/>
          <w:smallCaps w:val="0"/>
          <w:noProof w:val="0"/>
          <w:color w:val="000000" w:themeColor="text1" w:themeTint="FF" w:themeShade="FF"/>
          <w:sz w:val="32"/>
          <w:szCs w:val="32"/>
          <w:lang w:val="en-GB"/>
        </w:rPr>
        <w:t>Active learning through formative assessment</w:t>
      </w: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London: Hodder Murray.</w:t>
      </w:r>
    </w:p>
    <w:p w:rsidR="168B5336" w:rsidP="627E11C5" w:rsidRDefault="168B5336" w14:paraId="3C63AEF2" w14:textId="3DB322B4">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Cohen, L., Manion, L., &amp; Morrison, K. (2007). </w:t>
      </w:r>
      <w:r w:rsidRPr="627E11C5" w:rsidR="168B5336">
        <w:rPr>
          <w:rFonts w:ascii="Aptos" w:hAnsi="Aptos" w:eastAsia="Aptos" w:cs="Aptos"/>
          <w:b w:val="0"/>
          <w:bCs w:val="0"/>
          <w:i w:val="1"/>
          <w:iCs w:val="1"/>
          <w:caps w:val="0"/>
          <w:smallCaps w:val="0"/>
          <w:noProof w:val="0"/>
          <w:color w:val="000000" w:themeColor="text1" w:themeTint="FF" w:themeShade="FF"/>
          <w:sz w:val="32"/>
          <w:szCs w:val="32"/>
          <w:lang w:val="en-GB"/>
        </w:rPr>
        <w:t>Research Methods in Education</w:t>
      </w: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 (6th ed.). Routledge.</w:t>
      </w:r>
    </w:p>
    <w:p w:rsidR="168B5336" w:rsidP="627E11C5" w:rsidRDefault="168B5336" w14:paraId="4BFAAA23" w14:textId="50A9C911">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Cohen, L., Manion, L., &amp; Morrison, K. (2018). </w:t>
      </w:r>
      <w:r w:rsidRPr="627E11C5" w:rsidR="168B5336">
        <w:rPr>
          <w:rFonts w:ascii="Aptos" w:hAnsi="Aptos" w:eastAsia="Aptos" w:cs="Aptos"/>
          <w:b w:val="0"/>
          <w:bCs w:val="0"/>
          <w:i w:val="1"/>
          <w:iCs w:val="1"/>
          <w:caps w:val="0"/>
          <w:smallCaps w:val="0"/>
          <w:noProof w:val="0"/>
          <w:color w:val="000000" w:themeColor="text1" w:themeTint="FF" w:themeShade="FF"/>
          <w:sz w:val="32"/>
          <w:szCs w:val="32"/>
          <w:lang w:val="en-GB"/>
        </w:rPr>
        <w:t>Research Methods in Education</w:t>
      </w: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 (8th ed.). Routledge.</w:t>
      </w:r>
    </w:p>
    <w:p w:rsidR="168B5336" w:rsidP="627E11C5" w:rsidRDefault="168B5336" w14:paraId="57A58956" w14:textId="01644F7A">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Creswell, J. W. (2014). </w:t>
      </w:r>
      <w:r w:rsidRPr="627E11C5" w:rsidR="168B5336">
        <w:rPr>
          <w:rFonts w:ascii="Aptos" w:hAnsi="Aptos" w:eastAsia="Aptos" w:cs="Aptos"/>
          <w:b w:val="0"/>
          <w:bCs w:val="0"/>
          <w:i w:val="1"/>
          <w:iCs w:val="1"/>
          <w:caps w:val="0"/>
          <w:smallCaps w:val="0"/>
          <w:noProof w:val="0"/>
          <w:color w:val="000000" w:themeColor="text1" w:themeTint="FF" w:themeShade="FF"/>
          <w:sz w:val="32"/>
          <w:szCs w:val="32"/>
          <w:lang w:val="en-GB"/>
        </w:rPr>
        <w:t>Research design: Qualitative, quantitative, and mixed methods approaches</w:t>
      </w: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 (4th ed.). SAGE Publications.</w:t>
      </w:r>
    </w:p>
    <w:p w:rsidR="168B5336" w:rsidP="627E11C5" w:rsidRDefault="168B5336" w14:paraId="6A468035" w14:textId="290BD1C3">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Denscombe, M. (2021). </w:t>
      </w:r>
      <w:r w:rsidRPr="627E11C5" w:rsidR="168B5336">
        <w:rPr>
          <w:rFonts w:ascii="Aptos" w:hAnsi="Aptos" w:eastAsia="Aptos" w:cs="Aptos"/>
          <w:b w:val="0"/>
          <w:bCs w:val="0"/>
          <w:i w:val="1"/>
          <w:iCs w:val="1"/>
          <w:caps w:val="0"/>
          <w:smallCaps w:val="0"/>
          <w:noProof w:val="0"/>
          <w:color w:val="000000" w:themeColor="text1" w:themeTint="FF" w:themeShade="FF"/>
          <w:sz w:val="32"/>
          <w:szCs w:val="32"/>
          <w:lang w:val="en-GB"/>
        </w:rPr>
        <w:t>The Good Research Guide: For Small-Scale Social Research Projects</w:t>
      </w: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 (7th ed.). Open University Press.</w:t>
      </w:r>
    </w:p>
    <w:p w:rsidR="168B5336" w:rsidP="627E11C5" w:rsidRDefault="168B5336" w14:paraId="31F3D070" w14:textId="5B82DF76">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Dweck, C.S. (2006) </w:t>
      </w:r>
      <w:r w:rsidRPr="627E11C5" w:rsidR="168B5336">
        <w:rPr>
          <w:rFonts w:ascii="Aptos" w:hAnsi="Aptos" w:eastAsia="Aptos" w:cs="Aptos"/>
          <w:b w:val="0"/>
          <w:bCs w:val="0"/>
          <w:i w:val="1"/>
          <w:iCs w:val="1"/>
          <w:caps w:val="0"/>
          <w:smallCaps w:val="0"/>
          <w:noProof w:val="0"/>
          <w:color w:val="000000" w:themeColor="text1" w:themeTint="FF" w:themeShade="FF"/>
          <w:sz w:val="32"/>
          <w:szCs w:val="32"/>
          <w:lang w:val="en-GB"/>
        </w:rPr>
        <w:t>Mindset: The New Psychology of Success</w:t>
      </w: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New York: Random House.</w:t>
      </w:r>
    </w:p>
    <w:p w:rsidR="168B5336" w:rsidP="627E11C5" w:rsidRDefault="168B5336" w14:paraId="129D90E7" w14:textId="5C83C834">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Hattie, J. (2009) </w:t>
      </w:r>
      <w:r w:rsidRPr="627E11C5" w:rsidR="168B5336">
        <w:rPr>
          <w:rFonts w:ascii="Aptos" w:hAnsi="Aptos" w:eastAsia="Aptos" w:cs="Aptos"/>
          <w:b w:val="0"/>
          <w:bCs w:val="0"/>
          <w:i w:val="1"/>
          <w:iCs w:val="1"/>
          <w:caps w:val="0"/>
          <w:smallCaps w:val="0"/>
          <w:noProof w:val="0"/>
          <w:color w:val="000000" w:themeColor="text1" w:themeTint="FF" w:themeShade="FF"/>
          <w:sz w:val="32"/>
          <w:szCs w:val="32"/>
          <w:lang w:val="en-GB"/>
        </w:rPr>
        <w:t>Visible Learning: A Synthesis of Over 800 Meta-Analyses Relating to Achievement</w:t>
      </w: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Abingdon: Routledge.</w:t>
      </w:r>
    </w:p>
    <w:p w:rsidR="168B5336" w:rsidP="627E11C5" w:rsidRDefault="168B5336" w14:paraId="27C5293E" w14:textId="0FDB5924">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Hattie, J. and Timperley, H. (2007) ‘The Power of Feedback’, </w:t>
      </w:r>
      <w:r w:rsidRPr="627E11C5" w:rsidR="168B5336">
        <w:rPr>
          <w:rFonts w:ascii="Aptos" w:hAnsi="Aptos" w:eastAsia="Aptos" w:cs="Aptos"/>
          <w:b w:val="0"/>
          <w:bCs w:val="0"/>
          <w:i w:val="1"/>
          <w:iCs w:val="1"/>
          <w:caps w:val="0"/>
          <w:smallCaps w:val="0"/>
          <w:noProof w:val="0"/>
          <w:color w:val="000000" w:themeColor="text1" w:themeTint="FF" w:themeShade="FF"/>
          <w:sz w:val="32"/>
          <w:szCs w:val="32"/>
          <w:lang w:val="en-GB"/>
        </w:rPr>
        <w:t>Review of Educational Research</w:t>
      </w: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 77(1), pp. 81–112. Available at: </w:t>
      </w:r>
      <w:hyperlink r:id="R69f8619c6fb844a2">
        <w:r w:rsidRPr="627E11C5" w:rsidR="168B5336">
          <w:rPr>
            <w:rStyle w:val="Hyperlink"/>
            <w:rFonts w:ascii="Aptos" w:hAnsi="Aptos" w:eastAsia="Aptos" w:cs="Aptos"/>
            <w:b w:val="0"/>
            <w:bCs w:val="0"/>
            <w:i w:val="0"/>
            <w:iCs w:val="0"/>
            <w:caps w:val="0"/>
            <w:smallCaps w:val="0"/>
            <w:strike w:val="0"/>
            <w:dstrike w:val="0"/>
            <w:noProof w:val="0"/>
            <w:sz w:val="32"/>
            <w:szCs w:val="32"/>
            <w:lang w:val="en-GB"/>
          </w:rPr>
          <w:t>https://www.proquest.com/docview/214113991/fulltextPDF/4736636D0D6E40FBPQ/1?accountid=130472&amp;sourcetype=Scholarly%20Journals</w:t>
        </w:r>
      </w:hyperlink>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w:t>
      </w:r>
    </w:p>
    <w:p w:rsidR="168B5336" w:rsidP="627E11C5" w:rsidRDefault="168B5336" w14:paraId="057270BB" w14:textId="67F00F42">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Krippendorff, K. (2018). </w:t>
      </w:r>
      <w:r w:rsidRPr="627E11C5" w:rsidR="168B5336">
        <w:rPr>
          <w:rFonts w:ascii="Aptos" w:hAnsi="Aptos" w:eastAsia="Aptos" w:cs="Aptos"/>
          <w:b w:val="0"/>
          <w:bCs w:val="0"/>
          <w:i w:val="1"/>
          <w:iCs w:val="1"/>
          <w:caps w:val="0"/>
          <w:smallCaps w:val="0"/>
          <w:noProof w:val="0"/>
          <w:color w:val="000000" w:themeColor="text1" w:themeTint="FF" w:themeShade="FF"/>
          <w:sz w:val="32"/>
          <w:szCs w:val="32"/>
          <w:lang w:val="en-GB"/>
        </w:rPr>
        <w:t>Content analysis: An introduction to its methodology</w:t>
      </w: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4th ed. Thousand Oaks, CA: SAGE Publications.</w:t>
      </w:r>
    </w:p>
    <w:p w:rsidR="168B5336" w:rsidP="627E11C5" w:rsidRDefault="168B5336" w14:paraId="3392D5C4" w14:textId="7E864BC4">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Prospero Teaching (2023) </w:t>
      </w:r>
      <w:r w:rsidRPr="627E11C5" w:rsidR="168B5336">
        <w:rPr>
          <w:rFonts w:ascii="Aptos" w:hAnsi="Aptos" w:eastAsia="Aptos" w:cs="Aptos"/>
          <w:b w:val="0"/>
          <w:bCs w:val="0"/>
          <w:i w:val="1"/>
          <w:iCs w:val="1"/>
          <w:caps w:val="0"/>
          <w:smallCaps w:val="0"/>
          <w:noProof w:val="0"/>
          <w:color w:val="000000" w:themeColor="text1" w:themeTint="FF" w:themeShade="FF"/>
          <w:sz w:val="32"/>
          <w:szCs w:val="32"/>
          <w:lang w:val="en-GB"/>
        </w:rPr>
        <w:t>Live marking: A time-saving solution for teachers?</w:t>
      </w: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 Prospero Teaching. Available at: </w:t>
      </w:r>
      <w:hyperlink r:id="R48d134b55cf645e7">
        <w:r w:rsidRPr="627E11C5" w:rsidR="168B5336">
          <w:rPr>
            <w:rStyle w:val="Hyperlink"/>
            <w:rFonts w:ascii="Aptos" w:hAnsi="Aptos" w:eastAsia="Aptos" w:cs="Aptos"/>
            <w:b w:val="0"/>
            <w:bCs w:val="0"/>
            <w:i w:val="0"/>
            <w:iCs w:val="0"/>
            <w:caps w:val="0"/>
            <w:smallCaps w:val="0"/>
            <w:strike w:val="0"/>
            <w:dstrike w:val="0"/>
            <w:noProof w:val="0"/>
            <w:sz w:val="32"/>
            <w:szCs w:val="32"/>
            <w:lang w:val="en-GB"/>
          </w:rPr>
          <w:t>https://www.prosperoteaching.com/blog/2023/01/live-marking-a-time-saving-solution-for-teachers</w:t>
        </w:r>
      </w:hyperlink>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 (Accessed: 01 April 2025).</w:t>
      </w:r>
    </w:p>
    <w:p w:rsidR="168B5336" w:rsidP="627E11C5" w:rsidRDefault="168B5336" w14:paraId="48E332D2" w14:textId="76123E66">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QuestionPro (n.d.) </w:t>
      </w:r>
      <w:r w:rsidRPr="627E11C5" w:rsidR="168B5336">
        <w:rPr>
          <w:rFonts w:ascii="Aptos" w:hAnsi="Aptos" w:eastAsia="Aptos" w:cs="Aptos"/>
          <w:b w:val="0"/>
          <w:bCs w:val="0"/>
          <w:i w:val="1"/>
          <w:iCs w:val="1"/>
          <w:caps w:val="0"/>
          <w:smallCaps w:val="0"/>
          <w:noProof w:val="0"/>
          <w:color w:val="000000" w:themeColor="text1" w:themeTint="FF" w:themeShade="FF"/>
          <w:sz w:val="32"/>
          <w:szCs w:val="32"/>
          <w:lang w:val="en-GB"/>
        </w:rPr>
        <w:t>Qualitative Data: Definition, Types, Analysis and Examples</w:t>
      </w: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 Available at: </w:t>
      </w:r>
      <w:hyperlink r:id="R4be39ceb3e1b4f10">
        <w:r w:rsidRPr="627E11C5" w:rsidR="168B5336">
          <w:rPr>
            <w:rStyle w:val="Hyperlink"/>
            <w:rFonts w:ascii="Aptos" w:hAnsi="Aptos" w:eastAsia="Aptos" w:cs="Aptos"/>
            <w:b w:val="0"/>
            <w:bCs w:val="0"/>
            <w:i w:val="0"/>
            <w:iCs w:val="0"/>
            <w:caps w:val="0"/>
            <w:smallCaps w:val="0"/>
            <w:strike w:val="0"/>
            <w:dstrike w:val="0"/>
            <w:noProof w:val="0"/>
            <w:sz w:val="32"/>
            <w:szCs w:val="32"/>
            <w:lang w:val="en-GB"/>
          </w:rPr>
          <w:t>https://www.questionpro.com/blog/qualitative-data/</w:t>
        </w:r>
      </w:hyperlink>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 (Accessed: 2 April 2025).</w:t>
      </w:r>
    </w:p>
    <w:p w:rsidR="168B5336" w:rsidP="627E11C5" w:rsidRDefault="168B5336" w14:paraId="6C639735" w14:textId="7F58478B">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Stanford Centre for Teaching and Learning (no date) </w:t>
      </w:r>
      <w:r w:rsidRPr="627E11C5" w:rsidR="168B5336">
        <w:rPr>
          <w:rFonts w:ascii="Aptos" w:hAnsi="Aptos" w:eastAsia="Aptos" w:cs="Aptos"/>
          <w:b w:val="0"/>
          <w:bCs w:val="0"/>
          <w:i w:val="1"/>
          <w:iCs w:val="1"/>
          <w:caps w:val="0"/>
          <w:smallCaps w:val="0"/>
          <w:noProof w:val="0"/>
          <w:color w:val="000000" w:themeColor="text1" w:themeTint="FF" w:themeShade="FF"/>
          <w:sz w:val="32"/>
          <w:szCs w:val="32"/>
          <w:lang w:val="en-GB"/>
        </w:rPr>
        <w:t>Differentiated instruction</w:t>
      </w: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 available at: </w:t>
      </w:r>
      <w:hyperlink r:id="Rba64d0df1e8b4772">
        <w:r w:rsidRPr="627E11C5" w:rsidR="168B5336">
          <w:rPr>
            <w:rStyle w:val="Hyperlink"/>
            <w:rFonts w:ascii="Aptos" w:hAnsi="Aptos" w:eastAsia="Aptos" w:cs="Aptos"/>
            <w:b w:val="0"/>
            <w:bCs w:val="0"/>
            <w:i w:val="0"/>
            <w:iCs w:val="0"/>
            <w:caps w:val="0"/>
            <w:smallCaps w:val="0"/>
            <w:strike w:val="0"/>
            <w:dstrike w:val="0"/>
            <w:noProof w:val="0"/>
            <w:sz w:val="32"/>
            <w:szCs w:val="32"/>
            <w:lang w:val="en-GB"/>
          </w:rPr>
          <w:t>https://ctl.stanford.edu/differentiated-instruction</w:t>
        </w:r>
      </w:hyperlink>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 (Accessed: 2 April 2025).</w:t>
      </w:r>
    </w:p>
    <w:p w:rsidR="168B5336" w:rsidP="627E11C5" w:rsidRDefault="168B5336" w14:paraId="56A31BCC" w14:textId="01D38879">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xml:space="preserve">Wiliam, D. (2018) </w:t>
      </w:r>
      <w:r w:rsidRPr="627E11C5" w:rsidR="168B5336">
        <w:rPr>
          <w:rFonts w:ascii="Aptos" w:hAnsi="Aptos" w:eastAsia="Aptos" w:cs="Aptos"/>
          <w:b w:val="0"/>
          <w:bCs w:val="0"/>
          <w:i w:val="1"/>
          <w:iCs w:val="1"/>
          <w:caps w:val="0"/>
          <w:smallCaps w:val="0"/>
          <w:noProof w:val="0"/>
          <w:color w:val="000000" w:themeColor="text1" w:themeTint="FF" w:themeShade="FF"/>
          <w:sz w:val="32"/>
          <w:szCs w:val="32"/>
          <w:lang w:val="en-GB"/>
        </w:rPr>
        <w:t>Embedded formative assessment</w:t>
      </w:r>
      <w:r w:rsidRPr="627E11C5" w:rsidR="168B5336">
        <w:rPr>
          <w:rFonts w:ascii="Aptos" w:hAnsi="Aptos" w:eastAsia="Aptos" w:cs="Aptos"/>
          <w:b w:val="0"/>
          <w:bCs w:val="0"/>
          <w:i w:val="0"/>
          <w:iCs w:val="0"/>
          <w:caps w:val="0"/>
          <w:smallCaps w:val="0"/>
          <w:noProof w:val="0"/>
          <w:color w:val="000000" w:themeColor="text1" w:themeTint="FF" w:themeShade="FF"/>
          <w:sz w:val="32"/>
          <w:szCs w:val="32"/>
          <w:lang w:val="en-GB"/>
        </w:rPr>
        <w:t>. Second edition. Bloomington, Indiana: Solution Tree Press.</w:t>
      </w:r>
    </w:p>
    <w:p w:rsidR="627E11C5" w:rsidP="627E11C5" w:rsidRDefault="627E11C5" w14:paraId="5D464033" w14:textId="0FE8CE28">
      <w:pPr>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32"/>
          <w:szCs w:val="32"/>
          <w:lang w:val="en-US"/>
        </w:rPr>
      </w:pPr>
    </w:p>
    <w:p w:rsidR="627E11C5" w:rsidP="627E11C5" w:rsidRDefault="627E11C5" w14:paraId="019A1017" w14:textId="32E3366E">
      <w:pPr>
        <w:rPr>
          <w:sz w:val="36"/>
          <w:szCs w:val="36"/>
        </w:rPr>
      </w:pPr>
    </w:p>
    <w:sectPr w:rsidRPr="000E2E7E" w:rsidR="000E2E7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int2:observations>
    <int2:textHash int2:hashCode="0qKH0kmkjguf5B" int2:id="2PWzVMoa">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E2E7E"/>
    <w:rsid w:val="00121BB2"/>
    <w:rsid w:val="001675AC"/>
    <w:rsid w:val="00191CFB"/>
    <w:rsid w:val="001E698E"/>
    <w:rsid w:val="00371AC6"/>
    <w:rsid w:val="00372668"/>
    <w:rsid w:val="003A7750"/>
    <w:rsid w:val="00403714"/>
    <w:rsid w:val="00504994"/>
    <w:rsid w:val="00510D18"/>
    <w:rsid w:val="00604703"/>
    <w:rsid w:val="008F0B48"/>
    <w:rsid w:val="00965B69"/>
    <w:rsid w:val="009D31A8"/>
    <w:rsid w:val="00AB5565"/>
    <w:rsid w:val="00C0493E"/>
    <w:rsid w:val="00DF09B3"/>
    <w:rsid w:val="00E5184C"/>
    <w:rsid w:val="00F66413"/>
    <w:rsid w:val="035D95A1"/>
    <w:rsid w:val="168B5336"/>
    <w:rsid w:val="1DC9062A"/>
    <w:rsid w:val="26BEC381"/>
    <w:rsid w:val="2D41ABCC"/>
    <w:rsid w:val="300A8EE3"/>
    <w:rsid w:val="35D629E4"/>
    <w:rsid w:val="3C857D11"/>
    <w:rsid w:val="3F9C7A4F"/>
    <w:rsid w:val="43B896F3"/>
    <w:rsid w:val="44235FC1"/>
    <w:rsid w:val="54A8DE8E"/>
    <w:rsid w:val="627E11C5"/>
    <w:rsid w:val="640F3193"/>
    <w:rsid w:val="7250D8CC"/>
    <w:rsid w:val="755A321E"/>
    <w:rsid w:val="770ECF0B"/>
    <w:rsid w:val="7F74C2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E2E7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E2E7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E2E7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E2E7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E2E7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E2E7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E2E7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styleId="QuoteChar" w:customStyle="1">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uiPriority w:val="99"/>
    <w:name w:val="Hyperlink"/>
    <w:basedOn w:val="DefaultParagraphFont"/>
    <w:unhideWhenUsed/>
    <w:rsid w:val="627E11C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png" Id="rId4" /><Relationship Type="http://schemas.openxmlformats.org/officeDocument/2006/relationships/hyperlink" Target="https://www.proquest.com/docview/214113991/fulltextPDF/4736636D0D6E40FBPQ/1?accountid=130472&amp;sourcetype=Scholarly%20Journals" TargetMode="External" Id="R69f8619c6fb844a2" /><Relationship Type="http://schemas.openxmlformats.org/officeDocument/2006/relationships/hyperlink" Target="https://www.prosperoteaching.com/blog/2023/01/live-marking-a-time-saving-solution-for-teachers" TargetMode="External" Id="R48d134b55cf645e7" /><Relationship Type="http://schemas.openxmlformats.org/officeDocument/2006/relationships/hyperlink" Target="https://www.questionpro.com/blog/qualitative-data/" TargetMode="External" Id="R4be39ceb3e1b4f10" /><Relationship Type="http://schemas.openxmlformats.org/officeDocument/2006/relationships/hyperlink" Target="https://ctl.stanford.edu/differentiated-instruction" TargetMode="External" Id="Rba64d0df1e8b4772" /><Relationship Type="http://schemas.microsoft.com/office/2020/10/relationships/intelligence" Target="intelligence2.xml" Id="Rb87e3b019a8d4b0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Sioned Hughes</dc:creator>
  <keywords/>
  <dc:description/>
  <lastModifiedBy>Keira Wickham (2300800)</lastModifiedBy>
  <revision>3</revision>
  <dcterms:created xsi:type="dcterms:W3CDTF">2025-02-05T12:41:00.0000000Z</dcterms:created>
  <dcterms:modified xsi:type="dcterms:W3CDTF">2025-04-04T22:50:55.3541423Z</dcterms:modified>
</coreProperties>
</file>