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C8425C" w14:textId="073F953B" w:rsidR="00455943" w:rsidRDefault="00455943">
      <w:pPr>
        <w:spacing w:line="360" w:lineRule="auto"/>
        <w:jc w:val="center"/>
        <w:rPr>
          <w:b/>
          <w:sz w:val="32"/>
          <w:szCs w:val="32"/>
        </w:rPr>
      </w:pPr>
    </w:p>
    <w:p w14:paraId="2D4CBC05" w14:textId="73D5DF82" w:rsidR="00252469" w:rsidRDefault="00252469">
      <w:pPr>
        <w:spacing w:line="360" w:lineRule="auto"/>
        <w:jc w:val="center"/>
        <w:rPr>
          <w:b/>
          <w:sz w:val="32"/>
          <w:szCs w:val="32"/>
        </w:rPr>
      </w:pPr>
    </w:p>
    <w:p w14:paraId="0BEF9F8D" w14:textId="77777777" w:rsidR="00172DEB" w:rsidRDefault="00172DEB" w:rsidP="009153BE">
      <w:pPr>
        <w:spacing w:line="360" w:lineRule="auto"/>
        <w:rPr>
          <w:b/>
          <w:sz w:val="32"/>
          <w:szCs w:val="32"/>
        </w:rPr>
      </w:pPr>
    </w:p>
    <w:p w14:paraId="450B2C92" w14:textId="77777777" w:rsidR="00455943" w:rsidRDefault="00455943">
      <w:pPr>
        <w:spacing w:line="360" w:lineRule="auto"/>
        <w:jc w:val="center"/>
        <w:rPr>
          <w:b/>
          <w:sz w:val="32"/>
          <w:szCs w:val="32"/>
        </w:rPr>
      </w:pPr>
    </w:p>
    <w:p w14:paraId="65DDBC1A" w14:textId="1346B0AF" w:rsidR="00455943" w:rsidRDefault="00455943">
      <w:pPr>
        <w:spacing w:line="360" w:lineRule="auto"/>
        <w:jc w:val="center"/>
        <w:rPr>
          <w:b/>
          <w:sz w:val="32"/>
          <w:szCs w:val="32"/>
        </w:rPr>
      </w:pPr>
    </w:p>
    <w:p w14:paraId="19F4EA04" w14:textId="63C25705" w:rsidR="006D41FC" w:rsidRDefault="006D41FC">
      <w:pPr>
        <w:spacing w:line="360" w:lineRule="auto"/>
        <w:jc w:val="center"/>
        <w:rPr>
          <w:b/>
          <w:sz w:val="32"/>
          <w:szCs w:val="32"/>
        </w:rPr>
      </w:pPr>
    </w:p>
    <w:p w14:paraId="3191442B" w14:textId="77777777" w:rsidR="006D41FC" w:rsidRDefault="006D41FC">
      <w:pPr>
        <w:spacing w:line="360" w:lineRule="auto"/>
        <w:jc w:val="center"/>
        <w:rPr>
          <w:b/>
          <w:sz w:val="32"/>
          <w:szCs w:val="32"/>
        </w:rPr>
      </w:pPr>
    </w:p>
    <w:p w14:paraId="606E758D" w14:textId="77777777" w:rsidR="00455943" w:rsidRDefault="00455943">
      <w:pPr>
        <w:spacing w:line="360" w:lineRule="auto"/>
        <w:jc w:val="center"/>
        <w:rPr>
          <w:b/>
          <w:sz w:val="32"/>
          <w:szCs w:val="32"/>
        </w:rPr>
      </w:pPr>
    </w:p>
    <w:p w14:paraId="37AEA74C" w14:textId="004F892C" w:rsidR="00E505BE" w:rsidRDefault="00223144">
      <w:pPr>
        <w:spacing w:line="360" w:lineRule="auto"/>
        <w:jc w:val="center"/>
        <w:rPr>
          <w:b/>
          <w:sz w:val="32"/>
          <w:szCs w:val="32"/>
        </w:rPr>
      </w:pPr>
      <w:r>
        <w:rPr>
          <w:b/>
          <w:sz w:val="32"/>
          <w:szCs w:val="32"/>
        </w:rPr>
        <w:t xml:space="preserve">MODULE TITLE: </w:t>
      </w:r>
      <w:r w:rsidR="00455943">
        <w:rPr>
          <w:b/>
          <w:sz w:val="32"/>
          <w:szCs w:val="32"/>
        </w:rPr>
        <w:t>INTERNATIONAL FINANCIAL MANAGEMENT</w:t>
      </w:r>
    </w:p>
    <w:p w14:paraId="4254D08C" w14:textId="77777777" w:rsidR="00E505BE" w:rsidRDefault="00E505BE">
      <w:pPr>
        <w:spacing w:line="360" w:lineRule="auto"/>
        <w:jc w:val="center"/>
        <w:rPr>
          <w:b/>
          <w:sz w:val="32"/>
          <w:szCs w:val="32"/>
        </w:rPr>
      </w:pPr>
    </w:p>
    <w:p w14:paraId="4AD15EB4" w14:textId="77777777" w:rsidR="00E505BE" w:rsidRDefault="00223144">
      <w:pPr>
        <w:spacing w:line="360" w:lineRule="auto"/>
        <w:jc w:val="center"/>
        <w:rPr>
          <w:b/>
          <w:sz w:val="32"/>
          <w:szCs w:val="32"/>
        </w:rPr>
      </w:pPr>
      <w:r>
        <w:rPr>
          <w:b/>
          <w:sz w:val="32"/>
          <w:szCs w:val="32"/>
        </w:rPr>
        <w:t>MODULE CODE: LCBB6002</w:t>
      </w:r>
    </w:p>
    <w:p w14:paraId="5D2B030B" w14:textId="77777777" w:rsidR="00E505BE" w:rsidRDefault="00E505BE">
      <w:pPr>
        <w:spacing w:line="360" w:lineRule="auto"/>
        <w:jc w:val="center"/>
        <w:rPr>
          <w:b/>
          <w:sz w:val="32"/>
          <w:szCs w:val="32"/>
        </w:rPr>
      </w:pPr>
    </w:p>
    <w:p w14:paraId="5620AD2A" w14:textId="220DFF65" w:rsidR="00E505BE" w:rsidRDefault="00223144">
      <w:pPr>
        <w:spacing w:line="360" w:lineRule="auto"/>
        <w:jc w:val="center"/>
        <w:rPr>
          <w:b/>
          <w:sz w:val="32"/>
          <w:szCs w:val="32"/>
        </w:rPr>
      </w:pPr>
      <w:r>
        <w:rPr>
          <w:b/>
          <w:sz w:val="32"/>
          <w:szCs w:val="32"/>
        </w:rPr>
        <w:t xml:space="preserve">ASSIGNMENT TITLE: </w:t>
      </w:r>
      <w:r w:rsidR="00455943">
        <w:rPr>
          <w:b/>
          <w:sz w:val="32"/>
          <w:szCs w:val="32"/>
        </w:rPr>
        <w:t>COMPONENT 1 COURSEWORK: WRITTEN REPORT</w:t>
      </w:r>
    </w:p>
    <w:p w14:paraId="1A683C51" w14:textId="77777777" w:rsidR="00E505BE" w:rsidRDefault="00E505BE">
      <w:pPr>
        <w:spacing w:line="360" w:lineRule="auto"/>
        <w:jc w:val="center"/>
        <w:rPr>
          <w:b/>
          <w:sz w:val="32"/>
          <w:szCs w:val="32"/>
        </w:rPr>
      </w:pPr>
    </w:p>
    <w:p w14:paraId="2BDEBA35" w14:textId="1B8B78A5" w:rsidR="00E505BE" w:rsidRDefault="00223144">
      <w:pPr>
        <w:spacing w:line="360" w:lineRule="auto"/>
        <w:jc w:val="center"/>
        <w:rPr>
          <w:b/>
          <w:sz w:val="32"/>
          <w:szCs w:val="32"/>
        </w:rPr>
      </w:pPr>
      <w:r>
        <w:rPr>
          <w:b/>
          <w:sz w:val="32"/>
          <w:szCs w:val="32"/>
        </w:rPr>
        <w:t>STUDENT NAME:</w:t>
      </w:r>
      <w:r w:rsidR="000C44FB">
        <w:rPr>
          <w:b/>
          <w:sz w:val="32"/>
          <w:szCs w:val="32"/>
        </w:rPr>
        <w:t xml:space="preserve"> Cerasela Lavinia Stoica</w:t>
      </w:r>
    </w:p>
    <w:p w14:paraId="3234D879" w14:textId="0109E5F2" w:rsidR="009153BE" w:rsidRDefault="00223144">
      <w:pPr>
        <w:spacing w:line="360" w:lineRule="auto"/>
        <w:jc w:val="center"/>
        <w:rPr>
          <w:b/>
          <w:sz w:val="32"/>
          <w:szCs w:val="32"/>
        </w:rPr>
      </w:pPr>
      <w:r>
        <w:rPr>
          <w:b/>
          <w:sz w:val="32"/>
          <w:szCs w:val="32"/>
        </w:rPr>
        <w:t>STUDENT ID:</w:t>
      </w:r>
      <w:r w:rsidR="000C44FB">
        <w:rPr>
          <w:b/>
          <w:sz w:val="32"/>
          <w:szCs w:val="32"/>
        </w:rPr>
        <w:t xml:space="preserve"> 2125057</w:t>
      </w:r>
    </w:p>
    <w:p w14:paraId="2248B174" w14:textId="77777777" w:rsidR="009153BE" w:rsidRDefault="009153BE">
      <w:pPr>
        <w:rPr>
          <w:b/>
          <w:sz w:val="32"/>
          <w:szCs w:val="32"/>
        </w:rPr>
      </w:pPr>
      <w:r>
        <w:rPr>
          <w:b/>
          <w:sz w:val="32"/>
          <w:szCs w:val="32"/>
        </w:rPr>
        <w:br w:type="page"/>
      </w:r>
    </w:p>
    <w:sdt>
      <w:sdtPr>
        <w:rPr>
          <w:rFonts w:ascii="Times New Roman" w:eastAsia="Times New Roman" w:hAnsi="Times New Roman" w:cs="Times New Roman"/>
          <w:color w:val="auto"/>
          <w:sz w:val="24"/>
          <w:szCs w:val="24"/>
          <w:lang w:val="en-GB"/>
        </w:rPr>
        <w:id w:val="1122808047"/>
        <w:docPartObj>
          <w:docPartGallery w:val="Table of Contents"/>
          <w:docPartUnique/>
        </w:docPartObj>
      </w:sdtPr>
      <w:sdtEndPr>
        <w:rPr>
          <w:b/>
          <w:bCs/>
          <w:noProof/>
        </w:rPr>
      </w:sdtEndPr>
      <w:sdtContent>
        <w:p w14:paraId="5B4974A3" w14:textId="3E536C81" w:rsidR="009153BE" w:rsidRPr="009153BE" w:rsidRDefault="009153BE" w:rsidP="009153BE">
          <w:pPr>
            <w:pStyle w:val="Titlucuprins"/>
            <w:jc w:val="center"/>
            <w:rPr>
              <w:rFonts w:ascii="Times New Roman" w:hAnsi="Times New Roman" w:cs="Times New Roman"/>
              <w:b/>
              <w:bCs/>
              <w:color w:val="auto"/>
            </w:rPr>
          </w:pPr>
          <w:r w:rsidRPr="009153BE">
            <w:rPr>
              <w:rFonts w:ascii="Times New Roman" w:hAnsi="Times New Roman" w:cs="Times New Roman"/>
              <w:b/>
              <w:bCs/>
              <w:color w:val="auto"/>
            </w:rPr>
            <w:t>Table of Contents</w:t>
          </w:r>
        </w:p>
        <w:p w14:paraId="22744C1E" w14:textId="10F2DB28" w:rsidR="009153BE" w:rsidRDefault="009153BE" w:rsidP="0030614D">
          <w:pPr>
            <w:pStyle w:val="Cuprins1"/>
            <w:tabs>
              <w:tab w:val="right" w:leader="dot" w:pos="9350"/>
            </w:tabs>
            <w:spacing w:line="360" w:lineRule="auto"/>
            <w:rPr>
              <w:noProof/>
            </w:rPr>
          </w:pPr>
          <w:r>
            <w:fldChar w:fldCharType="begin"/>
          </w:r>
          <w:r>
            <w:instrText xml:space="preserve"> TOC \o "1-3" \h \z \u </w:instrText>
          </w:r>
          <w:r>
            <w:fldChar w:fldCharType="separate"/>
          </w:r>
          <w:hyperlink w:anchor="_Toc174456875" w:history="1">
            <w:r w:rsidRPr="00D3643E">
              <w:rPr>
                <w:rStyle w:val="Hyperlink"/>
                <w:noProof/>
              </w:rPr>
              <w:t>Introduction</w:t>
            </w:r>
            <w:r>
              <w:rPr>
                <w:noProof/>
                <w:webHidden/>
              </w:rPr>
              <w:tab/>
            </w:r>
            <w:r>
              <w:rPr>
                <w:noProof/>
                <w:webHidden/>
              </w:rPr>
              <w:fldChar w:fldCharType="begin"/>
            </w:r>
            <w:r>
              <w:rPr>
                <w:noProof/>
                <w:webHidden/>
              </w:rPr>
              <w:instrText xml:space="preserve"> PAGEREF _Toc174456875 \h </w:instrText>
            </w:r>
            <w:r>
              <w:rPr>
                <w:noProof/>
                <w:webHidden/>
              </w:rPr>
            </w:r>
            <w:r>
              <w:rPr>
                <w:noProof/>
                <w:webHidden/>
              </w:rPr>
              <w:fldChar w:fldCharType="separate"/>
            </w:r>
            <w:r>
              <w:rPr>
                <w:noProof/>
                <w:webHidden/>
              </w:rPr>
              <w:t>3</w:t>
            </w:r>
            <w:r>
              <w:rPr>
                <w:noProof/>
                <w:webHidden/>
              </w:rPr>
              <w:fldChar w:fldCharType="end"/>
            </w:r>
          </w:hyperlink>
        </w:p>
        <w:p w14:paraId="6298F290" w14:textId="000E3C0B" w:rsidR="009153BE" w:rsidRDefault="00AD189F" w:rsidP="0030614D">
          <w:pPr>
            <w:pStyle w:val="Cuprins1"/>
            <w:tabs>
              <w:tab w:val="right" w:leader="dot" w:pos="9350"/>
            </w:tabs>
            <w:spacing w:line="360" w:lineRule="auto"/>
            <w:rPr>
              <w:noProof/>
            </w:rPr>
          </w:pPr>
          <w:hyperlink w:anchor="_Toc174456876" w:history="1">
            <w:r w:rsidR="009153BE" w:rsidRPr="00D3643E">
              <w:rPr>
                <w:rStyle w:val="Hyperlink"/>
                <w:noProof/>
              </w:rPr>
              <w:t>Analysing the Concept and Significance of International Financial Management (IFM)</w:t>
            </w:r>
            <w:r w:rsidR="009153BE">
              <w:rPr>
                <w:noProof/>
                <w:webHidden/>
              </w:rPr>
              <w:tab/>
            </w:r>
            <w:r w:rsidR="009153BE">
              <w:rPr>
                <w:noProof/>
                <w:webHidden/>
              </w:rPr>
              <w:fldChar w:fldCharType="begin"/>
            </w:r>
            <w:r w:rsidR="009153BE">
              <w:rPr>
                <w:noProof/>
                <w:webHidden/>
              </w:rPr>
              <w:instrText xml:space="preserve"> PAGEREF _Toc174456876 \h </w:instrText>
            </w:r>
            <w:r w:rsidR="009153BE">
              <w:rPr>
                <w:noProof/>
                <w:webHidden/>
              </w:rPr>
            </w:r>
            <w:r w:rsidR="009153BE">
              <w:rPr>
                <w:noProof/>
                <w:webHidden/>
              </w:rPr>
              <w:fldChar w:fldCharType="separate"/>
            </w:r>
            <w:r w:rsidR="009153BE">
              <w:rPr>
                <w:noProof/>
                <w:webHidden/>
              </w:rPr>
              <w:t>3</w:t>
            </w:r>
            <w:r w:rsidR="009153BE">
              <w:rPr>
                <w:noProof/>
                <w:webHidden/>
              </w:rPr>
              <w:fldChar w:fldCharType="end"/>
            </w:r>
          </w:hyperlink>
        </w:p>
        <w:p w14:paraId="209E6C16" w14:textId="7E67F981" w:rsidR="009153BE" w:rsidRDefault="00AD189F" w:rsidP="0030614D">
          <w:pPr>
            <w:pStyle w:val="Cuprins1"/>
            <w:tabs>
              <w:tab w:val="right" w:leader="dot" w:pos="9350"/>
            </w:tabs>
            <w:spacing w:line="360" w:lineRule="auto"/>
            <w:rPr>
              <w:noProof/>
            </w:rPr>
          </w:pPr>
          <w:hyperlink w:anchor="_Toc174456877" w:history="1">
            <w:r w:rsidR="009153BE" w:rsidRPr="00D3643E">
              <w:rPr>
                <w:rStyle w:val="Hyperlink"/>
                <w:noProof/>
              </w:rPr>
              <w:t>Theories and Models of International Financial Management</w:t>
            </w:r>
            <w:r w:rsidR="009153BE">
              <w:rPr>
                <w:noProof/>
                <w:webHidden/>
              </w:rPr>
              <w:tab/>
            </w:r>
            <w:r w:rsidR="009153BE">
              <w:rPr>
                <w:noProof/>
                <w:webHidden/>
              </w:rPr>
              <w:fldChar w:fldCharType="begin"/>
            </w:r>
            <w:r w:rsidR="009153BE">
              <w:rPr>
                <w:noProof/>
                <w:webHidden/>
              </w:rPr>
              <w:instrText xml:space="preserve"> PAGEREF _Toc174456877 \h </w:instrText>
            </w:r>
            <w:r w:rsidR="009153BE">
              <w:rPr>
                <w:noProof/>
                <w:webHidden/>
              </w:rPr>
            </w:r>
            <w:r w:rsidR="009153BE">
              <w:rPr>
                <w:noProof/>
                <w:webHidden/>
              </w:rPr>
              <w:fldChar w:fldCharType="separate"/>
            </w:r>
            <w:r w:rsidR="009153BE">
              <w:rPr>
                <w:noProof/>
                <w:webHidden/>
              </w:rPr>
              <w:t>3</w:t>
            </w:r>
            <w:r w:rsidR="009153BE">
              <w:rPr>
                <w:noProof/>
                <w:webHidden/>
              </w:rPr>
              <w:fldChar w:fldCharType="end"/>
            </w:r>
          </w:hyperlink>
        </w:p>
        <w:p w14:paraId="78A53F70" w14:textId="2383E7C7" w:rsidR="009153BE" w:rsidRPr="00E463F8" w:rsidRDefault="00AD189F" w:rsidP="0030614D">
          <w:pPr>
            <w:pStyle w:val="Cuprins2"/>
            <w:tabs>
              <w:tab w:val="right" w:leader="dot" w:pos="9350"/>
            </w:tabs>
            <w:spacing w:line="360" w:lineRule="auto"/>
            <w:rPr>
              <w:noProof/>
            </w:rPr>
          </w:pPr>
          <w:hyperlink w:anchor="_Toc174456878" w:history="1">
            <w:r w:rsidR="009153BE" w:rsidRPr="00E463F8">
              <w:rPr>
                <w:rStyle w:val="Hyperlink"/>
                <w:noProof/>
              </w:rPr>
              <w:t>Interest Rate Parity (IRP)</w:t>
            </w:r>
            <w:r w:rsidR="009153BE" w:rsidRPr="00E463F8">
              <w:rPr>
                <w:noProof/>
                <w:webHidden/>
              </w:rPr>
              <w:tab/>
            </w:r>
            <w:r w:rsidR="009153BE" w:rsidRPr="00E463F8">
              <w:rPr>
                <w:noProof/>
                <w:webHidden/>
              </w:rPr>
              <w:fldChar w:fldCharType="begin"/>
            </w:r>
            <w:r w:rsidR="009153BE" w:rsidRPr="00E463F8">
              <w:rPr>
                <w:noProof/>
                <w:webHidden/>
              </w:rPr>
              <w:instrText xml:space="preserve"> PAGEREF _Toc174456878 \h </w:instrText>
            </w:r>
            <w:r w:rsidR="009153BE" w:rsidRPr="00E463F8">
              <w:rPr>
                <w:noProof/>
                <w:webHidden/>
              </w:rPr>
            </w:r>
            <w:r w:rsidR="009153BE" w:rsidRPr="00E463F8">
              <w:rPr>
                <w:noProof/>
                <w:webHidden/>
              </w:rPr>
              <w:fldChar w:fldCharType="separate"/>
            </w:r>
            <w:r w:rsidR="009153BE" w:rsidRPr="00E463F8">
              <w:rPr>
                <w:noProof/>
                <w:webHidden/>
              </w:rPr>
              <w:t>3</w:t>
            </w:r>
            <w:r w:rsidR="009153BE" w:rsidRPr="00E463F8">
              <w:rPr>
                <w:noProof/>
                <w:webHidden/>
              </w:rPr>
              <w:fldChar w:fldCharType="end"/>
            </w:r>
          </w:hyperlink>
        </w:p>
        <w:p w14:paraId="767F9569" w14:textId="0DDD7B62" w:rsidR="009153BE" w:rsidRPr="00E463F8" w:rsidRDefault="00AD189F" w:rsidP="0030614D">
          <w:pPr>
            <w:pStyle w:val="Cuprins2"/>
            <w:tabs>
              <w:tab w:val="right" w:leader="dot" w:pos="9350"/>
            </w:tabs>
            <w:spacing w:line="360" w:lineRule="auto"/>
            <w:rPr>
              <w:noProof/>
            </w:rPr>
          </w:pPr>
          <w:hyperlink w:anchor="_Toc174456879" w:history="1">
            <w:r w:rsidR="009153BE" w:rsidRPr="00E463F8">
              <w:rPr>
                <w:rStyle w:val="Hyperlink"/>
                <w:noProof/>
              </w:rPr>
              <w:t>Discounted Cash Flow (DCF) Model</w:t>
            </w:r>
            <w:r w:rsidR="009153BE" w:rsidRPr="00E463F8">
              <w:rPr>
                <w:noProof/>
                <w:webHidden/>
              </w:rPr>
              <w:tab/>
            </w:r>
            <w:r w:rsidR="009153BE" w:rsidRPr="00E463F8">
              <w:rPr>
                <w:noProof/>
                <w:webHidden/>
              </w:rPr>
              <w:fldChar w:fldCharType="begin"/>
            </w:r>
            <w:r w:rsidR="009153BE" w:rsidRPr="00E463F8">
              <w:rPr>
                <w:noProof/>
                <w:webHidden/>
              </w:rPr>
              <w:instrText xml:space="preserve"> PAGEREF _Toc174456879 \h </w:instrText>
            </w:r>
            <w:r w:rsidR="009153BE" w:rsidRPr="00E463F8">
              <w:rPr>
                <w:noProof/>
                <w:webHidden/>
              </w:rPr>
            </w:r>
            <w:r w:rsidR="009153BE" w:rsidRPr="00E463F8">
              <w:rPr>
                <w:noProof/>
                <w:webHidden/>
              </w:rPr>
              <w:fldChar w:fldCharType="separate"/>
            </w:r>
            <w:r w:rsidR="009153BE" w:rsidRPr="00E463F8">
              <w:rPr>
                <w:noProof/>
                <w:webHidden/>
              </w:rPr>
              <w:t>4</w:t>
            </w:r>
            <w:r w:rsidR="009153BE" w:rsidRPr="00E463F8">
              <w:rPr>
                <w:noProof/>
                <w:webHidden/>
              </w:rPr>
              <w:fldChar w:fldCharType="end"/>
            </w:r>
          </w:hyperlink>
        </w:p>
        <w:p w14:paraId="1793C260" w14:textId="254C150D" w:rsidR="009153BE" w:rsidRDefault="00AD189F" w:rsidP="0030614D">
          <w:pPr>
            <w:pStyle w:val="Cuprins1"/>
            <w:tabs>
              <w:tab w:val="right" w:leader="dot" w:pos="9350"/>
            </w:tabs>
            <w:spacing w:line="360" w:lineRule="auto"/>
            <w:rPr>
              <w:noProof/>
            </w:rPr>
          </w:pPr>
          <w:hyperlink w:anchor="_Toc174456880" w:history="1">
            <w:r w:rsidR="009153BE" w:rsidRPr="00D3643E">
              <w:rPr>
                <w:rStyle w:val="Hyperlink"/>
                <w:noProof/>
              </w:rPr>
              <w:t>Techniques of Financing an International Business</w:t>
            </w:r>
            <w:r w:rsidR="009153BE">
              <w:rPr>
                <w:noProof/>
                <w:webHidden/>
              </w:rPr>
              <w:tab/>
            </w:r>
            <w:r w:rsidR="009153BE">
              <w:rPr>
                <w:noProof/>
                <w:webHidden/>
              </w:rPr>
              <w:fldChar w:fldCharType="begin"/>
            </w:r>
            <w:r w:rsidR="009153BE">
              <w:rPr>
                <w:noProof/>
                <w:webHidden/>
              </w:rPr>
              <w:instrText xml:space="preserve"> PAGEREF _Toc174456880 \h </w:instrText>
            </w:r>
            <w:r w:rsidR="009153BE">
              <w:rPr>
                <w:noProof/>
                <w:webHidden/>
              </w:rPr>
            </w:r>
            <w:r w:rsidR="009153BE">
              <w:rPr>
                <w:noProof/>
                <w:webHidden/>
              </w:rPr>
              <w:fldChar w:fldCharType="separate"/>
            </w:r>
            <w:r w:rsidR="009153BE">
              <w:rPr>
                <w:noProof/>
                <w:webHidden/>
              </w:rPr>
              <w:t>4</w:t>
            </w:r>
            <w:r w:rsidR="009153BE">
              <w:rPr>
                <w:noProof/>
                <w:webHidden/>
              </w:rPr>
              <w:fldChar w:fldCharType="end"/>
            </w:r>
          </w:hyperlink>
        </w:p>
        <w:p w14:paraId="1A949FA4" w14:textId="66ACCC65" w:rsidR="009153BE" w:rsidRDefault="00AD189F" w:rsidP="0030614D">
          <w:pPr>
            <w:pStyle w:val="Cuprins1"/>
            <w:tabs>
              <w:tab w:val="right" w:leader="dot" w:pos="9350"/>
            </w:tabs>
            <w:spacing w:line="360" w:lineRule="auto"/>
            <w:rPr>
              <w:noProof/>
            </w:rPr>
          </w:pPr>
          <w:hyperlink w:anchor="_Toc174456881" w:history="1">
            <w:r w:rsidR="009153BE" w:rsidRPr="00D3643E">
              <w:rPr>
                <w:rStyle w:val="Hyperlink"/>
                <w:noProof/>
              </w:rPr>
              <w:t>Necessity to Manage Foreign Exchange Risks</w:t>
            </w:r>
            <w:r w:rsidR="009153BE">
              <w:rPr>
                <w:noProof/>
                <w:webHidden/>
              </w:rPr>
              <w:tab/>
            </w:r>
            <w:r w:rsidR="009153BE">
              <w:rPr>
                <w:noProof/>
                <w:webHidden/>
              </w:rPr>
              <w:fldChar w:fldCharType="begin"/>
            </w:r>
            <w:r w:rsidR="009153BE">
              <w:rPr>
                <w:noProof/>
                <w:webHidden/>
              </w:rPr>
              <w:instrText xml:space="preserve"> PAGEREF _Toc174456881 \h </w:instrText>
            </w:r>
            <w:r w:rsidR="009153BE">
              <w:rPr>
                <w:noProof/>
                <w:webHidden/>
              </w:rPr>
            </w:r>
            <w:r w:rsidR="009153BE">
              <w:rPr>
                <w:noProof/>
                <w:webHidden/>
              </w:rPr>
              <w:fldChar w:fldCharType="separate"/>
            </w:r>
            <w:r w:rsidR="009153BE">
              <w:rPr>
                <w:noProof/>
                <w:webHidden/>
              </w:rPr>
              <w:t>5</w:t>
            </w:r>
            <w:r w:rsidR="009153BE">
              <w:rPr>
                <w:noProof/>
                <w:webHidden/>
              </w:rPr>
              <w:fldChar w:fldCharType="end"/>
            </w:r>
          </w:hyperlink>
        </w:p>
        <w:p w14:paraId="52BD03FC" w14:textId="670C811F" w:rsidR="009153BE" w:rsidRDefault="00AD189F" w:rsidP="0030614D">
          <w:pPr>
            <w:pStyle w:val="Cuprins1"/>
            <w:tabs>
              <w:tab w:val="right" w:leader="dot" w:pos="9350"/>
            </w:tabs>
            <w:spacing w:line="360" w:lineRule="auto"/>
            <w:rPr>
              <w:noProof/>
            </w:rPr>
          </w:pPr>
          <w:hyperlink w:anchor="_Toc174456882" w:history="1">
            <w:r w:rsidR="009153BE" w:rsidRPr="00D3643E">
              <w:rPr>
                <w:rStyle w:val="Hyperlink"/>
                <w:noProof/>
              </w:rPr>
              <w:t>Strategies Adopted by Businesses to Manage Risks of Foreign Exchange</w:t>
            </w:r>
            <w:r w:rsidR="009153BE">
              <w:rPr>
                <w:noProof/>
                <w:webHidden/>
              </w:rPr>
              <w:tab/>
            </w:r>
            <w:r w:rsidR="009153BE">
              <w:rPr>
                <w:noProof/>
                <w:webHidden/>
              </w:rPr>
              <w:fldChar w:fldCharType="begin"/>
            </w:r>
            <w:r w:rsidR="009153BE">
              <w:rPr>
                <w:noProof/>
                <w:webHidden/>
              </w:rPr>
              <w:instrText xml:space="preserve"> PAGEREF _Toc174456882 \h </w:instrText>
            </w:r>
            <w:r w:rsidR="009153BE">
              <w:rPr>
                <w:noProof/>
                <w:webHidden/>
              </w:rPr>
            </w:r>
            <w:r w:rsidR="009153BE">
              <w:rPr>
                <w:noProof/>
                <w:webHidden/>
              </w:rPr>
              <w:fldChar w:fldCharType="separate"/>
            </w:r>
            <w:r w:rsidR="009153BE">
              <w:rPr>
                <w:noProof/>
                <w:webHidden/>
              </w:rPr>
              <w:t>6</w:t>
            </w:r>
            <w:r w:rsidR="009153BE">
              <w:rPr>
                <w:noProof/>
                <w:webHidden/>
              </w:rPr>
              <w:fldChar w:fldCharType="end"/>
            </w:r>
          </w:hyperlink>
        </w:p>
        <w:p w14:paraId="384EB73C" w14:textId="2CB0CF4C" w:rsidR="009153BE" w:rsidRDefault="00AD189F" w:rsidP="0030614D">
          <w:pPr>
            <w:pStyle w:val="Cuprins1"/>
            <w:tabs>
              <w:tab w:val="right" w:leader="dot" w:pos="9350"/>
            </w:tabs>
            <w:spacing w:line="360" w:lineRule="auto"/>
            <w:rPr>
              <w:noProof/>
            </w:rPr>
          </w:pPr>
          <w:hyperlink w:anchor="_Toc174456883" w:history="1">
            <w:r w:rsidR="009153BE" w:rsidRPr="00D3643E">
              <w:rPr>
                <w:rStyle w:val="Hyperlink"/>
                <w:noProof/>
              </w:rPr>
              <w:t>Justification of the Strategies</w:t>
            </w:r>
            <w:r w:rsidR="009153BE">
              <w:rPr>
                <w:noProof/>
                <w:webHidden/>
              </w:rPr>
              <w:tab/>
            </w:r>
            <w:r w:rsidR="009153BE">
              <w:rPr>
                <w:noProof/>
                <w:webHidden/>
              </w:rPr>
              <w:fldChar w:fldCharType="begin"/>
            </w:r>
            <w:r w:rsidR="009153BE">
              <w:rPr>
                <w:noProof/>
                <w:webHidden/>
              </w:rPr>
              <w:instrText xml:space="preserve"> PAGEREF _Toc174456883 \h </w:instrText>
            </w:r>
            <w:r w:rsidR="009153BE">
              <w:rPr>
                <w:noProof/>
                <w:webHidden/>
              </w:rPr>
            </w:r>
            <w:r w:rsidR="009153BE">
              <w:rPr>
                <w:noProof/>
                <w:webHidden/>
              </w:rPr>
              <w:fldChar w:fldCharType="separate"/>
            </w:r>
            <w:r w:rsidR="009153BE">
              <w:rPr>
                <w:noProof/>
                <w:webHidden/>
              </w:rPr>
              <w:t>7</w:t>
            </w:r>
            <w:r w:rsidR="009153BE">
              <w:rPr>
                <w:noProof/>
                <w:webHidden/>
              </w:rPr>
              <w:fldChar w:fldCharType="end"/>
            </w:r>
          </w:hyperlink>
        </w:p>
        <w:p w14:paraId="3ED846B9" w14:textId="5793C34C" w:rsidR="009153BE" w:rsidRDefault="00AD189F" w:rsidP="0030614D">
          <w:pPr>
            <w:pStyle w:val="Cuprins1"/>
            <w:tabs>
              <w:tab w:val="right" w:leader="dot" w:pos="9350"/>
            </w:tabs>
            <w:spacing w:line="360" w:lineRule="auto"/>
            <w:rPr>
              <w:noProof/>
            </w:rPr>
          </w:pPr>
          <w:hyperlink w:anchor="_Toc174456884" w:history="1">
            <w:r w:rsidR="009153BE" w:rsidRPr="00D3643E">
              <w:rPr>
                <w:rStyle w:val="Hyperlink"/>
                <w:noProof/>
              </w:rPr>
              <w:t>Conclusion</w:t>
            </w:r>
            <w:r w:rsidR="009153BE">
              <w:rPr>
                <w:noProof/>
                <w:webHidden/>
              </w:rPr>
              <w:tab/>
            </w:r>
            <w:r w:rsidR="009153BE">
              <w:rPr>
                <w:noProof/>
                <w:webHidden/>
              </w:rPr>
              <w:fldChar w:fldCharType="begin"/>
            </w:r>
            <w:r w:rsidR="009153BE">
              <w:rPr>
                <w:noProof/>
                <w:webHidden/>
              </w:rPr>
              <w:instrText xml:space="preserve"> PAGEREF _Toc174456884 \h </w:instrText>
            </w:r>
            <w:r w:rsidR="009153BE">
              <w:rPr>
                <w:noProof/>
                <w:webHidden/>
              </w:rPr>
            </w:r>
            <w:r w:rsidR="009153BE">
              <w:rPr>
                <w:noProof/>
                <w:webHidden/>
              </w:rPr>
              <w:fldChar w:fldCharType="separate"/>
            </w:r>
            <w:r w:rsidR="009153BE">
              <w:rPr>
                <w:noProof/>
                <w:webHidden/>
              </w:rPr>
              <w:t>7</w:t>
            </w:r>
            <w:r w:rsidR="009153BE">
              <w:rPr>
                <w:noProof/>
                <w:webHidden/>
              </w:rPr>
              <w:fldChar w:fldCharType="end"/>
            </w:r>
          </w:hyperlink>
        </w:p>
        <w:p w14:paraId="0A1DFD74" w14:textId="737AB304" w:rsidR="009153BE" w:rsidRDefault="00AD189F" w:rsidP="0030614D">
          <w:pPr>
            <w:pStyle w:val="Cuprins1"/>
            <w:tabs>
              <w:tab w:val="right" w:leader="dot" w:pos="9350"/>
            </w:tabs>
            <w:spacing w:line="360" w:lineRule="auto"/>
            <w:rPr>
              <w:noProof/>
            </w:rPr>
          </w:pPr>
          <w:hyperlink w:anchor="_Toc174456885" w:history="1">
            <w:r w:rsidR="009153BE" w:rsidRPr="00D3643E">
              <w:rPr>
                <w:rStyle w:val="Hyperlink"/>
                <w:noProof/>
              </w:rPr>
              <w:t>References</w:t>
            </w:r>
            <w:r w:rsidR="009153BE">
              <w:rPr>
                <w:noProof/>
                <w:webHidden/>
              </w:rPr>
              <w:tab/>
            </w:r>
            <w:r w:rsidR="009153BE">
              <w:rPr>
                <w:noProof/>
                <w:webHidden/>
              </w:rPr>
              <w:fldChar w:fldCharType="begin"/>
            </w:r>
            <w:r w:rsidR="009153BE">
              <w:rPr>
                <w:noProof/>
                <w:webHidden/>
              </w:rPr>
              <w:instrText xml:space="preserve"> PAGEREF _Toc174456885 \h </w:instrText>
            </w:r>
            <w:r w:rsidR="009153BE">
              <w:rPr>
                <w:noProof/>
                <w:webHidden/>
              </w:rPr>
            </w:r>
            <w:r w:rsidR="009153BE">
              <w:rPr>
                <w:noProof/>
                <w:webHidden/>
              </w:rPr>
              <w:fldChar w:fldCharType="separate"/>
            </w:r>
            <w:r w:rsidR="009153BE">
              <w:rPr>
                <w:noProof/>
                <w:webHidden/>
              </w:rPr>
              <w:t>8</w:t>
            </w:r>
            <w:r w:rsidR="009153BE">
              <w:rPr>
                <w:noProof/>
                <w:webHidden/>
              </w:rPr>
              <w:fldChar w:fldCharType="end"/>
            </w:r>
          </w:hyperlink>
        </w:p>
        <w:p w14:paraId="2C0C69DB" w14:textId="45328635" w:rsidR="009153BE" w:rsidRDefault="009153BE">
          <w:r>
            <w:rPr>
              <w:b/>
              <w:bCs/>
              <w:noProof/>
            </w:rPr>
            <w:fldChar w:fldCharType="end"/>
          </w:r>
        </w:p>
      </w:sdtContent>
    </w:sdt>
    <w:p w14:paraId="1A9A415F" w14:textId="6AF5BBA4" w:rsidR="00E505BE" w:rsidRDefault="00E463F8" w:rsidP="00E463F8">
      <w:pPr>
        <w:tabs>
          <w:tab w:val="left" w:pos="4125"/>
          <w:tab w:val="center" w:pos="4680"/>
        </w:tabs>
        <w:spacing w:line="360" w:lineRule="auto"/>
        <w:rPr>
          <w:b/>
          <w:sz w:val="32"/>
          <w:szCs w:val="32"/>
        </w:rPr>
      </w:pPr>
      <w:r>
        <w:tab/>
      </w:r>
      <w:r>
        <w:tab/>
      </w:r>
      <w:r w:rsidR="00223144">
        <w:br w:type="page"/>
      </w:r>
    </w:p>
    <w:p w14:paraId="2ACAA33E" w14:textId="77777777" w:rsidR="00E505BE" w:rsidRDefault="00223144">
      <w:pPr>
        <w:pStyle w:val="Titlu1"/>
        <w:shd w:val="clear" w:color="auto" w:fill="FFFFFF"/>
        <w:jc w:val="both"/>
      </w:pPr>
      <w:bookmarkStart w:id="0" w:name="_cpqjg0ods16q" w:colFirst="0" w:colLast="0"/>
      <w:bookmarkStart w:id="1" w:name="_Toc174456875"/>
      <w:bookmarkEnd w:id="0"/>
      <w:r>
        <w:lastRenderedPageBreak/>
        <w:t>Introduction</w:t>
      </w:r>
      <w:bookmarkEnd w:id="1"/>
    </w:p>
    <w:p w14:paraId="3AE5512C" w14:textId="77777777" w:rsidR="00E505BE" w:rsidRDefault="00223144">
      <w:pPr>
        <w:spacing w:line="360" w:lineRule="auto"/>
        <w:jc w:val="both"/>
      </w:pPr>
      <w:r>
        <w:t xml:space="preserve">International financial management is defined as the effective and efficient management of the financial assets globally (Eun </w:t>
      </w:r>
      <w:r>
        <w:rPr>
          <w:i/>
        </w:rPr>
        <w:t xml:space="preserve">et al., </w:t>
      </w:r>
      <w:r>
        <w:t xml:space="preserve">2021). IFM helps to make financial decisions in a particular environment where foreign investment, currency exchange rate, and global markets play a beneficial role. This study will evaluate different theories and models of international financial management will be demonstrated in this study. Besides that, necessity to manage the foreign exchange risks will also be described in this study. </w:t>
      </w:r>
    </w:p>
    <w:p w14:paraId="0A67E20D" w14:textId="77777777" w:rsidR="00E505BE" w:rsidRDefault="00223144">
      <w:pPr>
        <w:pStyle w:val="Titlu1"/>
        <w:jc w:val="both"/>
      </w:pPr>
      <w:bookmarkStart w:id="2" w:name="_hrvfycmvdy5i" w:colFirst="0" w:colLast="0"/>
      <w:bookmarkStart w:id="3" w:name="_Toc174456876"/>
      <w:bookmarkEnd w:id="2"/>
      <w:r>
        <w:t>Analysing the Concept and Significance of International Financial Management (IFM)</w:t>
      </w:r>
      <w:bookmarkEnd w:id="3"/>
    </w:p>
    <w:p w14:paraId="4E57B0C3" w14:textId="77777777" w:rsidR="00E505BE" w:rsidRDefault="00223144">
      <w:pPr>
        <w:spacing w:line="360" w:lineRule="auto"/>
        <w:jc w:val="both"/>
      </w:pPr>
      <w:r>
        <w:t xml:space="preserve">International financial management is also known as the practice of managing financial investment and taking risk in global circumstances (Eun </w:t>
      </w:r>
      <w:r>
        <w:rPr>
          <w:i/>
        </w:rPr>
        <w:t xml:space="preserve">et al., </w:t>
      </w:r>
      <w:r>
        <w:t>2021). IFM is the process where necessary money is provided and trading with country to country through the change of foreign currency.</w:t>
      </w:r>
    </w:p>
    <w:p w14:paraId="152510D8" w14:textId="77777777" w:rsidR="00E505BE" w:rsidRDefault="00223144">
      <w:pPr>
        <w:spacing w:line="360" w:lineRule="auto"/>
        <w:jc w:val="both"/>
        <w:rPr>
          <w:b/>
          <w:u w:val="single"/>
        </w:rPr>
      </w:pPr>
      <w:r>
        <w:rPr>
          <w:b/>
          <w:u w:val="single"/>
        </w:rPr>
        <w:t>Significance</w:t>
      </w:r>
    </w:p>
    <w:p w14:paraId="4A03E671" w14:textId="77777777" w:rsidR="00E505BE" w:rsidRDefault="00223144">
      <w:pPr>
        <w:spacing w:line="360" w:lineRule="auto"/>
        <w:jc w:val="both"/>
      </w:pPr>
      <w:r>
        <w:t>IFM plays a significant role in developing multinational corporations. It is an important tool which helps to calculate the rates such as foreign currency exchange rate, managing the rising inflation rate as well as IFM determine the country's commercial status and pass the judgement based on foreign market. International financial management is important to maintain peace across the world which comes from foreign currency exchange risk. Additionally, an important role of IFM is to provide financial help to countries across the world to achieve the multinational corporation objectives. IFM's main significance is to assist the organisation in critical financial decisions.</w:t>
      </w:r>
    </w:p>
    <w:p w14:paraId="12AC4AD4" w14:textId="77777777" w:rsidR="00E505BE" w:rsidRDefault="00223144">
      <w:pPr>
        <w:pStyle w:val="Titlu1"/>
        <w:jc w:val="both"/>
      </w:pPr>
      <w:bookmarkStart w:id="4" w:name="_miqphvb9dja" w:colFirst="0" w:colLast="0"/>
      <w:bookmarkStart w:id="5" w:name="_Toc174456877"/>
      <w:bookmarkEnd w:id="4"/>
      <w:r>
        <w:t>Theories and Models of International Financial Management</w:t>
      </w:r>
      <w:bookmarkEnd w:id="5"/>
      <w:r>
        <w:t xml:space="preserve"> </w:t>
      </w:r>
    </w:p>
    <w:p w14:paraId="76BF6F52" w14:textId="77777777" w:rsidR="00E505BE" w:rsidRDefault="00223144">
      <w:pPr>
        <w:pStyle w:val="Titlu2"/>
        <w:shd w:val="clear" w:color="auto" w:fill="FFFFFF"/>
        <w:spacing w:before="0" w:after="0" w:line="360" w:lineRule="auto"/>
        <w:jc w:val="both"/>
        <w:rPr>
          <w:b/>
          <w:sz w:val="26"/>
          <w:szCs w:val="26"/>
        </w:rPr>
      </w:pPr>
      <w:bookmarkStart w:id="6" w:name="_ei1ducgckjhq" w:colFirst="0" w:colLast="0"/>
      <w:bookmarkStart w:id="7" w:name="_Toc174456878"/>
      <w:bookmarkEnd w:id="6"/>
      <w:r>
        <w:rPr>
          <w:b/>
          <w:sz w:val="26"/>
          <w:szCs w:val="26"/>
        </w:rPr>
        <w:t>Interest Rate Parity (IRP)</w:t>
      </w:r>
      <w:bookmarkEnd w:id="7"/>
    </w:p>
    <w:p w14:paraId="291E817F" w14:textId="77777777" w:rsidR="00E505BE" w:rsidRDefault="00223144">
      <w:pPr>
        <w:spacing w:line="360" w:lineRule="auto"/>
        <w:jc w:val="both"/>
      </w:pPr>
      <w:r>
        <w:t xml:space="preserve">Interest rate parity is known as an economic theory. It basically describes the connections between the rate of exchange of a currency and a country's rate of interest. It is a key indicator of financial globalisation. This theory describes that the forward rate of exchange should be equal to the spot rate of exchange based on the rate of interest of the home country and as per the rate of interest of the international country. Investors and market participants getting help from the interest rate parity to understand the foreign currency market and make their decision informed (Liu and Lee, 2022). It can also benefit the currency traders to find arbitrage opportunities and enable them from </w:t>
      </w:r>
      <w:r>
        <w:lastRenderedPageBreak/>
        <w:t xml:space="preserve">risk free investments. This formula also can predict future rate of exchange shifts due to rate of interest changes, which can help to determine fluctuations of the currency. </w:t>
      </w:r>
    </w:p>
    <w:p w14:paraId="125A9D69" w14:textId="77777777" w:rsidR="00E505BE" w:rsidRDefault="00223144">
      <w:pPr>
        <w:spacing w:line="360" w:lineRule="auto"/>
        <w:jc w:val="center"/>
      </w:pPr>
      <w:r>
        <w:rPr>
          <w:noProof/>
        </w:rPr>
        <w:drawing>
          <wp:inline distT="114300" distB="114300" distL="114300" distR="114300" wp14:anchorId="42E8AC6C" wp14:editId="732B8944">
            <wp:extent cx="2611252" cy="1002534"/>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611252" cy="1002534"/>
                    </a:xfrm>
                    <a:prstGeom prst="rect">
                      <a:avLst/>
                    </a:prstGeom>
                    <a:ln w="12700">
                      <a:solidFill>
                        <a:srgbClr val="000000"/>
                      </a:solidFill>
                      <a:prstDash val="solid"/>
                    </a:ln>
                  </pic:spPr>
                </pic:pic>
              </a:graphicData>
            </a:graphic>
          </wp:inline>
        </w:drawing>
      </w:r>
    </w:p>
    <w:p w14:paraId="3955886E" w14:textId="77777777" w:rsidR="00E505BE" w:rsidRDefault="00223144">
      <w:pPr>
        <w:spacing w:line="360" w:lineRule="auto"/>
        <w:jc w:val="center"/>
        <w:rPr>
          <w:b/>
        </w:rPr>
      </w:pPr>
      <w:r>
        <w:rPr>
          <w:b/>
        </w:rPr>
        <w:t>Figure 1: Formula for Calculation of IPP</w:t>
      </w:r>
    </w:p>
    <w:p w14:paraId="215FC226" w14:textId="77777777" w:rsidR="00E505BE" w:rsidRDefault="00223144">
      <w:pPr>
        <w:spacing w:line="360" w:lineRule="auto"/>
        <w:jc w:val="center"/>
        <w:rPr>
          <w:b/>
        </w:rPr>
      </w:pPr>
      <w:r>
        <w:rPr>
          <w:b/>
        </w:rPr>
        <w:t>(Source: corporatefinanceinstitute.com, 2024)</w:t>
      </w:r>
    </w:p>
    <w:p w14:paraId="71A7EBA4" w14:textId="77777777" w:rsidR="00E505BE" w:rsidRDefault="00223144">
      <w:pPr>
        <w:pStyle w:val="Titlu2"/>
        <w:shd w:val="clear" w:color="auto" w:fill="FFFFFF"/>
        <w:spacing w:before="0" w:after="0" w:line="360" w:lineRule="auto"/>
        <w:jc w:val="both"/>
        <w:rPr>
          <w:b/>
          <w:sz w:val="26"/>
          <w:szCs w:val="26"/>
        </w:rPr>
      </w:pPr>
      <w:bookmarkStart w:id="8" w:name="_txm8p04kmlby" w:colFirst="0" w:colLast="0"/>
      <w:bookmarkStart w:id="9" w:name="_Toc174456879"/>
      <w:bookmarkEnd w:id="8"/>
      <w:r>
        <w:rPr>
          <w:b/>
          <w:sz w:val="26"/>
          <w:szCs w:val="26"/>
        </w:rPr>
        <w:t>Discounted Cash Flow (DCF) Model</w:t>
      </w:r>
      <w:bookmarkEnd w:id="9"/>
    </w:p>
    <w:p w14:paraId="5207E97D" w14:textId="6E6D3794" w:rsidR="00E505BE" w:rsidRDefault="00223144">
      <w:pPr>
        <w:spacing w:line="360" w:lineRule="auto"/>
        <w:jc w:val="both"/>
      </w:pPr>
      <w:r>
        <w:t xml:space="preserve">Discounted cash flow (DCF) is defined as a valuation method which helps to estimate the investment value using its expected future cash flow. </w:t>
      </w:r>
      <w:r w:rsidR="00A15656">
        <w:t xml:space="preserve">It </w:t>
      </w:r>
      <w:r>
        <w:t xml:space="preserve">can also benefit investors who are thinking about earning a company or buying the securities (Sutjipto </w:t>
      </w:r>
      <w:r>
        <w:rPr>
          <w:i/>
        </w:rPr>
        <w:t xml:space="preserve">et al., </w:t>
      </w:r>
      <w:r>
        <w:t xml:space="preserve">2020). Discounted cash flow (DCF) also can help managers and business men in making capital budgeting or operating decisions of expenditures. With the help of discounted cash flow can help to establish the overall value of any company or a project. </w:t>
      </w:r>
    </w:p>
    <w:p w14:paraId="14954471" w14:textId="77777777" w:rsidR="00E505BE" w:rsidRDefault="00223144">
      <w:pPr>
        <w:pStyle w:val="Titlu1"/>
        <w:jc w:val="both"/>
      </w:pPr>
      <w:bookmarkStart w:id="10" w:name="_r3is3765uykp" w:colFirst="0" w:colLast="0"/>
      <w:bookmarkStart w:id="11" w:name="_Toc174456880"/>
      <w:bookmarkEnd w:id="10"/>
      <w:r>
        <w:t>Techniques of Financing an International Business</w:t>
      </w:r>
      <w:bookmarkEnd w:id="11"/>
      <w:r>
        <w:t xml:space="preserve"> </w:t>
      </w:r>
    </w:p>
    <w:p w14:paraId="3D6F6956" w14:textId="77777777" w:rsidR="00E505BE" w:rsidRDefault="00223144">
      <w:pPr>
        <w:spacing w:line="360" w:lineRule="auto"/>
        <w:jc w:val="both"/>
      </w:pPr>
      <w:r>
        <w:rPr>
          <w:b/>
        </w:rPr>
        <w:t xml:space="preserve">Export Credit - </w:t>
      </w:r>
      <w:r>
        <w:t>Export credit also known as an expert finance agency. It is a short-term financing technique which is used in international business for financing help that allows customers to buy goods and services from suppliers and pay them within a set time (Bärtl and Krummaker, 2020). Export finance is mainly a loan where the exported goods along the international business are based on IFM security and guidelines.</w:t>
      </w:r>
    </w:p>
    <w:p w14:paraId="7628CA40" w14:textId="77777777" w:rsidR="00E505BE" w:rsidRDefault="00223144">
      <w:pPr>
        <w:spacing w:line="360" w:lineRule="auto"/>
        <w:jc w:val="both"/>
      </w:pPr>
      <w:r>
        <w:rPr>
          <w:b/>
        </w:rPr>
        <w:t xml:space="preserve">Cash advance - </w:t>
      </w:r>
      <w:r>
        <w:t xml:space="preserve">This is one of the most common techniques of payment in international business.  Cash in advance is an unsecure payment of funds where money is given to the international corporation before the services and goods are delivered (Shi </w:t>
      </w:r>
      <w:r>
        <w:rPr>
          <w:i/>
        </w:rPr>
        <w:t>et al.,</w:t>
      </w:r>
      <w:r>
        <w:t xml:space="preserve"> 2020). Cash in advance is essential for guaranteeing the advance payment with future credit and debit revenue. This type of technique is mainly used in IFM for providing guarantee to get finance through advancement of cash.</w:t>
      </w:r>
    </w:p>
    <w:p w14:paraId="15E3FA6E" w14:textId="77777777" w:rsidR="00E505BE" w:rsidRDefault="00223144">
      <w:pPr>
        <w:spacing w:line="360" w:lineRule="auto"/>
        <w:jc w:val="both"/>
      </w:pPr>
      <w:r>
        <w:rPr>
          <w:b/>
        </w:rPr>
        <w:t xml:space="preserve">Consignment - </w:t>
      </w:r>
      <w:r>
        <w:t xml:space="preserve">Consignment is a process where a batch of goods are destined for delivery to a third party which receives a portion of the profits. It is also known as an international payment technique where the seller goods to a foreign buyer but retains ownership (Markevych </w:t>
      </w:r>
      <w:r>
        <w:rPr>
          <w:i/>
        </w:rPr>
        <w:t xml:space="preserve">et al., </w:t>
      </w:r>
      <w:r>
        <w:t xml:space="preserve">2021). Contingent technique is very risky where payment is not received before the goods reach the end </w:t>
      </w:r>
      <w:r>
        <w:lastRenderedPageBreak/>
        <w:t>customers. In this, the exporter provides the buyer goods and products with an arrangement without exchanging money.</w:t>
      </w:r>
    </w:p>
    <w:p w14:paraId="660B0721" w14:textId="27C62A45" w:rsidR="00E505BE" w:rsidRDefault="00223144">
      <w:pPr>
        <w:spacing w:line="360" w:lineRule="auto"/>
        <w:jc w:val="both"/>
      </w:pPr>
      <w:r>
        <w:rPr>
          <w:b/>
        </w:rPr>
        <w:t xml:space="preserve">Bankers’ acceptance - </w:t>
      </w:r>
      <w:r>
        <w:t xml:space="preserve">In international </w:t>
      </w:r>
      <w:r w:rsidR="0052091D">
        <w:t>corporation’s</w:t>
      </w:r>
      <w:r>
        <w:t xml:space="preserve"> bankers’ acceptance is a short-term loan instrument that is given by bankers with guarantees based on international financial management. Basically, in world trade bankers’ acceptance helps in different types of trade finance products such as credit cards as well as bank guarantee. Apart from these, bankers’ acceptance is the technique of international financial management where revenue importing and exporting with banks guarantee payment within a set time.</w:t>
      </w:r>
    </w:p>
    <w:p w14:paraId="501D6D88" w14:textId="77777777" w:rsidR="00E505BE" w:rsidRDefault="00223144">
      <w:pPr>
        <w:spacing w:line="360" w:lineRule="auto"/>
        <w:jc w:val="center"/>
      </w:pPr>
      <w:r>
        <w:rPr>
          <w:noProof/>
        </w:rPr>
        <w:drawing>
          <wp:inline distT="114300" distB="114300" distL="114300" distR="114300" wp14:anchorId="683DF454" wp14:editId="2BD339D2">
            <wp:extent cx="6105525" cy="309689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6105525" cy="3096890"/>
                    </a:xfrm>
                    <a:prstGeom prst="rect">
                      <a:avLst/>
                    </a:prstGeom>
                    <a:ln w="12700">
                      <a:solidFill>
                        <a:srgbClr val="000000"/>
                      </a:solidFill>
                      <a:prstDash val="solid"/>
                    </a:ln>
                  </pic:spPr>
                </pic:pic>
              </a:graphicData>
            </a:graphic>
          </wp:inline>
        </w:drawing>
      </w:r>
    </w:p>
    <w:p w14:paraId="13FFCD81" w14:textId="77777777" w:rsidR="00E505BE" w:rsidRDefault="00223144">
      <w:pPr>
        <w:spacing w:line="360" w:lineRule="auto"/>
        <w:ind w:left="720"/>
        <w:jc w:val="center"/>
        <w:rPr>
          <w:b/>
        </w:rPr>
      </w:pPr>
      <w:r>
        <w:rPr>
          <w:b/>
        </w:rPr>
        <w:t>Figure 2: Techniques of financing in International Business</w:t>
      </w:r>
    </w:p>
    <w:p w14:paraId="577B9232" w14:textId="77777777" w:rsidR="00E505BE" w:rsidRDefault="00223144">
      <w:pPr>
        <w:spacing w:line="360" w:lineRule="auto"/>
        <w:ind w:left="720"/>
        <w:jc w:val="center"/>
      </w:pPr>
      <w:r>
        <w:rPr>
          <w:b/>
        </w:rPr>
        <w:t>(Source: Self-made)</w:t>
      </w:r>
    </w:p>
    <w:p w14:paraId="3AA47B2E" w14:textId="77777777" w:rsidR="00E505BE" w:rsidRDefault="00223144">
      <w:pPr>
        <w:pStyle w:val="Titlu1"/>
        <w:jc w:val="both"/>
      </w:pPr>
      <w:bookmarkStart w:id="12" w:name="_j9pecw6b96o3" w:colFirst="0" w:colLast="0"/>
      <w:bookmarkStart w:id="13" w:name="_Toc174456881"/>
      <w:bookmarkEnd w:id="12"/>
      <w:r>
        <w:t>Necessity to Manage Foreign Exchange Risks</w:t>
      </w:r>
      <w:bookmarkEnd w:id="13"/>
      <w:r>
        <w:t xml:space="preserve"> </w:t>
      </w:r>
    </w:p>
    <w:p w14:paraId="53166695" w14:textId="77777777" w:rsidR="00E505BE" w:rsidRDefault="00223144">
      <w:pPr>
        <w:spacing w:line="360" w:lineRule="auto"/>
        <w:jc w:val="both"/>
        <w:rPr>
          <w:b/>
        </w:rPr>
      </w:pPr>
      <w:r>
        <w:t xml:space="preserve">Foreign currency exchange is the process where one country's currency converts into another country's currency rate for understanding the revenue of a country (Rabbi </w:t>
      </w:r>
      <w:r>
        <w:rPr>
          <w:i/>
        </w:rPr>
        <w:t>et al.,</w:t>
      </w:r>
      <w:r>
        <w:t xml:space="preserve"> 2022). The exchange of currency throughout the world is constantly floating through market forces such as supply and demand. In other words, the value of currency of a specific country can be in the minimum or maximum range to another foreign country's currency.</w:t>
      </w:r>
    </w:p>
    <w:p w14:paraId="1D6A37ED" w14:textId="77777777" w:rsidR="00E505BE" w:rsidRDefault="00223144">
      <w:pPr>
        <w:spacing w:line="360" w:lineRule="auto"/>
        <w:jc w:val="both"/>
        <w:rPr>
          <w:b/>
          <w:u w:val="single"/>
        </w:rPr>
      </w:pPr>
      <w:r>
        <w:rPr>
          <w:b/>
          <w:u w:val="single"/>
        </w:rPr>
        <w:t>Need to manage</w:t>
      </w:r>
    </w:p>
    <w:p w14:paraId="0EF031C1" w14:textId="77777777" w:rsidR="00E505BE" w:rsidRDefault="00223144">
      <w:pPr>
        <w:spacing w:line="360" w:lineRule="auto"/>
        <w:jc w:val="both"/>
      </w:pPr>
      <w:r>
        <w:rPr>
          <w:b/>
        </w:rPr>
        <w:t xml:space="preserve">Transaction risk - </w:t>
      </w:r>
      <w:r>
        <w:t xml:space="preserve">Foreign exchange risk is a necessity to manage to help avoid several challenges in international corporations. Transaction risk is one of the main risks in rapidly exchanging in </w:t>
      </w:r>
      <w:r>
        <w:lastRenderedPageBreak/>
        <w:t xml:space="preserve">foreign currency where foreign currency fluctuates between the transaction time and settlement (Cuypers </w:t>
      </w:r>
      <w:r>
        <w:rPr>
          <w:i/>
        </w:rPr>
        <w:t>et al.,</w:t>
      </w:r>
      <w:r>
        <w:t xml:space="preserve"> 2021). Foreign currency exchange affects the business environment on an international level as well as in one's own country while importing goods and services across the world through transaction.</w:t>
      </w:r>
    </w:p>
    <w:p w14:paraId="2FB16480" w14:textId="77777777" w:rsidR="00E505BE" w:rsidRDefault="00223144">
      <w:pPr>
        <w:spacing w:line="360" w:lineRule="auto"/>
        <w:jc w:val="both"/>
      </w:pPr>
      <w:r>
        <w:rPr>
          <w:b/>
        </w:rPr>
        <w:t xml:space="preserve">Economic risk </w:t>
      </w:r>
      <w:r>
        <w:t>- Economic risk is the impact of continuous currency fluctuation that is the reason the management of foreign exchange is a necessity in IFM. Economic risk is responsible for a company's competition, trending marketing and profitability which stems from foreign currency exchange. Additionally, it is necessary to manage foreign exchange risks to avoid economic risk such as revenues and export demand.</w:t>
      </w:r>
    </w:p>
    <w:p w14:paraId="43693C7F" w14:textId="77777777" w:rsidR="00E505BE" w:rsidRDefault="00223144">
      <w:pPr>
        <w:pStyle w:val="Titlu1"/>
        <w:jc w:val="both"/>
      </w:pPr>
      <w:bookmarkStart w:id="14" w:name="_fihu8tjmeatj" w:colFirst="0" w:colLast="0"/>
      <w:bookmarkStart w:id="15" w:name="_Toc174456882"/>
      <w:bookmarkEnd w:id="14"/>
      <w:r>
        <w:t>Strategies Adopted by Businesses to Manage Risks of Foreign Exchange</w:t>
      </w:r>
      <w:bookmarkEnd w:id="15"/>
      <w:r>
        <w:t xml:space="preserve"> </w:t>
      </w:r>
    </w:p>
    <w:p w14:paraId="37429E3E" w14:textId="77777777" w:rsidR="00E505BE" w:rsidRDefault="00223144">
      <w:pPr>
        <w:spacing w:line="360" w:lineRule="auto"/>
        <w:jc w:val="both"/>
      </w:pPr>
      <w:r>
        <w:t xml:space="preserve">Many companies adopt many strategies to manage risks of foreign exchange which have included forward contracts, natural hedging, diversification, and many more. </w:t>
      </w:r>
    </w:p>
    <w:p w14:paraId="11BD7CA7" w14:textId="77777777" w:rsidR="00E505BE" w:rsidRDefault="00223144">
      <w:pPr>
        <w:spacing w:line="360" w:lineRule="auto"/>
        <w:jc w:val="both"/>
        <w:rPr>
          <w:b/>
        </w:rPr>
      </w:pPr>
      <w:r>
        <w:rPr>
          <w:b/>
        </w:rPr>
        <w:t>Forward Contracts</w:t>
      </w:r>
    </w:p>
    <w:p w14:paraId="2D63DB20" w14:textId="6F7A0499" w:rsidR="00E505BE" w:rsidRDefault="00223144">
      <w:pPr>
        <w:spacing w:line="360" w:lineRule="auto"/>
        <w:jc w:val="both"/>
      </w:pPr>
      <w:r>
        <w:t>Forward cover is also known as forward contracts. It is a contract between bank</w:t>
      </w:r>
      <w:r w:rsidR="00100C81">
        <w:t>s and customers</w:t>
      </w:r>
      <w:r>
        <w:t xml:space="preserve"> to exchange </w:t>
      </w:r>
      <w:r w:rsidR="00100C81">
        <w:t>different currencies for</w:t>
      </w:r>
      <w:r>
        <w:t xml:space="preserve"> another at a permanent rate on a future date. Forward exchange contracts are most commonly used to reduce exchange rate risk associated with trade transactions by the businesses. This is helpful to manage foreign risks for exchange as it reduces the risks associated with changing prices. Additionally, controlling volatility of prices has been considered to be helpful for controlling threats to revenues for a business in operating internationally. </w:t>
      </w:r>
    </w:p>
    <w:p w14:paraId="6ADA26E6" w14:textId="77777777" w:rsidR="00E505BE" w:rsidRDefault="00223144">
      <w:pPr>
        <w:spacing w:line="360" w:lineRule="auto"/>
        <w:jc w:val="both"/>
        <w:rPr>
          <w:b/>
        </w:rPr>
      </w:pPr>
      <w:r>
        <w:rPr>
          <w:b/>
        </w:rPr>
        <w:t>Natural Hedging</w:t>
      </w:r>
    </w:p>
    <w:p w14:paraId="4E13424F" w14:textId="370F4CA8" w:rsidR="00E505BE" w:rsidRDefault="00223144">
      <w:pPr>
        <w:spacing w:line="360" w:lineRule="auto"/>
        <w:jc w:val="both"/>
      </w:pPr>
      <w:r>
        <w:t xml:space="preserve">This strategy helps businesses to reduce foreign exchange risk by matching foreign currency outflows and inflows. It has also helped to minimise net exposure by cancelling out cash flows from different assets which. This type of strategy is considered to be helpful in managing the cost-based risks that are associated with currencies in foreign contexts which helps to address the international risks for exchange. </w:t>
      </w:r>
    </w:p>
    <w:p w14:paraId="53E3BB2C" w14:textId="77777777" w:rsidR="00E505BE" w:rsidRDefault="00223144">
      <w:pPr>
        <w:spacing w:line="360" w:lineRule="auto"/>
        <w:jc w:val="both"/>
        <w:rPr>
          <w:b/>
        </w:rPr>
      </w:pPr>
      <w:r>
        <w:rPr>
          <w:b/>
        </w:rPr>
        <w:t>Diversification</w:t>
      </w:r>
    </w:p>
    <w:p w14:paraId="62906518" w14:textId="77777777" w:rsidR="00E505BE" w:rsidRDefault="00223144">
      <w:pPr>
        <w:spacing w:line="360" w:lineRule="auto"/>
        <w:jc w:val="both"/>
      </w:pPr>
      <w:r>
        <w:t xml:space="preserve">It is defined as an investing strategy used to manage risk. Businesses used this to minimise investment risk. They diversify their investment among the different companies and securities because the market is always changing and there is high uncertainty, so it could help to not be exposed to the financial risk (forbes.com, 2024). Investors also invest in the different stocks to maintain the cash flow and diversify the risk and if any stock fails then the risk will manage </w:t>
      </w:r>
      <w:r>
        <w:lastRenderedPageBreak/>
        <w:t xml:space="preserve">smoothly. Having diverse foreign investments is beneficial to reduce the risks for cashflows and revenues while operating in the international contexts. </w:t>
      </w:r>
    </w:p>
    <w:p w14:paraId="588328F4" w14:textId="77777777" w:rsidR="00E505BE" w:rsidRDefault="00223144">
      <w:pPr>
        <w:pStyle w:val="Titlu1"/>
        <w:jc w:val="both"/>
      </w:pPr>
      <w:bookmarkStart w:id="16" w:name="_136lww8pk6rh" w:colFirst="0" w:colLast="0"/>
      <w:bookmarkStart w:id="17" w:name="_Toc174456883"/>
      <w:bookmarkEnd w:id="16"/>
      <w:r>
        <w:t>Justification of the Strategies</w:t>
      </w:r>
      <w:bookmarkEnd w:id="17"/>
      <w:r>
        <w:t xml:space="preserve"> </w:t>
      </w:r>
    </w:p>
    <w:p w14:paraId="3AC6ED4F" w14:textId="77777777" w:rsidR="00E505BE" w:rsidRDefault="00223144">
      <w:pPr>
        <w:spacing w:line="360" w:lineRule="auto"/>
        <w:jc w:val="both"/>
      </w:pPr>
      <w:r>
        <w:t xml:space="preserve">Forward contracts can help businesses to protect against market risk and fluctuations of the currency in the international contexts. It can also help to stabilise the cash flow by making income and expense streams more predictable. Businesses also used natural hedging as it helps them to reduce financial risks based on their foreign currencies and exchange rates (Georgiadis and Zhu, 2021). It is also used in the business operation for currency risk which have included revenues and cost matching. Diversification used by the organisation which attempts to protect businesses against losses by diversified foreign investments, reducing the risks for cashflows that minimises dependency on single foreign investment and reducing threats for exchange risks. </w:t>
      </w:r>
    </w:p>
    <w:p w14:paraId="7C8AD347" w14:textId="77777777" w:rsidR="00E505BE" w:rsidRDefault="00223144">
      <w:pPr>
        <w:pStyle w:val="Titlu1"/>
        <w:jc w:val="both"/>
      </w:pPr>
      <w:bookmarkStart w:id="18" w:name="_y27m8p7rzoft" w:colFirst="0" w:colLast="0"/>
      <w:bookmarkStart w:id="19" w:name="_Toc174456884"/>
      <w:bookmarkEnd w:id="18"/>
      <w:r>
        <w:t>Conclusion</w:t>
      </w:r>
      <w:bookmarkEnd w:id="19"/>
      <w:r>
        <w:t xml:space="preserve"> </w:t>
      </w:r>
    </w:p>
    <w:p w14:paraId="74D833FD" w14:textId="77777777" w:rsidR="00E505BE" w:rsidRDefault="00223144">
      <w:pPr>
        <w:spacing w:line="360" w:lineRule="auto"/>
        <w:jc w:val="both"/>
      </w:pPr>
      <w:r>
        <w:t xml:space="preserve">The above report has shown that IFM is known as the practice of managing financial investment and taking risk in global circumstances. IFM has played a significant role in developing multinational corporations through managing the rising inflation rate and country's commercial status to achieve the international business objectives described in this report. Interest rate parity theory has helped to identify between two countries interest rate has been provided in this report.  Techniques of payment like advance cash used for international financing management have been described in this case of study. </w:t>
      </w:r>
      <w:r>
        <w:br w:type="page"/>
      </w:r>
    </w:p>
    <w:p w14:paraId="254F7203" w14:textId="77777777" w:rsidR="00E505BE" w:rsidRDefault="00223144">
      <w:pPr>
        <w:pStyle w:val="Titlu1"/>
        <w:jc w:val="both"/>
      </w:pPr>
      <w:bookmarkStart w:id="20" w:name="_nrev9acbdiro" w:colFirst="0" w:colLast="0"/>
      <w:bookmarkStart w:id="21" w:name="_Toc174456885"/>
      <w:bookmarkEnd w:id="20"/>
      <w:r>
        <w:lastRenderedPageBreak/>
        <w:t>References</w:t>
      </w:r>
      <w:bookmarkEnd w:id="21"/>
    </w:p>
    <w:p w14:paraId="1480CC5B" w14:textId="77777777" w:rsidR="0052091D" w:rsidRDefault="0052091D">
      <w:pPr>
        <w:spacing w:line="360" w:lineRule="auto"/>
        <w:jc w:val="both"/>
      </w:pPr>
      <w:r>
        <w:t xml:space="preserve">Bärtl, M. and Krummaker, S., (2020). Prediction of claims in export credit finance: A comparison of four machine learning techniques. </w:t>
      </w:r>
      <w:r>
        <w:rPr>
          <w:i/>
        </w:rPr>
        <w:t>Risks</w:t>
      </w:r>
      <w:r>
        <w:t xml:space="preserve">, </w:t>
      </w:r>
      <w:r>
        <w:rPr>
          <w:i/>
        </w:rPr>
        <w:t>8</w:t>
      </w:r>
      <w:r>
        <w:t>(1), p.22.</w:t>
      </w:r>
    </w:p>
    <w:p w14:paraId="2C2C8199" w14:textId="77777777" w:rsidR="0052091D" w:rsidRDefault="0052091D">
      <w:pPr>
        <w:spacing w:line="360" w:lineRule="auto"/>
        <w:jc w:val="both"/>
      </w:pPr>
      <w:r>
        <w:t xml:space="preserve">corporatefinanceinstitute.com, (2024). </w:t>
      </w:r>
      <w:r>
        <w:rPr>
          <w:i/>
        </w:rPr>
        <w:t xml:space="preserve">Types of Financial Models. </w:t>
      </w:r>
      <w:r>
        <w:t>Available at: https://corporatefinanceinstitute.com/resources/financial-modeling/types-of-financial-models/ [Accessed on: 4th August, 2024].</w:t>
      </w:r>
    </w:p>
    <w:p w14:paraId="42748972" w14:textId="77777777" w:rsidR="0052091D" w:rsidRDefault="0052091D">
      <w:pPr>
        <w:spacing w:line="360" w:lineRule="auto"/>
        <w:jc w:val="both"/>
      </w:pPr>
      <w:r>
        <w:t xml:space="preserve">Cuypers, I.R., Hennart, J.F., Silverman, B.S. and Ertug, G., (2021). Transaction cost theory: Past progress, current challenges, and suggestions for the future. </w:t>
      </w:r>
      <w:r>
        <w:rPr>
          <w:i/>
        </w:rPr>
        <w:t>Academy of Management Annals</w:t>
      </w:r>
      <w:r>
        <w:t xml:space="preserve">, </w:t>
      </w:r>
      <w:r>
        <w:rPr>
          <w:i/>
        </w:rPr>
        <w:t>15</w:t>
      </w:r>
      <w:r>
        <w:t>(1), pp.111-150.</w:t>
      </w:r>
    </w:p>
    <w:p w14:paraId="0BC9C378" w14:textId="77777777" w:rsidR="0052091D" w:rsidRDefault="0052091D">
      <w:pPr>
        <w:spacing w:line="360" w:lineRule="auto"/>
        <w:jc w:val="both"/>
      </w:pPr>
      <w:r>
        <w:t xml:space="preserve">Eun, C.S., Resnick, B.G. and Chuluun, T., (2021). </w:t>
      </w:r>
      <w:r>
        <w:rPr>
          <w:i/>
        </w:rPr>
        <w:t>International financial management</w:t>
      </w:r>
      <w:r>
        <w:t>. McGraw-Hill.</w:t>
      </w:r>
    </w:p>
    <w:p w14:paraId="565C7908" w14:textId="77777777" w:rsidR="0052091D" w:rsidRDefault="0052091D">
      <w:pPr>
        <w:spacing w:line="360" w:lineRule="auto"/>
        <w:jc w:val="both"/>
      </w:pPr>
      <w:r>
        <w:t xml:space="preserve">Eun, C.S., Resnick, B.G. and Chuluun, T., (2021). </w:t>
      </w:r>
      <w:r>
        <w:rPr>
          <w:i/>
        </w:rPr>
        <w:t>International financial management</w:t>
      </w:r>
      <w:r>
        <w:t>. McGraw-Hill.</w:t>
      </w:r>
    </w:p>
    <w:p w14:paraId="349C08B7" w14:textId="77777777" w:rsidR="0052091D" w:rsidRDefault="0052091D">
      <w:pPr>
        <w:spacing w:line="360" w:lineRule="auto"/>
        <w:jc w:val="both"/>
      </w:pPr>
      <w:r>
        <w:t xml:space="preserve">forbes.com, (2024). </w:t>
      </w:r>
      <w:r>
        <w:rPr>
          <w:i/>
        </w:rPr>
        <w:t>How Diversification Works, And Why You Need It.</w:t>
      </w:r>
      <w:r>
        <w:t xml:space="preserve"> https://www.forbes.com/advisor/investing/what-is-diversification/ [Accessed on: 4th August, 2024].</w:t>
      </w:r>
    </w:p>
    <w:p w14:paraId="61072208" w14:textId="77777777" w:rsidR="0052091D" w:rsidRDefault="0052091D">
      <w:pPr>
        <w:spacing w:line="360" w:lineRule="auto"/>
        <w:jc w:val="both"/>
      </w:pPr>
      <w:r>
        <w:t xml:space="preserve">Georgiadis, G. and Zhu, F., (2021). Foreign-currency exposures and the financial channel of exchange rates: Eroding monetary policy autonomy in small open economies?. </w:t>
      </w:r>
      <w:r>
        <w:rPr>
          <w:i/>
        </w:rPr>
        <w:t>Journal of International Money and Finance</w:t>
      </w:r>
      <w:r>
        <w:t xml:space="preserve">, </w:t>
      </w:r>
      <w:r>
        <w:rPr>
          <w:i/>
        </w:rPr>
        <w:t>110</w:t>
      </w:r>
      <w:r>
        <w:t>, p.102265.</w:t>
      </w:r>
    </w:p>
    <w:p w14:paraId="69B166AB" w14:textId="77777777" w:rsidR="0052091D" w:rsidRDefault="0052091D">
      <w:pPr>
        <w:spacing w:line="360" w:lineRule="auto"/>
        <w:jc w:val="both"/>
      </w:pPr>
      <w:r>
        <w:t xml:space="preserve">Liu, T.Y. and Lee, C.C., (2022). Exchange rate fluctuations and interest rate policy. </w:t>
      </w:r>
      <w:r>
        <w:rPr>
          <w:i/>
        </w:rPr>
        <w:t>International Journal of Finance &amp; Economics</w:t>
      </w:r>
      <w:r>
        <w:t xml:space="preserve">, </w:t>
      </w:r>
      <w:r>
        <w:rPr>
          <w:i/>
        </w:rPr>
        <w:t>27</w:t>
      </w:r>
      <w:r>
        <w:t>(3), pp.3531-3549.</w:t>
      </w:r>
    </w:p>
    <w:p w14:paraId="55BC9F30" w14:textId="77777777" w:rsidR="0052091D" w:rsidRDefault="0052091D">
      <w:pPr>
        <w:spacing w:line="360" w:lineRule="auto"/>
        <w:jc w:val="both"/>
      </w:pPr>
      <w:r>
        <w:t xml:space="preserve">Markevych, A., Shramenko, N. and Moroz, M., (2021). Development of technology of urban forwarding service of small consignment customers. </w:t>
      </w:r>
      <w:r>
        <w:rPr>
          <w:i/>
        </w:rPr>
        <w:t>Norwegian Journal of development of the International Science</w:t>
      </w:r>
      <w:r>
        <w:t>, (58-1), pp.54-58.</w:t>
      </w:r>
    </w:p>
    <w:p w14:paraId="4033D1F3" w14:textId="77777777" w:rsidR="0052091D" w:rsidRDefault="0052091D">
      <w:pPr>
        <w:spacing w:line="360" w:lineRule="auto"/>
        <w:jc w:val="both"/>
      </w:pPr>
      <w:r>
        <w:t xml:space="preserve">Rabbi, M.F., Moon, M.H., Dhonno, F.T., Sultana, A. and Abedin, M.Z., (2022). Foreign currency exchange rate prediction using long short-term memory, support vector regression and random forest regression. In </w:t>
      </w:r>
      <w:r>
        <w:rPr>
          <w:i/>
        </w:rPr>
        <w:t>Financial data analytics: theory and application</w:t>
      </w:r>
      <w:r>
        <w:t xml:space="preserve"> (pp. 251-267). Cham: Springer International Publishing.</w:t>
      </w:r>
    </w:p>
    <w:p w14:paraId="1F0A2521" w14:textId="77777777" w:rsidR="0052091D" w:rsidRDefault="0052091D">
      <w:pPr>
        <w:spacing w:line="360" w:lineRule="auto"/>
        <w:jc w:val="both"/>
      </w:pPr>
      <w:r>
        <w:t xml:space="preserve">Shi, Y., Zhang, Z., Chen, S.C., Cárdenas-Barrón, L.E. and Skouri, K., (2020). Optimal replenishment decisions for perishable products under cash, advance, and credit payments </w:t>
      </w:r>
      <w:r>
        <w:lastRenderedPageBreak/>
        <w:t xml:space="preserve">considering carbon tax regulations. </w:t>
      </w:r>
      <w:r>
        <w:rPr>
          <w:i/>
        </w:rPr>
        <w:t>International Journal of Production Economics</w:t>
      </w:r>
      <w:r>
        <w:t xml:space="preserve">, </w:t>
      </w:r>
      <w:r>
        <w:rPr>
          <w:i/>
        </w:rPr>
        <w:t>223</w:t>
      </w:r>
      <w:r>
        <w:t xml:space="preserve">, p.107514. </w:t>
      </w:r>
    </w:p>
    <w:p w14:paraId="633F3243" w14:textId="77777777" w:rsidR="0052091D" w:rsidRDefault="0052091D">
      <w:pPr>
        <w:spacing w:line="360" w:lineRule="auto"/>
        <w:jc w:val="both"/>
      </w:pPr>
      <w:r>
        <w:t xml:space="preserve">Sutjipto, E., Setiawan, W. and Ghozali, I., (2020). Determination of intrinsic value: Dividend discount model and discounted cash flow methods in Indonesia Stock Exchange. </w:t>
      </w:r>
      <w:r>
        <w:rPr>
          <w:i/>
        </w:rPr>
        <w:t>Eddy Sutjipto, Wawan Setiawan and Imam Ghozali, Determination of Intrinsic Value: Dividend Discount Model and Discounted Cash Flow Methods in Indonesia Stock Exchange, International Journal of Management</w:t>
      </w:r>
      <w:r>
        <w:t xml:space="preserve">, </w:t>
      </w:r>
      <w:r>
        <w:rPr>
          <w:i/>
        </w:rPr>
        <w:t>11</w:t>
      </w:r>
      <w:r>
        <w:t>(11).</w:t>
      </w:r>
    </w:p>
    <w:p w14:paraId="782873A0" w14:textId="77777777" w:rsidR="00E505BE" w:rsidRDefault="00223144">
      <w:pPr>
        <w:spacing w:line="360" w:lineRule="auto"/>
        <w:jc w:val="both"/>
      </w:pPr>
      <w:r>
        <w:t xml:space="preserve"> </w:t>
      </w:r>
    </w:p>
    <w:sectPr w:rsidR="00E505BE" w:rsidSect="00BF6FF9">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CDEF2F" w14:textId="77777777" w:rsidR="00101CCD" w:rsidRDefault="00101CCD" w:rsidP="00BF6FF9">
      <w:pPr>
        <w:spacing w:line="240" w:lineRule="auto"/>
      </w:pPr>
      <w:r>
        <w:separator/>
      </w:r>
    </w:p>
  </w:endnote>
  <w:endnote w:type="continuationSeparator" w:id="0">
    <w:p w14:paraId="35C4396A" w14:textId="77777777" w:rsidR="00101CCD" w:rsidRDefault="00101CCD" w:rsidP="00BF6F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29241000"/>
      <w:docPartObj>
        <w:docPartGallery w:val="Page Numbers (Bottom of Page)"/>
        <w:docPartUnique/>
      </w:docPartObj>
    </w:sdtPr>
    <w:sdtEndPr>
      <w:rPr>
        <w:noProof/>
      </w:rPr>
    </w:sdtEndPr>
    <w:sdtContent>
      <w:p w14:paraId="7146AAE1" w14:textId="58DB8C21" w:rsidR="00BF6FF9" w:rsidRDefault="00BF6FF9">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44B180E2" w14:textId="77777777" w:rsidR="00BF6FF9" w:rsidRDefault="00BF6FF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033C6C" w14:textId="77777777" w:rsidR="00101CCD" w:rsidRDefault="00101CCD" w:rsidP="00BF6FF9">
      <w:pPr>
        <w:spacing w:line="240" w:lineRule="auto"/>
      </w:pPr>
      <w:r>
        <w:separator/>
      </w:r>
    </w:p>
  </w:footnote>
  <w:footnote w:type="continuationSeparator" w:id="0">
    <w:p w14:paraId="75783D3B" w14:textId="77777777" w:rsidR="00101CCD" w:rsidRDefault="00101CCD" w:rsidP="00BF6FF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05BE"/>
    <w:rsid w:val="000C44FB"/>
    <w:rsid w:val="00100C81"/>
    <w:rsid w:val="00101CCD"/>
    <w:rsid w:val="00172DEB"/>
    <w:rsid w:val="00223144"/>
    <w:rsid w:val="00252469"/>
    <w:rsid w:val="0030614D"/>
    <w:rsid w:val="00357959"/>
    <w:rsid w:val="00455943"/>
    <w:rsid w:val="0052091D"/>
    <w:rsid w:val="006D41FC"/>
    <w:rsid w:val="0072787F"/>
    <w:rsid w:val="009153BE"/>
    <w:rsid w:val="00A15656"/>
    <w:rsid w:val="00BF6FF9"/>
    <w:rsid w:val="00E463F8"/>
    <w:rsid w:val="00E505BE"/>
    <w:rsid w:val="00E73B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288A7"/>
  <w15:docId w15:val="{9E2DBF3D-FE45-4F5F-9DD0-1C237534D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line="360" w:lineRule="auto"/>
      <w:outlineLvl w:val="0"/>
    </w:pPr>
    <w:rPr>
      <w:b/>
      <w:sz w:val="28"/>
      <w:szCs w:val="28"/>
    </w:rPr>
  </w:style>
  <w:style w:type="paragraph" w:styleId="Titlu2">
    <w:name w:val="heading 2"/>
    <w:basedOn w:val="Normal"/>
    <w:next w:val="Normal"/>
    <w:uiPriority w:val="9"/>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Antet">
    <w:name w:val="header"/>
    <w:basedOn w:val="Normal"/>
    <w:link w:val="AntetCaracter"/>
    <w:uiPriority w:val="99"/>
    <w:unhideWhenUsed/>
    <w:rsid w:val="00BF6FF9"/>
    <w:pPr>
      <w:tabs>
        <w:tab w:val="center" w:pos="4680"/>
        <w:tab w:val="right" w:pos="9360"/>
      </w:tabs>
      <w:spacing w:line="240" w:lineRule="auto"/>
    </w:pPr>
  </w:style>
  <w:style w:type="character" w:customStyle="1" w:styleId="AntetCaracter">
    <w:name w:val="Antet Caracter"/>
    <w:basedOn w:val="Fontdeparagrafimplicit"/>
    <w:link w:val="Antet"/>
    <w:uiPriority w:val="99"/>
    <w:rsid w:val="00BF6FF9"/>
  </w:style>
  <w:style w:type="paragraph" w:styleId="Subsol">
    <w:name w:val="footer"/>
    <w:basedOn w:val="Normal"/>
    <w:link w:val="SubsolCaracter"/>
    <w:uiPriority w:val="99"/>
    <w:unhideWhenUsed/>
    <w:rsid w:val="00BF6FF9"/>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BF6FF9"/>
  </w:style>
  <w:style w:type="paragraph" w:styleId="Titlucuprins">
    <w:name w:val="TOC Heading"/>
    <w:basedOn w:val="Titlu1"/>
    <w:next w:val="Normal"/>
    <w:uiPriority w:val="39"/>
    <w:unhideWhenUsed/>
    <w:qFormat/>
    <w:rsid w:val="009153BE"/>
    <w:pPr>
      <w:spacing w:before="24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9153BE"/>
    <w:pPr>
      <w:spacing w:after="100"/>
    </w:pPr>
  </w:style>
  <w:style w:type="paragraph" w:styleId="Cuprins2">
    <w:name w:val="toc 2"/>
    <w:basedOn w:val="Normal"/>
    <w:next w:val="Normal"/>
    <w:autoRedefine/>
    <w:uiPriority w:val="39"/>
    <w:unhideWhenUsed/>
    <w:rsid w:val="009153BE"/>
    <w:pPr>
      <w:spacing w:after="100"/>
      <w:ind w:left="240"/>
    </w:pPr>
  </w:style>
  <w:style w:type="character" w:styleId="Hyperlink">
    <w:name w:val="Hyperlink"/>
    <w:basedOn w:val="Fontdeparagrafimplicit"/>
    <w:uiPriority w:val="99"/>
    <w:unhideWhenUsed/>
    <w:rsid w:val="009153B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7EF7CC-8EFF-4A9D-945A-EB9C2E7A630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2043</Words>
  <Characters>11856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cerasela stoica</cp:lastModifiedBy>
  <cp:revision>2</cp:revision>
  <dcterms:created xsi:type="dcterms:W3CDTF">2024-08-15T20:56:00Z</dcterms:created>
  <dcterms:modified xsi:type="dcterms:W3CDTF">2024-08-15T20:56:00Z</dcterms:modified>
</cp:coreProperties>
</file>