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footnotes.xml" ContentType="application/vnd.openxmlformats-officedocument.wordprocessingml.footnot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w:rsidR="53D1CADC" w:rsidP="03491401" w:rsidRDefault="53D1CADC" w14:paraId="1F8D5BF3" w14:textId="19087D37">
      <w:pPr>
        <w:rPr>
          <w:sz w:val="28"/>
          <w:szCs w:val="28"/>
        </w:rPr>
      </w:pPr>
      <w:r w:rsidRPr="03491401" w:rsidR="4FEE1D00">
        <w:rPr>
          <w:sz w:val="28"/>
          <w:szCs w:val="28"/>
        </w:rPr>
        <w:t xml:space="preserve">Religious and </w:t>
      </w:r>
      <w:r w:rsidRPr="03491401" w:rsidR="47A78606">
        <w:rPr>
          <w:sz w:val="28"/>
          <w:szCs w:val="28"/>
        </w:rPr>
        <w:t>R</w:t>
      </w:r>
      <w:r w:rsidRPr="03491401" w:rsidR="4FEE1D00">
        <w:rPr>
          <w:sz w:val="28"/>
          <w:szCs w:val="28"/>
        </w:rPr>
        <w:t xml:space="preserve">itual aspects of </w:t>
      </w:r>
      <w:r w:rsidRPr="03491401" w:rsidR="1EA1092C">
        <w:rPr>
          <w:sz w:val="28"/>
          <w:szCs w:val="28"/>
        </w:rPr>
        <w:t>D</w:t>
      </w:r>
      <w:r w:rsidRPr="03491401" w:rsidR="3960CA2C">
        <w:rPr>
          <w:sz w:val="28"/>
          <w:szCs w:val="28"/>
        </w:rPr>
        <w:t xml:space="preserve">eath in different </w:t>
      </w:r>
      <w:r w:rsidRPr="03491401" w:rsidR="659CA7DA">
        <w:rPr>
          <w:sz w:val="28"/>
          <w:szCs w:val="28"/>
        </w:rPr>
        <w:t>S</w:t>
      </w:r>
      <w:r w:rsidRPr="03491401" w:rsidR="3960CA2C">
        <w:rPr>
          <w:sz w:val="28"/>
          <w:szCs w:val="28"/>
        </w:rPr>
        <w:t xml:space="preserve">ocieties and </w:t>
      </w:r>
      <w:r w:rsidRPr="03491401" w:rsidR="63FAAEDD">
        <w:rPr>
          <w:sz w:val="28"/>
          <w:szCs w:val="28"/>
        </w:rPr>
        <w:t>C</w:t>
      </w:r>
      <w:r w:rsidRPr="03491401" w:rsidR="3960CA2C">
        <w:rPr>
          <w:sz w:val="28"/>
          <w:szCs w:val="28"/>
        </w:rPr>
        <w:t>ultures</w:t>
      </w:r>
    </w:p>
    <w:p w:rsidR="653BA092" w:rsidP="307B8258" w:rsidRDefault="653BA092" w14:paraId="15CA6975" w14:textId="5B71DBCF">
      <w:pPr>
        <w:pStyle w:val="Normal"/>
        <w:ind w:left="0"/>
      </w:pPr>
      <w:r w:rsidR="653BA092">
        <w:rPr/>
        <w:t>In this essay, I will explore the ritual aspects of death across different societies and cultures</w:t>
      </w:r>
      <w:r w:rsidR="6222F761">
        <w:rPr/>
        <w:t xml:space="preserve">, using topics that cover religion, </w:t>
      </w:r>
      <w:r w:rsidR="6E2164FC">
        <w:rPr/>
        <w:t>family,</w:t>
      </w:r>
      <w:r w:rsidR="6222F761">
        <w:rPr/>
        <w:t xml:space="preserve"> and food as my case study</w:t>
      </w:r>
      <w:r w:rsidR="653BA092">
        <w:rPr/>
        <w:t xml:space="preserve">. As human beings, we grow and adapt to our daily lives, developing various forms of rituals that we may </w:t>
      </w:r>
      <w:r w:rsidR="598E5D55">
        <w:rPr/>
        <w:t xml:space="preserve">or may </w:t>
      </w:r>
      <w:r w:rsidR="653BA092">
        <w:rPr/>
        <w:t xml:space="preserve">not </w:t>
      </w:r>
      <w:r w:rsidR="09155C9F">
        <w:rPr/>
        <w:t>be aware of</w:t>
      </w:r>
      <w:r w:rsidR="653BA092">
        <w:rPr/>
        <w:t>.</w:t>
      </w:r>
      <w:r w:rsidR="653BA092">
        <w:rPr/>
        <w:t xml:space="preserve"> </w:t>
      </w:r>
      <w:r w:rsidR="653BA092">
        <w:rPr/>
        <w:t>These rit</w:t>
      </w:r>
      <w:r w:rsidR="653BA092">
        <w:rPr/>
        <w:t>uals may be imbued with religious significance or informed by moral concepts that we have been raised with or</w:t>
      </w:r>
      <w:r w:rsidR="35F2F224">
        <w:rPr/>
        <w:t xml:space="preserve"> have</w:t>
      </w:r>
      <w:r w:rsidR="653BA092">
        <w:rPr/>
        <w:t xml:space="preserve"> come to believe in</w:t>
      </w:r>
      <w:r w:rsidR="653BA092">
        <w:rPr/>
        <w:t>.</w:t>
      </w:r>
      <w:r w:rsidR="653BA092">
        <w:rPr/>
        <w:t xml:space="preserve"> It is also widely understood that death can be just as ritualistic as life itself. Through examining different societies and cultures, this essay will compare how we may or may not differ in our approaches to these fundamental experiences. By doing so, we may discover whether there are lessons to be learned from each </w:t>
      </w:r>
      <w:r w:rsidR="771CF68D">
        <w:rPr/>
        <w:t>society</w:t>
      </w:r>
      <w:r w:rsidR="771CF68D">
        <w:rPr/>
        <w:t xml:space="preserve"> or culture.</w:t>
      </w:r>
    </w:p>
    <w:p w:rsidR="7291849B" w:rsidP="1AAA113B" w:rsidRDefault="7291849B" w14:paraId="4014D4D3" w14:textId="3F31FD59">
      <w:pPr>
        <w:pStyle w:val="Normal"/>
        <w:ind w:left="0"/>
      </w:pPr>
      <w:r w:rsidR="3F544274">
        <w:rPr/>
        <w:t xml:space="preserve">As we grow, we develop our own unique set of ideals and beliefs, shaped by the </w:t>
      </w:r>
      <w:bookmarkStart w:name="_Int_QWkyzKET" w:id="1315827422"/>
      <w:r w:rsidR="3F544274">
        <w:rPr/>
        <w:t>experiences</w:t>
      </w:r>
      <w:bookmarkEnd w:id="1315827422"/>
      <w:r w:rsidR="3F544274">
        <w:rPr/>
        <w:t xml:space="preserve"> and influences of our background lives. These influences can come from people </w:t>
      </w:r>
      <w:r w:rsidR="74DC5BA4">
        <w:rPr/>
        <w:t>such as</w:t>
      </w:r>
      <w:r w:rsidR="3F544274">
        <w:rPr/>
        <w:t xml:space="preserve"> our parents or those we choose to surround ourselves with.</w:t>
      </w:r>
      <w:r w:rsidR="16C0FAE4">
        <w:rPr/>
        <w:t xml:space="preserve"> </w:t>
      </w:r>
      <w:r w:rsidRPr="03491401">
        <w:rPr>
          <w:rStyle w:val="FootnoteReference"/>
        </w:rPr>
        <w:footnoteReference w:id="842"/>
      </w:r>
      <w:r w:rsidR="3F544274">
        <w:rPr/>
        <w:t xml:space="preserve"> However, the choices we </w:t>
      </w:r>
      <w:bookmarkStart w:name="_Int_hbFyAjOq" w:id="1081286419"/>
      <w:r w:rsidR="3F544274">
        <w:rPr/>
        <w:t>ultimately make</w:t>
      </w:r>
      <w:bookmarkEnd w:id="1081286419"/>
      <w:r w:rsidR="3F544274">
        <w:rPr/>
        <w:t xml:space="preserve"> define us and inevitably lead to our death. </w:t>
      </w:r>
      <w:r w:rsidR="4A9C0934">
        <w:rPr/>
        <w:t>Therefore, c</w:t>
      </w:r>
      <w:r w:rsidR="3F544274">
        <w:rPr/>
        <w:t>omparing our traditional ways of commemorating death with those of other cultures and societies can shed new light on what truly defines us and how we arrived at these practices.</w:t>
      </w:r>
      <w:r w:rsidR="542ECE3D">
        <w:rPr/>
        <w:t xml:space="preserve"> </w:t>
      </w:r>
      <w:r w:rsidR="3F544274">
        <w:rPr/>
        <w:t xml:space="preserve">Rituals permeate many aspects of our lives. They are routines </w:t>
      </w:r>
      <w:r w:rsidR="36377673">
        <w:rPr/>
        <w:t xml:space="preserve">in which </w:t>
      </w:r>
      <w:r w:rsidR="3F544274">
        <w:rPr/>
        <w:t xml:space="preserve">we </w:t>
      </w:r>
      <w:r w:rsidR="3F544274">
        <w:rPr/>
        <w:t>establish</w:t>
      </w:r>
      <w:r w:rsidR="3F544274">
        <w:rPr/>
        <w:t xml:space="preserve"> and internalize over time, starting from the moment we are born. These rituals can encompass anything from celebrating Christmas with friends and family, exchanging gifts and enjoying meals, to dressing up for special occasions or even presenting ourselves in a way that shapes our identity.</w:t>
      </w:r>
      <w:r w:rsidR="2F15076C">
        <w:rPr/>
        <w:t xml:space="preserve"> </w:t>
      </w:r>
      <w:r w:rsidRPr="03491401">
        <w:rPr>
          <w:rStyle w:val="FootnoteReference"/>
        </w:rPr>
        <w:footnoteReference w:id="9824"/>
      </w:r>
      <w:r w:rsidR="3F544274">
        <w:rPr/>
        <w:t xml:space="preserve"> However, death transcends our individual existence, and even now, it </w:t>
      </w:r>
      <w:r w:rsidR="3F544274">
        <w:rPr/>
        <w:t>remains</w:t>
      </w:r>
      <w:r w:rsidR="3F544274">
        <w:rPr/>
        <w:t xml:space="preserve"> challenging to fully grasp its meaning in terms of rituals.</w:t>
      </w:r>
    </w:p>
    <w:p w:rsidR="56563E4E" w:rsidP="03491401" w:rsidRDefault="56563E4E" w14:paraId="17BC5AA2" w14:textId="7093D3CC">
      <w:pPr>
        <w:pStyle w:val="Normal"/>
        <w:ind w:left="0"/>
      </w:pPr>
      <w:r w:rsidR="56563E4E">
        <w:rPr/>
        <w:t xml:space="preserve">To broaden our perspective, we can </w:t>
      </w:r>
      <w:r w:rsidR="56563E4E">
        <w:rPr/>
        <w:t>disclose</w:t>
      </w:r>
      <w:r w:rsidR="56563E4E">
        <w:rPr/>
        <w:t xml:space="preserve"> how anthropology plays a vital role in the aspect of death rituals and what they say about us being human</w:t>
      </w:r>
      <w:r w:rsidR="35A8B0E7">
        <w:rPr/>
        <w:t xml:space="preserve">. </w:t>
      </w:r>
      <w:r w:rsidR="35A8B0E7">
        <w:rPr/>
        <w:t>Anthropology delves into the vast spectrum of human cultures and societies across the globe, encompassing both the present day and the rich tapestry of the past.</w:t>
      </w:r>
      <w:r w:rsidR="59F44393">
        <w:rPr/>
        <w:t xml:space="preserve"> </w:t>
      </w:r>
      <w:r w:rsidRPr="03491401">
        <w:rPr>
          <w:rStyle w:val="FootnoteReference"/>
        </w:rPr>
        <w:footnoteReference w:id="6497"/>
      </w:r>
      <w:r w:rsidR="35A8B0E7">
        <w:rPr/>
        <w:t xml:space="preserve"> This immersive exploration exposes us to the incredible diversity of ways humans organize their lives, express themselves, and interact with the world around them. Through this exposure, we are challenged to re-evaluate our own cultural assumptions about what constitutes "normal" or "natural." We come to understand that there is no single blueprint for being human; the canvas of humanity is painted with a vibrant array of </w:t>
      </w:r>
      <w:r w:rsidR="4DF9768C">
        <w:rPr/>
        <w:t>colors</w:t>
      </w:r>
      <w:r w:rsidR="35A8B0E7">
        <w:rPr/>
        <w:t xml:space="preserve"> and textures.</w:t>
      </w:r>
      <w:r w:rsidR="6A2D642E">
        <w:rPr/>
        <w:t xml:space="preserve"> </w:t>
      </w:r>
      <w:r w:rsidRPr="03491401">
        <w:rPr>
          <w:rStyle w:val="FootnoteReference"/>
        </w:rPr>
        <w:footnoteReference w:id="31503"/>
      </w:r>
      <w:r w:rsidR="35A8B0E7">
        <w:rPr/>
        <w:t xml:space="preserve"> By fostering an understanding of the values and beliefs held by others, anthropology allows us to develop greater empathy and cultivate more effective intercultural communication. This </w:t>
      </w:r>
      <w:r w:rsidR="35A8B0E7">
        <w:rPr/>
        <w:t>capacity</w:t>
      </w:r>
      <w:r w:rsidR="35A8B0E7">
        <w:rPr/>
        <w:t xml:space="preserve"> for understanding is crucial in our increasingly interconnected world, where navigating cultural differences is a vital skill. </w:t>
      </w:r>
    </w:p>
    <w:p w:rsidR="35A8B0E7" w:rsidP="03491401" w:rsidRDefault="35A8B0E7" w14:paraId="008A6411" w14:textId="2DCE97AB">
      <w:pPr>
        <w:pStyle w:val="Normal"/>
        <w:ind w:left="0"/>
      </w:pPr>
      <w:r w:rsidR="35A8B0E7">
        <w:rPr/>
        <w:t xml:space="preserve">Despite the vast tapestry of cultural differences, anthropology also uncovers certain universal human experiences. These include rituals surrounding birth, death, and coming-of-age, the formation of families and communities, and the fundamental human quest for the meaning in life. </w:t>
      </w:r>
      <w:r w:rsidRPr="03491401">
        <w:rPr>
          <w:rStyle w:val="FootnoteReference"/>
        </w:rPr>
        <w:footnoteReference w:id="21061"/>
      </w:r>
      <w:r w:rsidR="78356919">
        <w:rPr/>
        <w:t xml:space="preserve"> </w:t>
      </w:r>
      <w:r w:rsidR="35A8B0E7">
        <w:rPr/>
        <w:t xml:space="preserve">By studying how diverse cultures address universal challenges such as illness, loss, and environmental pressures, anthropology helps us recognize our shared humanity. Furthermore, examining human evolution, biology, and language alongside cultural practices allows anthropologists to paint a holistic picture of who we are. This integrated approach reveals the intricate interplay between our biological predispositions and the cultural environments we create. </w:t>
      </w:r>
      <w:bookmarkStart w:name="_Int_8Tf1RD2M" w:id="180724987"/>
      <w:r w:rsidR="35A8B0E7">
        <w:rPr/>
        <w:t>In essence, anthropology</w:t>
      </w:r>
      <w:bookmarkEnd w:id="180724987"/>
      <w:r w:rsidR="35A8B0E7">
        <w:rPr/>
        <w:t xml:space="preserve"> allows us to appreciate both the remarkable diversity and the underlying unity of </w:t>
      </w:r>
      <w:bookmarkStart w:name="_Int_5w4mNAYe" w:id="2111474144"/>
      <w:r w:rsidR="35A8B0E7">
        <w:rPr/>
        <w:t>the human</w:t>
      </w:r>
      <w:bookmarkEnd w:id="2111474144"/>
      <w:r w:rsidR="35A8B0E7">
        <w:rPr/>
        <w:t xml:space="preserve"> experience.</w:t>
      </w:r>
      <w:r w:rsidR="6CA34A9E">
        <w:rPr/>
        <w:t xml:space="preserve"> </w:t>
      </w:r>
      <w:r w:rsidRPr="03491401">
        <w:rPr>
          <w:rStyle w:val="FootnoteReference"/>
        </w:rPr>
        <w:footnoteReference w:id="12814"/>
      </w:r>
    </w:p>
    <w:p w:rsidR="0F055143" w:rsidP="03491401" w:rsidRDefault="0F055143" w14:paraId="6F85E561" w14:textId="6F7032E7">
      <w:pPr>
        <w:pStyle w:val="Normal"/>
        <w:ind w:left="0"/>
      </w:pPr>
      <w:r w:rsidR="0F055143">
        <w:rPr/>
        <w:t xml:space="preserve">While the specific rituals and traditions of rites of passage vary across religions and denominations, their core function </w:t>
      </w:r>
      <w:r w:rsidR="0F055143">
        <w:rPr/>
        <w:t>remains</w:t>
      </w:r>
      <w:r w:rsidR="0F055143">
        <w:rPr/>
        <w:t xml:space="preserve"> central: to mark significant life transitions. Some religious traditions may incorporate </w:t>
      </w:r>
      <w:r w:rsidR="0F055143">
        <w:rPr/>
        <w:t>additional</w:t>
      </w:r>
      <w:r w:rsidR="0F055143">
        <w:rPr/>
        <w:t xml:space="preserve"> rites specific to their beliefs and practices. In some cases, traditional practices surrounding rites of passage are evolving or adapting to modern contexts. This highlights the dynamic nature of these rituals. Overall, the form of rites of passage may change over time, but their role in marking significant transitions and reinforcing religious identity </w:t>
      </w:r>
      <w:r w:rsidR="0F055143">
        <w:rPr/>
        <w:t>remains</w:t>
      </w:r>
      <w:r w:rsidR="0F055143">
        <w:rPr/>
        <w:t xml:space="preserve"> a crucial aspect of many contemporary religious practices.</w:t>
      </w:r>
      <w:r w:rsidR="4886944A">
        <w:rPr/>
        <w:t xml:space="preserve"> </w:t>
      </w:r>
    </w:p>
    <w:p w:rsidR="7291849B" w:rsidP="1AAA113B" w:rsidRDefault="7291849B" w14:paraId="3292AE40" w14:textId="1F8E724F">
      <w:pPr>
        <w:pStyle w:val="Normal"/>
        <w:ind w:left="0"/>
      </w:pPr>
      <w:r w:rsidR="47CDBBBA">
        <w:rPr/>
        <w:t>Between 1880 and 1949, Sweden underwent social conflict and alternative industrialization, leading to a reformation of the working class. This period saw the rise of memoirs reflecting on class and gender, implying discussions about "religious change" related to secularization, cultural processes, and the individualization of religious experiences.</w:t>
      </w:r>
      <w:r w:rsidRPr="57C81D7B">
        <w:rPr>
          <w:rStyle w:val="FootnoteReference"/>
        </w:rPr>
        <w:footnoteReference w:id="3477"/>
      </w:r>
      <w:r w:rsidR="6BA777C6">
        <w:rPr/>
        <w:t xml:space="preserve"> </w:t>
      </w:r>
      <w:r w:rsidR="47CDBBBA">
        <w:rPr/>
        <w:t xml:space="preserve">This </w:t>
      </w:r>
      <w:r w:rsidR="47CDBBBA">
        <w:rPr/>
        <w:t>facilitated</w:t>
      </w:r>
      <w:r w:rsidR="47CDBBBA">
        <w:rPr/>
        <w:t xml:space="preserve"> researchers in </w:t>
      </w:r>
      <w:r w:rsidR="47CDBBBA">
        <w:rPr/>
        <w:t>utilizing</w:t>
      </w:r>
      <w:r w:rsidR="47CDBBBA">
        <w:rPr/>
        <w:t xml:space="preserve"> diverse personal narratives, particularly those related to death rites, creating a "common platform" for various social groups and genders to interpret cultural and religious practices.</w:t>
      </w:r>
      <w:r w:rsidR="720E0E2A">
        <w:rPr/>
        <w:t xml:space="preserve"> </w:t>
      </w:r>
      <w:r w:rsidR="47CDBBBA">
        <w:rPr/>
        <w:t>The higher classes of the time viewed this as a "...shift away from the focus on the Afterlife and the Last Judgement...", which were understood as the rites of passage.</w:t>
      </w:r>
      <w:r w:rsidR="38323AAD">
        <w:rPr/>
        <w:t xml:space="preserve"> </w:t>
      </w:r>
      <w:r w:rsidRPr="57C81D7B">
        <w:rPr>
          <w:rStyle w:val="FootnoteReference"/>
        </w:rPr>
        <w:footnoteReference w:id="8312"/>
      </w:r>
      <w:r w:rsidR="099ECF91">
        <w:rPr/>
        <w:t xml:space="preserve"> </w:t>
      </w:r>
      <w:r w:rsidR="5F700C8B">
        <w:rPr/>
        <w:t xml:space="preserve">Anthropologist, </w:t>
      </w:r>
      <w:r w:rsidR="47CDBBBA">
        <w:rPr/>
        <w:t>Arnold Van Gennep</w:t>
      </w:r>
      <w:r w:rsidR="11BA67AC">
        <w:rPr/>
        <w:t xml:space="preserve">, </w:t>
      </w:r>
      <w:r w:rsidR="47CDBBBA">
        <w:rPr/>
        <w:t xml:space="preserve">interprets the death rite as a social context, arguing that every rite of transition denotes a transformation of existing social relations. However, American anthropologist Ray A. Rappaport argues that </w:t>
      </w:r>
      <w:r w:rsidR="1D3B39B2">
        <w:rPr/>
        <w:t xml:space="preserve">the term </w:t>
      </w:r>
      <w:r w:rsidR="47CDBBBA">
        <w:rPr/>
        <w:t xml:space="preserve">ritual </w:t>
      </w:r>
      <w:r w:rsidR="04BC1EF0">
        <w:rPr/>
        <w:t>means</w:t>
      </w:r>
      <w:r w:rsidR="47CDBBBA">
        <w:rPr/>
        <w:t xml:space="preserve"> "</w:t>
      </w:r>
      <w:r w:rsidR="1E14B97B">
        <w:rPr/>
        <w:t>...</w:t>
      </w:r>
      <w:r w:rsidR="47CDBBBA">
        <w:rPr/>
        <w:t>the performance of more or less invariant sequences of formal acts and utterances not entirely encoded by the performers." Therefore, without any performance, there is no ritual.</w:t>
      </w:r>
      <w:r w:rsidR="7D1514EA">
        <w:rPr/>
        <w:t xml:space="preserve"> </w:t>
      </w:r>
      <w:r w:rsidRPr="57C81D7B">
        <w:rPr>
          <w:rStyle w:val="FootnoteReference"/>
        </w:rPr>
        <w:footnoteReference w:id="10291"/>
      </w:r>
    </w:p>
    <w:p w:rsidR="704F2FC0" w:rsidP="03491401" w:rsidRDefault="704F2FC0" w14:paraId="0AD99707" w14:textId="73707362">
      <w:pPr>
        <w:pStyle w:val="Normal"/>
        <w:ind w:left="0"/>
      </w:pPr>
      <w:bookmarkStart w:name="_Int_FFLXkb5b" w:id="1203988759"/>
      <w:r w:rsidR="704F2FC0">
        <w:rPr/>
        <w:t>In my opinion, ri</w:t>
      </w:r>
      <w:r w:rsidR="65688F34">
        <w:rPr/>
        <w:t>tes</w:t>
      </w:r>
      <w:bookmarkEnd w:id="1203988759"/>
      <w:r w:rsidR="65688F34">
        <w:rPr/>
        <w:t xml:space="preserve"> of passage, demonstrably present across cultures and throughout history – from ceremonies to weddings and, most notably, funerals – play a vital role even in modern society. They mark significant stages in an individual's life, providing a framework for understanding their evolving roles and responsibilities. However, </w:t>
      </w:r>
      <w:r w:rsidR="65688F34">
        <w:rPr/>
        <w:t>it's</w:t>
      </w:r>
      <w:r w:rsidR="65688F34">
        <w:rPr/>
        <w:t xml:space="preserve"> undeniable that some rites of passage can be exclusionary, with factors like gender, social class, or religious beliefs acting as barriers. Death rituals, however, offer a valuable framework across various faiths. They acknowledge the final transition, providing comfort and closure for the bereaved, while also expressing beliefs about the afterlife or the continued existence of the deceased. While some rites may be exclusionary, the importance of death rituals in </w:t>
      </w:r>
      <w:r w:rsidR="65688F34">
        <w:rPr/>
        <w:t>facilitating</w:t>
      </w:r>
      <w:r w:rsidR="65688F34">
        <w:rPr/>
        <w:t xml:space="preserve"> closure and expressing beliefs is undeniable.</w:t>
      </w:r>
    </w:p>
    <w:p w:rsidR="122FB043" w:rsidP="03491401" w:rsidRDefault="122FB043" w14:paraId="037248C4" w14:textId="1744056C">
      <w:pPr>
        <w:pStyle w:val="Normal"/>
        <w:ind w:left="0"/>
      </w:pPr>
      <w:r w:rsidR="122FB043">
        <w:rPr/>
        <w:t xml:space="preserve">Rituals are a powerful way to </w:t>
      </w:r>
      <w:r w:rsidR="122FB043">
        <w:rPr/>
        <w:t>transmit</w:t>
      </w:r>
      <w:r w:rsidR="122FB043">
        <w:rPr/>
        <w:t xml:space="preserve"> cultural knowledge and values from one generation to the next. By </w:t>
      </w:r>
      <w:r w:rsidR="122FB043">
        <w:rPr/>
        <w:t>participating</w:t>
      </w:r>
      <w:r w:rsidR="122FB043">
        <w:rPr/>
        <w:t xml:space="preserve"> in rituals, we learn about our history and connect with those who came before us. This fosters a sense of continuity and shared identity within a community. They also </w:t>
      </w:r>
      <w:r w:rsidR="122FB043">
        <w:rPr/>
        <w:t>provide</w:t>
      </w:r>
      <w:r w:rsidR="122FB043">
        <w:rPr/>
        <w:t xml:space="preserve"> a socially acceptable way to express strong emotions like grief, joy, or gratitude. Certain actions and symbols within a ritual can act as a release valve for powerful feelings.</w:t>
      </w:r>
    </w:p>
    <w:p w:rsidR="3EEB0731" w:rsidP="03491401" w:rsidRDefault="3EEB0731" w14:paraId="1BC1A08A" w14:textId="2F454396">
      <w:pPr>
        <w:pStyle w:val="Normal"/>
        <w:ind w:left="0"/>
      </w:pPr>
      <w:r w:rsidR="3EEB0731">
        <w:rPr/>
        <w:t xml:space="preserve">The concept of family varies </w:t>
      </w:r>
      <w:bookmarkStart w:name="_Int_w5PqYCfg" w:id="1586942394"/>
      <w:r w:rsidR="3EEB0731">
        <w:rPr/>
        <w:t>greatly across</w:t>
      </w:r>
      <w:bookmarkEnd w:id="1586942394"/>
      <w:r w:rsidR="3EEB0731">
        <w:rPr/>
        <w:t xml:space="preserve"> many different societies and cultures. Regardless of our background or beliefs, death plays a significant role in our lives, and our families become a focal point during such times. It is through the ways </w:t>
      </w:r>
      <w:r w:rsidR="6E9EF539">
        <w:rPr/>
        <w:t xml:space="preserve">in which </w:t>
      </w:r>
      <w:r w:rsidR="3EEB0731">
        <w:rPr/>
        <w:t>we respond to the passing of our loved ones that we gain insights into ourselves and our core beliefs – a way of saying goodbye that reflects who we are.</w:t>
      </w:r>
      <w:r w:rsidR="7048EFD6">
        <w:rPr/>
        <w:t xml:space="preserve"> </w:t>
      </w:r>
      <w:r w:rsidRPr="03491401">
        <w:rPr>
          <w:rStyle w:val="FootnoteReference"/>
        </w:rPr>
        <w:footnoteReference w:id="12366"/>
      </w:r>
      <w:r w:rsidR="7D7D82BC">
        <w:rPr/>
        <w:t xml:space="preserve"> Across the planet, we can discover many cultural examples of burial practices</w:t>
      </w:r>
      <w:r w:rsidR="12D5104A">
        <w:rPr/>
        <w:t xml:space="preserve"> for our families</w:t>
      </w:r>
      <w:r w:rsidR="251546F6">
        <w:rPr/>
        <w:t>.</w:t>
      </w:r>
      <w:r w:rsidR="5B918BB9">
        <w:rPr/>
        <w:t xml:space="preserve"> </w:t>
      </w:r>
      <w:r w:rsidR="10D63A04">
        <w:rPr/>
        <w:t>In the wake of a loved one's passing, tradition and local customs often provide a framework for families to follow when laying the deceased to rest. Family and friends then engage in mourning practices and hold various events to honor the life of the departed. Modern funeral practices, too, are woven from these strong cultural influences and threads of tradition, ensuring that ceremonies continue to reflect the values and beliefs of the communities they serve.</w:t>
      </w:r>
      <w:r w:rsidR="1E5E6F87">
        <w:rPr/>
        <w:t xml:space="preserve"> </w:t>
      </w:r>
      <w:r w:rsidRPr="03491401">
        <w:rPr>
          <w:rStyle w:val="FootnoteReference"/>
        </w:rPr>
        <w:footnoteReference w:id="9440"/>
      </w:r>
    </w:p>
    <w:p w:rsidR="4C9474D5" w:rsidP="03491401" w:rsidRDefault="4C9474D5" w14:paraId="5251C849" w14:textId="74AE9B55">
      <w:pPr>
        <w:pStyle w:val="Normal"/>
        <w:ind w:left="0"/>
      </w:pPr>
      <w:r w:rsidR="4C9474D5">
        <w:rPr/>
        <w:t xml:space="preserve">Across religions, cultures, and beliefs, funerals serve a common purpose. Traditionally organized by relatives and funeral directors, these services provide a space for acknowledging the deceased and their life. </w:t>
      </w:r>
      <w:r w:rsidR="472C0BB2">
        <w:rPr/>
        <w:t>Most notably, f</w:t>
      </w:r>
      <w:r w:rsidR="4C9474D5">
        <w:rPr/>
        <w:t>uneral rituals are particularly prevalent in Western modern societies.</w:t>
      </w:r>
      <w:r w:rsidR="5E5FAF3B">
        <w:rPr/>
        <w:t xml:space="preserve"> </w:t>
      </w:r>
      <w:r w:rsidRPr="03491401">
        <w:rPr>
          <w:rStyle w:val="FootnoteReference"/>
        </w:rPr>
        <w:footnoteReference w:id="2315"/>
      </w:r>
      <w:r w:rsidR="4C9474D5">
        <w:rPr/>
        <w:t xml:space="preserve"> These rituals offer a framework for the deceased to undergo a symbolic transformation, marking a transition and a sense of continuity. For families, they also provide a crucial step in the grieving process, allowing them to begin to heal from their </w:t>
      </w:r>
      <w:r w:rsidR="4C9474D5">
        <w:rPr/>
        <w:t>loss.</w:t>
      </w:r>
      <w:r w:rsidR="3FCD0E69">
        <w:rPr/>
        <w:t xml:space="preserve"> </w:t>
      </w:r>
      <w:r w:rsidRPr="03491401">
        <w:rPr>
          <w:rStyle w:val="FootnoteReference"/>
        </w:rPr>
        <w:footnoteReference w:id="22010"/>
      </w:r>
      <w:r w:rsidR="4C9474D5">
        <w:rPr/>
        <w:t xml:space="preserve"> </w:t>
      </w:r>
      <w:r w:rsidR="310FE4C3">
        <w:rPr/>
        <w:t xml:space="preserve"> </w:t>
      </w:r>
      <w:r w:rsidR="4C9474D5">
        <w:rPr/>
        <w:t xml:space="preserve">The COVID-19 pandemic significantly disrupted traditional funeral practices, </w:t>
      </w:r>
      <w:r w:rsidR="4C9474D5">
        <w:rPr/>
        <w:t>impacting</w:t>
      </w:r>
      <w:r w:rsidR="4C9474D5">
        <w:rPr/>
        <w:t xml:space="preserve"> people on a deep </w:t>
      </w:r>
      <w:r w:rsidR="4C9474D5">
        <w:rPr/>
        <w:t>level.</w:t>
      </w:r>
      <w:r w:rsidR="62505A91">
        <w:rPr/>
        <w:t xml:space="preserve"> </w:t>
      </w:r>
      <w:r w:rsidRPr="03491401">
        <w:rPr>
          <w:rStyle w:val="FootnoteReference"/>
        </w:rPr>
        <w:footnoteReference w:id="19044"/>
      </w:r>
      <w:r w:rsidR="59DB9CBC">
        <w:rPr/>
        <w:t xml:space="preserve"> </w:t>
      </w:r>
      <w:r w:rsidR="4C9474D5">
        <w:rPr/>
        <w:t>Restrictions on gatherings meant loved ones</w:t>
      </w:r>
      <w:r w:rsidR="4C9474D5">
        <w:rPr/>
        <w:t xml:space="preserve"> </w:t>
      </w:r>
      <w:r w:rsidR="265FB3CA">
        <w:rPr/>
        <w:t>could not</w:t>
      </w:r>
      <w:r w:rsidR="4C9474D5">
        <w:rPr/>
        <w:t xml:space="preserve"> visit or mourn together in the usual way. This shift not only altered the rituals themselves but also likely contributed to poorer psychological well-being among bereaved </w:t>
      </w:r>
      <w:r w:rsidR="4C9474D5">
        <w:rPr/>
        <w:t>families.</w:t>
      </w:r>
      <w:r w:rsidR="109A14FD">
        <w:rPr/>
        <w:t xml:space="preserve"> </w:t>
      </w:r>
      <w:r w:rsidRPr="03491401">
        <w:rPr>
          <w:rStyle w:val="FootnoteReference"/>
        </w:rPr>
        <w:footnoteReference w:id="15498"/>
      </w:r>
      <w:r w:rsidR="28689954">
        <w:rPr/>
        <w:t xml:space="preserve"> </w:t>
      </w:r>
      <w:r w:rsidR="4C9474D5">
        <w:rPr/>
        <w:t>The physical closeness humans crave during mourning was significantly restricted.</w:t>
      </w:r>
    </w:p>
    <w:p w:rsidR="710E4401" w:rsidP="03491401" w:rsidRDefault="710E4401" w14:paraId="1186E522" w14:textId="4ACB755D">
      <w:pPr>
        <w:pStyle w:val="Normal"/>
        <w:ind w:left="0"/>
      </w:pPr>
      <w:r w:rsidR="710E4401">
        <w:rPr/>
        <w:t xml:space="preserve">In the present day, our ceremonial practices, particularly surrounding death, are evolving alongside the rise of the internet. New ways of engaging with grief and commemorating the deceased have </w:t>
      </w:r>
      <w:r w:rsidR="710E4401">
        <w:rPr/>
        <w:t>emerged</w:t>
      </w:r>
      <w:r w:rsidR="710E4401">
        <w:rPr/>
        <w:t xml:space="preserve">, prompting some specialists to </w:t>
      </w:r>
      <w:r w:rsidR="710E4401">
        <w:rPr/>
        <w:t>speculate</w:t>
      </w:r>
      <w:r w:rsidR="710E4401">
        <w:rPr/>
        <w:t xml:space="preserve"> that traditional practices may eventually disappear altogether.</w:t>
      </w:r>
      <w:r w:rsidR="6CF52858">
        <w:rPr/>
        <w:t xml:space="preserve"> </w:t>
      </w:r>
      <w:r w:rsidRPr="03491401">
        <w:rPr>
          <w:rStyle w:val="FootnoteReference"/>
        </w:rPr>
        <w:footnoteReference w:id="29148"/>
      </w:r>
      <w:r w:rsidR="4D382A1E">
        <w:rPr/>
        <w:t xml:space="preserve"> </w:t>
      </w:r>
      <w:r w:rsidR="710E4401">
        <w:rPr/>
        <w:t>The internet has provided a common space for virtual memorials, such as online tombs, mourning webpages, and anniversary celebrations. These platforms offer a new form of interaction that redefines the relationship between the living and the dead.</w:t>
      </w:r>
      <w:r w:rsidR="6251763A">
        <w:rPr/>
        <w:t xml:space="preserve"> </w:t>
      </w:r>
      <w:r w:rsidRPr="03491401">
        <w:rPr>
          <w:rStyle w:val="FootnoteReference"/>
        </w:rPr>
        <w:footnoteReference w:id="3950"/>
      </w:r>
      <w:r w:rsidR="4222BBF8">
        <w:rPr/>
        <w:t xml:space="preserve"> </w:t>
      </w:r>
      <w:r w:rsidR="710E4401">
        <w:rPr/>
        <w:t>They allow for greater accessibility and permanence, enabling geographically dispersed loved ones to connect and share memories, and for memorials to exist beyond the physical limitations of cemeteries or gravestones.</w:t>
      </w:r>
      <w:r w:rsidR="02AD6D44">
        <w:rPr/>
        <w:t xml:space="preserve"> </w:t>
      </w:r>
      <w:r w:rsidR="710E4401">
        <w:rPr/>
        <w:t>However, it is important to consider the potential drawbacks of online rituals. The physical presence and shared experience of traditional ceremonies can be powerful, and the internet may not be able to fully replicate this.</w:t>
      </w:r>
      <w:r w:rsidR="6972A054">
        <w:rPr/>
        <w:t xml:space="preserve"> </w:t>
      </w:r>
      <w:r w:rsidRPr="03491401">
        <w:rPr>
          <w:rStyle w:val="FootnoteReference"/>
        </w:rPr>
        <w:footnoteReference w:id="15614"/>
      </w:r>
      <w:r w:rsidR="710E4401">
        <w:rPr/>
        <w:t xml:space="preserve"> Additionally, the long-term viability of online memorials depends on the platforms they are hosted on, raising questions about permanence in a constantly evolving digital landscape.</w:t>
      </w:r>
      <w:r w:rsidR="46970934">
        <w:rPr/>
        <w:t xml:space="preserve"> </w:t>
      </w:r>
      <w:r w:rsidR="4D380671">
        <w:rPr/>
        <w:t>Therefore</w:t>
      </w:r>
      <w:r w:rsidR="710E4401">
        <w:rPr/>
        <w:t>, the internet is undoubtedly changing the way we conduct ceremonies. While it offers new opportunities for connection and commemoration, it is likely that online practices will develop alongside, rather than replace, traditional rituals.</w:t>
      </w:r>
    </w:p>
    <w:p w:rsidR="6DDAED29" w:rsidP="03491401" w:rsidRDefault="6DDAED29" w14:paraId="2C0DC6BB" w14:textId="14167C76">
      <w:pPr>
        <w:pStyle w:val="Normal"/>
        <w:ind w:left="0"/>
      </w:pPr>
      <w:r w:rsidR="6DDAED29">
        <w:rPr/>
        <w:t>As</w:t>
      </w:r>
      <w:r w:rsidR="43CCBD11">
        <w:rPr/>
        <w:t xml:space="preserve"> we compare the differences between our own established views on death rituals and those of other cultures, it prompts us to consider whether we have strayed from the true meaning of death and the forms of mourning we express. </w:t>
      </w:r>
      <w:r w:rsidR="1B13DC36">
        <w:rPr/>
        <w:t xml:space="preserve">Through </w:t>
      </w:r>
      <w:r w:rsidR="43CCBD11">
        <w:rPr/>
        <w:t>examining death rituals through the lens of cultures with differing outlooks, we may gain valuable insights and potentially rediscover the significance death holds.</w:t>
      </w:r>
    </w:p>
    <w:p w:rsidR="12D5104A" w:rsidP="03491401" w:rsidRDefault="12D5104A" w14:paraId="32210270" w14:textId="65296F10">
      <w:pPr>
        <w:pStyle w:val="Normal"/>
        <w:ind w:left="0"/>
      </w:pPr>
      <w:r w:rsidR="12D5104A">
        <w:rPr/>
        <w:t>For example, t</w:t>
      </w:r>
      <w:r w:rsidR="6CE9B7E5">
        <w:rPr/>
        <w:t>he age-old Tibetan practice of</w:t>
      </w:r>
      <w:r w:rsidR="4205AD70">
        <w:rPr/>
        <w:t xml:space="preserve"> the</w:t>
      </w:r>
      <w:r w:rsidR="6CE9B7E5">
        <w:rPr/>
        <w:t xml:space="preserve"> sky burial involves placing the deceased's body on a high peak, where it is consumed by vultures and other </w:t>
      </w:r>
      <w:r w:rsidR="6CE9B7E5">
        <w:rPr/>
        <w:t>scavengers.</w:t>
      </w:r>
      <w:r w:rsidR="7B8094FE">
        <w:rPr/>
        <w:t xml:space="preserve"> </w:t>
      </w:r>
      <w:r w:rsidRPr="03491401">
        <w:rPr>
          <w:rStyle w:val="FootnoteReference"/>
        </w:rPr>
        <w:footnoteReference w:id="28519"/>
      </w:r>
      <w:r w:rsidR="6CE9B7E5">
        <w:rPr/>
        <w:t xml:space="preserve"> </w:t>
      </w:r>
      <w:r w:rsidR="6CE9B7E5">
        <w:rPr/>
        <w:t xml:space="preserve">While this tradition might seem macabre to outsiders, it serves </w:t>
      </w:r>
      <w:r w:rsidR="64A695C7">
        <w:rPr/>
        <w:t xml:space="preserve">as </w:t>
      </w:r>
      <w:r w:rsidR="6CE9B7E5">
        <w:rPr/>
        <w:t xml:space="preserve">a dual purpose: sustainability and symbolism. For followers of Tibetan Buddhism, the body is merely a </w:t>
      </w:r>
      <w:r w:rsidR="3E337F0D">
        <w:rPr/>
        <w:t>“</w:t>
      </w:r>
      <w:r w:rsidR="6CE9B7E5">
        <w:rPr/>
        <w:t>discarded shell</w:t>
      </w:r>
      <w:r w:rsidR="65E8F38B">
        <w:rPr/>
        <w:t>”</w:t>
      </w:r>
      <w:r w:rsidR="6CE9B7E5">
        <w:rPr/>
        <w:t>, as the soul has already embarked on its journey towards reincarnation.</w:t>
      </w:r>
      <w:r w:rsidRPr="03491401">
        <w:rPr>
          <w:rStyle w:val="FootnoteReference"/>
        </w:rPr>
        <w:footnoteReference w:id="21432"/>
      </w:r>
      <w:r w:rsidR="6EF710D5">
        <w:rPr/>
        <w:t xml:space="preserve"> </w:t>
      </w:r>
      <w:r w:rsidR="155E8FBA">
        <w:rPr/>
        <w:t>Furthermore</w:t>
      </w:r>
      <w:r w:rsidR="6CE9B7E5">
        <w:rPr/>
        <w:t xml:space="preserve">, complete consumption by the birds is considered a good omen, as Tibetan tradition suggests that even vultures, known for their indiscriminate appetite, </w:t>
      </w:r>
      <w:r w:rsidR="6CE9B7E5">
        <w:rPr/>
        <w:t>would</w:t>
      </w:r>
      <w:r w:rsidR="2983DEFA">
        <w:rPr/>
        <w:t xml:space="preserve"> not </w:t>
      </w:r>
      <w:r w:rsidR="6CE9B7E5">
        <w:rPr/>
        <w:t>touch the body of someone who</w:t>
      </w:r>
      <w:r w:rsidR="35E75BA2">
        <w:rPr/>
        <w:t xml:space="preserve"> has</w:t>
      </w:r>
      <w:r w:rsidR="6CE9B7E5">
        <w:rPr/>
        <w:t xml:space="preserve"> led a life of wickedness.</w:t>
      </w:r>
      <w:r w:rsidRPr="03491401">
        <w:rPr>
          <w:rStyle w:val="FootnoteReference"/>
        </w:rPr>
        <w:footnoteReference w:id="12928"/>
      </w:r>
      <w:r w:rsidR="5BA0D03D">
        <w:rPr/>
        <w:t xml:space="preserve"> </w:t>
      </w:r>
    </w:p>
    <w:p w:rsidR="10FED7E4" w:rsidP="03491401" w:rsidRDefault="10FED7E4" w14:paraId="2535F4E8" w14:textId="0CE49D59">
      <w:pPr>
        <w:pStyle w:val="Normal"/>
        <w:ind w:left="0"/>
      </w:pPr>
      <w:r w:rsidR="10FED7E4">
        <w:rPr/>
        <w:t xml:space="preserve">Another example of death rituals can be found in </w:t>
      </w:r>
      <w:r w:rsidR="10FED7E4">
        <w:rPr/>
        <w:t>Kaduwaga</w:t>
      </w:r>
      <w:r w:rsidR="10FED7E4">
        <w:rPr/>
        <w:t xml:space="preserve"> village, </w:t>
      </w:r>
      <w:r w:rsidR="10FED7E4">
        <w:rPr/>
        <w:t>located</w:t>
      </w:r>
      <w:r w:rsidR="10FED7E4">
        <w:rPr/>
        <w:t xml:space="preserve"> on Trobriand Island. The villagers cope with death by sharing food and </w:t>
      </w:r>
      <w:r w:rsidR="10FED7E4">
        <w:rPr/>
        <w:t>valuables.</w:t>
      </w:r>
      <w:r w:rsidR="79F4002D">
        <w:rPr/>
        <w:t xml:space="preserve"> </w:t>
      </w:r>
      <w:r w:rsidR="10FED7E4">
        <w:rPr/>
        <w:t>T</w:t>
      </w:r>
      <w:r w:rsidR="10FED7E4">
        <w:rPr/>
        <w:t>his</w:t>
      </w:r>
      <w:r w:rsidR="10FED7E4">
        <w:rPr/>
        <w:t xml:space="preserve"> act serves to </w:t>
      </w:r>
      <w:r w:rsidR="795D546A">
        <w:rPr/>
        <w:t>honor</w:t>
      </w:r>
      <w:r w:rsidR="10FED7E4">
        <w:rPr/>
        <w:t xml:space="preserve"> the deceased and strengthen social bonds within the community. According to Susan P. Montague, villagers have made broad statements about why foreigners lack these </w:t>
      </w:r>
      <w:r w:rsidR="10FED7E4">
        <w:rPr/>
        <w:t>customs</w:t>
      </w:r>
      <w:r w:rsidR="2A08F3EF">
        <w:rPr/>
        <w:t>.</w:t>
      </w:r>
      <w:r w:rsidR="3FD4A735">
        <w:rPr/>
        <w:t xml:space="preserve"> </w:t>
      </w:r>
      <w:r w:rsidRPr="03491401">
        <w:rPr>
          <w:rStyle w:val="FootnoteReference"/>
        </w:rPr>
        <w:footnoteReference w:id="29476"/>
      </w:r>
      <w:r w:rsidR="10FED7E4">
        <w:rPr/>
        <w:t xml:space="preserve"> They question our mortuary practices, particularly in relation to how they </w:t>
      </w:r>
      <w:r w:rsidR="10FED7E4">
        <w:rPr/>
        <w:t>demonstrate</w:t>
      </w:r>
      <w:r w:rsidR="10FED7E4">
        <w:rPr/>
        <w:t xml:space="preserve"> respect for the deceased. From the villagers' perspective, our </w:t>
      </w:r>
      <w:r w:rsidR="10FED7E4">
        <w:rPr/>
        <w:t>behavior</w:t>
      </w:r>
      <w:r w:rsidR="10FED7E4">
        <w:rPr/>
        <w:t xml:space="preserve"> appears selfish because we tend to eat for ourselves rather than sharing food with others. They see this as extending to neglecting the sharing of food even during occasions meant to </w:t>
      </w:r>
      <w:r w:rsidR="3B38F600">
        <w:rPr/>
        <w:t>honor</w:t>
      </w:r>
      <w:r w:rsidR="10FED7E4">
        <w:rPr/>
        <w:t xml:space="preserve"> deceased ancestors. This emphasis on sharing during funerals strengthens social ties and fosters a sense of community responsibility. We can further explore how these contrasting mortuary practices reflect </w:t>
      </w:r>
      <w:r w:rsidR="10FED7E4">
        <w:rPr/>
        <w:t>different cultural</w:t>
      </w:r>
      <w:r w:rsidR="10FED7E4">
        <w:rPr/>
        <w:t xml:space="preserve"> values. </w:t>
      </w:r>
      <w:r w:rsidRPr="03491401">
        <w:rPr>
          <w:rStyle w:val="FootnoteReference"/>
        </w:rPr>
        <w:footnoteReference w:id="2658"/>
      </w:r>
      <w:r w:rsidR="046438EA">
        <w:rPr/>
        <w:t xml:space="preserve"> </w:t>
      </w:r>
      <w:r w:rsidR="10FED7E4">
        <w:rPr/>
        <w:t>Perhaps for</w:t>
      </w:r>
      <w:r w:rsidR="10FED7E4">
        <w:rPr/>
        <w:t xml:space="preserve"> the </w:t>
      </w:r>
      <w:r w:rsidR="10FED7E4">
        <w:rPr/>
        <w:t>Kaduwaga</w:t>
      </w:r>
      <w:r w:rsidR="10FED7E4">
        <w:rPr/>
        <w:t xml:space="preserve"> villagers, sharing food signifies a communal bond that transcends the physical realm, extending to the deceased ancestors. In contrast, our culture might place a greater emphasis on individual mourning and remembrance.</w:t>
      </w:r>
    </w:p>
    <w:p w:rsidR="0D8FA0AC" w:rsidP="03491401" w:rsidRDefault="0D8FA0AC" w14:paraId="2CB685C9" w14:textId="44F612F2">
      <w:pPr>
        <w:pStyle w:val="Normal"/>
        <w:ind w:left="0"/>
      </w:pPr>
      <w:r w:rsidR="0D8FA0AC">
        <w:rPr/>
        <w:t xml:space="preserve">Both the </w:t>
      </w:r>
      <w:r w:rsidR="0D8FA0AC">
        <w:rPr/>
        <w:t>Kaduwaga</w:t>
      </w:r>
      <w:r w:rsidR="0D8FA0AC">
        <w:rPr/>
        <w:t xml:space="preserve"> and Tibetan cultures use rituals surrounding death to grapple with big questions about life, death, and our place in the world. This focus on rituals to mark significant life events is a universal human characteristic. They also show us the rich tapestry of human cultures. The differences in their practices highlight that </w:t>
      </w:r>
      <w:r w:rsidR="0D8FA0AC">
        <w:rPr/>
        <w:t>there's</w:t>
      </w:r>
      <w:r w:rsidR="0D8FA0AC">
        <w:rPr/>
        <w:t xml:space="preserve"> no single way to be human. We can learn and grow by understanding these variations. </w:t>
      </w:r>
      <w:r w:rsidR="0D8FA0AC">
        <w:rPr/>
        <w:t xml:space="preserve">Their traditions around death help people process loss and find meaning in the face of mortality. This is a challenge faced by all cultures and a core part of </w:t>
      </w:r>
      <w:r w:rsidR="67BACE98">
        <w:rPr/>
        <w:t>human</w:t>
      </w:r>
      <w:r w:rsidR="0D8FA0AC">
        <w:rPr/>
        <w:t xml:space="preserve"> experience.</w:t>
      </w:r>
      <w:r w:rsidR="3F7C7D87">
        <w:rPr/>
        <w:t xml:space="preserve"> </w:t>
      </w:r>
      <w:r w:rsidR="0D8FA0AC">
        <w:rPr/>
        <w:t xml:space="preserve">By looking at these cultures, we can see that being human is about being part of something larger than ourselves, grappling with </w:t>
      </w:r>
      <w:r w:rsidR="0D8FA0AC">
        <w:rPr/>
        <w:t>difficult questions</w:t>
      </w:r>
      <w:r w:rsidR="0D8FA0AC">
        <w:rPr/>
        <w:t xml:space="preserve">, and finding ways to create meaning in our lives. </w:t>
      </w:r>
      <w:r w:rsidR="0D8FA0AC">
        <w:rPr/>
        <w:t>It's</w:t>
      </w:r>
      <w:r w:rsidR="0D8FA0AC">
        <w:rPr/>
        <w:t xml:space="preserve"> about both honoring our individuality and recognizing our interdependence.</w:t>
      </w:r>
    </w:p>
    <w:p w:rsidR="2281B4A8" w:rsidP="03491401" w:rsidRDefault="2281B4A8" w14:paraId="221DFD3E" w14:textId="332213BE">
      <w:pPr>
        <w:pStyle w:val="Normal"/>
        <w:ind w:left="0"/>
      </w:pPr>
      <w:r w:rsidR="2281B4A8">
        <w:rPr/>
        <w:t xml:space="preserve">The origins of food are shrouded in mystery, leaving us with an incomplete picture of how and where we </w:t>
      </w:r>
      <w:r w:rsidR="2281B4A8">
        <w:rPr/>
        <w:t>acquired</w:t>
      </w:r>
      <w:r w:rsidR="2281B4A8">
        <w:rPr/>
        <w:t xml:space="preserve"> the knowledge to </w:t>
      </w:r>
      <w:r w:rsidR="2281B4A8">
        <w:rPr/>
        <w:t>procure</w:t>
      </w:r>
      <w:r w:rsidR="2281B4A8">
        <w:rPr/>
        <w:t xml:space="preserve"> and produce it. </w:t>
      </w:r>
      <w:r w:rsidRPr="03491401">
        <w:rPr>
          <w:rStyle w:val="FootnoteReference"/>
        </w:rPr>
        <w:footnoteReference w:id="13201"/>
      </w:r>
      <w:r w:rsidR="2281B4A8">
        <w:rPr/>
        <w:t xml:space="preserve"> For millennia, animals on this planet have played a vital role in our survival, driving the need to hunt and scavenge. </w:t>
      </w:r>
      <w:r w:rsidR="1418FC93">
        <w:rPr/>
        <w:t>With this, f</w:t>
      </w:r>
      <w:r w:rsidR="2281B4A8">
        <w:rPr/>
        <w:t xml:space="preserve">ood is more than just sustenance; </w:t>
      </w:r>
      <w:r w:rsidR="2281B4A8">
        <w:rPr/>
        <w:t>it</w:t>
      </w:r>
      <w:r w:rsidR="62E41DBD">
        <w:rPr/>
        <w:t xml:space="preserve"> i</w:t>
      </w:r>
      <w:r w:rsidR="2281B4A8">
        <w:rPr/>
        <w:t>s</w:t>
      </w:r>
      <w:r w:rsidR="2281B4A8">
        <w:rPr/>
        <w:t xml:space="preserve"> a gift from the elements, locked in a continuous cycle of exchange with the universe. This is why, in most cultures, food is considered a sacred ritual. </w:t>
      </w:r>
      <w:r w:rsidRPr="03491401">
        <w:rPr>
          <w:rStyle w:val="FootnoteReference"/>
        </w:rPr>
        <w:footnoteReference w:id="27103"/>
      </w:r>
      <w:r w:rsidR="7FD19E57">
        <w:rPr/>
        <w:t xml:space="preserve"> </w:t>
      </w:r>
      <w:r w:rsidR="04761B6F">
        <w:rPr/>
        <w:t xml:space="preserve">In our own culture, food is already woven into the fabric of our </w:t>
      </w:r>
      <w:r w:rsidR="2BBC7E56">
        <w:rPr/>
        <w:t xml:space="preserve">own </w:t>
      </w:r>
      <w:r w:rsidR="04761B6F">
        <w:rPr/>
        <w:t xml:space="preserve">social rituals. From harvest festivals and celebratory feasts to the simple act of sharing a meal with loved ones, food brings people together. Consider the American </w:t>
      </w:r>
      <w:r w:rsidR="04761B6F">
        <w:rPr/>
        <w:t xml:space="preserve">Thanksgiving tradition, a time dedicated to expressing gratitude for the bounty of the harvest. Similarly, Christmas feasts are steeped in tradition, fostering a sense of community and </w:t>
      </w:r>
      <w:r w:rsidR="04761B6F">
        <w:rPr/>
        <w:t>togetherness.</w:t>
      </w:r>
      <w:r w:rsidR="139C3D3C">
        <w:rPr/>
        <w:t xml:space="preserve"> </w:t>
      </w:r>
      <w:r w:rsidRPr="03491401">
        <w:rPr>
          <w:rStyle w:val="FootnoteReference"/>
        </w:rPr>
        <w:footnoteReference w:id="30383"/>
      </w:r>
      <w:r w:rsidR="04761B6F">
        <w:rPr/>
        <w:t xml:space="preserve"> These examples highlight how food transcends mere sustenance; it serves as a powerful tool to connect, celebrate, and express appreciation for what we have.</w:t>
      </w:r>
    </w:p>
    <w:p w:rsidR="6602F856" w:rsidP="03491401" w:rsidRDefault="6602F856" w14:paraId="07F786BA" w14:textId="477A0FAF">
      <w:pPr>
        <w:pStyle w:val="Normal"/>
        <w:ind w:left="0"/>
      </w:pPr>
      <w:r w:rsidR="6602F856">
        <w:rPr/>
        <w:t xml:space="preserve">In contrast to other societies and cultures where food holds a straightforward meaning, Hindu culture imbues eating with a complex and subversive quality. Food itself is meticulously classified according to a set of codes. From an anthropological perspective, these practices can be seen as a form of conventional wisdom, shaping societal beliefs and behaviors. </w:t>
      </w:r>
      <w:r w:rsidRPr="03491401">
        <w:rPr>
          <w:rStyle w:val="FootnoteReference"/>
        </w:rPr>
        <w:footnoteReference w:id="12638"/>
      </w:r>
      <w:r w:rsidR="6602F856">
        <w:rPr/>
        <w:t xml:space="preserve"> One example of this intricate relationship with food can be found in north Indian mortuary rites. Here, eating takes on a symbolic role that extends beyond simple sustenance. It is believed that the mourners not only consume food on behalf of the deceased but also, in a sense, partake in consuming aspects of the deceased themself. This act of digestion is seen as a transformative process, separating the </w:t>
      </w:r>
      <w:r w:rsidR="34E53F05">
        <w:rPr/>
        <w:t>wholesome</w:t>
      </w:r>
      <w:r w:rsidR="6602F856">
        <w:rPr/>
        <w:t xml:space="preserve"> elements of </w:t>
      </w:r>
      <w:bookmarkStart w:name="_Int_fyV2ZHFZ" w:id="391825746"/>
      <w:r w:rsidR="6D238DD2">
        <w:rPr/>
        <w:t>the ”</w:t>
      </w:r>
      <w:bookmarkEnd w:id="391825746"/>
      <w:r w:rsidR="6D238DD2">
        <w:rPr/>
        <w:t>...</w:t>
      </w:r>
      <w:r w:rsidR="6602F856">
        <w:rPr/>
        <w:t>food from the waste products</w:t>
      </w:r>
      <w:r w:rsidR="08C49A08">
        <w:rPr/>
        <w:t>”</w:t>
      </w:r>
      <w:r w:rsidR="6602F856">
        <w:rPr/>
        <w:t>.</w:t>
      </w:r>
      <w:r w:rsidR="6602F856">
        <w:rPr/>
        <w:t xml:space="preserve"> </w:t>
      </w:r>
      <w:r w:rsidRPr="03491401">
        <w:rPr>
          <w:rStyle w:val="FootnoteReference"/>
        </w:rPr>
        <w:footnoteReference w:id="10502"/>
      </w:r>
      <w:r w:rsidR="23BE5996">
        <w:rPr/>
        <w:t xml:space="preserve"> </w:t>
      </w:r>
      <w:r w:rsidR="6602F856">
        <w:rPr/>
        <w:t xml:space="preserve">This metaphor is then employed across various cultural contexts. The argument goes that through this symbolic digestion, the deceased's </w:t>
      </w:r>
      <w:r w:rsidR="738A2436">
        <w:rPr/>
        <w:t>corrupted</w:t>
      </w:r>
      <w:r w:rsidR="6602F856">
        <w:rPr/>
        <w:t xml:space="preserve"> sins are e</w:t>
      </w:r>
      <w:r w:rsidR="5A9361A6">
        <w:rPr/>
        <w:t>rased</w:t>
      </w:r>
      <w:r w:rsidR="6602F856">
        <w:rPr/>
        <w:t>. Meanwhile, their pure essence is distilled and transmitted to the other world. This process mirrors the way the corpse itself is transformed: first</w:t>
      </w:r>
      <w:r w:rsidR="322F0968">
        <w:rPr/>
        <w:t>,” ...</w:t>
      </w:r>
      <w:r w:rsidR="6602F856">
        <w:rPr/>
        <w:t>by the fire of cremation</w:t>
      </w:r>
      <w:r w:rsidR="38C638F3">
        <w:rPr/>
        <w:t>... “</w:t>
      </w:r>
      <w:r w:rsidR="2BF64E17">
        <w:rPr/>
        <w:t>and</w:t>
      </w:r>
      <w:r w:rsidR="6602F856">
        <w:rPr/>
        <w:t xml:space="preserve"> then through </w:t>
      </w:r>
      <w:r w:rsidR="6A6D5835">
        <w:rPr/>
        <w:t>...” offerings</w:t>
      </w:r>
      <w:r w:rsidR="6602F856">
        <w:rPr/>
        <w:t xml:space="preserve"> to the gods via the sacrificial </w:t>
      </w:r>
      <w:r w:rsidR="6602F856">
        <w:rPr/>
        <w:t>fire.</w:t>
      </w:r>
      <w:r w:rsidR="12D01DE6">
        <w:rPr/>
        <w:t>”</w:t>
      </w:r>
      <w:r w:rsidR="50962EDE">
        <w:rPr/>
        <w:t xml:space="preserve"> </w:t>
      </w:r>
      <w:r w:rsidRPr="03491401">
        <w:rPr>
          <w:rStyle w:val="FootnoteReference"/>
        </w:rPr>
        <w:footnoteReference w:id="30918"/>
      </w:r>
    </w:p>
    <w:p w:rsidR="4EFF86AE" w:rsidP="03491401" w:rsidRDefault="4EFF86AE" w14:paraId="585B3476" w14:textId="5479A822">
      <w:pPr>
        <w:pStyle w:val="Normal"/>
        <w:ind w:left="0"/>
      </w:pPr>
      <w:r w:rsidR="4EFF86AE">
        <w:rPr/>
        <w:t xml:space="preserve">In Western culture, food </w:t>
      </w:r>
      <w:r w:rsidR="4EFF86AE">
        <w:rPr/>
        <w:t>generally holds</w:t>
      </w:r>
      <w:r w:rsidR="4EFF86AE">
        <w:rPr/>
        <w:t xml:space="preserve"> a simpler meaning. It is seen as fuel for the body, a source of enjoyment, and a social activity that brings people together. In death rituals, food </w:t>
      </w:r>
      <w:r w:rsidR="4EFF86AE">
        <w:rPr/>
        <w:t>doesn't</w:t>
      </w:r>
      <w:r w:rsidR="4EFF86AE">
        <w:rPr/>
        <w:t xml:space="preserve"> hold a particular symbolic meaning beyond fostering social connection. People might choose a wider variety based on taste, convenience, or health considerations. However, food plays a powerful symbolic role in various cultures around the world. For instance, in North Indian mortuary rites, food offerings serve </w:t>
      </w:r>
      <w:r w:rsidR="4EFF86AE">
        <w:rPr/>
        <w:t>as a way to</w:t>
      </w:r>
      <w:r w:rsidR="4EFF86AE">
        <w:rPr/>
        <w:t xml:space="preserve"> connect with the deceased and ease their journey into the afterlife. This practice highlights a key difference between Western and Hindu cultures. Western cultures often emphasize individual preferences, </w:t>
      </w:r>
      <w:r w:rsidR="4EFF86AE">
        <w:rPr/>
        <w:t>whereas</w:t>
      </w:r>
      <w:r w:rsidR="4EFF86AE">
        <w:rPr/>
        <w:t xml:space="preserve"> Hindu culture places a stronger emphasis on collective practices and adhering to </w:t>
      </w:r>
      <w:r w:rsidR="4EFF86AE">
        <w:rPr/>
        <w:t>established</w:t>
      </w:r>
      <w:r w:rsidR="4EFF86AE">
        <w:rPr/>
        <w:t xml:space="preserve"> social norms surrounding food. </w:t>
      </w:r>
      <w:r w:rsidR="4EFF86AE">
        <w:rPr/>
        <w:t>In essence, Western</w:t>
      </w:r>
      <w:r w:rsidR="4EFF86AE">
        <w:rPr/>
        <w:t xml:space="preserve"> cultures tend to have a more casual and individualistic approach to food, while Hindu culture views it as a complex system imbued with religious and symbolic significance.</w:t>
      </w:r>
    </w:p>
    <w:p w:rsidR="66E93060" w:rsidP="03491401" w:rsidRDefault="66E93060" w14:paraId="7C7C2D93" w14:textId="45009C5B">
      <w:pPr>
        <w:pStyle w:val="Normal"/>
        <w:ind w:left="0"/>
      </w:pPr>
      <w:r w:rsidR="66E93060">
        <w:rPr/>
        <w:t xml:space="preserve">Humanity confronts death with a kaleidoscope of emotions, traditions, and beliefs. Religious rituals, passed down through generations, offer solace, structure, and a sense of purpose in the face of loss. Studied by anthropologists, these rituals reveal the intricate interplay between family, food, and the expression of grief across cultures. Families serve as a cornerstone in death rituals. They provide emotional support, uphold traditions, and ensure the deceased is honored with dignity. Food, often imbued with symbolism, becomes a powerful tool for both mourning and celebration. Shared meals nourish not just the body, but also the spirit of community, fostering connection during a time of vulnerability. Anthropology sheds light on this rich tapestry. By studying diverse cultures, we see how different practices address the same universal human experiences. From the elaborate funeral ceremonies in one society to the quiet vigil in another, each ritual grapples with mortality and the mysteries beyond. In conclusion, death rituals are not merely cultural oddities; they are windows into the human soul. By understanding these rituals, </w:t>
      </w:r>
      <w:r w:rsidR="66E93060">
        <w:rPr/>
        <w:t>facilitated</w:t>
      </w:r>
      <w:r w:rsidR="66E93060">
        <w:rPr/>
        <w:t xml:space="preserve"> by anthropological research, we gain a deeper appreciation for the diversity and universality of human experience. We </w:t>
      </w:r>
      <w:r w:rsidR="66E93060">
        <w:rPr/>
        <w:t>witness</w:t>
      </w:r>
      <w:r w:rsidR="66E93060">
        <w:rPr/>
        <w:t xml:space="preserve"> the unwavering strength of family bonds, the symbolic language of food, and the enduring search for meaning amidst loss. </w:t>
      </w:r>
      <w:r w:rsidR="66E93060">
        <w:rPr/>
        <w:t>Ultimately, the</w:t>
      </w:r>
      <w:r w:rsidR="66E93060">
        <w:rPr/>
        <w:t xml:space="preserve"> study of death rituals allows us to connect with the shared human story, reminding us that even in grief, we are not alone.</w:t>
      </w:r>
    </w:p>
    <w:p w:rsidR="03491401" w:rsidP="03491401" w:rsidRDefault="03491401" w14:paraId="74BC0DCF" w14:textId="76C33D3C">
      <w:pPr>
        <w:pStyle w:val="Normal"/>
        <w:ind w:left="0"/>
      </w:pPr>
    </w:p>
    <w:p w:rsidR="03491401" w:rsidP="03491401" w:rsidRDefault="03491401" w14:paraId="4C20B309" w14:textId="48C92FC3">
      <w:pPr>
        <w:pStyle w:val="Normal"/>
        <w:ind w:left="0"/>
      </w:pPr>
    </w:p>
    <w:p w:rsidR="57C81D7B" w:rsidP="57C81D7B" w:rsidRDefault="57C81D7B" w14:paraId="6721B505" w14:textId="228E21D6">
      <w:pPr>
        <w:pStyle w:val="Normal"/>
        <w:ind w:left="0"/>
      </w:pPr>
      <w:r w:rsidR="7E94E9FD">
        <w:rPr/>
        <w:t>Reference</w:t>
      </w:r>
      <w:r w:rsidR="6390CF9C">
        <w:rPr/>
        <w:t xml:space="preserve"> L</w:t>
      </w:r>
      <w:r w:rsidR="3B0638FD">
        <w:rPr/>
        <w:t>ist</w:t>
      </w:r>
      <w:r w:rsidR="66F4BADB">
        <w:rPr/>
        <w:t>:</w:t>
      </w:r>
    </w:p>
    <w:p w:rsidR="3B0638FD" w:rsidP="57C81D7B" w:rsidRDefault="3B0638FD" w14:paraId="6D6C41AB" w14:textId="6B902F56">
      <w:pPr>
        <w:pStyle w:val="Normal"/>
        <w:ind w:left="0"/>
      </w:pPr>
      <w:r w:rsidR="3B0638FD">
        <w:rPr/>
        <w:t>Boute</w:t>
      </w:r>
      <w:r w:rsidR="3B0638FD">
        <w:rPr/>
        <w:t xml:space="preserve">, Bruno, and Thomas </w:t>
      </w:r>
      <w:r w:rsidR="3B0638FD">
        <w:rPr/>
        <w:t>Småberg</w:t>
      </w:r>
      <w:r w:rsidR="3B0638FD">
        <w:rPr/>
        <w:t xml:space="preserve">, </w:t>
      </w:r>
      <w:r w:rsidRPr="03491401" w:rsidR="3B0638FD">
        <w:rPr>
          <w:i w:val="1"/>
          <w:iCs w:val="1"/>
        </w:rPr>
        <w:t>Devising Order Socio-Religious Models, Rituals, and the Performativity of Practice</w:t>
      </w:r>
      <w:r w:rsidR="3B0638FD">
        <w:rPr/>
        <w:t xml:space="preserve"> (Leiden: Brill, 2013)</w:t>
      </w:r>
    </w:p>
    <w:p w:rsidR="7F01A173" w:rsidP="03491401" w:rsidRDefault="7F01A173" w14:paraId="394CB322" w14:textId="423EBE84">
      <w:pPr>
        <w:pStyle w:val="Normal"/>
        <w:ind w:left="0"/>
      </w:pPr>
      <w:r w:rsidR="7F01A173">
        <w:rPr/>
        <w:t>Brown, Donald E, ‘Human Universals</w:t>
      </w:r>
      <w:r w:rsidR="7F01A173">
        <w:rPr/>
        <w:t>’,</w:t>
      </w:r>
      <w:r w:rsidRPr="03491401" w:rsidR="7F01A173">
        <w:rPr>
          <w:i w:val="1"/>
          <w:iCs w:val="1"/>
        </w:rPr>
        <w:t xml:space="preserve"> Daedalus</w:t>
      </w:r>
      <w:r w:rsidRPr="03491401" w:rsidR="39440CD5">
        <w:rPr>
          <w:i w:val="1"/>
          <w:iCs w:val="1"/>
        </w:rPr>
        <w:t xml:space="preserve">, </w:t>
      </w:r>
      <w:r w:rsidR="7F01A173">
        <w:rPr/>
        <w:t>133.4 (2004), 47–54</w:t>
      </w:r>
    </w:p>
    <w:p w:rsidR="7F01A173" w:rsidP="03491401" w:rsidRDefault="7F01A173" w14:paraId="42B87714" w14:textId="378B80DE">
      <w:pPr>
        <w:pStyle w:val="Normal"/>
        <w:ind w:left="0"/>
      </w:pPr>
      <w:r w:rsidR="7F01A173">
        <w:rPr/>
        <w:t xml:space="preserve">Damon, Frederick H, and Roy Wagner, </w:t>
      </w:r>
      <w:r w:rsidRPr="03491401" w:rsidR="7F01A173">
        <w:rPr>
          <w:i w:val="1"/>
          <w:iCs w:val="1"/>
        </w:rPr>
        <w:t>Death Rituals and Life in the Societies of the Kula Ring</w:t>
      </w:r>
      <w:r w:rsidR="7F01A173">
        <w:rPr/>
        <w:t xml:space="preserve"> (DeKalb: Northern Illinois University Press, 1989)</w:t>
      </w:r>
    </w:p>
    <w:p w:rsidR="7F01A173" w:rsidP="03491401" w:rsidRDefault="7F01A173" w14:paraId="64309B2A" w14:textId="05BCBECB">
      <w:pPr>
        <w:pStyle w:val="Normal"/>
        <w:ind w:left="0"/>
        <w:rPr>
          <w:rFonts w:ascii="Aptos" w:hAnsi="Aptos" w:eastAsia="Aptos" w:cs="Aptos"/>
          <w:noProof w:val="0"/>
          <w:sz w:val="24"/>
          <w:szCs w:val="24"/>
          <w:lang w:val="en-US"/>
        </w:rPr>
      </w:pPr>
      <w:r w:rsidRPr="03491401" w:rsidR="7F01A173">
        <w:rPr>
          <w:rFonts w:ascii="Aptos" w:hAnsi="Aptos" w:eastAsia="Aptos" w:cs="Aptos"/>
          <w:noProof w:val="0"/>
          <w:sz w:val="24"/>
          <w:szCs w:val="24"/>
          <w:lang w:val="en-US"/>
        </w:rPr>
        <w:t>Dapschauskas</w:t>
      </w:r>
      <w:r w:rsidRPr="03491401" w:rsidR="7F01A173">
        <w:rPr>
          <w:rFonts w:ascii="Aptos" w:hAnsi="Aptos" w:eastAsia="Aptos" w:cs="Aptos"/>
          <w:noProof w:val="0"/>
          <w:sz w:val="24"/>
          <w:szCs w:val="24"/>
          <w:lang w:val="en-US"/>
        </w:rPr>
        <w:t xml:space="preserve">, Rimtautas, </w:t>
      </w:r>
      <w:r w:rsidRPr="03491401" w:rsidR="066901AC">
        <w:rPr>
          <w:rFonts w:ascii="Aptos" w:hAnsi="Aptos" w:eastAsia="Aptos" w:cs="Aptos"/>
          <w:noProof w:val="0"/>
          <w:sz w:val="24"/>
          <w:szCs w:val="24"/>
          <w:lang w:val="en-US"/>
        </w:rPr>
        <w:t>et al</w:t>
      </w:r>
      <w:r w:rsidRPr="03491401" w:rsidR="7F01A173">
        <w:rPr>
          <w:rFonts w:ascii="Aptos" w:hAnsi="Aptos" w:eastAsia="Aptos" w:cs="Aptos"/>
          <w:noProof w:val="0"/>
          <w:sz w:val="24"/>
          <w:szCs w:val="24"/>
          <w:lang w:val="en-US"/>
        </w:rPr>
        <w:t>, ‘The Emergence of Habitual Ochre Use in Africa and Its Significance for The Development of Ritual Behavior Duri</w:t>
      </w:r>
      <w:r w:rsidRPr="03491401" w:rsidR="7F01A173">
        <w:rPr>
          <w:rFonts w:ascii="Aptos" w:hAnsi="Aptos" w:eastAsia="Aptos" w:cs="Aptos"/>
          <w:noProof w:val="0"/>
          <w:sz w:val="24"/>
          <w:szCs w:val="24"/>
          <w:lang w:val="en-US"/>
        </w:rPr>
        <w:t>n</w:t>
      </w:r>
      <w:r w:rsidRPr="03491401" w:rsidR="7F01A173">
        <w:rPr>
          <w:rFonts w:ascii="Aptos" w:hAnsi="Aptos" w:eastAsia="Aptos" w:cs="Aptos"/>
          <w:noProof w:val="0"/>
          <w:sz w:val="24"/>
          <w:szCs w:val="24"/>
          <w:lang w:val="en-US"/>
        </w:rPr>
        <w:t xml:space="preserve">g </w:t>
      </w:r>
      <w:bookmarkStart w:name="_Int_uN5djy7m" w:id="304825208"/>
      <w:r w:rsidRPr="03491401" w:rsidR="7F01A173">
        <w:rPr>
          <w:rFonts w:ascii="Aptos" w:hAnsi="Aptos" w:eastAsia="Aptos" w:cs="Aptos"/>
          <w:noProof w:val="0"/>
          <w:sz w:val="24"/>
          <w:szCs w:val="24"/>
          <w:lang w:val="en-US"/>
        </w:rPr>
        <w:t>T</w:t>
      </w:r>
      <w:r w:rsidRPr="03491401" w:rsidR="7F01A173">
        <w:rPr>
          <w:rFonts w:ascii="Aptos" w:hAnsi="Aptos" w:eastAsia="Aptos" w:cs="Aptos"/>
          <w:noProof w:val="0"/>
          <w:sz w:val="24"/>
          <w:szCs w:val="24"/>
          <w:lang w:val="en-US"/>
        </w:rPr>
        <w:t>he</w:t>
      </w:r>
      <w:bookmarkEnd w:id="304825208"/>
      <w:r w:rsidRPr="03491401" w:rsidR="7F01A173">
        <w:rPr>
          <w:rFonts w:ascii="Aptos" w:hAnsi="Aptos" w:eastAsia="Aptos" w:cs="Aptos"/>
          <w:noProof w:val="0"/>
          <w:sz w:val="24"/>
          <w:szCs w:val="24"/>
          <w:lang w:val="en-US"/>
        </w:rPr>
        <w:t xml:space="preserve"> Middle Stone </w:t>
      </w:r>
      <w:r w:rsidRPr="03491401" w:rsidR="7F01A173">
        <w:rPr>
          <w:rFonts w:ascii="Aptos" w:hAnsi="Aptos" w:eastAsia="Aptos" w:cs="Aptos"/>
          <w:noProof w:val="0"/>
          <w:sz w:val="24"/>
          <w:szCs w:val="24"/>
          <w:lang w:val="en-US"/>
        </w:rPr>
        <w:t>A</w:t>
      </w:r>
      <w:r w:rsidRPr="03491401" w:rsidR="7F01A173">
        <w:rPr>
          <w:rFonts w:ascii="Aptos" w:hAnsi="Aptos" w:eastAsia="Aptos" w:cs="Aptos"/>
          <w:noProof w:val="0"/>
          <w:sz w:val="24"/>
          <w:szCs w:val="24"/>
          <w:lang w:val="en-US"/>
        </w:rPr>
        <w:t>g</w:t>
      </w:r>
      <w:r w:rsidRPr="03491401" w:rsidR="7F01A173">
        <w:rPr>
          <w:rFonts w:ascii="Aptos" w:hAnsi="Aptos" w:eastAsia="Aptos" w:cs="Aptos"/>
          <w:noProof w:val="0"/>
          <w:sz w:val="24"/>
          <w:szCs w:val="24"/>
          <w:lang w:val="en-US"/>
        </w:rPr>
        <w:t>e</w:t>
      </w:r>
      <w:r w:rsidRPr="03491401" w:rsidR="7F01A173">
        <w:rPr>
          <w:rFonts w:ascii="Aptos" w:hAnsi="Aptos" w:eastAsia="Aptos" w:cs="Aptos"/>
          <w:noProof w:val="0"/>
          <w:sz w:val="24"/>
          <w:szCs w:val="24"/>
          <w:lang w:val="en-US"/>
        </w:rPr>
        <w:t>’,</w:t>
      </w:r>
      <w:r w:rsidRPr="03491401" w:rsidR="7F01A173">
        <w:rPr>
          <w:rFonts w:ascii="Aptos" w:hAnsi="Aptos" w:eastAsia="Aptos" w:cs="Aptos"/>
          <w:noProof w:val="0"/>
          <w:sz w:val="24"/>
          <w:szCs w:val="24"/>
          <w:lang w:val="en-US"/>
        </w:rPr>
        <w:t xml:space="preserve"> </w:t>
      </w:r>
      <w:r w:rsidRPr="03491401" w:rsidR="7F01A173">
        <w:rPr>
          <w:rFonts w:ascii="Aptos" w:hAnsi="Aptos" w:eastAsia="Aptos" w:cs="Aptos"/>
          <w:i w:val="1"/>
          <w:iCs w:val="1"/>
          <w:noProof w:val="0"/>
          <w:sz w:val="24"/>
          <w:szCs w:val="24"/>
          <w:lang w:val="en-US"/>
        </w:rPr>
        <w:t>Journal of World Prehistory</w:t>
      </w:r>
      <w:r w:rsidRPr="03491401" w:rsidR="7F01A173">
        <w:rPr>
          <w:rFonts w:ascii="Aptos" w:hAnsi="Aptos" w:eastAsia="Aptos" w:cs="Aptos"/>
          <w:noProof w:val="0"/>
          <w:sz w:val="24"/>
          <w:szCs w:val="24"/>
          <w:lang w:val="en-US"/>
        </w:rPr>
        <w:t>, 35.3–4 (2022), 233–319 &lt;</w:t>
      </w:r>
      <w:r w:rsidRPr="03491401" w:rsidR="4772C624">
        <w:rPr>
          <w:rFonts w:ascii="Aptos" w:hAnsi="Aptos" w:eastAsia="Aptos" w:cs="Aptos"/>
          <w:noProof w:val="0"/>
          <w:sz w:val="24"/>
          <w:szCs w:val="24"/>
          <w:lang w:val="en-US"/>
        </w:rPr>
        <w:t xml:space="preserve">DOI: </w:t>
      </w:r>
      <w:r w:rsidRPr="03491401" w:rsidR="7F01A173">
        <w:rPr>
          <w:rFonts w:ascii="Aptos" w:hAnsi="Aptos" w:eastAsia="Aptos" w:cs="Aptos"/>
          <w:noProof w:val="0"/>
          <w:sz w:val="24"/>
          <w:szCs w:val="24"/>
          <w:lang w:val="en-US"/>
        </w:rPr>
        <w:t>10.1007/s10963-022-09170-2&gt;</w:t>
      </w:r>
      <w:r w:rsidR="7F01A173">
        <w:rPr/>
        <w:t xml:space="preserve"> </w:t>
      </w:r>
    </w:p>
    <w:p w:rsidR="7F01A173" w:rsidP="03491401" w:rsidRDefault="7F01A173" w14:paraId="0D75D784" w14:textId="17D4BD23">
      <w:pPr>
        <w:pStyle w:val="Normal"/>
        <w:ind w:left="0"/>
      </w:pPr>
      <w:r w:rsidR="7F01A173">
        <w:rPr/>
        <w:t>Dilmaç</w:t>
      </w:r>
      <w:r w:rsidR="7F01A173">
        <w:rPr/>
        <w:t>, Julie Alev, ‘The New Forms of Mourning: Loss and Exhibition of the Death on the Internet</w:t>
      </w:r>
      <w:r w:rsidR="7F01A173">
        <w:rPr/>
        <w:t>’,</w:t>
      </w:r>
      <w:r w:rsidR="7F01A173">
        <w:rPr/>
        <w:t xml:space="preserve"> </w:t>
      </w:r>
      <w:r w:rsidRPr="03491401" w:rsidR="7F01A173">
        <w:rPr>
          <w:i w:val="1"/>
          <w:iCs w:val="1"/>
        </w:rPr>
        <w:t>Omega: Journal of Death and Dying</w:t>
      </w:r>
      <w:r w:rsidR="7F01A173">
        <w:rPr/>
        <w:t>, 77.3 (2018), 280–95 &lt;</w:t>
      </w:r>
      <w:r w:rsidR="65BB7444">
        <w:rPr/>
        <w:t xml:space="preserve">DOI: </w:t>
      </w:r>
      <w:r w:rsidR="7F01A173">
        <w:rPr/>
        <w:t xml:space="preserve">10.1177/0030222816633240&gt; </w:t>
      </w:r>
    </w:p>
    <w:p w:rsidR="7F01A173" w:rsidP="03491401" w:rsidRDefault="7F01A173" w14:paraId="15B2491A" w14:textId="0986B44A">
      <w:pPr>
        <w:pStyle w:val="Normal"/>
        <w:ind w:left="0"/>
      </w:pPr>
      <w:r w:rsidRPr="03491401" w:rsidR="7F01A173">
        <w:rPr>
          <w:i w:val="1"/>
          <w:iCs w:val="1"/>
        </w:rPr>
        <w:t xml:space="preserve">Death Studies. </w:t>
      </w:r>
      <w:r w:rsidR="7F01A173">
        <w:rPr/>
        <w:t>(Washington, DC: Taylor &amp; Francis, 1985)</w:t>
      </w:r>
      <w:r w:rsidR="7F01A173">
        <w:rPr/>
        <w:t xml:space="preserve"> </w:t>
      </w:r>
    </w:p>
    <w:p w:rsidR="7F01A173" w:rsidP="03491401" w:rsidRDefault="7F01A173" w14:paraId="26105629" w14:textId="45D90E5E">
      <w:pPr>
        <w:pStyle w:val="Normal"/>
        <w:ind w:left="0"/>
      </w:pPr>
      <w:r w:rsidR="7F01A173">
        <w:rPr/>
        <w:t xml:space="preserve">Lu, Xin, </w:t>
      </w:r>
      <w:r w:rsidR="09F5A71C">
        <w:rPr/>
        <w:t>et al</w:t>
      </w:r>
      <w:r w:rsidR="7F01A173">
        <w:rPr/>
        <w:t xml:space="preserve">, ‘Status, Ecology, and Conservation of the Himalayan Griffon Gyps </w:t>
      </w:r>
      <w:r w:rsidR="7F01A173">
        <w:rPr/>
        <w:t>Himalayensis</w:t>
      </w:r>
      <w:r w:rsidR="7F01A173">
        <w:rPr/>
        <w:t xml:space="preserve"> (Aves, Accipitridae) in the Tibetan Plateau</w:t>
      </w:r>
      <w:r w:rsidR="7F01A173">
        <w:rPr/>
        <w:t>’,</w:t>
      </w:r>
      <w:r w:rsidRPr="03491401" w:rsidR="7F01A173">
        <w:rPr>
          <w:i w:val="1"/>
          <w:iCs w:val="1"/>
        </w:rPr>
        <w:t xml:space="preserve"> </w:t>
      </w:r>
      <w:r w:rsidRPr="03491401" w:rsidR="7F01A173">
        <w:rPr>
          <w:i w:val="1"/>
          <w:iCs w:val="1"/>
        </w:rPr>
        <w:t>Ambio</w:t>
      </w:r>
      <w:r w:rsidR="7F01A173">
        <w:rPr/>
        <w:t>, 38.3 (2009), 166–73 &lt;</w:t>
      </w:r>
      <w:r w:rsidR="450DE6DD">
        <w:rPr/>
        <w:t xml:space="preserve">DOI: </w:t>
      </w:r>
      <w:r w:rsidR="7F01A173">
        <w:rPr/>
        <w:t xml:space="preserve">10.1579/0044-7447-38.3.166&gt; </w:t>
      </w:r>
    </w:p>
    <w:p w:rsidR="7F01A173" w:rsidP="03491401" w:rsidRDefault="7F01A173" w14:paraId="6723B2D9" w14:textId="0296C908">
      <w:pPr>
        <w:pStyle w:val="Normal"/>
        <w:ind w:left="0"/>
      </w:pPr>
      <w:r w:rsidR="7F01A173">
        <w:rPr/>
        <w:t>Mas'amah</w:t>
      </w:r>
      <w:r w:rsidR="4C788813">
        <w:rPr/>
        <w:t xml:space="preserve">, </w:t>
      </w:r>
      <w:r w:rsidR="7F01A173">
        <w:rPr/>
        <w:t xml:space="preserve">et al. “Death, Funeral Rituals, and Stigma: Perspectives from Mortuary Workers and Bereaved Families.” </w:t>
      </w:r>
      <w:r w:rsidRPr="03491401" w:rsidR="7F01A173">
        <w:rPr>
          <w:i w:val="1"/>
          <w:iCs w:val="1"/>
        </w:rPr>
        <w:t>Pastoral psychology</w:t>
      </w:r>
      <w:r w:rsidR="126594A6">
        <w:rPr/>
        <w:t>,</w:t>
      </w:r>
      <w:r w:rsidR="7F01A173">
        <w:rPr/>
        <w:t xml:space="preserve"> 72,2 (2023): 305-316. </w:t>
      </w:r>
      <w:r w:rsidR="70BA7AF0">
        <w:rPr/>
        <w:t xml:space="preserve">&lt;DOI: </w:t>
      </w:r>
      <w:r w:rsidR="7F01A173">
        <w:rPr/>
        <w:t xml:space="preserve">10.1007/s11089-022-01053-9 </w:t>
      </w:r>
    </w:p>
    <w:p w:rsidR="7F01A173" w:rsidP="03491401" w:rsidRDefault="7F01A173" w14:paraId="4B907C1D" w14:textId="3DB34491">
      <w:pPr>
        <w:pStyle w:val="Normal"/>
        <w:ind w:left="0"/>
        <w:rPr>
          <w:rFonts w:ascii="Aptos" w:hAnsi="Aptos" w:eastAsia="Aptos" w:cs="Aptos"/>
          <w:noProof w:val="0"/>
          <w:sz w:val="24"/>
          <w:szCs w:val="24"/>
          <w:lang w:val="en-US"/>
        </w:rPr>
      </w:pPr>
      <w:r w:rsidRPr="03491401" w:rsidR="7F01A173">
        <w:rPr>
          <w:rFonts w:ascii="Aptos" w:hAnsi="Aptos" w:eastAsia="Aptos" w:cs="Aptos"/>
          <w:noProof w:val="0"/>
          <w:sz w:val="24"/>
          <w:szCs w:val="24"/>
          <w:lang w:val="en-US"/>
        </w:rPr>
        <w:t xml:space="preserve">Mead, Margaret, André Singer, and Bruce </w:t>
      </w:r>
      <w:r w:rsidRPr="03491401" w:rsidR="7F01A173">
        <w:rPr>
          <w:rFonts w:ascii="Aptos" w:hAnsi="Aptos" w:eastAsia="Aptos" w:cs="Aptos"/>
          <w:noProof w:val="0"/>
          <w:sz w:val="24"/>
          <w:szCs w:val="24"/>
          <w:lang w:val="en-US"/>
        </w:rPr>
        <w:t>Dakowski</w:t>
      </w:r>
      <w:r w:rsidRPr="03491401" w:rsidR="7F01A173">
        <w:rPr>
          <w:rFonts w:ascii="Aptos" w:hAnsi="Aptos" w:eastAsia="Aptos" w:cs="Aptos"/>
          <w:noProof w:val="0"/>
          <w:sz w:val="24"/>
          <w:szCs w:val="24"/>
          <w:lang w:val="en-US"/>
        </w:rPr>
        <w:t xml:space="preserve">, </w:t>
      </w:r>
      <w:r w:rsidRPr="03491401" w:rsidR="7F01A173">
        <w:rPr>
          <w:rFonts w:ascii="Aptos" w:hAnsi="Aptos" w:eastAsia="Aptos" w:cs="Aptos"/>
          <w:i w:val="1"/>
          <w:iCs w:val="1"/>
          <w:noProof w:val="0"/>
          <w:sz w:val="24"/>
          <w:szCs w:val="24"/>
          <w:lang w:val="en-US"/>
        </w:rPr>
        <w:t xml:space="preserve">Coming of </w:t>
      </w:r>
      <w:r w:rsidRPr="03491401" w:rsidR="673BBA5F">
        <w:rPr>
          <w:rFonts w:ascii="Aptos" w:hAnsi="Aptos" w:eastAsia="Aptos" w:cs="Aptos"/>
          <w:i w:val="1"/>
          <w:iCs w:val="1"/>
          <w:noProof w:val="0"/>
          <w:sz w:val="24"/>
          <w:szCs w:val="24"/>
          <w:lang w:val="en-US"/>
        </w:rPr>
        <w:t>Age:</w:t>
      </w:r>
      <w:r w:rsidRPr="03491401" w:rsidR="7F01A173">
        <w:rPr>
          <w:rFonts w:ascii="Aptos" w:hAnsi="Aptos" w:eastAsia="Aptos" w:cs="Aptos"/>
          <w:i w:val="1"/>
          <w:iCs w:val="1"/>
          <w:noProof w:val="0"/>
          <w:sz w:val="24"/>
          <w:szCs w:val="24"/>
          <w:lang w:val="en-US"/>
        </w:rPr>
        <w:t xml:space="preserve"> Margaret Mead, 1901- 1978</w:t>
      </w:r>
      <w:r w:rsidRPr="03491401" w:rsidR="7F01A173">
        <w:rPr>
          <w:rFonts w:ascii="Aptos" w:hAnsi="Aptos" w:eastAsia="Aptos" w:cs="Aptos"/>
          <w:noProof w:val="0"/>
          <w:sz w:val="24"/>
          <w:szCs w:val="24"/>
          <w:lang w:val="en-US"/>
        </w:rPr>
        <w:t xml:space="preserve"> </w:t>
      </w:r>
      <w:r w:rsidRPr="03491401" w:rsidR="519FCE47">
        <w:rPr>
          <w:rFonts w:ascii="Aptos" w:hAnsi="Aptos" w:eastAsia="Aptos" w:cs="Aptos"/>
          <w:noProof w:val="0"/>
          <w:sz w:val="24"/>
          <w:szCs w:val="24"/>
          <w:lang w:val="en-US"/>
        </w:rPr>
        <w:t xml:space="preserve">[video]. 1986 </w:t>
      </w:r>
      <w:r w:rsidRPr="03491401" w:rsidR="1044B379">
        <w:rPr>
          <w:rFonts w:ascii="Aptos" w:hAnsi="Aptos" w:eastAsia="Aptos" w:cs="Aptos"/>
          <w:noProof w:val="0"/>
          <w:sz w:val="24"/>
          <w:szCs w:val="24"/>
          <w:lang w:val="en-US"/>
        </w:rPr>
        <w:t>&lt;</w:t>
      </w:r>
      <w:r w:rsidRPr="03491401" w:rsidR="519FCE47">
        <w:rPr>
          <w:rFonts w:ascii="Aptos" w:hAnsi="Aptos" w:eastAsia="Aptos" w:cs="Aptos"/>
          <w:noProof w:val="0"/>
          <w:sz w:val="24"/>
          <w:szCs w:val="24"/>
          <w:lang w:val="en-US"/>
        </w:rPr>
        <w:t>https://video-alexanderstreet-com.ezproxy.uwtsd.ac.uk/watch/coming-of-age-margaret-mead-1901-1978</w:t>
      </w:r>
      <w:r w:rsidRPr="03491401" w:rsidR="1EAD0F7B">
        <w:rPr>
          <w:rFonts w:ascii="Aptos" w:hAnsi="Aptos" w:eastAsia="Aptos" w:cs="Aptos"/>
          <w:noProof w:val="0"/>
          <w:sz w:val="24"/>
          <w:szCs w:val="24"/>
          <w:lang w:val="en-US"/>
        </w:rPr>
        <w:t>&gt;</w:t>
      </w:r>
      <w:r w:rsidRPr="03491401" w:rsidR="519FCE47">
        <w:rPr>
          <w:rFonts w:ascii="Aptos" w:hAnsi="Aptos" w:eastAsia="Aptos" w:cs="Aptos"/>
          <w:noProof w:val="0"/>
          <w:sz w:val="24"/>
          <w:szCs w:val="24"/>
          <w:lang w:val="en-US"/>
        </w:rPr>
        <w:t xml:space="preserve"> [accessed 12 May 2024]</w:t>
      </w:r>
    </w:p>
    <w:p w:rsidR="7929EB1A" w:rsidP="03491401" w:rsidRDefault="7929EB1A" w14:paraId="61E3B103" w14:textId="44AEE8BC">
      <w:pPr>
        <w:pStyle w:val="Normal"/>
        <w:ind w:left="0"/>
        <w:rPr>
          <w:rFonts w:ascii="Aptos" w:hAnsi="Aptos" w:eastAsia="Aptos" w:cs="Aptos"/>
          <w:noProof w:val="0"/>
          <w:sz w:val="24"/>
          <w:szCs w:val="24"/>
          <w:lang w:val="en-US"/>
        </w:rPr>
      </w:pPr>
      <w:r w:rsidRPr="03491401" w:rsidR="7929EB1A">
        <w:rPr>
          <w:rFonts w:ascii="Aptos" w:hAnsi="Aptos" w:eastAsia="Aptos" w:cs="Aptos"/>
          <w:noProof w:val="0"/>
          <w:sz w:val="24"/>
          <w:szCs w:val="24"/>
          <w:lang w:val="en-US"/>
        </w:rPr>
        <w:t xml:space="preserve">Nickerson, Charlotte, </w:t>
      </w:r>
      <w:r w:rsidRPr="03491401" w:rsidR="7929EB1A">
        <w:rPr>
          <w:rFonts w:ascii="Aptos" w:hAnsi="Aptos" w:eastAsia="Aptos" w:cs="Aptos"/>
          <w:i w:val="1"/>
          <w:iCs w:val="1"/>
          <w:noProof w:val="0"/>
          <w:sz w:val="24"/>
          <w:szCs w:val="24"/>
          <w:lang w:val="en-US"/>
        </w:rPr>
        <w:t xml:space="preserve">Understanding Socialization </w:t>
      </w:r>
      <w:bookmarkStart w:name="_Int_Ozo7UI0s" w:id="2053722545"/>
      <w:r w:rsidRPr="03491401" w:rsidR="7929EB1A">
        <w:rPr>
          <w:rFonts w:ascii="Aptos" w:hAnsi="Aptos" w:eastAsia="Aptos" w:cs="Aptos"/>
          <w:i w:val="1"/>
          <w:iCs w:val="1"/>
          <w:noProof w:val="0"/>
          <w:sz w:val="24"/>
          <w:szCs w:val="24"/>
          <w:lang w:val="en-US"/>
        </w:rPr>
        <w:t>In</w:t>
      </w:r>
      <w:bookmarkEnd w:id="2053722545"/>
      <w:r w:rsidRPr="03491401" w:rsidR="7929EB1A">
        <w:rPr>
          <w:rFonts w:ascii="Aptos" w:hAnsi="Aptos" w:eastAsia="Aptos" w:cs="Aptos"/>
          <w:i w:val="1"/>
          <w:iCs w:val="1"/>
          <w:noProof w:val="0"/>
          <w:sz w:val="24"/>
          <w:szCs w:val="24"/>
          <w:lang w:val="en-US"/>
        </w:rPr>
        <w:t xml:space="preserve"> Sociology (</w:t>
      </w:r>
      <w:r w:rsidRPr="03491401" w:rsidR="7929EB1A">
        <w:rPr>
          <w:rFonts w:ascii="Aptos" w:hAnsi="Aptos" w:eastAsia="Aptos" w:cs="Aptos"/>
          <w:noProof w:val="0"/>
          <w:sz w:val="24"/>
          <w:szCs w:val="24"/>
          <w:lang w:val="en-US"/>
        </w:rPr>
        <w:t>2024</w:t>
      </w:r>
      <w:r w:rsidRPr="03491401" w:rsidR="7929EB1A">
        <w:rPr>
          <w:rFonts w:ascii="Aptos" w:hAnsi="Aptos" w:eastAsia="Aptos" w:cs="Aptos"/>
          <w:noProof w:val="0"/>
          <w:sz w:val="24"/>
          <w:szCs w:val="24"/>
          <w:lang w:val="en-US"/>
        </w:rPr>
        <w:t>) https://www.simplypsychology.org/socialization.html</w:t>
      </w:r>
      <w:r w:rsidRPr="03491401" w:rsidR="7929EB1A">
        <w:rPr>
          <w:rFonts w:ascii="Aptos" w:hAnsi="Aptos" w:eastAsia="Aptos" w:cs="Aptos"/>
          <w:noProof w:val="0"/>
          <w:sz w:val="24"/>
          <w:szCs w:val="24"/>
          <w:lang w:val="en-US"/>
        </w:rPr>
        <w:t xml:space="preserve"> [accessed 12 May 2024]</w:t>
      </w:r>
    </w:p>
    <w:p w:rsidR="0D665B01" w:rsidP="03491401" w:rsidRDefault="0D665B01" w14:paraId="4E3F507B" w14:textId="787B69AB">
      <w:pPr>
        <w:pStyle w:val="Normal"/>
        <w:ind w:left="0"/>
      </w:pPr>
      <w:r w:rsidR="0D665B01">
        <w:rPr/>
        <w:t>Okri</w:t>
      </w:r>
      <w:r w:rsidR="0D665B01">
        <w:rPr/>
        <w:t>, Ben, ‘FOOD, RITUAL, AND DEATH</w:t>
      </w:r>
      <w:r w:rsidR="0D665B01">
        <w:rPr/>
        <w:t>’,</w:t>
      </w:r>
      <w:r w:rsidR="0D665B01">
        <w:rPr/>
        <w:t xml:space="preserve"> </w:t>
      </w:r>
      <w:r w:rsidRPr="03491401" w:rsidR="0D665B01">
        <w:rPr>
          <w:i w:val="1"/>
          <w:iCs w:val="1"/>
        </w:rPr>
        <w:t>Callaloo</w:t>
      </w:r>
      <w:r w:rsidR="0D665B01">
        <w:rPr/>
        <w:t>, 38.5 (2015), 1034–36 &lt;</w:t>
      </w:r>
      <w:r w:rsidR="08291B5E">
        <w:rPr/>
        <w:t xml:space="preserve">DOI: </w:t>
      </w:r>
      <w:r w:rsidR="0D665B01">
        <w:rPr/>
        <w:t>10.1353/cal.2015.0153&gt;</w:t>
      </w:r>
    </w:p>
    <w:p w:rsidR="79AB22D2" w:rsidP="03491401" w:rsidRDefault="79AB22D2" w14:paraId="2F0F4FC0" w14:textId="68A3AD85">
      <w:pPr>
        <w:pStyle w:val="Normal"/>
        <w:ind w:left="0"/>
      </w:pPr>
      <w:r w:rsidR="79AB22D2">
        <w:rPr/>
        <w:t>Parry, Jonathan, ‘Death and Digestion: The Symbolism of Food and Eating in North Indian Mortuary Rites</w:t>
      </w:r>
      <w:r w:rsidR="79AB22D2">
        <w:rPr/>
        <w:t>’,</w:t>
      </w:r>
      <w:r w:rsidR="79AB22D2">
        <w:rPr/>
        <w:t xml:space="preserve"> </w:t>
      </w:r>
      <w:r w:rsidRPr="03491401" w:rsidR="79AB22D2">
        <w:rPr>
          <w:i w:val="1"/>
          <w:iCs w:val="1"/>
        </w:rPr>
        <w:t>Man</w:t>
      </w:r>
      <w:r w:rsidRPr="03491401" w:rsidR="4EE998AA">
        <w:rPr>
          <w:i w:val="1"/>
          <w:iCs w:val="1"/>
        </w:rPr>
        <w:t>,</w:t>
      </w:r>
      <w:r w:rsidR="79AB22D2">
        <w:rPr/>
        <w:t xml:space="preserve"> 20.4 (1985), 612–30 &lt;</w:t>
      </w:r>
      <w:r w:rsidR="23B2D16A">
        <w:rPr/>
        <w:t xml:space="preserve">DOI: </w:t>
      </w:r>
      <w:r w:rsidR="79AB22D2">
        <w:rPr/>
        <w:t>10.2307/2802753&gt;</w:t>
      </w:r>
    </w:p>
    <w:p w:rsidR="2FA88A48" w:rsidP="03491401" w:rsidRDefault="2FA88A48" w14:paraId="66083AFE" w14:textId="2CB906BE">
      <w:pPr>
        <w:pStyle w:val="Normal"/>
        <w:ind w:left="0"/>
        <w:rPr>
          <w:rFonts w:ascii="Aptos" w:hAnsi="Aptos" w:eastAsia="Aptos" w:cs="Aptos"/>
          <w:noProof w:val="0"/>
          <w:sz w:val="24"/>
          <w:szCs w:val="24"/>
          <w:lang w:val="en-US"/>
        </w:rPr>
      </w:pPr>
      <w:r w:rsidRPr="03491401" w:rsidR="2FA88A48">
        <w:rPr>
          <w:rFonts w:ascii="Aptos" w:hAnsi="Aptos" w:eastAsia="Aptos" w:cs="Aptos"/>
          <w:noProof w:val="0"/>
          <w:sz w:val="24"/>
          <w:szCs w:val="24"/>
          <w:lang w:val="en-US"/>
        </w:rPr>
        <w:t>Pappas, Demetra M, ‘The Sociology of Death</w:t>
      </w:r>
      <w:r w:rsidRPr="03491401" w:rsidR="2FA88A48">
        <w:rPr>
          <w:rFonts w:ascii="Aptos" w:hAnsi="Aptos" w:eastAsia="Aptos" w:cs="Aptos"/>
          <w:noProof w:val="0"/>
          <w:sz w:val="24"/>
          <w:szCs w:val="24"/>
          <w:lang w:val="en-US"/>
        </w:rPr>
        <w:t>’,</w:t>
      </w:r>
      <w:r w:rsidRPr="03491401" w:rsidR="2FA88A48">
        <w:rPr>
          <w:rFonts w:ascii="Aptos" w:hAnsi="Aptos" w:eastAsia="Aptos" w:cs="Aptos"/>
          <w:i w:val="1"/>
          <w:iCs w:val="1"/>
          <w:noProof w:val="0"/>
          <w:sz w:val="24"/>
          <w:szCs w:val="24"/>
          <w:lang w:val="en-US"/>
        </w:rPr>
        <w:t xml:space="preserve"> British Journal of Sociology</w:t>
      </w:r>
      <w:r w:rsidRPr="03491401" w:rsidR="2FA88A48">
        <w:rPr>
          <w:rFonts w:ascii="Aptos" w:hAnsi="Aptos" w:eastAsia="Aptos" w:cs="Aptos"/>
          <w:noProof w:val="0"/>
          <w:sz w:val="24"/>
          <w:szCs w:val="24"/>
          <w:lang w:val="en-US"/>
        </w:rPr>
        <w:t xml:space="preserve"> </w:t>
      </w:r>
      <w:r w:rsidRPr="03491401" w:rsidR="766C851F">
        <w:rPr>
          <w:rFonts w:ascii="Aptos" w:hAnsi="Aptos" w:eastAsia="Aptos" w:cs="Aptos"/>
          <w:noProof w:val="0"/>
          <w:sz w:val="24"/>
          <w:szCs w:val="24"/>
          <w:lang w:val="en-US"/>
        </w:rPr>
        <w:t>(</w:t>
      </w:r>
      <w:r w:rsidRPr="03491401" w:rsidR="2FA88A48">
        <w:rPr>
          <w:rFonts w:ascii="Aptos" w:hAnsi="Aptos" w:eastAsia="Aptos" w:cs="Aptos"/>
          <w:noProof w:val="0"/>
          <w:sz w:val="24"/>
          <w:szCs w:val="24"/>
          <w:lang w:val="en-US"/>
        </w:rPr>
        <w:t>1995), 145–46 &lt;</w:t>
      </w:r>
      <w:r w:rsidRPr="03491401" w:rsidR="58B6B4E4">
        <w:rPr>
          <w:rFonts w:ascii="Aptos" w:hAnsi="Aptos" w:eastAsia="Aptos" w:cs="Aptos"/>
          <w:noProof w:val="0"/>
          <w:sz w:val="24"/>
          <w:szCs w:val="24"/>
          <w:lang w:val="en-US"/>
        </w:rPr>
        <w:t xml:space="preserve">DOI: </w:t>
      </w:r>
      <w:r w:rsidRPr="03491401" w:rsidR="2FA88A48">
        <w:rPr>
          <w:rFonts w:ascii="Aptos" w:hAnsi="Aptos" w:eastAsia="Aptos" w:cs="Aptos"/>
          <w:noProof w:val="0"/>
          <w:sz w:val="24"/>
          <w:szCs w:val="24"/>
          <w:lang w:val="en-US"/>
        </w:rPr>
        <w:t>10.2307/591631&gt;</w:t>
      </w:r>
      <w:r w:rsidR="2FA88A48">
        <w:rPr/>
        <w:t xml:space="preserve"> </w:t>
      </w:r>
    </w:p>
    <w:p w:rsidR="5B411880" w:rsidP="03491401" w:rsidRDefault="5B411880" w14:paraId="15CF63FD" w14:textId="48B876D9">
      <w:pPr>
        <w:pStyle w:val="Normal"/>
        <w:ind w:left="0"/>
      </w:pPr>
      <w:r w:rsidR="5B411880">
        <w:rPr/>
        <w:t xml:space="preserve">Tarlow, Sarah, </w:t>
      </w:r>
      <w:r w:rsidRPr="03491401" w:rsidR="5B411880">
        <w:rPr>
          <w:i w:val="1"/>
          <w:iCs w:val="1"/>
        </w:rPr>
        <w:t>Ritual, Belief, and the Dead in Early Modern Britain and Ireland (</w:t>
      </w:r>
      <w:r w:rsidR="5B411880">
        <w:rPr/>
        <w:t>Cambridge: Cambridge University Press, 2010)</w:t>
      </w:r>
    </w:p>
    <w:p w:rsidR="7878B387" w:rsidP="03491401" w:rsidRDefault="7878B387" w14:paraId="010D1E0B" w14:textId="49E74544">
      <w:pPr>
        <w:pStyle w:val="Normal"/>
        <w:ind w:left="0"/>
        <w:rPr>
          <w:rFonts w:ascii="Aptos" w:hAnsi="Aptos" w:eastAsia="Aptos" w:cs="Aptos"/>
          <w:noProof w:val="0"/>
          <w:sz w:val="24"/>
          <w:szCs w:val="24"/>
          <w:lang w:val="en-US"/>
        </w:rPr>
      </w:pPr>
      <w:r w:rsidRPr="03491401" w:rsidR="7878B387">
        <w:rPr>
          <w:rFonts w:ascii="Aptos" w:hAnsi="Aptos" w:eastAsia="Aptos" w:cs="Aptos"/>
          <w:noProof w:val="0"/>
          <w:sz w:val="24"/>
          <w:szCs w:val="24"/>
          <w:lang w:val="en-US"/>
        </w:rPr>
        <w:t>Walter, Tony, ‘The Sociology of Death</w:t>
      </w:r>
      <w:r w:rsidRPr="03491401" w:rsidR="7878B387">
        <w:rPr>
          <w:rFonts w:ascii="Aptos" w:hAnsi="Aptos" w:eastAsia="Aptos" w:cs="Aptos"/>
          <w:noProof w:val="0"/>
          <w:sz w:val="24"/>
          <w:szCs w:val="24"/>
          <w:lang w:val="en-US"/>
        </w:rPr>
        <w:t>’,</w:t>
      </w:r>
      <w:r w:rsidRPr="03491401" w:rsidR="7878B387">
        <w:rPr>
          <w:rFonts w:ascii="Aptos" w:hAnsi="Aptos" w:eastAsia="Aptos" w:cs="Aptos"/>
          <w:noProof w:val="0"/>
          <w:sz w:val="24"/>
          <w:szCs w:val="24"/>
          <w:lang w:val="en-US"/>
        </w:rPr>
        <w:t xml:space="preserve"> </w:t>
      </w:r>
      <w:r w:rsidRPr="03491401" w:rsidR="7878B387">
        <w:rPr>
          <w:rFonts w:ascii="Aptos" w:hAnsi="Aptos" w:eastAsia="Aptos" w:cs="Aptos"/>
          <w:i w:val="1"/>
          <w:iCs w:val="1"/>
          <w:noProof w:val="0"/>
          <w:sz w:val="24"/>
          <w:szCs w:val="24"/>
          <w:lang w:val="en-US"/>
        </w:rPr>
        <w:t>Sociology Compass</w:t>
      </w:r>
      <w:r w:rsidRPr="03491401" w:rsidR="7878B387">
        <w:rPr>
          <w:rFonts w:ascii="Aptos" w:hAnsi="Aptos" w:eastAsia="Aptos" w:cs="Aptos"/>
          <w:noProof w:val="0"/>
          <w:sz w:val="24"/>
          <w:szCs w:val="24"/>
          <w:lang w:val="en-US"/>
        </w:rPr>
        <w:t>, 2.1 (2008), 317–36 &lt;</w:t>
      </w:r>
      <w:r w:rsidRPr="03491401" w:rsidR="40EB9C4D">
        <w:rPr>
          <w:rFonts w:ascii="Aptos" w:hAnsi="Aptos" w:eastAsia="Aptos" w:cs="Aptos"/>
          <w:noProof w:val="0"/>
          <w:sz w:val="24"/>
          <w:szCs w:val="24"/>
          <w:lang w:val="en-US"/>
        </w:rPr>
        <w:t xml:space="preserve">DOI: </w:t>
      </w:r>
      <w:r w:rsidRPr="03491401" w:rsidR="7878B387">
        <w:rPr>
          <w:rFonts w:ascii="Aptos" w:hAnsi="Aptos" w:eastAsia="Aptos" w:cs="Aptos"/>
          <w:noProof w:val="0"/>
          <w:sz w:val="24"/>
          <w:szCs w:val="24"/>
          <w:lang w:val="en-US"/>
        </w:rPr>
        <w:t>10.1111/j.1751-9020.</w:t>
      </w:r>
      <w:bookmarkStart w:name="_Int_dm51JgKq" w:id="814471162"/>
      <w:r w:rsidRPr="03491401" w:rsidR="7878B387">
        <w:rPr>
          <w:rFonts w:ascii="Aptos" w:hAnsi="Aptos" w:eastAsia="Aptos" w:cs="Aptos"/>
          <w:noProof w:val="0"/>
          <w:sz w:val="24"/>
          <w:szCs w:val="24"/>
          <w:lang w:val="en-US"/>
        </w:rPr>
        <w:t>2007.00069.x</w:t>
      </w:r>
      <w:bookmarkEnd w:id="814471162"/>
      <w:r w:rsidRPr="03491401" w:rsidR="7878B387">
        <w:rPr>
          <w:rFonts w:ascii="Aptos" w:hAnsi="Aptos" w:eastAsia="Aptos" w:cs="Aptos"/>
          <w:noProof w:val="0"/>
          <w:sz w:val="24"/>
          <w:szCs w:val="24"/>
          <w:lang w:val="en-US"/>
        </w:rPr>
        <w:t>&gt;</w:t>
      </w: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notes.xml><?xml version="1.0" encoding="utf-8"?>
<w:footnotes xmlns:w14="http://schemas.microsoft.com/office/word/2010/wordml" xmlns:w="http://schemas.openxmlformats.org/wordprocessingml/2006/main">
  <w:footnote w:type="separator" w:id="-1">
    <w:p w:rsidR="57C81D7B" w:rsidRDefault="57C81D7B" w14:paraId="7CA59BF7" w14:textId="6BFF948A">
      <w:pPr>
        <w:spacing w:after="0" w:line="240" w:lineRule="auto"/>
      </w:pPr>
      <w:r>
        <w:separator/>
      </w:r>
    </w:p>
  </w:footnote>
  <w:footnote w:type="continuationSeparator" w:id="0">
    <w:p w:rsidR="57C81D7B" w:rsidRDefault="57C81D7B" w14:paraId="76564ADF" w14:textId="68801958">
      <w:pPr>
        <w:spacing w:after="0" w:line="240" w:lineRule="auto"/>
      </w:pPr>
      <w:r>
        <w:continuationSeparator/>
      </w:r>
    </w:p>
  </w:footnote>
  <w:footnote w:id="10291">
    <w:p w:rsidR="57C81D7B" w:rsidP="57C81D7B" w:rsidRDefault="57C81D7B" w14:paraId="1AD147B3" w14:textId="48696397">
      <w:pPr>
        <w:pStyle w:val="FootnoteText"/>
        <w:bidi w:val="0"/>
      </w:pPr>
      <w:r w:rsidRPr="57C81D7B">
        <w:rPr>
          <w:rStyle w:val="FootnoteReference"/>
        </w:rPr>
        <w:footnoteRef/>
      </w:r>
      <w:r w:rsidR="57C81D7B">
        <w:rPr/>
        <w:t xml:space="preserve"> Ibid, p. 47</w:t>
      </w:r>
    </w:p>
  </w:footnote>
  <w:footnote w:id="8312">
    <w:p w:rsidR="57C81D7B" w:rsidP="57C81D7B" w:rsidRDefault="57C81D7B" w14:paraId="6CCCAB8A" w14:textId="1B3AC295">
      <w:pPr>
        <w:pStyle w:val="FootnoteText"/>
        <w:bidi w:val="0"/>
      </w:pPr>
      <w:r w:rsidRPr="57C81D7B">
        <w:rPr>
          <w:rStyle w:val="FootnoteReference"/>
        </w:rPr>
        <w:footnoteRef/>
      </w:r>
      <w:r w:rsidR="03491401">
        <w:rPr/>
        <w:t xml:space="preserve"> </w:t>
      </w:r>
      <w:r w:rsidR="03491401">
        <w:rPr/>
        <w:t>Boute</w:t>
      </w:r>
      <w:r w:rsidR="03491401">
        <w:rPr/>
        <w:t xml:space="preserve"> and </w:t>
      </w:r>
      <w:r w:rsidR="03491401">
        <w:rPr/>
        <w:t>Småberg</w:t>
      </w:r>
      <w:r w:rsidR="03491401">
        <w:rPr/>
        <w:t xml:space="preserve">, </w:t>
      </w:r>
      <w:r w:rsidRPr="03491401" w:rsidR="03491401">
        <w:rPr>
          <w:i w:val="1"/>
          <w:iCs w:val="1"/>
        </w:rPr>
        <w:t>Devising Order</w:t>
      </w:r>
      <w:r w:rsidRPr="03491401" w:rsidR="03491401">
        <w:rPr>
          <w:i w:val="1"/>
          <w:iCs w:val="1"/>
        </w:rPr>
        <w:t>,</w:t>
      </w:r>
      <w:r w:rsidR="03491401">
        <w:rPr/>
        <w:t xml:space="preserve"> p. 46</w:t>
      </w:r>
    </w:p>
  </w:footnote>
  <w:footnote w:id="3477">
    <w:p w:rsidR="57C81D7B" w:rsidP="57C81D7B" w:rsidRDefault="57C81D7B" w14:paraId="7DE3CD17" w14:textId="1A78555D">
      <w:pPr>
        <w:pStyle w:val="FootnoteText"/>
        <w:bidi w:val="0"/>
      </w:pPr>
      <w:r w:rsidRPr="57C81D7B">
        <w:rPr>
          <w:rStyle w:val="FootnoteReference"/>
        </w:rPr>
        <w:footnoteRef/>
      </w:r>
      <w:r w:rsidR="03491401">
        <w:rPr/>
        <w:t xml:space="preserve"> Bruno </w:t>
      </w:r>
      <w:r w:rsidR="03491401">
        <w:rPr/>
        <w:t>Boute</w:t>
      </w:r>
      <w:r w:rsidR="03491401">
        <w:rPr/>
        <w:t xml:space="preserve"> and Thomas </w:t>
      </w:r>
      <w:r w:rsidR="03491401">
        <w:rPr/>
        <w:t>Småberg</w:t>
      </w:r>
      <w:r w:rsidR="03491401">
        <w:rPr/>
        <w:t xml:space="preserve">, </w:t>
      </w:r>
      <w:r w:rsidRPr="03491401" w:rsidR="03491401">
        <w:rPr>
          <w:i w:val="1"/>
          <w:iCs w:val="1"/>
        </w:rPr>
        <w:t>Devising Order Socio-Religious Models, Rituals, and the Performativity of Practice</w:t>
      </w:r>
      <w:r w:rsidR="03491401">
        <w:rPr/>
        <w:t xml:space="preserve"> (Leiden: Brill, 2013) p.46</w:t>
      </w:r>
    </w:p>
  </w:footnote>
  <w:footnote w:id="19044">
    <w:p w:rsidR="03491401" w:rsidP="03491401" w:rsidRDefault="03491401" w14:paraId="49674343" w14:textId="6892AD5B">
      <w:pPr>
        <w:pStyle w:val="FootnoteText"/>
        <w:bidi w:val="0"/>
      </w:pPr>
      <w:r w:rsidRPr="03491401">
        <w:rPr>
          <w:rStyle w:val="FootnoteReference"/>
        </w:rPr>
        <w:footnoteRef/>
      </w:r>
      <w:r w:rsidR="03491401">
        <w:rPr/>
        <w:t xml:space="preserve">. </w:t>
      </w:r>
      <w:r w:rsidR="03491401">
        <w:rPr/>
        <w:t>Mas'amah</w:t>
      </w:r>
      <w:r w:rsidR="03491401">
        <w:rPr/>
        <w:t xml:space="preserve"> et al. “Death, Funeral Rituals, and Stigma: Perspectives from Mortuary Workers and Bereaved Families.” </w:t>
      </w:r>
      <w:r w:rsidRPr="03491401" w:rsidR="03491401">
        <w:rPr>
          <w:i w:val="1"/>
          <w:iCs w:val="1"/>
        </w:rPr>
        <w:t>Pastoral psychology</w:t>
      </w:r>
      <w:r w:rsidRPr="03491401" w:rsidR="03491401">
        <w:rPr>
          <w:i w:val="1"/>
          <w:iCs w:val="1"/>
        </w:rPr>
        <w:t>,</w:t>
      </w:r>
      <w:r w:rsidR="03491401">
        <w:rPr/>
        <w:t xml:space="preserve"> 72</w:t>
      </w:r>
      <w:r w:rsidR="03491401">
        <w:rPr/>
        <w:t>.</w:t>
      </w:r>
      <w:r w:rsidR="03491401">
        <w:rPr/>
        <w:t>2 (2023): 305-316.</w:t>
      </w:r>
      <w:r w:rsidR="03491401">
        <w:rPr/>
        <w:t xml:space="preserve"> (p. 305) &lt;DOI</w:t>
      </w:r>
      <w:r w:rsidR="03491401">
        <w:rPr/>
        <w:t>:10.1007/s11089-022-01053-9</w:t>
      </w:r>
      <w:r w:rsidR="03491401">
        <w:rPr/>
        <w:t>&gt;</w:t>
      </w:r>
    </w:p>
  </w:footnote>
  <w:footnote w:id="15498">
    <w:p w:rsidR="03491401" w:rsidP="03491401" w:rsidRDefault="03491401" w14:paraId="5CA7605B" w14:textId="44FE744A">
      <w:pPr>
        <w:pStyle w:val="FootnoteText"/>
        <w:bidi w:val="0"/>
      </w:pPr>
      <w:r w:rsidRPr="03491401">
        <w:rPr>
          <w:rStyle w:val="FootnoteReference"/>
        </w:rPr>
        <w:footnoteRef/>
      </w:r>
      <w:r w:rsidR="03491401">
        <w:rPr/>
        <w:t xml:space="preserve"> </w:t>
      </w:r>
      <w:r w:rsidR="03491401">
        <w:rPr/>
        <w:t>Mas'amah</w:t>
      </w:r>
      <w:r w:rsidR="03491401">
        <w:rPr/>
        <w:t xml:space="preserve">, </w:t>
      </w:r>
      <w:r w:rsidRPr="03491401" w:rsidR="03491401">
        <w:rPr>
          <w:i w:val="1"/>
          <w:iCs w:val="1"/>
        </w:rPr>
        <w:t>Death, Funeral Rituals</w:t>
      </w:r>
      <w:r w:rsidR="03491401">
        <w:rPr/>
        <w:t>,</w:t>
      </w:r>
      <w:r w:rsidR="03491401">
        <w:rPr/>
        <w:t xml:space="preserve"> p. 306</w:t>
      </w:r>
    </w:p>
  </w:footnote>
  <w:footnote w:id="28519">
    <w:p w:rsidR="03491401" w:rsidP="03491401" w:rsidRDefault="03491401" w14:paraId="48C7172D" w14:textId="56E589FD">
      <w:pPr>
        <w:pStyle w:val="FootnoteText"/>
        <w:bidi w:val="0"/>
      </w:pPr>
      <w:r w:rsidRPr="03491401">
        <w:rPr>
          <w:rStyle w:val="FootnoteReference"/>
        </w:rPr>
        <w:footnoteRef/>
      </w:r>
      <w:r w:rsidR="03491401">
        <w:rPr/>
        <w:t xml:space="preserve"> Xin</w:t>
      </w:r>
      <w:r w:rsidR="03491401">
        <w:rPr/>
        <w:t xml:space="preserve"> Lu</w:t>
      </w:r>
      <w:r w:rsidR="03491401">
        <w:rPr/>
        <w:t xml:space="preserve">, </w:t>
      </w:r>
      <w:r w:rsidR="03491401">
        <w:rPr/>
        <w:t>et al,</w:t>
      </w:r>
      <w:r w:rsidR="03491401">
        <w:rPr/>
        <w:t xml:space="preserve"> ‘Status, Ecology, and Conservation of the Himalayan Griffon Gyps </w:t>
      </w:r>
      <w:r w:rsidR="03491401">
        <w:rPr/>
        <w:t>Himalayensis</w:t>
      </w:r>
      <w:r w:rsidR="03491401">
        <w:rPr/>
        <w:t xml:space="preserve"> (Aves, Accipitridae) in the Tibetan Plateau</w:t>
      </w:r>
      <w:r w:rsidR="03491401">
        <w:rPr/>
        <w:t>’,</w:t>
      </w:r>
      <w:r w:rsidR="03491401">
        <w:rPr/>
        <w:t xml:space="preserve"> </w:t>
      </w:r>
      <w:r w:rsidRPr="03491401" w:rsidR="03491401">
        <w:rPr>
          <w:i w:val="1"/>
          <w:iCs w:val="1"/>
        </w:rPr>
        <w:t>Ambio</w:t>
      </w:r>
      <w:r w:rsidRPr="03491401" w:rsidR="03491401">
        <w:rPr>
          <w:i w:val="1"/>
          <w:iCs w:val="1"/>
        </w:rPr>
        <w:t>,</w:t>
      </w:r>
      <w:r w:rsidR="03491401">
        <w:rPr/>
        <w:t xml:space="preserve"> 38.3 (2009), 166–73</w:t>
      </w:r>
      <w:r w:rsidR="03491401">
        <w:rPr/>
        <w:t xml:space="preserve"> (p.166)</w:t>
      </w:r>
      <w:r w:rsidR="03491401">
        <w:rPr/>
        <w:t xml:space="preserve"> &lt;</w:t>
      </w:r>
      <w:r w:rsidR="03491401">
        <w:rPr/>
        <w:t xml:space="preserve">DOI: </w:t>
      </w:r>
      <w:r w:rsidR="03491401">
        <w:rPr/>
        <w:t>10.1579/0044-7447-38.3.166&gt;</w:t>
      </w:r>
    </w:p>
  </w:footnote>
  <w:footnote w:id="21432">
    <w:p w:rsidR="03491401" w:rsidP="03491401" w:rsidRDefault="03491401" w14:paraId="1D99F04E" w14:textId="2D18C464">
      <w:pPr>
        <w:pStyle w:val="FootnoteText"/>
        <w:bidi w:val="0"/>
      </w:pPr>
      <w:r w:rsidRPr="03491401">
        <w:rPr>
          <w:rStyle w:val="FootnoteReference"/>
        </w:rPr>
        <w:footnoteRef/>
      </w:r>
      <w:r w:rsidR="03491401">
        <w:rPr/>
        <w:t xml:space="preserve"> Lu, </w:t>
      </w:r>
      <w:r w:rsidR="03491401">
        <w:rPr/>
        <w:t>’</w:t>
      </w:r>
      <w:r w:rsidR="03491401">
        <w:rPr/>
        <w:t>Status, Ecology, and Conservation</w:t>
      </w:r>
      <w:r w:rsidR="03491401">
        <w:rPr/>
        <w:t>’,</w:t>
      </w:r>
      <w:r w:rsidR="03491401">
        <w:rPr/>
        <w:t xml:space="preserve"> p. 166</w:t>
      </w:r>
    </w:p>
  </w:footnote>
  <w:footnote w:id="12928">
    <w:p w:rsidR="03491401" w:rsidP="03491401" w:rsidRDefault="03491401" w14:paraId="5A030F44" w14:textId="596E25D9">
      <w:pPr>
        <w:pStyle w:val="FootnoteText"/>
        <w:bidi w:val="0"/>
      </w:pPr>
      <w:r w:rsidRPr="03491401">
        <w:rPr>
          <w:rStyle w:val="FootnoteReference"/>
        </w:rPr>
        <w:footnoteRef/>
      </w:r>
      <w:r w:rsidR="03491401">
        <w:rPr/>
        <w:t xml:space="preserve"> </w:t>
      </w:r>
      <w:r w:rsidR="03491401">
        <w:rPr/>
        <w:t>Ibid, p. 167</w:t>
      </w:r>
    </w:p>
  </w:footnote>
  <w:footnote w:id="29476">
    <w:p w:rsidR="03491401" w:rsidP="03491401" w:rsidRDefault="03491401" w14:paraId="08382832" w14:textId="03AFCC8F">
      <w:pPr>
        <w:pStyle w:val="FootnoteText"/>
        <w:bidi w:val="0"/>
      </w:pPr>
      <w:r w:rsidRPr="03491401">
        <w:rPr>
          <w:rStyle w:val="FootnoteReference"/>
        </w:rPr>
        <w:footnoteRef/>
      </w:r>
      <w:r w:rsidR="03491401">
        <w:rPr/>
        <w:t xml:space="preserve"> Frederick H</w:t>
      </w:r>
      <w:r w:rsidR="03491401">
        <w:rPr/>
        <w:t xml:space="preserve"> Damon</w:t>
      </w:r>
      <w:r w:rsidR="03491401">
        <w:rPr/>
        <w:t xml:space="preserve"> and Roy Wagner, </w:t>
      </w:r>
      <w:r w:rsidRPr="03491401" w:rsidR="03491401">
        <w:rPr>
          <w:i w:val="1"/>
          <w:iCs w:val="1"/>
        </w:rPr>
        <w:t>Death Rituals and Life in the Societies of the Kula Ring</w:t>
      </w:r>
      <w:r w:rsidR="03491401">
        <w:rPr/>
        <w:t xml:space="preserve"> (DeKalb: Northern Illinois University Press, 1989) p.23</w:t>
      </w:r>
    </w:p>
  </w:footnote>
  <w:footnote w:id="2315">
    <w:p w:rsidR="03491401" w:rsidP="03491401" w:rsidRDefault="03491401" w14:paraId="06E80DE1" w14:textId="65F25551">
      <w:pPr>
        <w:pStyle w:val="FootnoteText"/>
        <w:bidi w:val="0"/>
      </w:pPr>
      <w:r w:rsidRPr="03491401">
        <w:rPr>
          <w:rStyle w:val="FootnoteReference"/>
        </w:rPr>
        <w:footnoteRef/>
      </w:r>
      <w:r w:rsidRPr="03491401" w:rsidR="03491401">
        <w:rPr>
          <w:i w:val="1"/>
          <w:iCs w:val="1"/>
        </w:rPr>
        <w:t xml:space="preserve"> Death Studies</w:t>
      </w:r>
      <w:r w:rsidRPr="03491401" w:rsidR="03491401">
        <w:rPr>
          <w:i w:val="1"/>
          <w:iCs w:val="1"/>
        </w:rPr>
        <w:t>,</w:t>
      </w:r>
      <w:r w:rsidR="03491401">
        <w:rPr/>
        <w:t xml:space="preserve"> </w:t>
      </w:r>
      <w:r w:rsidR="03491401">
        <w:rPr/>
        <w:t>Washington, DC: Taylor &amp; Francis, 1985)</w:t>
      </w:r>
    </w:p>
  </w:footnote>
  <w:footnote w:id="22010">
    <w:p w:rsidR="03491401" w:rsidP="03491401" w:rsidRDefault="03491401" w14:paraId="6F803E13" w14:textId="10E10352">
      <w:pPr>
        <w:pStyle w:val="FootnoteText"/>
        <w:bidi w:val="0"/>
        <w:rPr>
          <w:i w:val="1"/>
          <w:iCs w:val="1"/>
        </w:rPr>
      </w:pPr>
      <w:r w:rsidRPr="03491401">
        <w:rPr>
          <w:rStyle w:val="FootnoteReference"/>
        </w:rPr>
        <w:footnoteRef/>
      </w:r>
      <w:r w:rsidR="03491401">
        <w:rPr/>
        <w:t xml:space="preserve"> </w:t>
      </w:r>
      <w:r w:rsidRPr="03491401" w:rsidR="03491401">
        <w:rPr>
          <w:i w:val="1"/>
          <w:iCs w:val="1"/>
        </w:rPr>
        <w:t>Death Studies</w:t>
      </w:r>
      <w:r w:rsidRPr="03491401" w:rsidR="03491401">
        <w:rPr>
          <w:i w:val="1"/>
          <w:iCs w:val="1"/>
        </w:rPr>
        <w:t xml:space="preserve">, </w:t>
      </w:r>
      <w:r w:rsidRPr="03491401" w:rsidR="03491401">
        <w:rPr>
          <w:i w:val="0"/>
          <w:iCs w:val="0"/>
        </w:rPr>
        <w:t>et al.</w:t>
      </w:r>
    </w:p>
  </w:footnote>
  <w:footnote w:id="29148">
    <w:p w:rsidR="03491401" w:rsidP="03491401" w:rsidRDefault="03491401" w14:paraId="39FA199A" w14:textId="6637C952">
      <w:pPr>
        <w:pStyle w:val="FootnoteText"/>
        <w:bidi w:val="0"/>
      </w:pPr>
      <w:r w:rsidRPr="03491401">
        <w:rPr>
          <w:rStyle w:val="FootnoteReference"/>
        </w:rPr>
        <w:footnoteRef/>
      </w:r>
      <w:r w:rsidR="03491401">
        <w:rPr/>
        <w:t xml:space="preserve"> </w:t>
      </w:r>
      <w:r w:rsidR="03491401">
        <w:rPr/>
        <w:t>Julie Alev</w:t>
      </w:r>
      <w:r w:rsidR="03491401">
        <w:rPr/>
        <w:t xml:space="preserve"> </w:t>
      </w:r>
      <w:r w:rsidR="03491401">
        <w:rPr/>
        <w:t>Dilmac</w:t>
      </w:r>
      <w:r w:rsidR="03491401">
        <w:rPr/>
        <w:t>, ‘The New Forms of Mourning: Loss and Exhibition of the Death on the Internet</w:t>
      </w:r>
      <w:r w:rsidR="03491401">
        <w:rPr/>
        <w:t>’,</w:t>
      </w:r>
      <w:r w:rsidR="03491401">
        <w:rPr/>
        <w:t xml:space="preserve"> </w:t>
      </w:r>
      <w:r w:rsidRPr="03491401" w:rsidR="03491401">
        <w:rPr>
          <w:i w:val="1"/>
          <w:iCs w:val="1"/>
        </w:rPr>
        <w:t>Omega: Journal of Death and Dying,</w:t>
      </w:r>
      <w:r w:rsidR="03491401">
        <w:rPr/>
        <w:t xml:space="preserve"> 77.3 (2018), 280–95</w:t>
      </w:r>
      <w:r w:rsidR="03491401">
        <w:rPr/>
        <w:t xml:space="preserve"> (p.280)</w:t>
      </w:r>
      <w:r w:rsidR="03491401">
        <w:rPr/>
        <w:t xml:space="preserve"> &lt;</w:t>
      </w:r>
      <w:r w:rsidR="03491401">
        <w:rPr/>
        <w:t xml:space="preserve">DOI: </w:t>
      </w:r>
      <w:r w:rsidR="03491401">
        <w:rPr/>
        <w:t>10.1177/0030222816633240&gt;</w:t>
      </w:r>
    </w:p>
  </w:footnote>
  <w:footnote w:id="3950">
    <w:p w:rsidR="03491401" w:rsidP="03491401" w:rsidRDefault="03491401" w14:paraId="4E3B35EA" w14:textId="4DD75390">
      <w:pPr>
        <w:pStyle w:val="FootnoteText"/>
        <w:bidi w:val="0"/>
      </w:pPr>
      <w:r w:rsidRPr="03491401">
        <w:rPr>
          <w:rStyle w:val="FootnoteReference"/>
        </w:rPr>
        <w:footnoteRef/>
      </w:r>
      <w:r w:rsidR="03491401">
        <w:rPr/>
        <w:t xml:space="preserve"> </w:t>
      </w:r>
      <w:r w:rsidR="03491401">
        <w:rPr/>
        <w:t>Dilmaç</w:t>
      </w:r>
      <w:r w:rsidR="03491401">
        <w:rPr/>
        <w:t xml:space="preserve">, </w:t>
      </w:r>
      <w:r w:rsidR="03491401">
        <w:rPr/>
        <w:t>’</w:t>
      </w:r>
      <w:r w:rsidR="03491401">
        <w:rPr/>
        <w:t>The New Forms of Mourning</w:t>
      </w:r>
      <w:r w:rsidR="03491401">
        <w:rPr/>
        <w:t>’,</w:t>
      </w:r>
      <w:r w:rsidR="03491401">
        <w:rPr/>
        <w:t xml:space="preserve"> p</w:t>
      </w:r>
      <w:r w:rsidR="03491401">
        <w:rPr/>
        <w:t>. 281</w:t>
      </w:r>
      <w:r w:rsidR="03491401">
        <w:rPr/>
        <w:t xml:space="preserve"> </w:t>
      </w:r>
    </w:p>
  </w:footnote>
  <w:footnote w:id="13201">
    <w:p w:rsidR="03491401" w:rsidP="03491401" w:rsidRDefault="03491401" w14:paraId="4C5B21D5" w14:textId="52CD4EB2">
      <w:pPr>
        <w:pStyle w:val="FootnoteText"/>
        <w:bidi w:val="0"/>
      </w:pPr>
      <w:r w:rsidRPr="03491401">
        <w:rPr>
          <w:rStyle w:val="FootnoteReference"/>
        </w:rPr>
        <w:footnoteRef/>
      </w:r>
      <w:r w:rsidR="03491401">
        <w:rPr/>
        <w:t xml:space="preserve"> Ben</w:t>
      </w:r>
      <w:r w:rsidR="03491401">
        <w:rPr/>
        <w:t xml:space="preserve"> </w:t>
      </w:r>
      <w:r w:rsidR="03491401">
        <w:rPr/>
        <w:t>Okri</w:t>
      </w:r>
      <w:r w:rsidR="03491401">
        <w:rPr/>
        <w:t>, ‘FOOD, RITUAL, AND DEATH</w:t>
      </w:r>
      <w:r w:rsidR="03491401">
        <w:rPr/>
        <w:t>’,</w:t>
      </w:r>
      <w:r w:rsidR="03491401">
        <w:rPr/>
        <w:t xml:space="preserve"> </w:t>
      </w:r>
      <w:r w:rsidRPr="03491401" w:rsidR="03491401">
        <w:rPr>
          <w:i w:val="1"/>
          <w:iCs w:val="1"/>
        </w:rPr>
        <w:t>Callaloo</w:t>
      </w:r>
      <w:r w:rsidR="03491401">
        <w:rPr/>
        <w:t>, 38.5 (2015), 1034–36</w:t>
      </w:r>
      <w:r w:rsidR="03491401">
        <w:rPr/>
        <w:t xml:space="preserve"> (p.1034)</w:t>
      </w:r>
      <w:r w:rsidR="03491401">
        <w:rPr/>
        <w:t xml:space="preserve"> </w:t>
      </w:r>
      <w:r w:rsidR="03491401">
        <w:rPr/>
        <w:t xml:space="preserve">&lt;DOI: </w:t>
      </w:r>
      <w:r w:rsidR="03491401">
        <w:rPr/>
        <w:t>10.1353/cal.2015.0153&gt;</w:t>
      </w:r>
    </w:p>
  </w:footnote>
  <w:footnote w:id="27103">
    <w:p w:rsidR="03491401" w:rsidP="03491401" w:rsidRDefault="03491401" w14:paraId="1B1999BC" w14:textId="4FEB21A2">
      <w:pPr>
        <w:pStyle w:val="FootnoteText"/>
        <w:bidi w:val="0"/>
      </w:pPr>
      <w:r w:rsidRPr="03491401">
        <w:rPr>
          <w:rStyle w:val="FootnoteReference"/>
        </w:rPr>
        <w:footnoteRef/>
      </w:r>
      <w:r w:rsidR="03491401">
        <w:rPr/>
        <w:t xml:space="preserve"> </w:t>
      </w:r>
      <w:r w:rsidR="03491401">
        <w:rPr/>
        <w:t>Okri</w:t>
      </w:r>
      <w:r w:rsidR="03491401">
        <w:rPr/>
        <w:t>, ‘FOOD, RITUAL, AND DEATH</w:t>
      </w:r>
      <w:r w:rsidR="03491401">
        <w:rPr/>
        <w:t>’,</w:t>
      </w:r>
      <w:r w:rsidR="03491401">
        <w:rPr/>
        <w:t xml:space="preserve"> </w:t>
      </w:r>
      <w:r w:rsidR="03491401">
        <w:rPr/>
        <w:t>p. 1034</w:t>
      </w:r>
    </w:p>
  </w:footnote>
  <w:footnote w:id="30383">
    <w:p w:rsidR="03491401" w:rsidP="03491401" w:rsidRDefault="03491401" w14:paraId="24BDF077" w14:textId="58E73178">
      <w:pPr>
        <w:pStyle w:val="FootnoteText"/>
        <w:bidi w:val="0"/>
      </w:pPr>
      <w:r w:rsidRPr="03491401">
        <w:rPr>
          <w:rStyle w:val="FootnoteReference"/>
        </w:rPr>
        <w:footnoteRef/>
      </w:r>
      <w:r w:rsidR="03491401">
        <w:rPr/>
        <w:t xml:space="preserve"> Ibid, p.1035</w:t>
      </w:r>
    </w:p>
  </w:footnote>
  <w:footnote w:id="12638">
    <w:p w:rsidR="03491401" w:rsidP="03491401" w:rsidRDefault="03491401" w14:paraId="13E996D2" w14:textId="00F1D092">
      <w:pPr>
        <w:pStyle w:val="FootnoteText"/>
        <w:bidi w:val="0"/>
      </w:pPr>
      <w:r w:rsidRPr="03491401">
        <w:rPr>
          <w:rStyle w:val="FootnoteReference"/>
        </w:rPr>
        <w:footnoteRef/>
      </w:r>
      <w:r w:rsidR="03491401">
        <w:rPr/>
        <w:t xml:space="preserve"> </w:t>
      </w:r>
      <w:r w:rsidR="03491401">
        <w:rPr/>
        <w:t>J</w:t>
      </w:r>
      <w:r w:rsidR="03491401">
        <w:rPr/>
        <w:t>onathan</w:t>
      </w:r>
      <w:r w:rsidR="03491401">
        <w:rPr/>
        <w:t xml:space="preserve"> Parry</w:t>
      </w:r>
      <w:r w:rsidR="03491401">
        <w:rPr/>
        <w:t>, ‘Death and Digestion: The Symbolism of Food and Eating in North Indian Mortuary Rites</w:t>
      </w:r>
      <w:r w:rsidR="03491401">
        <w:rPr/>
        <w:t>’,</w:t>
      </w:r>
      <w:r w:rsidR="03491401">
        <w:rPr/>
        <w:t xml:space="preserve"> </w:t>
      </w:r>
      <w:r w:rsidRPr="03491401" w:rsidR="03491401">
        <w:rPr>
          <w:i w:val="1"/>
          <w:iCs w:val="1"/>
        </w:rPr>
        <w:t>Man</w:t>
      </w:r>
      <w:r w:rsidR="03491401">
        <w:rPr/>
        <w:t xml:space="preserve"> 20.4 (1985), 612–30</w:t>
      </w:r>
      <w:r w:rsidR="03491401">
        <w:rPr/>
        <w:t xml:space="preserve"> (p.613)</w:t>
      </w:r>
      <w:r w:rsidR="03491401">
        <w:rPr/>
        <w:t xml:space="preserve"> &lt;</w:t>
      </w:r>
      <w:r w:rsidR="03491401">
        <w:rPr/>
        <w:t xml:space="preserve">DOI: </w:t>
      </w:r>
      <w:r w:rsidR="03491401">
        <w:rPr/>
        <w:t xml:space="preserve">10.2307/2802753&gt; </w:t>
      </w:r>
    </w:p>
  </w:footnote>
  <w:footnote w:id="10502">
    <w:p w:rsidR="03491401" w:rsidP="03491401" w:rsidRDefault="03491401" w14:paraId="5C594F35" w14:textId="03D452B3">
      <w:pPr>
        <w:pStyle w:val="FootnoteText"/>
        <w:bidi w:val="0"/>
      </w:pPr>
      <w:r w:rsidRPr="03491401">
        <w:rPr>
          <w:rStyle w:val="FootnoteReference"/>
        </w:rPr>
        <w:footnoteRef/>
      </w:r>
      <w:r w:rsidR="03491401">
        <w:rPr/>
        <w:t xml:space="preserve"> Parry,</w:t>
      </w:r>
      <w:r w:rsidR="03491401">
        <w:rPr/>
        <w:t xml:space="preserve"> </w:t>
      </w:r>
      <w:r w:rsidR="03491401">
        <w:rPr/>
        <w:t>‘Death and Digestion</w:t>
      </w:r>
      <w:r w:rsidR="03491401">
        <w:rPr/>
        <w:t xml:space="preserve">’, </w:t>
      </w:r>
      <w:r w:rsidR="03491401">
        <w:rPr/>
        <w:t>p.612</w:t>
      </w:r>
    </w:p>
  </w:footnote>
  <w:footnote w:id="30918">
    <w:p w:rsidR="03491401" w:rsidP="03491401" w:rsidRDefault="03491401" w14:paraId="51EF71D0" w14:textId="5AA5BD54">
      <w:pPr>
        <w:pStyle w:val="FootnoteText"/>
        <w:bidi w:val="0"/>
      </w:pPr>
      <w:r w:rsidRPr="03491401">
        <w:rPr>
          <w:rStyle w:val="FootnoteReference"/>
        </w:rPr>
        <w:footnoteRef/>
      </w:r>
      <w:r w:rsidR="03491401">
        <w:rPr/>
        <w:t xml:space="preserve"> </w:t>
      </w:r>
      <w:r w:rsidR="03491401">
        <w:rPr/>
        <w:t>Ibid,</w:t>
      </w:r>
      <w:r w:rsidR="03491401">
        <w:rPr/>
        <w:t xml:space="preserve"> p.612</w:t>
      </w:r>
    </w:p>
  </w:footnote>
  <w:footnote w:id="842">
    <w:p w:rsidR="03491401" w:rsidP="03491401" w:rsidRDefault="03491401" w14:paraId="60CF4205" w14:textId="722718A0">
      <w:pPr>
        <w:pStyle w:val="FootnoteText"/>
        <w:bidi w:val="0"/>
        <w:rPr>
          <w:i w:val="1"/>
          <w:iCs w:val="1"/>
        </w:rPr>
      </w:pPr>
      <w:r w:rsidRPr="03491401">
        <w:rPr>
          <w:rStyle w:val="FootnoteReference"/>
        </w:rPr>
        <w:footnoteRef/>
      </w:r>
      <w:r w:rsidR="03491401">
        <w:rPr/>
        <w:t xml:space="preserve"> </w:t>
      </w:r>
      <w:r w:rsidR="03491401">
        <w:rPr/>
        <w:t xml:space="preserve">Charlotte Nickerson, </w:t>
      </w:r>
      <w:r w:rsidRPr="03491401" w:rsidR="03491401">
        <w:rPr>
          <w:i w:val="1"/>
          <w:iCs w:val="1"/>
        </w:rPr>
        <w:t xml:space="preserve">Understanding Socialization </w:t>
      </w:r>
      <w:bookmarkStart w:name="_Int_jiSCrn7x" w:id="1424701333"/>
      <w:r w:rsidRPr="03491401" w:rsidR="03491401">
        <w:rPr>
          <w:i w:val="1"/>
          <w:iCs w:val="1"/>
        </w:rPr>
        <w:t>In</w:t>
      </w:r>
      <w:bookmarkEnd w:id="1424701333"/>
      <w:r w:rsidRPr="03491401" w:rsidR="03491401">
        <w:rPr>
          <w:i w:val="1"/>
          <w:iCs w:val="1"/>
        </w:rPr>
        <w:t xml:space="preserve"> Sociology </w:t>
      </w:r>
      <w:r w:rsidRPr="03491401" w:rsidR="03491401">
        <w:rPr>
          <w:i w:val="0"/>
          <w:iCs w:val="0"/>
        </w:rPr>
        <w:t>(2024)</w:t>
      </w:r>
    </w:p>
    <w:p w:rsidR="03491401" w:rsidP="03491401" w:rsidRDefault="03491401" w14:paraId="1D91DB6D" w14:textId="119187B8">
      <w:pPr>
        <w:pStyle w:val="FootnoteText"/>
        <w:bidi w:val="0"/>
      </w:pPr>
      <w:r w:rsidR="03491401">
        <w:rPr/>
        <w:t xml:space="preserve"> </w:t>
      </w:r>
      <w:r w:rsidR="03491401">
        <w:rPr/>
        <w:t>https://www.simplypsychology.org/socialization.html</w:t>
      </w:r>
      <w:r w:rsidR="03491401">
        <w:rPr/>
        <w:t xml:space="preserve"> [accessed 12 May 2024]</w:t>
      </w:r>
    </w:p>
  </w:footnote>
  <w:footnote w:id="9824">
    <w:p w:rsidR="03491401" w:rsidP="03491401" w:rsidRDefault="03491401" w14:paraId="36B30D7B" w14:textId="3C579139">
      <w:pPr>
        <w:pStyle w:val="FootnoteText"/>
        <w:bidi w:val="0"/>
      </w:pPr>
      <w:r w:rsidRPr="03491401">
        <w:rPr>
          <w:rStyle w:val="FootnoteReference"/>
        </w:rPr>
        <w:footnoteRef/>
      </w:r>
      <w:r w:rsidR="03491401">
        <w:rPr/>
        <w:t xml:space="preserve"> </w:t>
      </w:r>
      <w:r w:rsidR="03491401">
        <w:rPr/>
        <w:t>Rimtautas</w:t>
      </w:r>
      <w:r w:rsidR="03491401">
        <w:rPr/>
        <w:t xml:space="preserve"> </w:t>
      </w:r>
      <w:r w:rsidR="03491401">
        <w:rPr/>
        <w:t>Dapschauskas</w:t>
      </w:r>
      <w:r w:rsidR="03491401">
        <w:rPr/>
        <w:t xml:space="preserve">,  </w:t>
      </w:r>
      <w:r w:rsidR="03491401">
        <w:rPr/>
        <w:t xml:space="preserve">Matthias B </w:t>
      </w:r>
      <w:r w:rsidR="03491401">
        <w:rPr/>
        <w:t>Göden</w:t>
      </w:r>
      <w:r w:rsidR="03491401">
        <w:rPr/>
        <w:t xml:space="preserve">, Christian Sommer, and Andrew W Kandel, ‘The Emergence of Habitual Ochre Use in Africa and Its Significance for The Development of Ritual Behavior During </w:t>
      </w:r>
      <w:bookmarkStart w:name="_Int_OOWNpOWi" w:id="675566722"/>
      <w:r w:rsidR="03491401">
        <w:rPr/>
        <w:t>The</w:t>
      </w:r>
      <w:bookmarkEnd w:id="675566722"/>
      <w:r w:rsidR="03491401">
        <w:rPr/>
        <w:t xml:space="preserve"> Middle Stone Age</w:t>
      </w:r>
      <w:r w:rsidR="03491401">
        <w:rPr/>
        <w:t>’,</w:t>
      </w:r>
      <w:r w:rsidR="03491401">
        <w:rPr/>
        <w:t xml:space="preserve"> </w:t>
      </w:r>
      <w:r w:rsidRPr="03491401" w:rsidR="03491401">
        <w:rPr>
          <w:i w:val="1"/>
          <w:iCs w:val="1"/>
        </w:rPr>
        <w:t>Journal of World Prehistory</w:t>
      </w:r>
      <w:r w:rsidR="03491401">
        <w:rPr/>
        <w:t xml:space="preserve">, 35.3–4 (2022), 233–319 </w:t>
      </w:r>
      <w:r w:rsidR="03491401">
        <w:rPr/>
        <w:t xml:space="preserve">(p. 238) </w:t>
      </w:r>
      <w:r w:rsidR="03491401">
        <w:rPr/>
        <w:t>&lt;</w:t>
      </w:r>
      <w:r w:rsidR="03491401">
        <w:rPr/>
        <w:t>DOI:</w:t>
      </w:r>
      <w:r w:rsidR="03491401">
        <w:rPr/>
        <w:t>10.1007/s10963-022-09170-2&gt;</w:t>
      </w:r>
    </w:p>
  </w:footnote>
  <w:footnote w:id="6497">
    <w:p w:rsidR="03491401" w:rsidP="03491401" w:rsidRDefault="03491401" w14:paraId="4ECBC3B2" w14:textId="2C654F41">
      <w:pPr>
        <w:pStyle w:val="FootnoteText"/>
        <w:bidi w:val="0"/>
      </w:pPr>
      <w:r w:rsidRPr="03491401">
        <w:rPr>
          <w:rStyle w:val="FootnoteReference"/>
        </w:rPr>
        <w:footnoteRef/>
      </w:r>
      <w:r w:rsidR="03491401">
        <w:rPr/>
        <w:t xml:space="preserve"> Glyn Edmund Daniel, </w:t>
      </w:r>
      <w:r w:rsidRPr="03491401" w:rsidR="03491401">
        <w:rPr>
          <w:i w:val="1"/>
          <w:iCs w:val="1"/>
        </w:rPr>
        <w:t xml:space="preserve">archaeology </w:t>
      </w:r>
      <w:r w:rsidR="03491401">
        <w:rPr/>
        <w:t>(</w:t>
      </w:r>
      <w:r w:rsidR="03491401">
        <w:rPr/>
        <w:t>2024), https://www.britannica.com/science/archaeology. [accessed 12 May 2024]</w:t>
      </w:r>
    </w:p>
  </w:footnote>
  <w:footnote w:id="31503">
    <w:p w:rsidR="03491401" w:rsidP="03491401" w:rsidRDefault="03491401" w14:paraId="69FFC201" w14:textId="09746AFE">
      <w:pPr>
        <w:pStyle w:val="FootnoteText"/>
        <w:bidi w:val="0"/>
      </w:pPr>
      <w:r w:rsidRPr="03491401">
        <w:rPr>
          <w:rStyle w:val="FootnoteReference"/>
        </w:rPr>
        <w:footnoteRef/>
      </w:r>
      <w:r w:rsidR="03491401">
        <w:rPr/>
        <w:t xml:space="preserve"> Margaret Mead, André Singer, and Bruce </w:t>
      </w:r>
      <w:r w:rsidR="03491401">
        <w:rPr/>
        <w:t>Dakowski</w:t>
      </w:r>
      <w:r w:rsidR="03491401">
        <w:rPr/>
        <w:t xml:space="preserve">, </w:t>
      </w:r>
      <w:r w:rsidRPr="03491401" w:rsidR="03491401">
        <w:rPr>
          <w:i w:val="1"/>
          <w:iCs w:val="1"/>
        </w:rPr>
        <w:t xml:space="preserve">Coming of </w:t>
      </w:r>
      <w:r w:rsidRPr="03491401" w:rsidR="03491401">
        <w:rPr>
          <w:i w:val="1"/>
          <w:iCs w:val="1"/>
        </w:rPr>
        <w:t>Age:</w:t>
      </w:r>
      <w:r w:rsidRPr="03491401" w:rsidR="03491401">
        <w:rPr>
          <w:i w:val="1"/>
          <w:iCs w:val="1"/>
        </w:rPr>
        <w:t xml:space="preserve"> Margaret Mead, 1901- 1978 </w:t>
      </w:r>
      <w:r w:rsidR="03491401">
        <w:rPr/>
        <w:t>[video]. 1986 &lt;https://video-alexanderstreet-com.ezproxy.uwtsd.ac.uk/watch/coming-of-age-margaret-mead-1901-1978&gt; [accessed 12 May 2024]</w:t>
      </w:r>
    </w:p>
  </w:footnote>
  <w:footnote w:id="21061">
    <w:p w:rsidR="03491401" w:rsidP="03491401" w:rsidRDefault="03491401" w14:paraId="3E2DBCF6" w14:textId="32816569">
      <w:pPr>
        <w:pStyle w:val="FootnoteText"/>
        <w:bidi w:val="0"/>
      </w:pPr>
      <w:r w:rsidRPr="03491401">
        <w:rPr>
          <w:rStyle w:val="FootnoteReference"/>
        </w:rPr>
        <w:footnoteRef/>
      </w:r>
      <w:r w:rsidR="03491401">
        <w:rPr/>
        <w:t xml:space="preserve"> Donald E Brown, ‘Human Universals</w:t>
      </w:r>
      <w:r w:rsidR="03491401">
        <w:rPr/>
        <w:t>’,</w:t>
      </w:r>
      <w:r w:rsidRPr="03491401" w:rsidR="03491401">
        <w:rPr>
          <w:i w:val="1"/>
          <w:iCs w:val="1"/>
        </w:rPr>
        <w:t xml:space="preserve"> Daedalus</w:t>
      </w:r>
      <w:r w:rsidR="03491401">
        <w:rPr/>
        <w:t>, 133.4 (2004), 47–54 (p.52)</w:t>
      </w:r>
    </w:p>
  </w:footnote>
  <w:footnote w:id="12814">
    <w:p w:rsidR="03491401" w:rsidP="03491401" w:rsidRDefault="03491401" w14:paraId="4DA4FC36" w14:textId="6C67D773">
      <w:pPr>
        <w:pStyle w:val="FootnoteText"/>
        <w:bidi w:val="0"/>
      </w:pPr>
      <w:r w:rsidRPr="03491401">
        <w:rPr>
          <w:rStyle w:val="FootnoteReference"/>
        </w:rPr>
        <w:footnoteRef/>
      </w:r>
      <w:r w:rsidR="03491401">
        <w:rPr/>
        <w:t xml:space="preserve"> Cathrine Neveu,</w:t>
      </w:r>
      <w:r w:rsidRPr="03491401" w:rsidR="03491401">
        <w:rPr>
          <w:i w:val="1"/>
          <w:iCs w:val="1"/>
        </w:rPr>
        <w:t xml:space="preserve"> Anthropology, by Comparison, </w:t>
      </w:r>
      <w:r w:rsidRPr="03491401" w:rsidR="03491401">
        <w:rPr>
          <w:i w:val="0"/>
          <w:iCs w:val="0"/>
        </w:rPr>
        <w:t xml:space="preserve">(review by Andre Gingrich and Richard G. Fox), </w:t>
      </w:r>
      <w:r w:rsidRPr="03491401" w:rsidR="03491401">
        <w:rPr>
          <w:i w:val="1"/>
          <w:iCs w:val="1"/>
        </w:rPr>
        <w:t>Social Anthropology</w:t>
      </w:r>
      <w:r w:rsidR="03491401">
        <w:rPr/>
        <w:t xml:space="preserve"> 116–17 (p. 117) &lt;DOI: 10.1017/S0964028204250479&gt;</w:t>
      </w:r>
    </w:p>
  </w:footnote>
  <w:footnote w:id="15614">
    <w:p w:rsidR="03491401" w:rsidP="03491401" w:rsidRDefault="03491401" w14:paraId="673B518A" w14:textId="1FDFD86A">
      <w:pPr>
        <w:pStyle w:val="FootnoteText"/>
        <w:bidi w:val="0"/>
      </w:pPr>
      <w:r w:rsidRPr="03491401">
        <w:rPr>
          <w:rStyle w:val="FootnoteReference"/>
        </w:rPr>
        <w:footnoteRef/>
      </w:r>
      <w:r w:rsidR="03491401">
        <w:rPr/>
        <w:t xml:space="preserve"> Ibid, p. 282</w:t>
      </w:r>
    </w:p>
  </w:footnote>
  <w:footnote w:id="12366">
    <w:p w:rsidR="03491401" w:rsidP="03491401" w:rsidRDefault="03491401" w14:paraId="0EDB7CE7" w14:textId="04DF97B2">
      <w:pPr>
        <w:pStyle w:val="FootnoteText"/>
        <w:bidi w:val="0"/>
      </w:pPr>
      <w:r w:rsidRPr="03491401">
        <w:rPr>
          <w:rStyle w:val="FootnoteReference"/>
        </w:rPr>
        <w:footnoteRef/>
      </w:r>
      <w:r w:rsidR="03491401">
        <w:rPr/>
        <w:t xml:space="preserve"> Demetra M Pappas, ‘The Sociology of Death</w:t>
      </w:r>
      <w:r w:rsidR="03491401">
        <w:rPr/>
        <w:t>’,</w:t>
      </w:r>
      <w:r w:rsidR="03491401">
        <w:rPr/>
        <w:t xml:space="preserve"> </w:t>
      </w:r>
      <w:r w:rsidRPr="03491401" w:rsidR="03491401">
        <w:rPr>
          <w:i w:val="1"/>
          <w:iCs w:val="1"/>
        </w:rPr>
        <w:t xml:space="preserve">British Journal of Sociology </w:t>
      </w:r>
      <w:r w:rsidR="03491401">
        <w:rPr/>
        <w:t>(London: Routledge Journals for the London School of Economics and Political Science, 1995), 145–46 (p. 145) &lt;DOI: 10.2307/591631&gt;</w:t>
      </w:r>
    </w:p>
  </w:footnote>
  <w:footnote w:id="9440">
    <w:p w:rsidR="03491401" w:rsidP="03491401" w:rsidRDefault="03491401" w14:paraId="41158199" w14:textId="7815D599">
      <w:pPr>
        <w:pStyle w:val="FootnoteText"/>
        <w:bidi w:val="0"/>
      </w:pPr>
      <w:r w:rsidRPr="03491401">
        <w:rPr>
          <w:rStyle w:val="FootnoteReference"/>
        </w:rPr>
        <w:footnoteRef/>
      </w:r>
      <w:r w:rsidR="03491401">
        <w:rPr/>
        <w:t xml:space="preserve"> Tony Walter, ‘The Sociology of Death</w:t>
      </w:r>
      <w:r w:rsidR="03491401">
        <w:rPr/>
        <w:t>’,</w:t>
      </w:r>
      <w:r w:rsidR="03491401">
        <w:rPr/>
        <w:t xml:space="preserve"> </w:t>
      </w:r>
      <w:r w:rsidRPr="03491401" w:rsidR="03491401">
        <w:rPr>
          <w:i w:val="1"/>
          <w:iCs w:val="1"/>
        </w:rPr>
        <w:t>Sociology Compass</w:t>
      </w:r>
      <w:r w:rsidR="03491401">
        <w:rPr/>
        <w:t>, 2.1 (2008), 317–36 (p. 324) &lt;DOI: 10.1111/j.1751-9020</w:t>
      </w:r>
      <w:r w:rsidR="03491401">
        <w:rPr/>
        <w:t>.</w:t>
      </w:r>
      <w:bookmarkStart w:name="_Int_Wf8Zo0iw" w:id="786926615"/>
      <w:r w:rsidR="03491401">
        <w:rPr/>
        <w:t>2007.00069.</w:t>
      </w:r>
      <w:r w:rsidR="03491401">
        <w:rPr/>
        <w:t>x</w:t>
      </w:r>
      <w:bookmarkEnd w:id="786926615"/>
      <w:r w:rsidR="03491401">
        <w:rPr/>
        <w:t>&gt;</w:t>
      </w:r>
    </w:p>
  </w:footnote>
  <w:footnote w:id="2658">
    <w:p w:rsidR="03491401" w:rsidP="03491401" w:rsidRDefault="03491401" w14:paraId="2B798924" w14:textId="2794CC71">
      <w:pPr>
        <w:pStyle w:val="FootnoteText"/>
        <w:bidi w:val="0"/>
      </w:pPr>
      <w:r w:rsidRPr="03491401">
        <w:rPr>
          <w:rStyle w:val="FootnoteReference"/>
        </w:rPr>
        <w:footnoteRef/>
      </w:r>
      <w:r w:rsidR="03491401">
        <w:rPr/>
        <w:t xml:space="preserve"> Damon and Wagner, </w:t>
      </w:r>
      <w:r w:rsidRPr="03491401" w:rsidR="03491401">
        <w:rPr>
          <w:i w:val="1"/>
          <w:iCs w:val="1"/>
        </w:rPr>
        <w:t xml:space="preserve">Death Rituals and Life, </w:t>
      </w:r>
      <w:r w:rsidRPr="03491401" w:rsidR="03491401">
        <w:rPr>
          <w:i w:val="0"/>
          <w:iCs w:val="0"/>
        </w:rPr>
        <w:t>p. 24</w:t>
      </w:r>
    </w:p>
  </w:footnote>
</w:footnotes>
</file>

<file path=word/intelligence2.xml><?xml version="1.0" encoding="utf-8"?>
<int2:intelligence xmlns:int2="http://schemas.microsoft.com/office/intelligence/2020/intelligence">
  <int2:observations>
    <int2:textHash int2:hashCode="1vjcXZOYxjXq7/" int2:id="l042MWGb">
      <int2:state int2:type="AugLoop_Text_Critique" int2:value="Rejected"/>
    </int2:textHash>
    <int2:textHash int2:hashCode="DPQB7IBlS65toB" int2:id="qft3qtti">
      <int2:state int2:type="AugLoop_Text_Critique" int2:value="Rejected"/>
    </int2:textHash>
    <int2:textHash int2:hashCode="7uP1hiEZouZNhh" int2:id="oAAdKjQ0">
      <int2:state int2:type="AugLoop_Text_Critique" int2:value="Rejected"/>
    </int2:textHash>
    <int2:textHash int2:hashCode="7tpJpDYUAA9y4v" int2:id="6MLGilH5">
      <int2:state int2:type="AugLoop_Text_Critique" int2:value="Rejected"/>
    </int2:textHash>
    <int2:textHash int2:hashCode="9bHUzyPI00lEKz" int2:id="KtFZixJ4">
      <int2:state int2:type="AugLoop_Text_Critique" int2:value="Rejected"/>
    </int2:textHash>
    <int2:textHash int2:hashCode="/b/x/MnLn6XSA8" int2:id="nwizBOhv">
      <int2:state int2:type="AugLoop_Text_Critique" int2:value="Rejected"/>
    </int2:textHash>
    <int2:textHash int2:hashCode="PDlxbRlWy8/xrs" int2:id="eIih763Z">
      <int2:state int2:type="AugLoop_Text_Critique" int2:value="Rejected"/>
    </int2:textHash>
    <int2:textHash int2:hashCode="kCCQ6/gHNnKD0H" int2:id="l8X8mGex">
      <int2:state int2:type="AugLoop_Text_Critique" int2:value="Rejected"/>
    </int2:textHash>
    <int2:textHash int2:hashCode="N+61HboFNM1BmS" int2:id="aDkoUoUo">
      <int2:state int2:type="AugLoop_Text_Critique" int2:value="Rejected"/>
    </int2:textHash>
    <int2:textHash int2:hashCode="sbpQOWpztH/11T" int2:id="xyp0BBJk">
      <int2:state int2:type="AugLoop_Text_Critique" int2:value="Rejected"/>
    </int2:textHash>
    <int2:textHash int2:hashCode="ADSryCd9PmmXtS" int2:id="nJkBXEga">
      <int2:state int2:type="AugLoop_Text_Critique" int2:value="Rejected"/>
    </int2:textHash>
    <int2:textHash int2:hashCode="BLBbzFEW4+3qgC" int2:id="dtMOnwit">
      <int2:state int2:type="AugLoop_Text_Critique" int2:value="Rejected"/>
    </int2:textHash>
    <int2:bookmark int2:bookmarkName="_Int_w5PqYCfg" int2:invalidationBookmarkName="" int2:hashCode="4OZs7Swq6Bnb+R" int2:id="hctQuirV">
      <int2:state int2:type="AugLoop_Text_Critique" int2:value="Rejected"/>
    </int2:bookmark>
    <int2:bookmark int2:bookmarkName="_Int_FFLXkb5b" int2:invalidationBookmarkName="" int2:hashCode="M41jXl+M9RISEt" int2:id="GTHsWONE">
      <int2:state int2:type="AugLoop_Text_Critique" int2:value="Rejected"/>
    </int2:bookmark>
    <int2:bookmark int2:bookmarkName="_Int_8Tf1RD2M" int2:invalidationBookmarkName="" int2:hashCode="2HUsZ0pcH+uDFp" int2:id="zlnqca9y">
      <int2:state int2:type="AugLoop_Text_Critique" int2:value="Rejected"/>
    </int2:bookmark>
    <int2:bookmark int2:bookmarkName="_Int_hbFyAjOq" int2:invalidationBookmarkName="" int2:hashCode="mfJA3GaZt2vNlX" int2:id="d8xiQPLf">
      <int2:state int2:type="AugLoop_Text_Critique" int2:value="Rejected"/>
    </int2:bookmark>
    <int2:bookmark int2:bookmarkName="_Int_QWkyzKET" int2:invalidationBookmarkName="" int2:hashCode="r2bNWePkU63yOF" int2:id="jaKPnuYR">
      <int2:state int2:type="AugLoop_Text_Critique" int2:value="Rejected"/>
    </int2:bookmark>
    <int2:bookmark int2:bookmarkName="_Int_5w4mNAYe" int2:invalidationBookmarkName="" int2:hashCode="CublOH/pY+PrTL" int2:id="FLVOvbso">
      <int2:state int2:type="AugLoop_Text_Critique" int2:value="Rejected"/>
    </int2:bookmark>
    <int2:bookmark int2:bookmarkName="_Int_uN5djy7m" int2:invalidationBookmarkName="" int2:hashCode="k+8N2CcQNoH87k" int2:id="MLJdedGC">
      <int2:state int2:type="AugLoop_Text_Critique" int2:value="Rejected"/>
    </int2:bookmark>
    <int2:bookmark int2:bookmarkName="_Int_Ozo7UI0s" int2:invalidationBookmarkName="" int2:hashCode="rvNlAtZ7BSBlTe" int2:id="JXVqwqKt">
      <int2:state int2:type="AugLoop_Text_Critique" int2:value="Rejected"/>
    </int2:bookmark>
    <int2:bookmark int2:bookmarkName="_Int_dm51JgKq" int2:invalidationBookmarkName="" int2:hashCode="e1s0slsUJLcr3u" int2:id="5aTd7Fiz">
      <int2:state int2:type="AugLoop_Text_Critique" int2:value="Rejected"/>
    </int2:bookmark>
    <int2:bookmark int2:bookmarkName="_Int_Wf8Zo0iw" int2:invalidationBookmarkName="" int2:hashCode="e1s0slsUJLcr3u" int2:id="oM6uAYbB">
      <int2:state int2:type="AugLoop_Text_Critique" int2:value="Rejected"/>
    </int2:bookmark>
    <int2:bookmark int2:bookmarkName="_Int_OOWNpOWi" int2:invalidationBookmarkName="" int2:hashCode="k+8N2CcQNoH87k" int2:id="Q9flqZk5">
      <int2:state int2:type="AugLoop_Text_Critique" int2:value="Rejected"/>
    </int2:bookmark>
    <int2:bookmark int2:bookmarkName="_Int_jiSCrn7x" int2:invalidationBookmarkName="" int2:hashCode="rvNlAtZ7BSBlTe" int2:id="241OQfYa">
      <int2:state int2:type="AugLoop_Text_Critique" int2:value="Rejected"/>
    </int2:bookmark>
    <int2:bookmark int2:bookmarkName="_Int_fyV2ZHFZ" int2:invalidationBookmarkName="" int2:hashCode="K9HQXuNXFKvzck" int2:id="bxVJPEqt">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
    <w:nsid w:val="43241e2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footnotePr>
    <w:footnote w:id="-1"/>
    <w:footnote w:id="0"/>
  </w:foot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E14CB2F"/>
    <w:rsid w:val="0011733F"/>
    <w:rsid w:val="0020C946"/>
    <w:rsid w:val="0069CF72"/>
    <w:rsid w:val="00C970E9"/>
    <w:rsid w:val="011A44F8"/>
    <w:rsid w:val="01847403"/>
    <w:rsid w:val="018F6A4F"/>
    <w:rsid w:val="0204B784"/>
    <w:rsid w:val="023B9CCC"/>
    <w:rsid w:val="028D8407"/>
    <w:rsid w:val="02AD6D44"/>
    <w:rsid w:val="03059C99"/>
    <w:rsid w:val="03491401"/>
    <w:rsid w:val="034D66C8"/>
    <w:rsid w:val="03D84977"/>
    <w:rsid w:val="046438EA"/>
    <w:rsid w:val="04761B6F"/>
    <w:rsid w:val="04B124F3"/>
    <w:rsid w:val="04B44F39"/>
    <w:rsid w:val="04BC1EF0"/>
    <w:rsid w:val="051316B0"/>
    <w:rsid w:val="05C2C4E7"/>
    <w:rsid w:val="05C5DA5D"/>
    <w:rsid w:val="063D3D5B"/>
    <w:rsid w:val="064CFF78"/>
    <w:rsid w:val="066901AC"/>
    <w:rsid w:val="06E1144E"/>
    <w:rsid w:val="07823A26"/>
    <w:rsid w:val="0782E4CC"/>
    <w:rsid w:val="07E8C5B5"/>
    <w:rsid w:val="08291B5E"/>
    <w:rsid w:val="08C49A08"/>
    <w:rsid w:val="09155C9F"/>
    <w:rsid w:val="0926AF0D"/>
    <w:rsid w:val="0947FF5C"/>
    <w:rsid w:val="09849616"/>
    <w:rsid w:val="099ECF91"/>
    <w:rsid w:val="09AA609D"/>
    <w:rsid w:val="09E0339B"/>
    <w:rsid w:val="09E37CAC"/>
    <w:rsid w:val="09F5A71C"/>
    <w:rsid w:val="0A2AF49C"/>
    <w:rsid w:val="0A77A680"/>
    <w:rsid w:val="0A7D0DAD"/>
    <w:rsid w:val="0AC27F6E"/>
    <w:rsid w:val="0B03344F"/>
    <w:rsid w:val="0B375BE2"/>
    <w:rsid w:val="0B3FDFE5"/>
    <w:rsid w:val="0B6C9728"/>
    <w:rsid w:val="0B887A96"/>
    <w:rsid w:val="0C18DE0E"/>
    <w:rsid w:val="0C7BA44F"/>
    <w:rsid w:val="0C9F04B0"/>
    <w:rsid w:val="0CA0BF9E"/>
    <w:rsid w:val="0D17D45D"/>
    <w:rsid w:val="0D665B01"/>
    <w:rsid w:val="0D6D9D2A"/>
    <w:rsid w:val="0D776E74"/>
    <w:rsid w:val="0D8FA0AC"/>
    <w:rsid w:val="0DF0C886"/>
    <w:rsid w:val="0E09E9D2"/>
    <w:rsid w:val="0E484F40"/>
    <w:rsid w:val="0F055143"/>
    <w:rsid w:val="1019A221"/>
    <w:rsid w:val="1027E7A0"/>
    <w:rsid w:val="1044B379"/>
    <w:rsid w:val="104F751F"/>
    <w:rsid w:val="10521EDA"/>
    <w:rsid w:val="1089BC1A"/>
    <w:rsid w:val="109A14FD"/>
    <w:rsid w:val="10A53DEC"/>
    <w:rsid w:val="10D63A04"/>
    <w:rsid w:val="10E6E804"/>
    <w:rsid w:val="10FED7E4"/>
    <w:rsid w:val="1141C07F"/>
    <w:rsid w:val="117275D3"/>
    <w:rsid w:val="11AEB5EE"/>
    <w:rsid w:val="11AF2169"/>
    <w:rsid w:val="11B57282"/>
    <w:rsid w:val="11B6B130"/>
    <w:rsid w:val="11BA67AC"/>
    <w:rsid w:val="1223B123"/>
    <w:rsid w:val="122FB043"/>
    <w:rsid w:val="12410E4D"/>
    <w:rsid w:val="1252EDE0"/>
    <w:rsid w:val="125BF235"/>
    <w:rsid w:val="126594A6"/>
    <w:rsid w:val="12944F26"/>
    <w:rsid w:val="12D01DE6"/>
    <w:rsid w:val="12D5104A"/>
    <w:rsid w:val="133AC15A"/>
    <w:rsid w:val="13611A6F"/>
    <w:rsid w:val="139C3D3C"/>
    <w:rsid w:val="1418FC93"/>
    <w:rsid w:val="141D606D"/>
    <w:rsid w:val="14D8CCEA"/>
    <w:rsid w:val="14EBCE29"/>
    <w:rsid w:val="14FBC7B0"/>
    <w:rsid w:val="155E8FBA"/>
    <w:rsid w:val="158C2F88"/>
    <w:rsid w:val="15966AF3"/>
    <w:rsid w:val="159A6124"/>
    <w:rsid w:val="15C7ADDA"/>
    <w:rsid w:val="15EC9B93"/>
    <w:rsid w:val="15FD325C"/>
    <w:rsid w:val="15FDD790"/>
    <w:rsid w:val="16898BED"/>
    <w:rsid w:val="168A2253"/>
    <w:rsid w:val="16AB2928"/>
    <w:rsid w:val="16BEB6A3"/>
    <w:rsid w:val="16C0FAE4"/>
    <w:rsid w:val="16D40312"/>
    <w:rsid w:val="16DE5AF0"/>
    <w:rsid w:val="1794DE75"/>
    <w:rsid w:val="17A30CC2"/>
    <w:rsid w:val="185A8704"/>
    <w:rsid w:val="189DFFD4"/>
    <w:rsid w:val="189E4F03"/>
    <w:rsid w:val="18AB4DFE"/>
    <w:rsid w:val="192A53D5"/>
    <w:rsid w:val="1930AED6"/>
    <w:rsid w:val="198DE6ED"/>
    <w:rsid w:val="1992EF6D"/>
    <w:rsid w:val="19DCE219"/>
    <w:rsid w:val="1A9B1EFD"/>
    <w:rsid w:val="1AAA113B"/>
    <w:rsid w:val="1B13DC36"/>
    <w:rsid w:val="1B140016"/>
    <w:rsid w:val="1B5D85BA"/>
    <w:rsid w:val="1B61118F"/>
    <w:rsid w:val="1BD3CD4C"/>
    <w:rsid w:val="1BE5780E"/>
    <w:rsid w:val="1C22B1C5"/>
    <w:rsid w:val="1C270AF5"/>
    <w:rsid w:val="1C32D192"/>
    <w:rsid w:val="1C813A8C"/>
    <w:rsid w:val="1CF9561B"/>
    <w:rsid w:val="1D2524AD"/>
    <w:rsid w:val="1D3B39B2"/>
    <w:rsid w:val="1D4244C1"/>
    <w:rsid w:val="1D705E7E"/>
    <w:rsid w:val="1D9CD58B"/>
    <w:rsid w:val="1E02DBD9"/>
    <w:rsid w:val="1E041FF9"/>
    <w:rsid w:val="1E14B97B"/>
    <w:rsid w:val="1E2930F0"/>
    <w:rsid w:val="1E5E6F87"/>
    <w:rsid w:val="1E6F0DD3"/>
    <w:rsid w:val="1E95267C"/>
    <w:rsid w:val="1EA1092C"/>
    <w:rsid w:val="1EA8FB89"/>
    <w:rsid w:val="1EAD0F7B"/>
    <w:rsid w:val="1EC38270"/>
    <w:rsid w:val="1EE90BCE"/>
    <w:rsid w:val="1F5EABB7"/>
    <w:rsid w:val="1FC50151"/>
    <w:rsid w:val="1FCBADF2"/>
    <w:rsid w:val="200230F1"/>
    <w:rsid w:val="2030F6DD"/>
    <w:rsid w:val="20A7E37C"/>
    <w:rsid w:val="20A7FF40"/>
    <w:rsid w:val="20FA7C18"/>
    <w:rsid w:val="211D37C5"/>
    <w:rsid w:val="213C650F"/>
    <w:rsid w:val="2175B9A9"/>
    <w:rsid w:val="2175E051"/>
    <w:rsid w:val="219E0152"/>
    <w:rsid w:val="21D7A664"/>
    <w:rsid w:val="2220AC90"/>
    <w:rsid w:val="2220C3FB"/>
    <w:rsid w:val="222A10AE"/>
    <w:rsid w:val="2281B4A8"/>
    <w:rsid w:val="22D12216"/>
    <w:rsid w:val="22F28D9D"/>
    <w:rsid w:val="22FFA87E"/>
    <w:rsid w:val="2308D00A"/>
    <w:rsid w:val="230B843B"/>
    <w:rsid w:val="2351843F"/>
    <w:rsid w:val="2387DAA5"/>
    <w:rsid w:val="239C9AA9"/>
    <w:rsid w:val="23B2D16A"/>
    <w:rsid w:val="23BE5996"/>
    <w:rsid w:val="24265D13"/>
    <w:rsid w:val="2438B135"/>
    <w:rsid w:val="24420143"/>
    <w:rsid w:val="2491443F"/>
    <w:rsid w:val="249CA973"/>
    <w:rsid w:val="24C3D5D8"/>
    <w:rsid w:val="250158D3"/>
    <w:rsid w:val="251546F6"/>
    <w:rsid w:val="25386B0A"/>
    <w:rsid w:val="25515FF2"/>
    <w:rsid w:val="2552C58F"/>
    <w:rsid w:val="256F3796"/>
    <w:rsid w:val="265FB3CA"/>
    <w:rsid w:val="26A1F336"/>
    <w:rsid w:val="26AB1787"/>
    <w:rsid w:val="26ABCA10"/>
    <w:rsid w:val="26C69384"/>
    <w:rsid w:val="26D43B6B"/>
    <w:rsid w:val="27208774"/>
    <w:rsid w:val="27661D5E"/>
    <w:rsid w:val="27BB60F0"/>
    <w:rsid w:val="27CBBB90"/>
    <w:rsid w:val="27FFC8A7"/>
    <w:rsid w:val="282E7EFC"/>
    <w:rsid w:val="2846E7E8"/>
    <w:rsid w:val="28689954"/>
    <w:rsid w:val="29084807"/>
    <w:rsid w:val="2916B114"/>
    <w:rsid w:val="29273B3D"/>
    <w:rsid w:val="2939C1EA"/>
    <w:rsid w:val="293E4E9D"/>
    <w:rsid w:val="2983DEFA"/>
    <w:rsid w:val="2986EE20"/>
    <w:rsid w:val="298DD17C"/>
    <w:rsid w:val="29D8449E"/>
    <w:rsid w:val="2A08F3EF"/>
    <w:rsid w:val="2ACDEA96"/>
    <w:rsid w:val="2B67EF37"/>
    <w:rsid w:val="2B850BB2"/>
    <w:rsid w:val="2BBC7E56"/>
    <w:rsid w:val="2BC20713"/>
    <w:rsid w:val="2BF64E17"/>
    <w:rsid w:val="2BF89E39"/>
    <w:rsid w:val="2C1BAB3D"/>
    <w:rsid w:val="2C62F596"/>
    <w:rsid w:val="2CF14EC2"/>
    <w:rsid w:val="2CF6BD03"/>
    <w:rsid w:val="2D1CF0EE"/>
    <w:rsid w:val="2D6BC74F"/>
    <w:rsid w:val="2D92D06B"/>
    <w:rsid w:val="2DA63EE7"/>
    <w:rsid w:val="2DD55EE2"/>
    <w:rsid w:val="2DFBC844"/>
    <w:rsid w:val="2E1C8B78"/>
    <w:rsid w:val="2E1EB687"/>
    <w:rsid w:val="2E928D64"/>
    <w:rsid w:val="2EA723FC"/>
    <w:rsid w:val="2EBAB515"/>
    <w:rsid w:val="2F15076C"/>
    <w:rsid w:val="2F4E9CEF"/>
    <w:rsid w:val="2F680C10"/>
    <w:rsid w:val="2FA88A48"/>
    <w:rsid w:val="2FBE01AA"/>
    <w:rsid w:val="2FCC91FF"/>
    <w:rsid w:val="307B8258"/>
    <w:rsid w:val="30811B4A"/>
    <w:rsid w:val="30DB475D"/>
    <w:rsid w:val="310FE4C3"/>
    <w:rsid w:val="3121B53D"/>
    <w:rsid w:val="313140E4"/>
    <w:rsid w:val="3159D20B"/>
    <w:rsid w:val="318EC2EC"/>
    <w:rsid w:val="31C4BFE5"/>
    <w:rsid w:val="322F0968"/>
    <w:rsid w:val="32976AF3"/>
    <w:rsid w:val="32A32C4F"/>
    <w:rsid w:val="32BD859E"/>
    <w:rsid w:val="332A934D"/>
    <w:rsid w:val="334FDDFD"/>
    <w:rsid w:val="33901D97"/>
    <w:rsid w:val="33918815"/>
    <w:rsid w:val="33E13A70"/>
    <w:rsid w:val="33FA178C"/>
    <w:rsid w:val="34211FAF"/>
    <w:rsid w:val="34640BE5"/>
    <w:rsid w:val="349172CD"/>
    <w:rsid w:val="34E53F05"/>
    <w:rsid w:val="34F7243A"/>
    <w:rsid w:val="35949F73"/>
    <w:rsid w:val="35A8B0E7"/>
    <w:rsid w:val="35E1A84D"/>
    <w:rsid w:val="35E75BA2"/>
    <w:rsid w:val="35F2F224"/>
    <w:rsid w:val="362E1009"/>
    <w:rsid w:val="36377673"/>
    <w:rsid w:val="36BEAB9B"/>
    <w:rsid w:val="36E18CE3"/>
    <w:rsid w:val="36EAEC29"/>
    <w:rsid w:val="3755D836"/>
    <w:rsid w:val="3791623C"/>
    <w:rsid w:val="379B0E5B"/>
    <w:rsid w:val="38234F20"/>
    <w:rsid w:val="38323AAD"/>
    <w:rsid w:val="38880C56"/>
    <w:rsid w:val="38C638F3"/>
    <w:rsid w:val="3934C264"/>
    <w:rsid w:val="3936DEBC"/>
    <w:rsid w:val="39440CD5"/>
    <w:rsid w:val="3960CA2C"/>
    <w:rsid w:val="39959283"/>
    <w:rsid w:val="3A0F87E8"/>
    <w:rsid w:val="3A3410D1"/>
    <w:rsid w:val="3A53CA79"/>
    <w:rsid w:val="3A5CA1F7"/>
    <w:rsid w:val="3A6B7664"/>
    <w:rsid w:val="3A7DC07D"/>
    <w:rsid w:val="3A8FB344"/>
    <w:rsid w:val="3AA255AD"/>
    <w:rsid w:val="3AC5E860"/>
    <w:rsid w:val="3AC89783"/>
    <w:rsid w:val="3B0638FD"/>
    <w:rsid w:val="3B38F600"/>
    <w:rsid w:val="3BE5AC80"/>
    <w:rsid w:val="3BFE5933"/>
    <w:rsid w:val="3C148968"/>
    <w:rsid w:val="3CB7FC27"/>
    <w:rsid w:val="3CF6C043"/>
    <w:rsid w:val="3D1DD780"/>
    <w:rsid w:val="3D4773D2"/>
    <w:rsid w:val="3D68C2BC"/>
    <w:rsid w:val="3D7D4C2D"/>
    <w:rsid w:val="3D9342D6"/>
    <w:rsid w:val="3DE12A52"/>
    <w:rsid w:val="3DF3A949"/>
    <w:rsid w:val="3DF7C165"/>
    <w:rsid w:val="3E003845"/>
    <w:rsid w:val="3E337F0D"/>
    <w:rsid w:val="3EEB0731"/>
    <w:rsid w:val="3F4E504B"/>
    <w:rsid w:val="3F544274"/>
    <w:rsid w:val="3F6D42BA"/>
    <w:rsid w:val="3F7C7D87"/>
    <w:rsid w:val="3FC714BE"/>
    <w:rsid w:val="3FCD0E69"/>
    <w:rsid w:val="3FD2FD20"/>
    <w:rsid w:val="3FD4A735"/>
    <w:rsid w:val="40700B1D"/>
    <w:rsid w:val="40AB4548"/>
    <w:rsid w:val="40EB9C4D"/>
    <w:rsid w:val="41771254"/>
    <w:rsid w:val="41F148A3"/>
    <w:rsid w:val="4205814F"/>
    <w:rsid w:val="4205AD70"/>
    <w:rsid w:val="420BDB7E"/>
    <w:rsid w:val="4222BBF8"/>
    <w:rsid w:val="422DCD6B"/>
    <w:rsid w:val="42964CCD"/>
    <w:rsid w:val="42C3E473"/>
    <w:rsid w:val="42D8CCAE"/>
    <w:rsid w:val="42E01EE2"/>
    <w:rsid w:val="43A5A153"/>
    <w:rsid w:val="43CCBD11"/>
    <w:rsid w:val="445FB4D4"/>
    <w:rsid w:val="44AEB316"/>
    <w:rsid w:val="44F0CD22"/>
    <w:rsid w:val="450DE6DD"/>
    <w:rsid w:val="45FB8535"/>
    <w:rsid w:val="4621F2E2"/>
    <w:rsid w:val="46797260"/>
    <w:rsid w:val="4692737F"/>
    <w:rsid w:val="46970934"/>
    <w:rsid w:val="46DF4CA1"/>
    <w:rsid w:val="472C0BB2"/>
    <w:rsid w:val="47492EC3"/>
    <w:rsid w:val="4772C624"/>
    <w:rsid w:val="4788EF68"/>
    <w:rsid w:val="4795ED70"/>
    <w:rsid w:val="47A78606"/>
    <w:rsid w:val="47BD8AF9"/>
    <w:rsid w:val="47CD2B7B"/>
    <w:rsid w:val="47CDBBBA"/>
    <w:rsid w:val="48333378"/>
    <w:rsid w:val="487B1D02"/>
    <w:rsid w:val="4886944A"/>
    <w:rsid w:val="48D17E05"/>
    <w:rsid w:val="48DA6B23"/>
    <w:rsid w:val="49098278"/>
    <w:rsid w:val="49156DAE"/>
    <w:rsid w:val="493325F7"/>
    <w:rsid w:val="494DCA12"/>
    <w:rsid w:val="4991487B"/>
    <w:rsid w:val="49BE3C16"/>
    <w:rsid w:val="4A055CA4"/>
    <w:rsid w:val="4A0DD375"/>
    <w:rsid w:val="4A545E30"/>
    <w:rsid w:val="4A8D2E97"/>
    <w:rsid w:val="4A9C0934"/>
    <w:rsid w:val="4AC84E82"/>
    <w:rsid w:val="4B1448B8"/>
    <w:rsid w:val="4B65B5E3"/>
    <w:rsid w:val="4BB1A190"/>
    <w:rsid w:val="4C0A5DA5"/>
    <w:rsid w:val="4C120CC7"/>
    <w:rsid w:val="4C72C57F"/>
    <w:rsid w:val="4C788813"/>
    <w:rsid w:val="4C9474D5"/>
    <w:rsid w:val="4CB72C28"/>
    <w:rsid w:val="4CF2F26D"/>
    <w:rsid w:val="4CF98197"/>
    <w:rsid w:val="4D19328F"/>
    <w:rsid w:val="4D21FDC4"/>
    <w:rsid w:val="4D380671"/>
    <w:rsid w:val="4D382A1E"/>
    <w:rsid w:val="4D3F434B"/>
    <w:rsid w:val="4D41A831"/>
    <w:rsid w:val="4D6B3478"/>
    <w:rsid w:val="4D824902"/>
    <w:rsid w:val="4DCA7E55"/>
    <w:rsid w:val="4DE77EA3"/>
    <w:rsid w:val="4DF9768C"/>
    <w:rsid w:val="4E0E95E0"/>
    <w:rsid w:val="4E2BF4FF"/>
    <w:rsid w:val="4E2DA8EC"/>
    <w:rsid w:val="4E7B9305"/>
    <w:rsid w:val="4EB8C055"/>
    <w:rsid w:val="4EE998AA"/>
    <w:rsid w:val="4EFF86AE"/>
    <w:rsid w:val="4F49AD89"/>
    <w:rsid w:val="4FCA6049"/>
    <w:rsid w:val="4FEE1D00"/>
    <w:rsid w:val="4FF9FCEF"/>
    <w:rsid w:val="505490B6"/>
    <w:rsid w:val="50962EDE"/>
    <w:rsid w:val="519FCE47"/>
    <w:rsid w:val="51E019C1"/>
    <w:rsid w:val="5297BE3B"/>
    <w:rsid w:val="5336E98F"/>
    <w:rsid w:val="53BFF0E7"/>
    <w:rsid w:val="53D1CADC"/>
    <w:rsid w:val="53EF73E0"/>
    <w:rsid w:val="540F96CA"/>
    <w:rsid w:val="542ECE3D"/>
    <w:rsid w:val="546E2573"/>
    <w:rsid w:val="547DD764"/>
    <w:rsid w:val="5494815E"/>
    <w:rsid w:val="54A3B314"/>
    <w:rsid w:val="54AA0100"/>
    <w:rsid w:val="54EF7682"/>
    <w:rsid w:val="5510E0BD"/>
    <w:rsid w:val="552801D9"/>
    <w:rsid w:val="553EF16B"/>
    <w:rsid w:val="554DCC60"/>
    <w:rsid w:val="55B04E04"/>
    <w:rsid w:val="5627C6E8"/>
    <w:rsid w:val="56563E4E"/>
    <w:rsid w:val="565D5E84"/>
    <w:rsid w:val="5678FE7E"/>
    <w:rsid w:val="56BE836D"/>
    <w:rsid w:val="57644C1A"/>
    <w:rsid w:val="576DAB67"/>
    <w:rsid w:val="57724982"/>
    <w:rsid w:val="57964E6F"/>
    <w:rsid w:val="57C81D7B"/>
    <w:rsid w:val="57F35752"/>
    <w:rsid w:val="5814CEDF"/>
    <w:rsid w:val="5816C20B"/>
    <w:rsid w:val="585FA29B"/>
    <w:rsid w:val="588B10D8"/>
    <w:rsid w:val="58B6B4E4"/>
    <w:rsid w:val="5928C5EC"/>
    <w:rsid w:val="59514887"/>
    <w:rsid w:val="598E5D55"/>
    <w:rsid w:val="59BA5E0B"/>
    <w:rsid w:val="59CF2472"/>
    <w:rsid w:val="59DB9CBC"/>
    <w:rsid w:val="59E2BE49"/>
    <w:rsid w:val="59F44393"/>
    <w:rsid w:val="59F528F2"/>
    <w:rsid w:val="5A5EB564"/>
    <w:rsid w:val="5A9361A6"/>
    <w:rsid w:val="5A95A6D1"/>
    <w:rsid w:val="5ACDEF31"/>
    <w:rsid w:val="5AE9F2A8"/>
    <w:rsid w:val="5B411880"/>
    <w:rsid w:val="5B769EDE"/>
    <w:rsid w:val="5B90F953"/>
    <w:rsid w:val="5B918BB9"/>
    <w:rsid w:val="5BA0D03D"/>
    <w:rsid w:val="5BBC3943"/>
    <w:rsid w:val="5BEBEF94"/>
    <w:rsid w:val="5BFA85C5"/>
    <w:rsid w:val="5CBAC495"/>
    <w:rsid w:val="5CD845AF"/>
    <w:rsid w:val="5CE84002"/>
    <w:rsid w:val="5D2CC9B4"/>
    <w:rsid w:val="5D8EB143"/>
    <w:rsid w:val="5E14CB2F"/>
    <w:rsid w:val="5E1B5E51"/>
    <w:rsid w:val="5E22E049"/>
    <w:rsid w:val="5E262428"/>
    <w:rsid w:val="5E37BAE9"/>
    <w:rsid w:val="5E44B3B2"/>
    <w:rsid w:val="5E5FAF3B"/>
    <w:rsid w:val="5E89AD9E"/>
    <w:rsid w:val="5EAA2B0E"/>
    <w:rsid w:val="5EEAD302"/>
    <w:rsid w:val="5EF5ED54"/>
    <w:rsid w:val="5F700C8B"/>
    <w:rsid w:val="5F9151F9"/>
    <w:rsid w:val="6022033D"/>
    <w:rsid w:val="606AB480"/>
    <w:rsid w:val="609C0A22"/>
    <w:rsid w:val="609F2040"/>
    <w:rsid w:val="60D7FB14"/>
    <w:rsid w:val="614365C2"/>
    <w:rsid w:val="616F5BAB"/>
    <w:rsid w:val="61C20362"/>
    <w:rsid w:val="6222F761"/>
    <w:rsid w:val="623F26AC"/>
    <w:rsid w:val="62505A91"/>
    <w:rsid w:val="6251763A"/>
    <w:rsid w:val="6256F65E"/>
    <w:rsid w:val="62AF7418"/>
    <w:rsid w:val="62C588B5"/>
    <w:rsid w:val="62E41DBD"/>
    <w:rsid w:val="62F6B167"/>
    <w:rsid w:val="6312BDA8"/>
    <w:rsid w:val="632CB4F5"/>
    <w:rsid w:val="633044FC"/>
    <w:rsid w:val="633D13B4"/>
    <w:rsid w:val="6390CF9C"/>
    <w:rsid w:val="63FAAEDD"/>
    <w:rsid w:val="640F9BD6"/>
    <w:rsid w:val="6474D177"/>
    <w:rsid w:val="648AF201"/>
    <w:rsid w:val="64A695C7"/>
    <w:rsid w:val="64AE8E09"/>
    <w:rsid w:val="64DF009B"/>
    <w:rsid w:val="65214B88"/>
    <w:rsid w:val="653BA092"/>
    <w:rsid w:val="65652ED8"/>
    <w:rsid w:val="65688F34"/>
    <w:rsid w:val="657AE522"/>
    <w:rsid w:val="659CA7DA"/>
    <w:rsid w:val="65BB7444"/>
    <w:rsid w:val="65E8F38B"/>
    <w:rsid w:val="6602F856"/>
    <w:rsid w:val="661355A8"/>
    <w:rsid w:val="66360F7A"/>
    <w:rsid w:val="665ABE98"/>
    <w:rsid w:val="66740F42"/>
    <w:rsid w:val="667998C5"/>
    <w:rsid w:val="66E93060"/>
    <w:rsid w:val="66EFEF50"/>
    <w:rsid w:val="66F4BADB"/>
    <w:rsid w:val="670068D3"/>
    <w:rsid w:val="673BBA5F"/>
    <w:rsid w:val="678BFE2E"/>
    <w:rsid w:val="67AC7239"/>
    <w:rsid w:val="67BACE98"/>
    <w:rsid w:val="67D38976"/>
    <w:rsid w:val="67E1A899"/>
    <w:rsid w:val="67F64EDB"/>
    <w:rsid w:val="67F68EF9"/>
    <w:rsid w:val="67F77CD0"/>
    <w:rsid w:val="687DB3EB"/>
    <w:rsid w:val="69664719"/>
    <w:rsid w:val="6972A054"/>
    <w:rsid w:val="69751938"/>
    <w:rsid w:val="69762B82"/>
    <w:rsid w:val="697D78FA"/>
    <w:rsid w:val="69DCED92"/>
    <w:rsid w:val="6A2D642E"/>
    <w:rsid w:val="6A38ABA7"/>
    <w:rsid w:val="6A449798"/>
    <w:rsid w:val="6A51BA9C"/>
    <w:rsid w:val="6A6D5835"/>
    <w:rsid w:val="6ABAAD6D"/>
    <w:rsid w:val="6B11FBE3"/>
    <w:rsid w:val="6B482599"/>
    <w:rsid w:val="6BA777C6"/>
    <w:rsid w:val="6C362262"/>
    <w:rsid w:val="6CA34A9E"/>
    <w:rsid w:val="6CD31545"/>
    <w:rsid w:val="6CE9B7E5"/>
    <w:rsid w:val="6CF52858"/>
    <w:rsid w:val="6D238DD2"/>
    <w:rsid w:val="6DDAED29"/>
    <w:rsid w:val="6E2164FC"/>
    <w:rsid w:val="6E81A645"/>
    <w:rsid w:val="6E9EF539"/>
    <w:rsid w:val="6EA6BA77"/>
    <w:rsid w:val="6EEFEE33"/>
    <w:rsid w:val="6EF710D5"/>
    <w:rsid w:val="6F0F8F37"/>
    <w:rsid w:val="6F9353F5"/>
    <w:rsid w:val="6FE223C0"/>
    <w:rsid w:val="70111A92"/>
    <w:rsid w:val="70428AD8"/>
    <w:rsid w:val="7048EFD6"/>
    <w:rsid w:val="704F2FC0"/>
    <w:rsid w:val="70BA7AF0"/>
    <w:rsid w:val="70D3A255"/>
    <w:rsid w:val="70F5BA67"/>
    <w:rsid w:val="710E4401"/>
    <w:rsid w:val="720E0E2A"/>
    <w:rsid w:val="72555125"/>
    <w:rsid w:val="7291849B"/>
    <w:rsid w:val="72AD4059"/>
    <w:rsid w:val="738A2436"/>
    <w:rsid w:val="73C06692"/>
    <w:rsid w:val="73F9085D"/>
    <w:rsid w:val="74483FE6"/>
    <w:rsid w:val="745731D8"/>
    <w:rsid w:val="74A216AD"/>
    <w:rsid w:val="74DC5BA4"/>
    <w:rsid w:val="753F04CB"/>
    <w:rsid w:val="75658FD7"/>
    <w:rsid w:val="7584A84E"/>
    <w:rsid w:val="758E0FC2"/>
    <w:rsid w:val="759F4C69"/>
    <w:rsid w:val="766C851F"/>
    <w:rsid w:val="76819DF6"/>
    <w:rsid w:val="7692C5C6"/>
    <w:rsid w:val="76DAD52C"/>
    <w:rsid w:val="76E84F5B"/>
    <w:rsid w:val="771780C2"/>
    <w:rsid w:val="771CF68D"/>
    <w:rsid w:val="77DCFA44"/>
    <w:rsid w:val="78356919"/>
    <w:rsid w:val="7876FD9A"/>
    <w:rsid w:val="7878B387"/>
    <w:rsid w:val="789D3099"/>
    <w:rsid w:val="78BC4910"/>
    <w:rsid w:val="79014337"/>
    <w:rsid w:val="79257865"/>
    <w:rsid w:val="7929EB1A"/>
    <w:rsid w:val="795D546A"/>
    <w:rsid w:val="79603ABB"/>
    <w:rsid w:val="79A02656"/>
    <w:rsid w:val="79AB22D2"/>
    <w:rsid w:val="79CE87AC"/>
    <w:rsid w:val="79F4002D"/>
    <w:rsid w:val="7ADA6404"/>
    <w:rsid w:val="7B001C5B"/>
    <w:rsid w:val="7B149B06"/>
    <w:rsid w:val="7B8094FE"/>
    <w:rsid w:val="7C3E2C54"/>
    <w:rsid w:val="7CE89396"/>
    <w:rsid w:val="7D1514EA"/>
    <w:rsid w:val="7D57795F"/>
    <w:rsid w:val="7D7D82BC"/>
    <w:rsid w:val="7E3F19FF"/>
    <w:rsid w:val="7E4C3BC8"/>
    <w:rsid w:val="7E94E9FD"/>
    <w:rsid w:val="7E95936D"/>
    <w:rsid w:val="7E9C0960"/>
    <w:rsid w:val="7EBB483F"/>
    <w:rsid w:val="7F01A173"/>
    <w:rsid w:val="7F3DF5A8"/>
    <w:rsid w:val="7F7084BB"/>
    <w:rsid w:val="7FD19E57"/>
    <w:rsid w:val="7FE8AF34"/>
    <w:rsid w:val="7FF399E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14CB2F"/>
  <w15:chartTrackingRefBased/>
  <w15:docId w15:val="{E461A978-8259-4135-BC57-3C231CB8FF8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FootnoteReference" mc:Ignorable="w14">
    <w:basedOn xmlns:w="http://schemas.openxmlformats.org/wordprocessingml/2006/main" w:val="DefaultParagraphFont"/>
    <w:name xmlns:w="http://schemas.openxmlformats.org/wordprocessingml/2006/main" w:val="footnote reference"/>
    <w:rPr xmlns:w="http://schemas.openxmlformats.org/wordprocessingml/2006/main">
      <w:vertAlign w:val="superscript"/>
    </w:rPr>
    <w:semiHidden xmlns:w="http://schemas.openxmlformats.org/wordprocessingml/2006/main"/>
    <w:uiPriority xmlns:w="http://schemas.openxmlformats.org/wordprocessingml/2006/main" w:val="99"/>
    <w:unhideWhenUsed xmlns:w="http://schemas.openxmlformats.org/wordprocessingml/2006/main"/>
  </w:style>
  <w:style xmlns:w14="http://schemas.microsoft.com/office/word/2010/wordml" xmlns:mc="http://schemas.openxmlformats.org/markup-compatibility/2006" xmlns:w="http://schemas.openxmlformats.org/wordprocessingml/2006/main" w:type="character" w:styleId="FootnoteTextChar" w:customStyle="1" mc:Ignorable="w14">
    <w:name xmlns:w="http://schemas.openxmlformats.org/wordprocessingml/2006/main" w:val="Footnote Text Char"/>
    <w:basedOn xmlns:w="http://schemas.openxmlformats.org/wordprocessingml/2006/main" w:val="DefaultParagraphFont"/>
    <w:link xmlns:w="http://schemas.openxmlformats.org/wordprocessingml/2006/main" w:val="FootnoteText"/>
    <w:rPr xmlns:w="http://schemas.openxmlformats.org/wordprocessingml/2006/main">
      <w:sz w:val="20"/>
      <w:szCs w:val="20"/>
    </w:rPr>
    <w:semiHidden xmlns:w="http://schemas.openxmlformats.org/wordprocessingml/2006/main"/>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noteText" mc:Ignorable="w14">
    <w:basedOn xmlns:w="http://schemas.openxmlformats.org/wordprocessingml/2006/main" w:val="Normal"/>
    <w:link xmlns:w="http://schemas.openxmlformats.org/wordprocessingml/2006/main" w:val="FootnoteTextChar"/>
    <w:name xmlns:w="http://schemas.openxmlformats.org/wordprocessingml/2006/main" w:val="footnote text"/>
    <w:pPr xmlns:w="http://schemas.openxmlformats.org/wordprocessingml/2006/main">
      <w:spacing xmlns:w="http://schemas.openxmlformats.org/wordprocessingml/2006/main" w:after="0" w:line="240" w:lineRule="auto"/>
    </w:pPr>
    <w:rPr xmlns:w="http://schemas.openxmlformats.org/wordprocessingml/2006/main">
      <w:sz w:val="20"/>
      <w:szCs w:val="20"/>
    </w:rPr>
    <w:semiHidden xmlns:w="http://schemas.openxmlformats.org/wordprocessingml/2006/main"/>
    <w:uiPriority xmlns:w="http://schemas.openxmlformats.org/wordprocessingml/2006/main" w:val="99"/>
    <w:unhideWhenUsed xmlns:w="http://schemas.openxmlformats.org/wordprocessingml/2006/main"/>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numbering" Target="numbering.xml" Id="Rafc34345ec6f4355" /><Relationship Type="http://schemas.openxmlformats.org/officeDocument/2006/relationships/footnotes" Target="footnotes.xml" Id="R56f0b4bb62934430" /><Relationship Type="http://schemas.microsoft.com/office/2020/10/relationships/intelligence" Target="intelligence2.xml" Id="Ra069d54d5aa14b6f"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2024-04-30T23:47:29.6589443Z</dcterms:created>
  <dcterms:modified xsi:type="dcterms:W3CDTF">2024-05-12T16:27:11.9426761Z</dcterms:modified>
  <dc:creator>Jasmine Rees (2320833)</dc:creator>
  <lastModifiedBy>Jasmine Rees (2320833)</lastModifiedBy>
</coreProperties>
</file>