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5A614A" w14:textId="46CBFA12" w:rsidR="007969F4" w:rsidRDefault="005160FD" w:rsidP="005160FD">
      <w:pPr>
        <w:pStyle w:val="Normal1"/>
        <w:spacing w:line="360" w:lineRule="auto"/>
        <w:jc w:val="cente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Report Case Study: Urban Heights Hotel</w:t>
      </w:r>
    </w:p>
    <w:p w14:paraId="35F6B43E" w14:textId="77777777" w:rsidR="005160FD" w:rsidRDefault="005160FD" w:rsidP="005160FD">
      <w:pPr>
        <w:pStyle w:val="Normal1"/>
        <w:spacing w:line="360" w:lineRule="auto"/>
        <w:rPr>
          <w:rFonts w:ascii="Times New Roman" w:eastAsia="Times New Roman" w:hAnsi="Times New Roman" w:cs="Times New Roman"/>
          <w:b/>
          <w:sz w:val="40"/>
          <w:szCs w:val="40"/>
          <w:lang w:val="en-GB"/>
        </w:rPr>
      </w:pPr>
    </w:p>
    <w:p w14:paraId="0893CF48" w14:textId="77777777" w:rsidR="005160FD" w:rsidRDefault="005160FD" w:rsidP="005160FD">
      <w:pPr>
        <w:pStyle w:val="Normal1"/>
        <w:spacing w:line="360" w:lineRule="auto"/>
        <w:rPr>
          <w:rFonts w:ascii="Times New Roman" w:eastAsia="Times New Roman" w:hAnsi="Times New Roman" w:cs="Times New Roman"/>
          <w:b/>
          <w:sz w:val="40"/>
          <w:szCs w:val="40"/>
          <w:lang w:val="en-GB"/>
        </w:rPr>
      </w:pPr>
    </w:p>
    <w:p w14:paraId="3B16744B" w14:textId="73B1C5FA" w:rsidR="005160FD" w:rsidRDefault="005160FD" w:rsidP="005160FD">
      <w:pPr>
        <w:pStyle w:val="Normal1"/>
        <w:spacing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Student Name: Cristina Maria Silva Pita</w:t>
      </w:r>
    </w:p>
    <w:p w14:paraId="06E144A9" w14:textId="38D5EFB0" w:rsidR="005160FD" w:rsidRDefault="005160FD" w:rsidP="005160FD">
      <w:pPr>
        <w:pStyle w:val="Normal1"/>
        <w:spacing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ID Number: 2228861</w:t>
      </w:r>
    </w:p>
    <w:p w14:paraId="2DFB6F15" w14:textId="04D98FF6" w:rsidR="005160FD" w:rsidRDefault="005160FD" w:rsidP="005160FD">
      <w:pPr>
        <w:pStyle w:val="Normal1"/>
        <w:spacing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Module: Financial Management for the Hotel Industry</w:t>
      </w:r>
    </w:p>
    <w:p w14:paraId="52D2CE5A" w14:textId="29C4B61B" w:rsidR="005160FD" w:rsidRDefault="005160FD" w:rsidP="005160FD">
      <w:pPr>
        <w:pStyle w:val="Normal1"/>
        <w:spacing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Module Code: BMIH5007</w:t>
      </w:r>
    </w:p>
    <w:p w14:paraId="40D8B755" w14:textId="7CEC1F90" w:rsidR="005160FD" w:rsidRPr="005160FD" w:rsidRDefault="005160FD" w:rsidP="005160FD">
      <w:pPr>
        <w:pStyle w:val="Normal1"/>
        <w:spacing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Tutor Name: Tristan Hawkins</w:t>
      </w:r>
    </w:p>
    <w:p w14:paraId="74F461DE" w14:textId="77777777" w:rsidR="005160FD" w:rsidRDefault="005160FD" w:rsidP="007662B8">
      <w:pPr>
        <w:pStyle w:val="Normal1"/>
        <w:spacing w:line="360" w:lineRule="auto"/>
        <w:jc w:val="center"/>
        <w:rPr>
          <w:rFonts w:ascii="Times New Roman" w:eastAsia="Times New Roman" w:hAnsi="Times New Roman" w:cs="Times New Roman"/>
          <w:b/>
          <w:sz w:val="40"/>
          <w:szCs w:val="40"/>
          <w:lang w:val="en-GB"/>
        </w:rPr>
      </w:pPr>
    </w:p>
    <w:p w14:paraId="78C20C3B" w14:textId="77777777" w:rsidR="005160FD" w:rsidRPr="005160FD" w:rsidRDefault="005160FD" w:rsidP="007662B8">
      <w:pPr>
        <w:pStyle w:val="Normal1"/>
        <w:spacing w:line="360" w:lineRule="auto"/>
        <w:jc w:val="center"/>
        <w:rPr>
          <w:rFonts w:ascii="Times New Roman" w:eastAsia="Times New Roman" w:hAnsi="Times New Roman" w:cs="Times New Roman"/>
          <w:b/>
          <w:sz w:val="40"/>
          <w:szCs w:val="40"/>
          <w:lang w:val="en-GB"/>
        </w:rPr>
      </w:pPr>
    </w:p>
    <w:p w14:paraId="66EE80D7" w14:textId="77777777" w:rsidR="007969F4" w:rsidRDefault="007969F4">
      <w:pPr>
        <w:pStyle w:val="Heading1"/>
        <w:jc w:val="center"/>
        <w:rPr>
          <w:lang w:val="en-GB"/>
        </w:rPr>
      </w:pPr>
      <w:bookmarkStart w:id="0" w:name="_p6ompoi7724m" w:colFirst="0" w:colLast="0"/>
      <w:bookmarkEnd w:id="0"/>
    </w:p>
    <w:p w14:paraId="43505EB6" w14:textId="77777777" w:rsidR="00374917" w:rsidRDefault="00374917" w:rsidP="00374917">
      <w:pPr>
        <w:pStyle w:val="Normal1"/>
        <w:rPr>
          <w:lang w:val="en-GB"/>
        </w:rPr>
      </w:pPr>
    </w:p>
    <w:p w14:paraId="3FAAB07E" w14:textId="77777777" w:rsidR="00374917" w:rsidRPr="00374917" w:rsidRDefault="00374917" w:rsidP="00374917">
      <w:pPr>
        <w:pStyle w:val="Normal1"/>
        <w:rPr>
          <w:lang w:val="en-GB"/>
        </w:rPr>
      </w:pPr>
    </w:p>
    <w:p w14:paraId="66D194CA" w14:textId="77777777" w:rsidR="007969F4" w:rsidRPr="00FB56DB" w:rsidRDefault="007969F4">
      <w:pPr>
        <w:pStyle w:val="Heading1"/>
        <w:jc w:val="center"/>
        <w:rPr>
          <w:lang w:val="en-GB"/>
        </w:rPr>
      </w:pPr>
      <w:bookmarkStart w:id="1" w:name="_xtpnbfgdhphr" w:colFirst="0" w:colLast="0"/>
      <w:bookmarkEnd w:id="1"/>
    </w:p>
    <w:p w14:paraId="1145FDAD" w14:textId="77777777" w:rsidR="007969F4" w:rsidRDefault="007969F4">
      <w:pPr>
        <w:pStyle w:val="Heading1"/>
        <w:jc w:val="center"/>
        <w:rPr>
          <w:lang w:val="en-GB"/>
        </w:rPr>
      </w:pPr>
      <w:bookmarkStart w:id="2" w:name="_tsqf7gt8xcbs" w:colFirst="0" w:colLast="0"/>
      <w:bookmarkEnd w:id="2"/>
    </w:p>
    <w:p w14:paraId="452185BA" w14:textId="77777777" w:rsidR="000270E4" w:rsidRDefault="000270E4" w:rsidP="000270E4">
      <w:pPr>
        <w:pStyle w:val="Normal1"/>
        <w:rPr>
          <w:lang w:val="en-GB"/>
        </w:rPr>
      </w:pPr>
    </w:p>
    <w:p w14:paraId="32140D08" w14:textId="77777777" w:rsidR="000270E4" w:rsidRDefault="000270E4" w:rsidP="000270E4">
      <w:pPr>
        <w:pStyle w:val="Normal1"/>
        <w:rPr>
          <w:lang w:val="en-GB"/>
        </w:rPr>
      </w:pPr>
    </w:p>
    <w:p w14:paraId="4644CB4A" w14:textId="77777777" w:rsidR="000270E4" w:rsidRDefault="000270E4" w:rsidP="000270E4">
      <w:pPr>
        <w:pStyle w:val="Normal1"/>
        <w:rPr>
          <w:lang w:val="en-GB"/>
        </w:rPr>
      </w:pPr>
    </w:p>
    <w:p w14:paraId="5837B87D" w14:textId="77777777" w:rsidR="000270E4" w:rsidRPr="000270E4" w:rsidRDefault="000270E4" w:rsidP="000270E4">
      <w:pPr>
        <w:pStyle w:val="Normal1"/>
        <w:rPr>
          <w:lang w:val="en-GB"/>
        </w:rPr>
      </w:pPr>
    </w:p>
    <w:p w14:paraId="40A0A1E8" w14:textId="77777777" w:rsidR="002D4287" w:rsidRPr="00FB56DB" w:rsidRDefault="002D4287" w:rsidP="002D4287">
      <w:pPr>
        <w:pStyle w:val="Normal1"/>
        <w:rPr>
          <w:rFonts w:ascii="Times New Roman" w:eastAsia="Times New Roman" w:hAnsi="Times New Roman" w:cs="Times New Roman"/>
          <w:sz w:val="24"/>
          <w:szCs w:val="24"/>
          <w:lang w:val="en-GB"/>
        </w:rPr>
      </w:pPr>
      <w:bookmarkStart w:id="3" w:name="_z80wye8gr7ql" w:colFirst="0" w:colLast="0"/>
      <w:bookmarkEnd w:id="3"/>
      <w:r w:rsidRPr="00FB56DB">
        <w:rPr>
          <w:lang w:val="en-GB"/>
        </w:rPr>
        <w:br w:type="page"/>
      </w:r>
    </w:p>
    <w:sdt>
      <w:sdtPr>
        <w:rPr>
          <w:rFonts w:ascii="Times New Roman" w:eastAsia="Arial" w:hAnsi="Times New Roman" w:cs="Times New Roman"/>
          <w:b w:val="0"/>
          <w:bCs w:val="0"/>
          <w:color w:val="auto"/>
          <w:sz w:val="24"/>
          <w:szCs w:val="24"/>
          <w:lang w:val="en-GB" w:eastAsia="en-IN"/>
        </w:rPr>
        <w:id w:val="70685944"/>
        <w:docPartObj>
          <w:docPartGallery w:val="Table of Contents"/>
          <w:docPartUnique/>
        </w:docPartObj>
      </w:sdtPr>
      <w:sdtContent>
        <w:p w14:paraId="6D701353" w14:textId="77777777" w:rsidR="002D4287" w:rsidRPr="00FB56DB" w:rsidRDefault="002D4287" w:rsidP="002D4287">
          <w:pPr>
            <w:pStyle w:val="TOCHeading"/>
            <w:spacing w:line="360" w:lineRule="auto"/>
            <w:jc w:val="center"/>
            <w:rPr>
              <w:rFonts w:ascii="Times New Roman" w:hAnsi="Times New Roman" w:cs="Times New Roman"/>
              <w:sz w:val="24"/>
              <w:szCs w:val="24"/>
              <w:lang w:val="en-GB"/>
            </w:rPr>
          </w:pPr>
          <w:r w:rsidRPr="00FB56DB">
            <w:rPr>
              <w:rFonts w:ascii="Times New Roman" w:hAnsi="Times New Roman" w:cs="Times New Roman"/>
              <w:color w:val="000000" w:themeColor="text1"/>
              <w:sz w:val="24"/>
              <w:szCs w:val="24"/>
              <w:lang w:val="en-GB"/>
            </w:rPr>
            <w:t>Table of Contents</w:t>
          </w:r>
        </w:p>
        <w:p w14:paraId="68A9E5BB" w14:textId="5FA71ECE" w:rsidR="00571693" w:rsidRDefault="006A3285">
          <w:pPr>
            <w:pStyle w:val="TOC1"/>
            <w:tabs>
              <w:tab w:val="right" w:leader="dot" w:pos="9019"/>
            </w:tabs>
            <w:rPr>
              <w:rFonts w:asciiTheme="minorHAnsi" w:eastAsiaTheme="minorEastAsia" w:hAnsiTheme="minorHAnsi" w:cs="Vrinda"/>
              <w:noProof/>
              <w:kern w:val="2"/>
              <w:sz w:val="24"/>
              <w:szCs w:val="30"/>
              <w:lang w:eastAsia="en-GB" w:bidi="bn-IN"/>
              <w14:ligatures w14:val="standardContextual"/>
            </w:rPr>
          </w:pPr>
          <w:r w:rsidRPr="00FB56DB">
            <w:rPr>
              <w:rFonts w:ascii="Times New Roman" w:hAnsi="Times New Roman" w:cs="Times New Roman"/>
              <w:sz w:val="24"/>
              <w:szCs w:val="24"/>
              <w:lang w:val="en-GB"/>
            </w:rPr>
            <w:fldChar w:fldCharType="begin"/>
          </w:r>
          <w:r w:rsidR="002D4287" w:rsidRPr="00FB56DB">
            <w:rPr>
              <w:rFonts w:ascii="Times New Roman" w:hAnsi="Times New Roman" w:cs="Times New Roman"/>
              <w:sz w:val="24"/>
              <w:szCs w:val="24"/>
              <w:lang w:val="en-GB"/>
            </w:rPr>
            <w:instrText xml:space="preserve"> TOC \o "1-3" \h \z \u </w:instrText>
          </w:r>
          <w:r w:rsidRPr="00FB56DB">
            <w:rPr>
              <w:rFonts w:ascii="Times New Roman" w:hAnsi="Times New Roman" w:cs="Times New Roman"/>
              <w:sz w:val="24"/>
              <w:szCs w:val="24"/>
              <w:lang w:val="en-GB"/>
            </w:rPr>
            <w:fldChar w:fldCharType="separate"/>
          </w:r>
          <w:hyperlink w:anchor="_Toc168537187" w:history="1">
            <w:r w:rsidR="00571693" w:rsidRPr="00F36A21">
              <w:rPr>
                <w:rStyle w:val="Hyperlink"/>
                <w:noProof/>
                <w:lang w:val="en-GB"/>
              </w:rPr>
              <w:t>1. Introduction</w:t>
            </w:r>
            <w:r w:rsidR="00571693">
              <w:rPr>
                <w:noProof/>
                <w:webHidden/>
              </w:rPr>
              <w:tab/>
            </w:r>
            <w:r w:rsidR="00571693">
              <w:rPr>
                <w:noProof/>
                <w:webHidden/>
              </w:rPr>
              <w:fldChar w:fldCharType="begin"/>
            </w:r>
            <w:r w:rsidR="00571693">
              <w:rPr>
                <w:noProof/>
                <w:webHidden/>
              </w:rPr>
              <w:instrText xml:space="preserve"> PAGEREF _Toc168537187 \h </w:instrText>
            </w:r>
            <w:r w:rsidR="00571693">
              <w:rPr>
                <w:noProof/>
                <w:webHidden/>
              </w:rPr>
            </w:r>
            <w:r w:rsidR="00571693">
              <w:rPr>
                <w:noProof/>
                <w:webHidden/>
              </w:rPr>
              <w:fldChar w:fldCharType="separate"/>
            </w:r>
            <w:r w:rsidR="00571693">
              <w:rPr>
                <w:noProof/>
                <w:webHidden/>
              </w:rPr>
              <w:t>3</w:t>
            </w:r>
            <w:r w:rsidR="00571693">
              <w:rPr>
                <w:noProof/>
                <w:webHidden/>
              </w:rPr>
              <w:fldChar w:fldCharType="end"/>
            </w:r>
          </w:hyperlink>
        </w:p>
        <w:p w14:paraId="58DF1F3C" w14:textId="28AD79F5" w:rsidR="00571693" w:rsidRDefault="00000000">
          <w:pPr>
            <w:pStyle w:val="TOC1"/>
            <w:tabs>
              <w:tab w:val="right" w:leader="dot" w:pos="9019"/>
            </w:tabs>
            <w:rPr>
              <w:rFonts w:asciiTheme="minorHAnsi" w:eastAsiaTheme="minorEastAsia" w:hAnsiTheme="minorHAnsi" w:cs="Vrinda"/>
              <w:noProof/>
              <w:kern w:val="2"/>
              <w:sz w:val="24"/>
              <w:szCs w:val="30"/>
              <w:lang w:eastAsia="en-GB" w:bidi="bn-IN"/>
              <w14:ligatures w14:val="standardContextual"/>
            </w:rPr>
          </w:pPr>
          <w:hyperlink w:anchor="_Toc168537188" w:history="1">
            <w:r w:rsidR="00571693" w:rsidRPr="00F36A21">
              <w:rPr>
                <w:rStyle w:val="Hyperlink"/>
                <w:noProof/>
                <w:lang w:val="en-GB"/>
              </w:rPr>
              <w:t>2. Financial Performance Analysis</w:t>
            </w:r>
            <w:r w:rsidR="00571693">
              <w:rPr>
                <w:noProof/>
                <w:webHidden/>
              </w:rPr>
              <w:tab/>
            </w:r>
            <w:r w:rsidR="00571693">
              <w:rPr>
                <w:noProof/>
                <w:webHidden/>
              </w:rPr>
              <w:fldChar w:fldCharType="begin"/>
            </w:r>
            <w:r w:rsidR="00571693">
              <w:rPr>
                <w:noProof/>
                <w:webHidden/>
              </w:rPr>
              <w:instrText xml:space="preserve"> PAGEREF _Toc168537188 \h </w:instrText>
            </w:r>
            <w:r w:rsidR="00571693">
              <w:rPr>
                <w:noProof/>
                <w:webHidden/>
              </w:rPr>
            </w:r>
            <w:r w:rsidR="00571693">
              <w:rPr>
                <w:noProof/>
                <w:webHidden/>
              </w:rPr>
              <w:fldChar w:fldCharType="separate"/>
            </w:r>
            <w:r w:rsidR="00571693">
              <w:rPr>
                <w:noProof/>
                <w:webHidden/>
              </w:rPr>
              <w:t>3</w:t>
            </w:r>
            <w:r w:rsidR="00571693">
              <w:rPr>
                <w:noProof/>
                <w:webHidden/>
              </w:rPr>
              <w:fldChar w:fldCharType="end"/>
            </w:r>
          </w:hyperlink>
        </w:p>
        <w:p w14:paraId="02BE14A5" w14:textId="4F2115AB" w:rsidR="00571693" w:rsidRDefault="00000000">
          <w:pPr>
            <w:pStyle w:val="TOC2"/>
            <w:tabs>
              <w:tab w:val="right" w:leader="dot" w:pos="9019"/>
            </w:tabs>
            <w:rPr>
              <w:rFonts w:asciiTheme="minorHAnsi" w:eastAsiaTheme="minorEastAsia" w:hAnsiTheme="minorHAnsi" w:cs="Vrinda"/>
              <w:noProof/>
              <w:kern w:val="2"/>
              <w:sz w:val="24"/>
              <w:szCs w:val="30"/>
              <w:lang w:eastAsia="en-GB" w:bidi="bn-IN"/>
              <w14:ligatures w14:val="standardContextual"/>
            </w:rPr>
          </w:pPr>
          <w:hyperlink w:anchor="_Toc168537189" w:history="1">
            <w:r w:rsidR="00571693" w:rsidRPr="00F36A21">
              <w:rPr>
                <w:rStyle w:val="Hyperlink"/>
                <w:noProof/>
                <w:lang w:val="en-GB"/>
              </w:rPr>
              <w:t>2.1 Revenue Analysis</w:t>
            </w:r>
            <w:r w:rsidR="00571693">
              <w:rPr>
                <w:noProof/>
                <w:webHidden/>
              </w:rPr>
              <w:tab/>
            </w:r>
            <w:r w:rsidR="00571693">
              <w:rPr>
                <w:noProof/>
                <w:webHidden/>
              </w:rPr>
              <w:fldChar w:fldCharType="begin"/>
            </w:r>
            <w:r w:rsidR="00571693">
              <w:rPr>
                <w:noProof/>
                <w:webHidden/>
              </w:rPr>
              <w:instrText xml:space="preserve"> PAGEREF _Toc168537189 \h </w:instrText>
            </w:r>
            <w:r w:rsidR="00571693">
              <w:rPr>
                <w:noProof/>
                <w:webHidden/>
              </w:rPr>
            </w:r>
            <w:r w:rsidR="00571693">
              <w:rPr>
                <w:noProof/>
                <w:webHidden/>
              </w:rPr>
              <w:fldChar w:fldCharType="separate"/>
            </w:r>
            <w:r w:rsidR="00571693">
              <w:rPr>
                <w:noProof/>
                <w:webHidden/>
              </w:rPr>
              <w:t>4</w:t>
            </w:r>
            <w:r w:rsidR="00571693">
              <w:rPr>
                <w:noProof/>
                <w:webHidden/>
              </w:rPr>
              <w:fldChar w:fldCharType="end"/>
            </w:r>
          </w:hyperlink>
        </w:p>
        <w:p w14:paraId="512ABB3B" w14:textId="4DB8E3FD" w:rsidR="00571693" w:rsidRDefault="00000000">
          <w:pPr>
            <w:pStyle w:val="TOC2"/>
            <w:tabs>
              <w:tab w:val="right" w:leader="dot" w:pos="9019"/>
            </w:tabs>
            <w:rPr>
              <w:rFonts w:asciiTheme="minorHAnsi" w:eastAsiaTheme="minorEastAsia" w:hAnsiTheme="minorHAnsi" w:cs="Vrinda"/>
              <w:noProof/>
              <w:kern w:val="2"/>
              <w:sz w:val="24"/>
              <w:szCs w:val="30"/>
              <w:lang w:eastAsia="en-GB" w:bidi="bn-IN"/>
              <w14:ligatures w14:val="standardContextual"/>
            </w:rPr>
          </w:pPr>
          <w:hyperlink w:anchor="_Toc168537190" w:history="1">
            <w:r w:rsidR="00571693" w:rsidRPr="00F36A21">
              <w:rPr>
                <w:rStyle w:val="Hyperlink"/>
                <w:noProof/>
                <w:lang w:val="en-GB"/>
              </w:rPr>
              <w:t>2.2 Expense Analysis</w:t>
            </w:r>
            <w:r w:rsidR="00571693">
              <w:rPr>
                <w:noProof/>
                <w:webHidden/>
              </w:rPr>
              <w:tab/>
            </w:r>
            <w:r w:rsidR="00571693">
              <w:rPr>
                <w:noProof/>
                <w:webHidden/>
              </w:rPr>
              <w:fldChar w:fldCharType="begin"/>
            </w:r>
            <w:r w:rsidR="00571693">
              <w:rPr>
                <w:noProof/>
                <w:webHidden/>
              </w:rPr>
              <w:instrText xml:space="preserve"> PAGEREF _Toc168537190 \h </w:instrText>
            </w:r>
            <w:r w:rsidR="00571693">
              <w:rPr>
                <w:noProof/>
                <w:webHidden/>
              </w:rPr>
            </w:r>
            <w:r w:rsidR="00571693">
              <w:rPr>
                <w:noProof/>
                <w:webHidden/>
              </w:rPr>
              <w:fldChar w:fldCharType="separate"/>
            </w:r>
            <w:r w:rsidR="00571693">
              <w:rPr>
                <w:noProof/>
                <w:webHidden/>
              </w:rPr>
              <w:t>4</w:t>
            </w:r>
            <w:r w:rsidR="00571693">
              <w:rPr>
                <w:noProof/>
                <w:webHidden/>
              </w:rPr>
              <w:fldChar w:fldCharType="end"/>
            </w:r>
          </w:hyperlink>
        </w:p>
        <w:p w14:paraId="6F5DB69A" w14:textId="09D9DE6F" w:rsidR="00571693" w:rsidRDefault="00000000">
          <w:pPr>
            <w:pStyle w:val="TOC2"/>
            <w:tabs>
              <w:tab w:val="right" w:leader="dot" w:pos="9019"/>
            </w:tabs>
            <w:rPr>
              <w:rFonts w:asciiTheme="minorHAnsi" w:eastAsiaTheme="minorEastAsia" w:hAnsiTheme="minorHAnsi" w:cs="Vrinda"/>
              <w:noProof/>
              <w:kern w:val="2"/>
              <w:sz w:val="24"/>
              <w:szCs w:val="30"/>
              <w:lang w:eastAsia="en-GB" w:bidi="bn-IN"/>
              <w14:ligatures w14:val="standardContextual"/>
            </w:rPr>
          </w:pPr>
          <w:hyperlink w:anchor="_Toc168537191" w:history="1">
            <w:r w:rsidR="00571693" w:rsidRPr="00F36A21">
              <w:rPr>
                <w:rStyle w:val="Hyperlink"/>
                <w:noProof/>
                <w:lang w:val="en-GB"/>
              </w:rPr>
              <w:t>2.3 Profitability Analysis</w:t>
            </w:r>
            <w:r w:rsidR="00571693">
              <w:rPr>
                <w:noProof/>
                <w:webHidden/>
              </w:rPr>
              <w:tab/>
            </w:r>
            <w:r w:rsidR="00571693">
              <w:rPr>
                <w:noProof/>
                <w:webHidden/>
              </w:rPr>
              <w:fldChar w:fldCharType="begin"/>
            </w:r>
            <w:r w:rsidR="00571693">
              <w:rPr>
                <w:noProof/>
                <w:webHidden/>
              </w:rPr>
              <w:instrText xml:space="preserve"> PAGEREF _Toc168537191 \h </w:instrText>
            </w:r>
            <w:r w:rsidR="00571693">
              <w:rPr>
                <w:noProof/>
                <w:webHidden/>
              </w:rPr>
            </w:r>
            <w:r w:rsidR="00571693">
              <w:rPr>
                <w:noProof/>
                <w:webHidden/>
              </w:rPr>
              <w:fldChar w:fldCharType="separate"/>
            </w:r>
            <w:r w:rsidR="00571693">
              <w:rPr>
                <w:noProof/>
                <w:webHidden/>
              </w:rPr>
              <w:t>4</w:t>
            </w:r>
            <w:r w:rsidR="00571693">
              <w:rPr>
                <w:noProof/>
                <w:webHidden/>
              </w:rPr>
              <w:fldChar w:fldCharType="end"/>
            </w:r>
          </w:hyperlink>
        </w:p>
        <w:p w14:paraId="79331F90" w14:textId="60C220C6" w:rsidR="00571693" w:rsidRDefault="00000000">
          <w:pPr>
            <w:pStyle w:val="TOC2"/>
            <w:tabs>
              <w:tab w:val="right" w:leader="dot" w:pos="9019"/>
            </w:tabs>
            <w:rPr>
              <w:rFonts w:asciiTheme="minorHAnsi" w:eastAsiaTheme="minorEastAsia" w:hAnsiTheme="minorHAnsi" w:cs="Vrinda"/>
              <w:noProof/>
              <w:kern w:val="2"/>
              <w:sz w:val="24"/>
              <w:szCs w:val="30"/>
              <w:lang w:eastAsia="en-GB" w:bidi="bn-IN"/>
              <w14:ligatures w14:val="standardContextual"/>
            </w:rPr>
          </w:pPr>
          <w:hyperlink w:anchor="_Toc168537192" w:history="1">
            <w:r w:rsidR="00571693" w:rsidRPr="00F36A21">
              <w:rPr>
                <w:rStyle w:val="Hyperlink"/>
                <w:noProof/>
                <w:lang w:val="en-GB"/>
              </w:rPr>
              <w:t>2.4 Liquidity Analysis</w:t>
            </w:r>
            <w:r w:rsidR="00571693">
              <w:rPr>
                <w:noProof/>
                <w:webHidden/>
              </w:rPr>
              <w:tab/>
            </w:r>
            <w:r w:rsidR="00571693">
              <w:rPr>
                <w:noProof/>
                <w:webHidden/>
              </w:rPr>
              <w:fldChar w:fldCharType="begin"/>
            </w:r>
            <w:r w:rsidR="00571693">
              <w:rPr>
                <w:noProof/>
                <w:webHidden/>
              </w:rPr>
              <w:instrText xml:space="preserve"> PAGEREF _Toc168537192 \h </w:instrText>
            </w:r>
            <w:r w:rsidR="00571693">
              <w:rPr>
                <w:noProof/>
                <w:webHidden/>
              </w:rPr>
            </w:r>
            <w:r w:rsidR="00571693">
              <w:rPr>
                <w:noProof/>
                <w:webHidden/>
              </w:rPr>
              <w:fldChar w:fldCharType="separate"/>
            </w:r>
            <w:r w:rsidR="00571693">
              <w:rPr>
                <w:noProof/>
                <w:webHidden/>
              </w:rPr>
              <w:t>5</w:t>
            </w:r>
            <w:r w:rsidR="00571693">
              <w:rPr>
                <w:noProof/>
                <w:webHidden/>
              </w:rPr>
              <w:fldChar w:fldCharType="end"/>
            </w:r>
          </w:hyperlink>
        </w:p>
        <w:p w14:paraId="394ECDA0" w14:textId="4FD46332" w:rsidR="00571693" w:rsidRDefault="00000000">
          <w:pPr>
            <w:pStyle w:val="TOC2"/>
            <w:tabs>
              <w:tab w:val="right" w:leader="dot" w:pos="9019"/>
            </w:tabs>
            <w:rPr>
              <w:rFonts w:asciiTheme="minorHAnsi" w:eastAsiaTheme="minorEastAsia" w:hAnsiTheme="minorHAnsi" w:cs="Vrinda"/>
              <w:noProof/>
              <w:kern w:val="2"/>
              <w:sz w:val="24"/>
              <w:szCs w:val="30"/>
              <w:lang w:eastAsia="en-GB" w:bidi="bn-IN"/>
              <w14:ligatures w14:val="standardContextual"/>
            </w:rPr>
          </w:pPr>
          <w:hyperlink w:anchor="_Toc168537193" w:history="1">
            <w:r w:rsidR="00571693" w:rsidRPr="00F36A21">
              <w:rPr>
                <w:rStyle w:val="Hyperlink"/>
                <w:noProof/>
                <w:lang w:val="en-GB"/>
              </w:rPr>
              <w:t>2.5 Solvency Analysis</w:t>
            </w:r>
            <w:r w:rsidR="00571693">
              <w:rPr>
                <w:noProof/>
                <w:webHidden/>
              </w:rPr>
              <w:tab/>
            </w:r>
            <w:r w:rsidR="00571693">
              <w:rPr>
                <w:noProof/>
                <w:webHidden/>
              </w:rPr>
              <w:fldChar w:fldCharType="begin"/>
            </w:r>
            <w:r w:rsidR="00571693">
              <w:rPr>
                <w:noProof/>
                <w:webHidden/>
              </w:rPr>
              <w:instrText xml:space="preserve"> PAGEREF _Toc168537193 \h </w:instrText>
            </w:r>
            <w:r w:rsidR="00571693">
              <w:rPr>
                <w:noProof/>
                <w:webHidden/>
              </w:rPr>
            </w:r>
            <w:r w:rsidR="00571693">
              <w:rPr>
                <w:noProof/>
                <w:webHidden/>
              </w:rPr>
              <w:fldChar w:fldCharType="separate"/>
            </w:r>
            <w:r w:rsidR="00571693">
              <w:rPr>
                <w:noProof/>
                <w:webHidden/>
              </w:rPr>
              <w:t>5</w:t>
            </w:r>
            <w:r w:rsidR="00571693">
              <w:rPr>
                <w:noProof/>
                <w:webHidden/>
              </w:rPr>
              <w:fldChar w:fldCharType="end"/>
            </w:r>
          </w:hyperlink>
        </w:p>
        <w:p w14:paraId="1F3345C6" w14:textId="70F520CF" w:rsidR="00571693" w:rsidRDefault="00000000">
          <w:pPr>
            <w:pStyle w:val="TOC2"/>
            <w:tabs>
              <w:tab w:val="right" w:leader="dot" w:pos="9019"/>
            </w:tabs>
            <w:rPr>
              <w:rFonts w:asciiTheme="minorHAnsi" w:eastAsiaTheme="minorEastAsia" w:hAnsiTheme="minorHAnsi" w:cs="Vrinda"/>
              <w:noProof/>
              <w:kern w:val="2"/>
              <w:sz w:val="24"/>
              <w:szCs w:val="30"/>
              <w:lang w:eastAsia="en-GB" w:bidi="bn-IN"/>
              <w14:ligatures w14:val="standardContextual"/>
            </w:rPr>
          </w:pPr>
          <w:hyperlink w:anchor="_Toc168537194" w:history="1">
            <w:r w:rsidR="00571693" w:rsidRPr="00F36A21">
              <w:rPr>
                <w:rStyle w:val="Hyperlink"/>
                <w:noProof/>
                <w:lang w:val="en-GB"/>
              </w:rPr>
              <w:t>2.6 Financial Ratio Analysis</w:t>
            </w:r>
            <w:r w:rsidR="00571693">
              <w:rPr>
                <w:noProof/>
                <w:webHidden/>
              </w:rPr>
              <w:tab/>
            </w:r>
            <w:r w:rsidR="00571693">
              <w:rPr>
                <w:noProof/>
                <w:webHidden/>
              </w:rPr>
              <w:fldChar w:fldCharType="begin"/>
            </w:r>
            <w:r w:rsidR="00571693">
              <w:rPr>
                <w:noProof/>
                <w:webHidden/>
              </w:rPr>
              <w:instrText xml:space="preserve"> PAGEREF _Toc168537194 \h </w:instrText>
            </w:r>
            <w:r w:rsidR="00571693">
              <w:rPr>
                <w:noProof/>
                <w:webHidden/>
              </w:rPr>
            </w:r>
            <w:r w:rsidR="00571693">
              <w:rPr>
                <w:noProof/>
                <w:webHidden/>
              </w:rPr>
              <w:fldChar w:fldCharType="separate"/>
            </w:r>
            <w:r w:rsidR="00571693">
              <w:rPr>
                <w:noProof/>
                <w:webHidden/>
              </w:rPr>
              <w:t>5</w:t>
            </w:r>
            <w:r w:rsidR="00571693">
              <w:rPr>
                <w:noProof/>
                <w:webHidden/>
              </w:rPr>
              <w:fldChar w:fldCharType="end"/>
            </w:r>
          </w:hyperlink>
        </w:p>
        <w:p w14:paraId="0D087DD2" w14:textId="63EF2C79" w:rsidR="00571693" w:rsidRDefault="00000000">
          <w:pPr>
            <w:pStyle w:val="TOC1"/>
            <w:tabs>
              <w:tab w:val="right" w:leader="dot" w:pos="9019"/>
            </w:tabs>
            <w:rPr>
              <w:rFonts w:asciiTheme="minorHAnsi" w:eastAsiaTheme="minorEastAsia" w:hAnsiTheme="minorHAnsi" w:cs="Vrinda"/>
              <w:noProof/>
              <w:kern w:val="2"/>
              <w:sz w:val="24"/>
              <w:szCs w:val="30"/>
              <w:lang w:eastAsia="en-GB" w:bidi="bn-IN"/>
              <w14:ligatures w14:val="standardContextual"/>
            </w:rPr>
          </w:pPr>
          <w:hyperlink w:anchor="_Toc168537195" w:history="1">
            <w:r w:rsidR="00571693" w:rsidRPr="00F36A21">
              <w:rPr>
                <w:rStyle w:val="Hyperlink"/>
                <w:noProof/>
                <w:lang w:val="en-GB"/>
              </w:rPr>
              <w:t>3. Key Reasons for Decline in Profitability</w:t>
            </w:r>
            <w:r w:rsidR="00571693">
              <w:rPr>
                <w:noProof/>
                <w:webHidden/>
              </w:rPr>
              <w:tab/>
            </w:r>
            <w:r w:rsidR="00571693">
              <w:rPr>
                <w:noProof/>
                <w:webHidden/>
              </w:rPr>
              <w:fldChar w:fldCharType="begin"/>
            </w:r>
            <w:r w:rsidR="00571693">
              <w:rPr>
                <w:noProof/>
                <w:webHidden/>
              </w:rPr>
              <w:instrText xml:space="preserve"> PAGEREF _Toc168537195 \h </w:instrText>
            </w:r>
            <w:r w:rsidR="00571693">
              <w:rPr>
                <w:noProof/>
                <w:webHidden/>
              </w:rPr>
            </w:r>
            <w:r w:rsidR="00571693">
              <w:rPr>
                <w:noProof/>
                <w:webHidden/>
              </w:rPr>
              <w:fldChar w:fldCharType="separate"/>
            </w:r>
            <w:r w:rsidR="00571693">
              <w:rPr>
                <w:noProof/>
                <w:webHidden/>
              </w:rPr>
              <w:t>7</w:t>
            </w:r>
            <w:r w:rsidR="00571693">
              <w:rPr>
                <w:noProof/>
                <w:webHidden/>
              </w:rPr>
              <w:fldChar w:fldCharType="end"/>
            </w:r>
          </w:hyperlink>
        </w:p>
        <w:p w14:paraId="19CFA04E" w14:textId="38E8BCAD" w:rsidR="00571693" w:rsidRDefault="00000000">
          <w:pPr>
            <w:pStyle w:val="TOC1"/>
            <w:tabs>
              <w:tab w:val="right" w:leader="dot" w:pos="9019"/>
            </w:tabs>
            <w:rPr>
              <w:rFonts w:asciiTheme="minorHAnsi" w:eastAsiaTheme="minorEastAsia" w:hAnsiTheme="minorHAnsi" w:cs="Vrinda"/>
              <w:noProof/>
              <w:kern w:val="2"/>
              <w:sz w:val="24"/>
              <w:szCs w:val="30"/>
              <w:lang w:eastAsia="en-GB" w:bidi="bn-IN"/>
              <w14:ligatures w14:val="standardContextual"/>
            </w:rPr>
          </w:pPr>
          <w:hyperlink w:anchor="_Toc168537196" w:history="1">
            <w:r w:rsidR="00571693" w:rsidRPr="00F36A21">
              <w:rPr>
                <w:rStyle w:val="Hyperlink"/>
                <w:noProof/>
                <w:lang w:val="en-GB"/>
              </w:rPr>
              <w:t>4. Recommendations</w:t>
            </w:r>
            <w:r w:rsidR="00571693">
              <w:rPr>
                <w:noProof/>
                <w:webHidden/>
              </w:rPr>
              <w:tab/>
            </w:r>
            <w:r w:rsidR="00571693">
              <w:rPr>
                <w:noProof/>
                <w:webHidden/>
              </w:rPr>
              <w:fldChar w:fldCharType="begin"/>
            </w:r>
            <w:r w:rsidR="00571693">
              <w:rPr>
                <w:noProof/>
                <w:webHidden/>
              </w:rPr>
              <w:instrText xml:space="preserve"> PAGEREF _Toc168537196 \h </w:instrText>
            </w:r>
            <w:r w:rsidR="00571693">
              <w:rPr>
                <w:noProof/>
                <w:webHidden/>
              </w:rPr>
            </w:r>
            <w:r w:rsidR="00571693">
              <w:rPr>
                <w:noProof/>
                <w:webHidden/>
              </w:rPr>
              <w:fldChar w:fldCharType="separate"/>
            </w:r>
            <w:r w:rsidR="00571693">
              <w:rPr>
                <w:noProof/>
                <w:webHidden/>
              </w:rPr>
              <w:t>8</w:t>
            </w:r>
            <w:r w:rsidR="00571693">
              <w:rPr>
                <w:noProof/>
                <w:webHidden/>
              </w:rPr>
              <w:fldChar w:fldCharType="end"/>
            </w:r>
          </w:hyperlink>
        </w:p>
        <w:p w14:paraId="4D45A0F5" w14:textId="7489C506" w:rsidR="00571693" w:rsidRDefault="00000000">
          <w:pPr>
            <w:pStyle w:val="TOC1"/>
            <w:tabs>
              <w:tab w:val="right" w:leader="dot" w:pos="9019"/>
            </w:tabs>
            <w:rPr>
              <w:rFonts w:asciiTheme="minorHAnsi" w:eastAsiaTheme="minorEastAsia" w:hAnsiTheme="minorHAnsi" w:cs="Vrinda"/>
              <w:noProof/>
              <w:kern w:val="2"/>
              <w:sz w:val="24"/>
              <w:szCs w:val="30"/>
              <w:lang w:eastAsia="en-GB" w:bidi="bn-IN"/>
              <w14:ligatures w14:val="standardContextual"/>
            </w:rPr>
          </w:pPr>
          <w:hyperlink w:anchor="_Toc168537197" w:history="1">
            <w:r w:rsidR="00571693" w:rsidRPr="00F36A21">
              <w:rPr>
                <w:rStyle w:val="Hyperlink"/>
                <w:noProof/>
                <w:lang w:val="en-GB"/>
              </w:rPr>
              <w:t>5. Conclusion</w:t>
            </w:r>
            <w:r w:rsidR="00571693">
              <w:rPr>
                <w:noProof/>
                <w:webHidden/>
              </w:rPr>
              <w:tab/>
            </w:r>
            <w:r w:rsidR="00571693">
              <w:rPr>
                <w:noProof/>
                <w:webHidden/>
              </w:rPr>
              <w:fldChar w:fldCharType="begin"/>
            </w:r>
            <w:r w:rsidR="00571693">
              <w:rPr>
                <w:noProof/>
                <w:webHidden/>
              </w:rPr>
              <w:instrText xml:space="preserve"> PAGEREF _Toc168537197 \h </w:instrText>
            </w:r>
            <w:r w:rsidR="00571693">
              <w:rPr>
                <w:noProof/>
                <w:webHidden/>
              </w:rPr>
            </w:r>
            <w:r w:rsidR="00571693">
              <w:rPr>
                <w:noProof/>
                <w:webHidden/>
              </w:rPr>
              <w:fldChar w:fldCharType="separate"/>
            </w:r>
            <w:r w:rsidR="00571693">
              <w:rPr>
                <w:noProof/>
                <w:webHidden/>
              </w:rPr>
              <w:t>9</w:t>
            </w:r>
            <w:r w:rsidR="00571693">
              <w:rPr>
                <w:noProof/>
                <w:webHidden/>
              </w:rPr>
              <w:fldChar w:fldCharType="end"/>
            </w:r>
          </w:hyperlink>
        </w:p>
        <w:p w14:paraId="033CC1EE" w14:textId="2D3CA35D" w:rsidR="00571693" w:rsidRDefault="00000000">
          <w:pPr>
            <w:pStyle w:val="TOC1"/>
            <w:tabs>
              <w:tab w:val="right" w:leader="dot" w:pos="9019"/>
            </w:tabs>
            <w:rPr>
              <w:rFonts w:asciiTheme="minorHAnsi" w:eastAsiaTheme="minorEastAsia" w:hAnsiTheme="minorHAnsi" w:cs="Vrinda"/>
              <w:noProof/>
              <w:kern w:val="2"/>
              <w:sz w:val="24"/>
              <w:szCs w:val="30"/>
              <w:lang w:eastAsia="en-GB" w:bidi="bn-IN"/>
              <w14:ligatures w14:val="standardContextual"/>
            </w:rPr>
          </w:pPr>
          <w:hyperlink w:anchor="_Toc168537198" w:history="1">
            <w:r w:rsidR="00571693" w:rsidRPr="00F36A21">
              <w:rPr>
                <w:rStyle w:val="Hyperlink"/>
                <w:noProof/>
                <w:lang w:val="en-GB"/>
              </w:rPr>
              <w:t>References</w:t>
            </w:r>
            <w:r w:rsidR="00571693">
              <w:rPr>
                <w:noProof/>
                <w:webHidden/>
              </w:rPr>
              <w:tab/>
            </w:r>
            <w:r w:rsidR="00571693">
              <w:rPr>
                <w:noProof/>
                <w:webHidden/>
              </w:rPr>
              <w:fldChar w:fldCharType="begin"/>
            </w:r>
            <w:r w:rsidR="00571693">
              <w:rPr>
                <w:noProof/>
                <w:webHidden/>
              </w:rPr>
              <w:instrText xml:space="preserve"> PAGEREF _Toc168537198 \h </w:instrText>
            </w:r>
            <w:r w:rsidR="00571693">
              <w:rPr>
                <w:noProof/>
                <w:webHidden/>
              </w:rPr>
            </w:r>
            <w:r w:rsidR="00571693">
              <w:rPr>
                <w:noProof/>
                <w:webHidden/>
              </w:rPr>
              <w:fldChar w:fldCharType="separate"/>
            </w:r>
            <w:r w:rsidR="00571693">
              <w:rPr>
                <w:noProof/>
                <w:webHidden/>
              </w:rPr>
              <w:t>10</w:t>
            </w:r>
            <w:r w:rsidR="00571693">
              <w:rPr>
                <w:noProof/>
                <w:webHidden/>
              </w:rPr>
              <w:fldChar w:fldCharType="end"/>
            </w:r>
          </w:hyperlink>
        </w:p>
        <w:p w14:paraId="512472E0" w14:textId="4CE882A7" w:rsidR="002D4287" w:rsidRPr="00FB56DB" w:rsidRDefault="006A3285" w:rsidP="002D4287">
          <w:pPr>
            <w:spacing w:line="360" w:lineRule="auto"/>
            <w:jc w:val="both"/>
            <w:rPr>
              <w:rFonts w:ascii="Times New Roman" w:hAnsi="Times New Roman" w:cs="Times New Roman"/>
              <w:sz w:val="24"/>
              <w:szCs w:val="24"/>
              <w:lang w:val="en-GB"/>
            </w:rPr>
          </w:pPr>
          <w:r w:rsidRPr="00FB56DB">
            <w:rPr>
              <w:rFonts w:ascii="Times New Roman" w:hAnsi="Times New Roman" w:cs="Times New Roman"/>
              <w:sz w:val="24"/>
              <w:szCs w:val="24"/>
              <w:lang w:val="en-GB"/>
            </w:rPr>
            <w:fldChar w:fldCharType="end"/>
          </w:r>
        </w:p>
      </w:sdtContent>
    </w:sdt>
    <w:p w14:paraId="7E57CE3E" w14:textId="77777777" w:rsidR="007969F4" w:rsidRPr="00FB56DB" w:rsidRDefault="007B1277" w:rsidP="002D4287">
      <w:pPr>
        <w:pStyle w:val="Heading1"/>
        <w:jc w:val="both"/>
        <w:rPr>
          <w:lang w:val="en-GB"/>
        </w:rPr>
      </w:pPr>
      <w:r w:rsidRPr="00FB56DB">
        <w:rPr>
          <w:lang w:val="en-GB"/>
        </w:rPr>
        <w:br w:type="page"/>
      </w:r>
    </w:p>
    <w:p w14:paraId="09901CAF" w14:textId="77777777" w:rsidR="007969F4" w:rsidRPr="00FB56DB" w:rsidRDefault="007B1277">
      <w:pPr>
        <w:pStyle w:val="Heading1"/>
        <w:jc w:val="both"/>
        <w:rPr>
          <w:lang w:val="en-GB"/>
        </w:rPr>
      </w:pPr>
      <w:bookmarkStart w:id="4" w:name="_h7ks1o2q3mq" w:colFirst="0" w:colLast="0"/>
      <w:bookmarkStart w:id="5" w:name="_Toc168537187"/>
      <w:bookmarkEnd w:id="4"/>
      <w:r w:rsidRPr="00FB56DB">
        <w:rPr>
          <w:lang w:val="en-GB"/>
        </w:rPr>
        <w:lastRenderedPageBreak/>
        <w:t>1. Introduction</w:t>
      </w:r>
      <w:bookmarkEnd w:id="5"/>
      <w:r w:rsidRPr="00FB56DB">
        <w:rPr>
          <w:lang w:val="en-GB"/>
        </w:rPr>
        <w:t xml:space="preserve"> </w:t>
      </w:r>
    </w:p>
    <w:p w14:paraId="78A9184C" w14:textId="76A21274" w:rsidR="007969F4" w:rsidRPr="00571693" w:rsidRDefault="00571693">
      <w:pPr>
        <w:pStyle w:val="Normal1"/>
        <w:spacing w:line="360" w:lineRule="auto"/>
        <w:jc w:val="both"/>
        <w:rPr>
          <w:rFonts w:eastAsia="Times New Roman"/>
          <w:sz w:val="24"/>
          <w:szCs w:val="24"/>
          <w:lang w:val="en-GB"/>
        </w:rPr>
      </w:pPr>
      <w:r w:rsidRPr="00571693">
        <w:rPr>
          <w:sz w:val="24"/>
          <w:szCs w:val="24"/>
        </w:rPr>
        <w:t>The following study will assess Urban Heights hotel finances and performance. The hotel's reputation and future sustainability are threatened by declining income, occupancy, and customer satisfaction. It will calculate hotel financial ratios from financial statements. This study will examine the causes of changes in profitability, liquidity, solvency, revenue, and expenses. It may also explain the hotel's falling profitability. It will also outline a strategy to address the hotel's falling finances</w:t>
      </w:r>
      <w:r w:rsidR="007B1277" w:rsidRPr="00571693">
        <w:rPr>
          <w:rFonts w:eastAsia="Times New Roman"/>
          <w:sz w:val="24"/>
          <w:szCs w:val="24"/>
          <w:lang w:val="en-GB"/>
        </w:rPr>
        <w:t xml:space="preserve">.  </w:t>
      </w:r>
    </w:p>
    <w:p w14:paraId="0A161AB1" w14:textId="77777777" w:rsidR="007969F4" w:rsidRPr="00FB56DB" w:rsidRDefault="007B1277">
      <w:pPr>
        <w:pStyle w:val="Heading1"/>
        <w:jc w:val="both"/>
        <w:rPr>
          <w:lang w:val="en-GB"/>
        </w:rPr>
      </w:pPr>
      <w:bookmarkStart w:id="6" w:name="_bqcgi148h6tr" w:colFirst="0" w:colLast="0"/>
      <w:bookmarkStart w:id="7" w:name="_Toc168537188"/>
      <w:bookmarkEnd w:id="6"/>
      <w:r w:rsidRPr="00FB56DB">
        <w:rPr>
          <w:lang w:val="en-GB"/>
        </w:rPr>
        <w:t>2. Financial Performance Analysis</w:t>
      </w:r>
      <w:bookmarkEnd w:id="7"/>
    </w:p>
    <w:p w14:paraId="0D0AAE2D" w14:textId="77777777" w:rsidR="007969F4" w:rsidRPr="00FB56DB" w:rsidRDefault="007B1277">
      <w:pPr>
        <w:pStyle w:val="Normal1"/>
        <w:spacing w:line="360" w:lineRule="auto"/>
        <w:jc w:val="both"/>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Income Statement (in GBP)</w:t>
      </w:r>
    </w:p>
    <w:tbl>
      <w:tblPr>
        <w:tblStyle w:val="a"/>
        <w:tblW w:w="9025" w:type="dxa"/>
        <w:tblBorders>
          <w:top w:val="nil"/>
          <w:left w:val="nil"/>
          <w:bottom w:val="nil"/>
          <w:right w:val="nil"/>
          <w:insideH w:val="nil"/>
          <w:insideV w:val="nil"/>
        </w:tblBorders>
        <w:tblLayout w:type="fixed"/>
        <w:tblLook w:val="0600" w:firstRow="0" w:lastRow="0" w:firstColumn="0" w:lastColumn="0" w:noHBand="1" w:noVBand="1"/>
      </w:tblPr>
      <w:tblGrid>
        <w:gridCol w:w="3313"/>
        <w:gridCol w:w="1904"/>
        <w:gridCol w:w="1904"/>
        <w:gridCol w:w="1904"/>
      </w:tblGrid>
      <w:tr w:rsidR="007969F4" w:rsidRPr="00FB56DB" w14:paraId="09B3E723" w14:textId="77777777">
        <w:trPr>
          <w:cantSplit/>
          <w:trHeight w:val="345"/>
          <w:tblHeader/>
        </w:trPr>
        <w:tc>
          <w:tcPr>
            <w:tcW w:w="3313" w:type="dxa"/>
            <w:tcBorders>
              <w:top w:val="single" w:sz="6" w:space="0" w:color="002060"/>
              <w:left w:val="single" w:sz="6" w:space="0" w:color="002060"/>
              <w:bottom w:val="single" w:sz="6" w:space="0" w:color="002060"/>
              <w:right w:val="single" w:sz="6" w:space="0" w:color="002060"/>
            </w:tcBorders>
            <w:shd w:val="clear" w:color="auto" w:fill="1155CC"/>
            <w:tcMar>
              <w:top w:w="0" w:type="dxa"/>
              <w:left w:w="100" w:type="dxa"/>
              <w:bottom w:w="0" w:type="dxa"/>
              <w:right w:w="100" w:type="dxa"/>
            </w:tcMar>
          </w:tcPr>
          <w:p w14:paraId="6DC8BED3" w14:textId="77777777" w:rsidR="007969F4" w:rsidRPr="00FB56DB" w:rsidRDefault="007B1277">
            <w:pPr>
              <w:pStyle w:val="Normal1"/>
              <w:spacing w:before="240" w:line="360" w:lineRule="auto"/>
              <w:jc w:val="both"/>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Item</w:t>
            </w:r>
          </w:p>
        </w:tc>
        <w:tc>
          <w:tcPr>
            <w:tcW w:w="1904" w:type="dxa"/>
            <w:tcBorders>
              <w:top w:val="single" w:sz="6" w:space="0" w:color="002060"/>
              <w:left w:val="nil"/>
              <w:bottom w:val="single" w:sz="6" w:space="0" w:color="002060"/>
              <w:right w:val="single" w:sz="6" w:space="0" w:color="002060"/>
            </w:tcBorders>
            <w:shd w:val="clear" w:color="auto" w:fill="1155CC"/>
            <w:tcMar>
              <w:top w:w="0" w:type="dxa"/>
              <w:left w:w="100" w:type="dxa"/>
              <w:bottom w:w="0" w:type="dxa"/>
              <w:right w:w="100" w:type="dxa"/>
            </w:tcMar>
          </w:tcPr>
          <w:p w14:paraId="494D939F"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2021</w:t>
            </w:r>
          </w:p>
        </w:tc>
        <w:tc>
          <w:tcPr>
            <w:tcW w:w="1904" w:type="dxa"/>
            <w:tcBorders>
              <w:top w:val="single" w:sz="6" w:space="0" w:color="002060"/>
              <w:left w:val="nil"/>
              <w:bottom w:val="single" w:sz="6" w:space="0" w:color="002060"/>
              <w:right w:val="single" w:sz="6" w:space="0" w:color="002060"/>
            </w:tcBorders>
            <w:shd w:val="clear" w:color="auto" w:fill="1155CC"/>
            <w:tcMar>
              <w:top w:w="0" w:type="dxa"/>
              <w:left w:w="100" w:type="dxa"/>
              <w:bottom w:w="0" w:type="dxa"/>
              <w:right w:w="100" w:type="dxa"/>
            </w:tcMar>
          </w:tcPr>
          <w:p w14:paraId="4025150D"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2022</w:t>
            </w:r>
          </w:p>
        </w:tc>
        <w:tc>
          <w:tcPr>
            <w:tcW w:w="1904" w:type="dxa"/>
            <w:tcBorders>
              <w:top w:val="single" w:sz="6" w:space="0" w:color="002060"/>
              <w:left w:val="nil"/>
              <w:bottom w:val="single" w:sz="6" w:space="0" w:color="002060"/>
              <w:right w:val="single" w:sz="6" w:space="0" w:color="002060"/>
            </w:tcBorders>
            <w:shd w:val="clear" w:color="auto" w:fill="1155CC"/>
            <w:tcMar>
              <w:top w:w="0" w:type="dxa"/>
              <w:left w:w="100" w:type="dxa"/>
              <w:bottom w:w="0" w:type="dxa"/>
              <w:right w:w="100" w:type="dxa"/>
            </w:tcMar>
          </w:tcPr>
          <w:p w14:paraId="69A568D7"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2023</w:t>
            </w:r>
          </w:p>
        </w:tc>
      </w:tr>
      <w:tr w:rsidR="007969F4" w:rsidRPr="00FB56DB" w14:paraId="47B47194" w14:textId="77777777">
        <w:trPr>
          <w:cantSplit/>
          <w:trHeight w:val="345"/>
          <w:tblHeader/>
        </w:trPr>
        <w:tc>
          <w:tcPr>
            <w:tcW w:w="3313" w:type="dxa"/>
            <w:tcBorders>
              <w:top w:val="nil"/>
              <w:left w:val="single" w:sz="6" w:space="0" w:color="002060"/>
              <w:bottom w:val="single" w:sz="6" w:space="0" w:color="002060"/>
              <w:right w:val="single" w:sz="6" w:space="0" w:color="002060"/>
            </w:tcBorders>
            <w:shd w:val="clear" w:color="auto" w:fill="93C47D"/>
            <w:tcMar>
              <w:top w:w="0" w:type="dxa"/>
              <w:left w:w="100" w:type="dxa"/>
              <w:bottom w:w="0" w:type="dxa"/>
              <w:right w:w="100" w:type="dxa"/>
            </w:tcMar>
          </w:tcPr>
          <w:p w14:paraId="55B6D3D3" w14:textId="77777777" w:rsidR="007969F4" w:rsidRPr="00FB56DB" w:rsidRDefault="007B1277">
            <w:pPr>
              <w:pStyle w:val="Normal1"/>
              <w:spacing w:before="240" w:line="360" w:lineRule="auto"/>
              <w:jc w:val="both"/>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Revenue</w:t>
            </w:r>
          </w:p>
        </w:tc>
        <w:tc>
          <w:tcPr>
            <w:tcW w:w="1904" w:type="dxa"/>
            <w:tcBorders>
              <w:top w:val="nil"/>
              <w:left w:val="nil"/>
              <w:bottom w:val="single" w:sz="6" w:space="0" w:color="002060"/>
              <w:right w:val="single" w:sz="6" w:space="0" w:color="002060"/>
            </w:tcBorders>
            <w:shd w:val="clear" w:color="auto" w:fill="B4C6E7"/>
            <w:tcMar>
              <w:top w:w="0" w:type="dxa"/>
              <w:left w:w="100" w:type="dxa"/>
              <w:bottom w:w="0" w:type="dxa"/>
              <w:right w:w="100" w:type="dxa"/>
            </w:tcMar>
          </w:tcPr>
          <w:p w14:paraId="61E922A3"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£2,500,000</w:t>
            </w:r>
          </w:p>
        </w:tc>
        <w:tc>
          <w:tcPr>
            <w:tcW w:w="1904" w:type="dxa"/>
            <w:tcBorders>
              <w:top w:val="nil"/>
              <w:left w:val="nil"/>
              <w:bottom w:val="single" w:sz="6" w:space="0" w:color="002060"/>
              <w:right w:val="single" w:sz="6" w:space="0" w:color="002060"/>
            </w:tcBorders>
            <w:shd w:val="clear" w:color="auto" w:fill="B4C6E7"/>
            <w:tcMar>
              <w:top w:w="0" w:type="dxa"/>
              <w:left w:w="100" w:type="dxa"/>
              <w:bottom w:w="0" w:type="dxa"/>
              <w:right w:w="100" w:type="dxa"/>
            </w:tcMar>
          </w:tcPr>
          <w:p w14:paraId="47E2B103"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£2,200,000</w:t>
            </w:r>
          </w:p>
        </w:tc>
        <w:tc>
          <w:tcPr>
            <w:tcW w:w="1904" w:type="dxa"/>
            <w:tcBorders>
              <w:top w:val="nil"/>
              <w:left w:val="nil"/>
              <w:bottom w:val="single" w:sz="6" w:space="0" w:color="002060"/>
              <w:right w:val="single" w:sz="6" w:space="0" w:color="002060"/>
            </w:tcBorders>
            <w:shd w:val="clear" w:color="auto" w:fill="B4C6E7"/>
            <w:tcMar>
              <w:top w:w="0" w:type="dxa"/>
              <w:left w:w="100" w:type="dxa"/>
              <w:bottom w:w="0" w:type="dxa"/>
              <w:right w:w="100" w:type="dxa"/>
            </w:tcMar>
          </w:tcPr>
          <w:p w14:paraId="5EADAC36"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£1,800,000</w:t>
            </w:r>
          </w:p>
        </w:tc>
      </w:tr>
      <w:tr w:rsidR="007969F4" w:rsidRPr="00FB56DB" w14:paraId="6848760B" w14:textId="77777777">
        <w:trPr>
          <w:cantSplit/>
          <w:trHeight w:val="345"/>
          <w:tblHeader/>
        </w:trPr>
        <w:tc>
          <w:tcPr>
            <w:tcW w:w="3313" w:type="dxa"/>
            <w:tcBorders>
              <w:top w:val="nil"/>
              <w:left w:val="single" w:sz="6" w:space="0" w:color="002060"/>
              <w:bottom w:val="single" w:sz="6" w:space="0" w:color="002060"/>
              <w:right w:val="single" w:sz="6" w:space="0" w:color="002060"/>
            </w:tcBorders>
            <w:shd w:val="clear" w:color="auto" w:fill="93C47D"/>
            <w:tcMar>
              <w:top w:w="0" w:type="dxa"/>
              <w:left w:w="100" w:type="dxa"/>
              <w:bottom w:w="0" w:type="dxa"/>
              <w:right w:w="100" w:type="dxa"/>
            </w:tcMar>
          </w:tcPr>
          <w:p w14:paraId="70760C0F" w14:textId="77777777" w:rsidR="007969F4" w:rsidRPr="00FB56DB" w:rsidRDefault="007B1277">
            <w:pPr>
              <w:pStyle w:val="Normal1"/>
              <w:spacing w:before="240" w:line="360" w:lineRule="auto"/>
              <w:jc w:val="both"/>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Operating Expenses</w:t>
            </w:r>
          </w:p>
        </w:tc>
        <w:tc>
          <w:tcPr>
            <w:tcW w:w="1904" w:type="dxa"/>
            <w:tcBorders>
              <w:top w:val="nil"/>
              <w:left w:val="nil"/>
              <w:bottom w:val="single" w:sz="6" w:space="0" w:color="002060"/>
              <w:right w:val="single" w:sz="6" w:space="0" w:color="002060"/>
            </w:tcBorders>
            <w:shd w:val="clear" w:color="auto" w:fill="D9E2F3"/>
            <w:tcMar>
              <w:top w:w="0" w:type="dxa"/>
              <w:left w:w="100" w:type="dxa"/>
              <w:bottom w:w="0" w:type="dxa"/>
              <w:right w:w="100" w:type="dxa"/>
            </w:tcMar>
          </w:tcPr>
          <w:p w14:paraId="7BB99EB8"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£1,800,000</w:t>
            </w:r>
          </w:p>
        </w:tc>
        <w:tc>
          <w:tcPr>
            <w:tcW w:w="1904" w:type="dxa"/>
            <w:tcBorders>
              <w:top w:val="nil"/>
              <w:left w:val="nil"/>
              <w:bottom w:val="single" w:sz="6" w:space="0" w:color="002060"/>
              <w:right w:val="single" w:sz="6" w:space="0" w:color="002060"/>
            </w:tcBorders>
            <w:shd w:val="clear" w:color="auto" w:fill="D9E2F3"/>
            <w:tcMar>
              <w:top w:w="0" w:type="dxa"/>
              <w:left w:w="100" w:type="dxa"/>
              <w:bottom w:w="0" w:type="dxa"/>
              <w:right w:w="100" w:type="dxa"/>
            </w:tcMar>
          </w:tcPr>
          <w:p w14:paraId="1B0B020A"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£2,000,000</w:t>
            </w:r>
          </w:p>
        </w:tc>
        <w:tc>
          <w:tcPr>
            <w:tcW w:w="1904" w:type="dxa"/>
            <w:tcBorders>
              <w:top w:val="nil"/>
              <w:left w:val="nil"/>
              <w:bottom w:val="single" w:sz="6" w:space="0" w:color="002060"/>
              <w:right w:val="single" w:sz="6" w:space="0" w:color="002060"/>
            </w:tcBorders>
            <w:shd w:val="clear" w:color="auto" w:fill="D9E2F3"/>
            <w:tcMar>
              <w:top w:w="0" w:type="dxa"/>
              <w:left w:w="100" w:type="dxa"/>
              <w:bottom w:w="0" w:type="dxa"/>
              <w:right w:w="100" w:type="dxa"/>
            </w:tcMar>
          </w:tcPr>
          <w:p w14:paraId="105A0397"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£2,300,000</w:t>
            </w:r>
          </w:p>
        </w:tc>
      </w:tr>
      <w:tr w:rsidR="007969F4" w:rsidRPr="00FB56DB" w14:paraId="111F1E52" w14:textId="77777777">
        <w:trPr>
          <w:cantSplit/>
          <w:trHeight w:val="345"/>
          <w:tblHeader/>
        </w:trPr>
        <w:tc>
          <w:tcPr>
            <w:tcW w:w="3313" w:type="dxa"/>
            <w:tcBorders>
              <w:top w:val="nil"/>
              <w:left w:val="single" w:sz="6" w:space="0" w:color="002060"/>
              <w:bottom w:val="single" w:sz="6" w:space="0" w:color="002060"/>
              <w:right w:val="single" w:sz="6" w:space="0" w:color="002060"/>
            </w:tcBorders>
            <w:shd w:val="clear" w:color="auto" w:fill="93C47D"/>
            <w:tcMar>
              <w:top w:w="0" w:type="dxa"/>
              <w:left w:w="100" w:type="dxa"/>
              <w:bottom w:w="0" w:type="dxa"/>
              <w:right w:w="100" w:type="dxa"/>
            </w:tcMar>
          </w:tcPr>
          <w:p w14:paraId="3EE57B0F" w14:textId="77777777" w:rsidR="007969F4" w:rsidRPr="00FB56DB" w:rsidRDefault="007B1277">
            <w:pPr>
              <w:pStyle w:val="Normal1"/>
              <w:spacing w:before="240" w:line="360" w:lineRule="auto"/>
              <w:jc w:val="both"/>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Net Income</w:t>
            </w:r>
          </w:p>
        </w:tc>
        <w:tc>
          <w:tcPr>
            <w:tcW w:w="1904" w:type="dxa"/>
            <w:tcBorders>
              <w:top w:val="nil"/>
              <w:left w:val="nil"/>
              <w:bottom w:val="single" w:sz="6" w:space="0" w:color="002060"/>
              <w:right w:val="single" w:sz="6" w:space="0" w:color="002060"/>
            </w:tcBorders>
            <w:shd w:val="clear" w:color="auto" w:fill="B4C6E7"/>
            <w:tcMar>
              <w:top w:w="0" w:type="dxa"/>
              <w:left w:w="100" w:type="dxa"/>
              <w:bottom w:w="0" w:type="dxa"/>
              <w:right w:w="100" w:type="dxa"/>
            </w:tcMar>
          </w:tcPr>
          <w:p w14:paraId="04AEB9FB"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£700,000</w:t>
            </w:r>
          </w:p>
        </w:tc>
        <w:tc>
          <w:tcPr>
            <w:tcW w:w="1904" w:type="dxa"/>
            <w:tcBorders>
              <w:top w:val="nil"/>
              <w:left w:val="nil"/>
              <w:bottom w:val="single" w:sz="6" w:space="0" w:color="002060"/>
              <w:right w:val="single" w:sz="6" w:space="0" w:color="002060"/>
            </w:tcBorders>
            <w:shd w:val="clear" w:color="auto" w:fill="B4C6E7"/>
            <w:tcMar>
              <w:top w:w="0" w:type="dxa"/>
              <w:left w:w="100" w:type="dxa"/>
              <w:bottom w:w="0" w:type="dxa"/>
              <w:right w:w="100" w:type="dxa"/>
            </w:tcMar>
          </w:tcPr>
          <w:p w14:paraId="3E218942"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£200,000</w:t>
            </w:r>
          </w:p>
        </w:tc>
        <w:tc>
          <w:tcPr>
            <w:tcW w:w="1904" w:type="dxa"/>
            <w:tcBorders>
              <w:top w:val="nil"/>
              <w:left w:val="nil"/>
              <w:bottom w:val="single" w:sz="6" w:space="0" w:color="002060"/>
              <w:right w:val="single" w:sz="6" w:space="0" w:color="002060"/>
            </w:tcBorders>
            <w:shd w:val="clear" w:color="auto" w:fill="B4C6E7"/>
            <w:tcMar>
              <w:top w:w="0" w:type="dxa"/>
              <w:left w:w="100" w:type="dxa"/>
              <w:bottom w:w="0" w:type="dxa"/>
              <w:right w:w="100" w:type="dxa"/>
            </w:tcMar>
          </w:tcPr>
          <w:p w14:paraId="279B6FDC"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(£500,000)</w:t>
            </w:r>
          </w:p>
        </w:tc>
      </w:tr>
    </w:tbl>
    <w:p w14:paraId="71DAE9A2" w14:textId="77777777" w:rsidR="007969F4" w:rsidRPr="00FB56DB" w:rsidRDefault="007B1277">
      <w:pPr>
        <w:pStyle w:val="Normal1"/>
        <w:spacing w:line="360" w:lineRule="auto"/>
        <w:jc w:val="both"/>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 xml:space="preserve">Balance Sheet </w:t>
      </w:r>
    </w:p>
    <w:tbl>
      <w:tblPr>
        <w:tblStyle w:val="a0"/>
        <w:tblW w:w="9025" w:type="dxa"/>
        <w:tblBorders>
          <w:top w:val="nil"/>
          <w:left w:val="nil"/>
          <w:bottom w:val="nil"/>
          <w:right w:val="nil"/>
          <w:insideH w:val="nil"/>
          <w:insideV w:val="nil"/>
        </w:tblBorders>
        <w:tblLayout w:type="fixed"/>
        <w:tblLook w:val="0600" w:firstRow="0" w:lastRow="0" w:firstColumn="0" w:lastColumn="0" w:noHBand="1" w:noVBand="1"/>
      </w:tblPr>
      <w:tblGrid>
        <w:gridCol w:w="3727"/>
        <w:gridCol w:w="1766"/>
        <w:gridCol w:w="1766"/>
        <w:gridCol w:w="1766"/>
      </w:tblGrid>
      <w:tr w:rsidR="007969F4" w:rsidRPr="00FB56DB" w14:paraId="3BA53C19" w14:textId="77777777">
        <w:trPr>
          <w:cantSplit/>
          <w:trHeight w:val="345"/>
          <w:tblHeader/>
        </w:trPr>
        <w:tc>
          <w:tcPr>
            <w:tcW w:w="3726" w:type="dxa"/>
            <w:tcBorders>
              <w:top w:val="single" w:sz="6" w:space="0" w:color="000000"/>
              <w:left w:val="single" w:sz="6" w:space="0" w:color="000000"/>
              <w:bottom w:val="single" w:sz="6" w:space="0" w:color="000000"/>
              <w:right w:val="single" w:sz="6" w:space="0" w:color="000000"/>
            </w:tcBorders>
            <w:shd w:val="clear" w:color="auto" w:fill="A5A5A5"/>
            <w:tcMar>
              <w:top w:w="0" w:type="dxa"/>
              <w:left w:w="100" w:type="dxa"/>
              <w:bottom w:w="0" w:type="dxa"/>
              <w:right w:w="100" w:type="dxa"/>
            </w:tcMar>
          </w:tcPr>
          <w:p w14:paraId="7641CE61" w14:textId="77777777" w:rsidR="007969F4" w:rsidRPr="00FB56DB" w:rsidRDefault="007B1277">
            <w:pPr>
              <w:pStyle w:val="Normal1"/>
              <w:spacing w:before="240" w:line="360" w:lineRule="auto"/>
              <w:jc w:val="both"/>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Asset/Liability</w:t>
            </w:r>
          </w:p>
        </w:tc>
        <w:tc>
          <w:tcPr>
            <w:tcW w:w="1766" w:type="dxa"/>
            <w:tcBorders>
              <w:top w:val="single" w:sz="6" w:space="0" w:color="000000"/>
              <w:left w:val="nil"/>
              <w:bottom w:val="single" w:sz="6" w:space="0" w:color="000000"/>
              <w:right w:val="single" w:sz="6" w:space="0" w:color="000000"/>
            </w:tcBorders>
            <w:shd w:val="clear" w:color="auto" w:fill="A5A5A5"/>
            <w:tcMar>
              <w:top w:w="0" w:type="dxa"/>
              <w:left w:w="100" w:type="dxa"/>
              <w:bottom w:w="0" w:type="dxa"/>
              <w:right w:w="100" w:type="dxa"/>
            </w:tcMar>
          </w:tcPr>
          <w:p w14:paraId="55975A0B"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2021</w:t>
            </w:r>
          </w:p>
        </w:tc>
        <w:tc>
          <w:tcPr>
            <w:tcW w:w="1766" w:type="dxa"/>
            <w:tcBorders>
              <w:top w:val="single" w:sz="6" w:space="0" w:color="000000"/>
              <w:left w:val="nil"/>
              <w:bottom w:val="single" w:sz="6" w:space="0" w:color="000000"/>
              <w:right w:val="single" w:sz="6" w:space="0" w:color="000000"/>
            </w:tcBorders>
            <w:shd w:val="clear" w:color="auto" w:fill="A5A5A5"/>
            <w:tcMar>
              <w:top w:w="0" w:type="dxa"/>
              <w:left w:w="100" w:type="dxa"/>
              <w:bottom w:w="0" w:type="dxa"/>
              <w:right w:w="100" w:type="dxa"/>
            </w:tcMar>
          </w:tcPr>
          <w:p w14:paraId="2A664D1C"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2022</w:t>
            </w:r>
          </w:p>
        </w:tc>
        <w:tc>
          <w:tcPr>
            <w:tcW w:w="1766" w:type="dxa"/>
            <w:tcBorders>
              <w:top w:val="single" w:sz="6" w:space="0" w:color="000000"/>
              <w:left w:val="nil"/>
              <w:bottom w:val="single" w:sz="6" w:space="0" w:color="000000"/>
              <w:right w:val="single" w:sz="6" w:space="0" w:color="000000"/>
            </w:tcBorders>
            <w:shd w:val="clear" w:color="auto" w:fill="A5A5A5"/>
            <w:tcMar>
              <w:top w:w="0" w:type="dxa"/>
              <w:left w:w="100" w:type="dxa"/>
              <w:bottom w:w="0" w:type="dxa"/>
              <w:right w:w="100" w:type="dxa"/>
            </w:tcMar>
          </w:tcPr>
          <w:p w14:paraId="31A90157"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2023</w:t>
            </w:r>
          </w:p>
        </w:tc>
      </w:tr>
      <w:tr w:rsidR="007969F4" w:rsidRPr="00FB56DB" w14:paraId="48FD2DF8" w14:textId="77777777">
        <w:trPr>
          <w:cantSplit/>
          <w:trHeight w:val="345"/>
          <w:tblHeader/>
        </w:trPr>
        <w:tc>
          <w:tcPr>
            <w:tcW w:w="3726" w:type="dxa"/>
            <w:tcBorders>
              <w:top w:val="nil"/>
              <w:left w:val="single" w:sz="6" w:space="0" w:color="000000"/>
              <w:bottom w:val="single" w:sz="6" w:space="0" w:color="000000"/>
              <w:right w:val="single" w:sz="6" w:space="0" w:color="000000"/>
            </w:tcBorders>
            <w:shd w:val="clear" w:color="auto" w:fill="6AA84F"/>
            <w:tcMar>
              <w:top w:w="0" w:type="dxa"/>
              <w:left w:w="100" w:type="dxa"/>
              <w:bottom w:w="0" w:type="dxa"/>
              <w:right w:w="100" w:type="dxa"/>
            </w:tcMar>
          </w:tcPr>
          <w:p w14:paraId="4CFF6E96" w14:textId="77777777" w:rsidR="007969F4" w:rsidRPr="00FB56DB" w:rsidRDefault="007B1277">
            <w:pPr>
              <w:pStyle w:val="Normal1"/>
              <w:spacing w:before="240" w:line="360" w:lineRule="auto"/>
              <w:jc w:val="both"/>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Cash and Equivalents</w:t>
            </w:r>
          </w:p>
        </w:tc>
        <w:tc>
          <w:tcPr>
            <w:tcW w:w="1766" w:type="dxa"/>
            <w:tcBorders>
              <w:top w:val="nil"/>
              <w:left w:val="nil"/>
              <w:bottom w:val="single" w:sz="6" w:space="0" w:color="000000"/>
              <w:right w:val="single" w:sz="6" w:space="0" w:color="000000"/>
            </w:tcBorders>
            <w:shd w:val="clear" w:color="auto" w:fill="DBDBDB"/>
            <w:tcMar>
              <w:top w:w="0" w:type="dxa"/>
              <w:left w:w="100" w:type="dxa"/>
              <w:bottom w:w="0" w:type="dxa"/>
              <w:right w:w="100" w:type="dxa"/>
            </w:tcMar>
          </w:tcPr>
          <w:p w14:paraId="7E4252B8"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£300,000</w:t>
            </w:r>
          </w:p>
        </w:tc>
        <w:tc>
          <w:tcPr>
            <w:tcW w:w="1766" w:type="dxa"/>
            <w:tcBorders>
              <w:top w:val="nil"/>
              <w:left w:val="nil"/>
              <w:bottom w:val="single" w:sz="6" w:space="0" w:color="000000"/>
              <w:right w:val="single" w:sz="6" w:space="0" w:color="000000"/>
            </w:tcBorders>
            <w:shd w:val="clear" w:color="auto" w:fill="DBDBDB"/>
            <w:tcMar>
              <w:top w:w="0" w:type="dxa"/>
              <w:left w:w="100" w:type="dxa"/>
              <w:bottom w:w="0" w:type="dxa"/>
              <w:right w:w="100" w:type="dxa"/>
            </w:tcMar>
          </w:tcPr>
          <w:p w14:paraId="516C6211"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£200,000</w:t>
            </w:r>
          </w:p>
        </w:tc>
        <w:tc>
          <w:tcPr>
            <w:tcW w:w="1766" w:type="dxa"/>
            <w:tcBorders>
              <w:top w:val="nil"/>
              <w:left w:val="nil"/>
              <w:bottom w:val="single" w:sz="6" w:space="0" w:color="000000"/>
              <w:right w:val="single" w:sz="6" w:space="0" w:color="000000"/>
            </w:tcBorders>
            <w:shd w:val="clear" w:color="auto" w:fill="DBDBDB"/>
            <w:tcMar>
              <w:top w:w="0" w:type="dxa"/>
              <w:left w:w="100" w:type="dxa"/>
              <w:bottom w:w="0" w:type="dxa"/>
              <w:right w:w="100" w:type="dxa"/>
            </w:tcMar>
          </w:tcPr>
          <w:p w14:paraId="45FAFE5E"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£100,000</w:t>
            </w:r>
          </w:p>
        </w:tc>
      </w:tr>
      <w:tr w:rsidR="007969F4" w:rsidRPr="00FB56DB" w14:paraId="0FA4C53E" w14:textId="77777777">
        <w:trPr>
          <w:cantSplit/>
          <w:trHeight w:val="345"/>
          <w:tblHeader/>
        </w:trPr>
        <w:tc>
          <w:tcPr>
            <w:tcW w:w="3726" w:type="dxa"/>
            <w:tcBorders>
              <w:top w:val="nil"/>
              <w:left w:val="single" w:sz="6" w:space="0" w:color="000000"/>
              <w:bottom w:val="single" w:sz="6" w:space="0" w:color="000000"/>
              <w:right w:val="single" w:sz="6" w:space="0" w:color="000000"/>
            </w:tcBorders>
            <w:shd w:val="clear" w:color="auto" w:fill="6AA84F"/>
            <w:tcMar>
              <w:top w:w="0" w:type="dxa"/>
              <w:left w:w="100" w:type="dxa"/>
              <w:bottom w:w="0" w:type="dxa"/>
              <w:right w:w="100" w:type="dxa"/>
            </w:tcMar>
          </w:tcPr>
          <w:p w14:paraId="33D96A6C" w14:textId="77777777" w:rsidR="007969F4" w:rsidRPr="00FB56DB" w:rsidRDefault="007B1277">
            <w:pPr>
              <w:pStyle w:val="Normal1"/>
              <w:spacing w:before="240" w:line="360" w:lineRule="auto"/>
              <w:jc w:val="both"/>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Accounts Receivable</w:t>
            </w:r>
          </w:p>
        </w:tc>
        <w:tc>
          <w:tcPr>
            <w:tcW w:w="1766" w:type="dxa"/>
            <w:tcBorders>
              <w:top w:val="nil"/>
              <w:left w:val="nil"/>
              <w:bottom w:val="single" w:sz="6" w:space="0" w:color="000000"/>
              <w:right w:val="single" w:sz="6" w:space="0" w:color="000000"/>
            </w:tcBorders>
            <w:shd w:val="clear" w:color="auto" w:fill="EDEDED"/>
            <w:tcMar>
              <w:top w:w="0" w:type="dxa"/>
              <w:left w:w="100" w:type="dxa"/>
              <w:bottom w:w="0" w:type="dxa"/>
              <w:right w:w="100" w:type="dxa"/>
            </w:tcMar>
          </w:tcPr>
          <w:p w14:paraId="36D47738"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£150,000</w:t>
            </w:r>
          </w:p>
        </w:tc>
        <w:tc>
          <w:tcPr>
            <w:tcW w:w="1766" w:type="dxa"/>
            <w:tcBorders>
              <w:top w:val="nil"/>
              <w:left w:val="nil"/>
              <w:bottom w:val="single" w:sz="6" w:space="0" w:color="000000"/>
              <w:right w:val="single" w:sz="6" w:space="0" w:color="000000"/>
            </w:tcBorders>
            <w:shd w:val="clear" w:color="auto" w:fill="EDEDED"/>
            <w:tcMar>
              <w:top w:w="0" w:type="dxa"/>
              <w:left w:w="100" w:type="dxa"/>
              <w:bottom w:w="0" w:type="dxa"/>
              <w:right w:w="100" w:type="dxa"/>
            </w:tcMar>
          </w:tcPr>
          <w:p w14:paraId="0FEE6BD9"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£100,000</w:t>
            </w:r>
          </w:p>
        </w:tc>
        <w:tc>
          <w:tcPr>
            <w:tcW w:w="1766" w:type="dxa"/>
            <w:tcBorders>
              <w:top w:val="nil"/>
              <w:left w:val="nil"/>
              <w:bottom w:val="single" w:sz="6" w:space="0" w:color="000000"/>
              <w:right w:val="single" w:sz="6" w:space="0" w:color="000000"/>
            </w:tcBorders>
            <w:shd w:val="clear" w:color="auto" w:fill="EDEDED"/>
            <w:tcMar>
              <w:top w:w="0" w:type="dxa"/>
              <w:left w:w="100" w:type="dxa"/>
              <w:bottom w:w="0" w:type="dxa"/>
              <w:right w:w="100" w:type="dxa"/>
            </w:tcMar>
          </w:tcPr>
          <w:p w14:paraId="48AC28C4"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£80,000</w:t>
            </w:r>
          </w:p>
        </w:tc>
      </w:tr>
      <w:tr w:rsidR="007969F4" w:rsidRPr="00FB56DB" w14:paraId="2D7F62F3" w14:textId="77777777">
        <w:trPr>
          <w:cantSplit/>
          <w:trHeight w:val="345"/>
          <w:tblHeader/>
        </w:trPr>
        <w:tc>
          <w:tcPr>
            <w:tcW w:w="3726" w:type="dxa"/>
            <w:tcBorders>
              <w:top w:val="nil"/>
              <w:left w:val="single" w:sz="6" w:space="0" w:color="000000"/>
              <w:bottom w:val="single" w:sz="6" w:space="0" w:color="000000"/>
              <w:right w:val="single" w:sz="6" w:space="0" w:color="000000"/>
            </w:tcBorders>
            <w:shd w:val="clear" w:color="auto" w:fill="6AA84F"/>
            <w:tcMar>
              <w:top w:w="0" w:type="dxa"/>
              <w:left w:w="100" w:type="dxa"/>
              <w:bottom w:w="0" w:type="dxa"/>
              <w:right w:w="100" w:type="dxa"/>
            </w:tcMar>
          </w:tcPr>
          <w:p w14:paraId="3F2F8D6D" w14:textId="77777777" w:rsidR="007969F4" w:rsidRPr="00FB56DB" w:rsidRDefault="007B1277">
            <w:pPr>
              <w:pStyle w:val="Normal1"/>
              <w:spacing w:before="240" w:line="360" w:lineRule="auto"/>
              <w:jc w:val="both"/>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Property and Equipment</w:t>
            </w:r>
          </w:p>
        </w:tc>
        <w:tc>
          <w:tcPr>
            <w:tcW w:w="1766" w:type="dxa"/>
            <w:tcBorders>
              <w:top w:val="nil"/>
              <w:left w:val="nil"/>
              <w:bottom w:val="single" w:sz="6" w:space="0" w:color="000000"/>
              <w:right w:val="single" w:sz="6" w:space="0" w:color="000000"/>
            </w:tcBorders>
            <w:shd w:val="clear" w:color="auto" w:fill="DBDBDB"/>
            <w:tcMar>
              <w:top w:w="0" w:type="dxa"/>
              <w:left w:w="100" w:type="dxa"/>
              <w:bottom w:w="0" w:type="dxa"/>
              <w:right w:w="100" w:type="dxa"/>
            </w:tcMar>
          </w:tcPr>
          <w:p w14:paraId="1E516764"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£5,000,000</w:t>
            </w:r>
          </w:p>
        </w:tc>
        <w:tc>
          <w:tcPr>
            <w:tcW w:w="1766" w:type="dxa"/>
            <w:tcBorders>
              <w:top w:val="nil"/>
              <w:left w:val="nil"/>
              <w:bottom w:val="single" w:sz="6" w:space="0" w:color="000000"/>
              <w:right w:val="single" w:sz="6" w:space="0" w:color="000000"/>
            </w:tcBorders>
            <w:shd w:val="clear" w:color="auto" w:fill="DBDBDB"/>
            <w:tcMar>
              <w:top w:w="0" w:type="dxa"/>
              <w:left w:w="100" w:type="dxa"/>
              <w:bottom w:w="0" w:type="dxa"/>
              <w:right w:w="100" w:type="dxa"/>
            </w:tcMar>
          </w:tcPr>
          <w:p w14:paraId="33F8242C"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£4,800,000</w:t>
            </w:r>
          </w:p>
        </w:tc>
        <w:tc>
          <w:tcPr>
            <w:tcW w:w="1766" w:type="dxa"/>
            <w:tcBorders>
              <w:top w:val="nil"/>
              <w:left w:val="nil"/>
              <w:bottom w:val="single" w:sz="6" w:space="0" w:color="000000"/>
              <w:right w:val="single" w:sz="6" w:space="0" w:color="000000"/>
            </w:tcBorders>
            <w:shd w:val="clear" w:color="auto" w:fill="DBDBDB"/>
            <w:tcMar>
              <w:top w:w="0" w:type="dxa"/>
              <w:left w:w="100" w:type="dxa"/>
              <w:bottom w:w="0" w:type="dxa"/>
              <w:right w:w="100" w:type="dxa"/>
            </w:tcMar>
          </w:tcPr>
          <w:p w14:paraId="51907257"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£4,500,000</w:t>
            </w:r>
          </w:p>
        </w:tc>
      </w:tr>
      <w:tr w:rsidR="007969F4" w:rsidRPr="00FB56DB" w14:paraId="393761B1" w14:textId="77777777">
        <w:trPr>
          <w:cantSplit/>
          <w:trHeight w:val="345"/>
          <w:tblHeader/>
        </w:trPr>
        <w:tc>
          <w:tcPr>
            <w:tcW w:w="3726" w:type="dxa"/>
            <w:tcBorders>
              <w:top w:val="nil"/>
              <w:left w:val="single" w:sz="6" w:space="0" w:color="000000"/>
              <w:bottom w:val="single" w:sz="6" w:space="0" w:color="000000"/>
              <w:right w:val="single" w:sz="6" w:space="0" w:color="000000"/>
            </w:tcBorders>
            <w:shd w:val="clear" w:color="auto" w:fill="A5A5A5"/>
            <w:tcMar>
              <w:top w:w="0" w:type="dxa"/>
              <w:left w:w="100" w:type="dxa"/>
              <w:bottom w:w="0" w:type="dxa"/>
              <w:right w:w="100" w:type="dxa"/>
            </w:tcMar>
          </w:tcPr>
          <w:p w14:paraId="0B03DAF9" w14:textId="77777777" w:rsidR="007969F4" w:rsidRPr="00FB56DB" w:rsidRDefault="007B1277">
            <w:pPr>
              <w:pStyle w:val="Normal1"/>
              <w:spacing w:before="240" w:line="360" w:lineRule="auto"/>
              <w:jc w:val="both"/>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Total Assets</w:t>
            </w:r>
          </w:p>
        </w:tc>
        <w:tc>
          <w:tcPr>
            <w:tcW w:w="1766" w:type="dxa"/>
            <w:tcBorders>
              <w:top w:val="nil"/>
              <w:left w:val="nil"/>
              <w:bottom w:val="single" w:sz="6" w:space="0" w:color="000000"/>
              <w:right w:val="single" w:sz="6" w:space="0" w:color="000000"/>
            </w:tcBorders>
            <w:shd w:val="clear" w:color="auto" w:fill="EDEDED"/>
            <w:tcMar>
              <w:top w:w="0" w:type="dxa"/>
              <w:left w:w="100" w:type="dxa"/>
              <w:bottom w:w="0" w:type="dxa"/>
              <w:right w:w="100" w:type="dxa"/>
            </w:tcMar>
          </w:tcPr>
          <w:p w14:paraId="2DF43C01"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£5,450,000</w:t>
            </w:r>
          </w:p>
        </w:tc>
        <w:tc>
          <w:tcPr>
            <w:tcW w:w="1766" w:type="dxa"/>
            <w:tcBorders>
              <w:top w:val="nil"/>
              <w:left w:val="nil"/>
              <w:bottom w:val="single" w:sz="6" w:space="0" w:color="000000"/>
              <w:right w:val="single" w:sz="6" w:space="0" w:color="000000"/>
            </w:tcBorders>
            <w:shd w:val="clear" w:color="auto" w:fill="EDEDED"/>
            <w:tcMar>
              <w:top w:w="0" w:type="dxa"/>
              <w:left w:w="100" w:type="dxa"/>
              <w:bottom w:w="0" w:type="dxa"/>
              <w:right w:w="100" w:type="dxa"/>
            </w:tcMar>
          </w:tcPr>
          <w:p w14:paraId="0DAEB906"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£5,100,000</w:t>
            </w:r>
          </w:p>
        </w:tc>
        <w:tc>
          <w:tcPr>
            <w:tcW w:w="1766" w:type="dxa"/>
            <w:tcBorders>
              <w:top w:val="nil"/>
              <w:left w:val="nil"/>
              <w:bottom w:val="single" w:sz="6" w:space="0" w:color="000000"/>
              <w:right w:val="single" w:sz="6" w:space="0" w:color="000000"/>
            </w:tcBorders>
            <w:shd w:val="clear" w:color="auto" w:fill="EDEDED"/>
            <w:tcMar>
              <w:top w:w="0" w:type="dxa"/>
              <w:left w:w="100" w:type="dxa"/>
              <w:bottom w:w="0" w:type="dxa"/>
              <w:right w:w="100" w:type="dxa"/>
            </w:tcMar>
          </w:tcPr>
          <w:p w14:paraId="02FCD9AD"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£4,680,000</w:t>
            </w:r>
          </w:p>
        </w:tc>
      </w:tr>
      <w:tr w:rsidR="007969F4" w:rsidRPr="00FB56DB" w14:paraId="3D251B7B" w14:textId="77777777">
        <w:trPr>
          <w:cantSplit/>
          <w:trHeight w:val="345"/>
          <w:tblHeader/>
        </w:trPr>
        <w:tc>
          <w:tcPr>
            <w:tcW w:w="3726" w:type="dxa"/>
            <w:tcBorders>
              <w:top w:val="nil"/>
              <w:left w:val="single" w:sz="6" w:space="0" w:color="000000"/>
              <w:bottom w:val="single" w:sz="6" w:space="0" w:color="000000"/>
              <w:right w:val="single" w:sz="6" w:space="0" w:color="000000"/>
            </w:tcBorders>
            <w:shd w:val="clear" w:color="auto" w:fill="6AA84F"/>
            <w:tcMar>
              <w:top w:w="0" w:type="dxa"/>
              <w:left w:w="100" w:type="dxa"/>
              <w:bottom w:w="0" w:type="dxa"/>
              <w:right w:w="100" w:type="dxa"/>
            </w:tcMar>
          </w:tcPr>
          <w:p w14:paraId="1CABA4B6" w14:textId="77777777" w:rsidR="007969F4" w:rsidRPr="00FB56DB" w:rsidRDefault="007B1277">
            <w:pPr>
              <w:pStyle w:val="Normal1"/>
              <w:spacing w:before="240" w:line="360" w:lineRule="auto"/>
              <w:jc w:val="both"/>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Accounts Payable</w:t>
            </w:r>
          </w:p>
        </w:tc>
        <w:tc>
          <w:tcPr>
            <w:tcW w:w="1766" w:type="dxa"/>
            <w:tcBorders>
              <w:top w:val="nil"/>
              <w:left w:val="nil"/>
              <w:bottom w:val="single" w:sz="6" w:space="0" w:color="000000"/>
              <w:right w:val="single" w:sz="6" w:space="0" w:color="000000"/>
            </w:tcBorders>
            <w:shd w:val="clear" w:color="auto" w:fill="DBDBDB"/>
            <w:tcMar>
              <w:top w:w="0" w:type="dxa"/>
              <w:left w:w="100" w:type="dxa"/>
              <w:bottom w:w="0" w:type="dxa"/>
              <w:right w:w="100" w:type="dxa"/>
            </w:tcMar>
          </w:tcPr>
          <w:p w14:paraId="7FDAA9B0"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£250,000</w:t>
            </w:r>
          </w:p>
        </w:tc>
        <w:tc>
          <w:tcPr>
            <w:tcW w:w="1766" w:type="dxa"/>
            <w:tcBorders>
              <w:top w:val="nil"/>
              <w:left w:val="nil"/>
              <w:bottom w:val="single" w:sz="6" w:space="0" w:color="000000"/>
              <w:right w:val="single" w:sz="6" w:space="0" w:color="000000"/>
            </w:tcBorders>
            <w:shd w:val="clear" w:color="auto" w:fill="DBDBDB"/>
            <w:tcMar>
              <w:top w:w="0" w:type="dxa"/>
              <w:left w:w="100" w:type="dxa"/>
              <w:bottom w:w="0" w:type="dxa"/>
              <w:right w:w="100" w:type="dxa"/>
            </w:tcMar>
          </w:tcPr>
          <w:p w14:paraId="02ACC166"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£270,000</w:t>
            </w:r>
          </w:p>
        </w:tc>
        <w:tc>
          <w:tcPr>
            <w:tcW w:w="1766" w:type="dxa"/>
            <w:tcBorders>
              <w:top w:val="nil"/>
              <w:left w:val="nil"/>
              <w:bottom w:val="single" w:sz="6" w:space="0" w:color="000000"/>
              <w:right w:val="single" w:sz="6" w:space="0" w:color="000000"/>
            </w:tcBorders>
            <w:shd w:val="clear" w:color="auto" w:fill="DBDBDB"/>
            <w:tcMar>
              <w:top w:w="0" w:type="dxa"/>
              <w:left w:w="100" w:type="dxa"/>
              <w:bottom w:w="0" w:type="dxa"/>
              <w:right w:w="100" w:type="dxa"/>
            </w:tcMar>
          </w:tcPr>
          <w:p w14:paraId="38840E4B"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£300,000</w:t>
            </w:r>
          </w:p>
        </w:tc>
      </w:tr>
      <w:tr w:rsidR="007969F4" w:rsidRPr="00FB56DB" w14:paraId="7DD9B5B6" w14:textId="77777777">
        <w:trPr>
          <w:cantSplit/>
          <w:trHeight w:val="345"/>
          <w:tblHeader/>
        </w:trPr>
        <w:tc>
          <w:tcPr>
            <w:tcW w:w="3726" w:type="dxa"/>
            <w:tcBorders>
              <w:top w:val="nil"/>
              <w:left w:val="single" w:sz="6" w:space="0" w:color="000000"/>
              <w:bottom w:val="single" w:sz="6" w:space="0" w:color="000000"/>
              <w:right w:val="single" w:sz="6" w:space="0" w:color="000000"/>
            </w:tcBorders>
            <w:shd w:val="clear" w:color="auto" w:fill="6AA84F"/>
            <w:tcMar>
              <w:top w:w="0" w:type="dxa"/>
              <w:left w:w="100" w:type="dxa"/>
              <w:bottom w:w="0" w:type="dxa"/>
              <w:right w:w="100" w:type="dxa"/>
            </w:tcMar>
          </w:tcPr>
          <w:p w14:paraId="539C0C0F" w14:textId="77777777" w:rsidR="007969F4" w:rsidRPr="00FB56DB" w:rsidRDefault="007B1277">
            <w:pPr>
              <w:pStyle w:val="Normal1"/>
              <w:spacing w:before="240" w:line="360" w:lineRule="auto"/>
              <w:jc w:val="both"/>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Long-term Debt</w:t>
            </w:r>
          </w:p>
        </w:tc>
        <w:tc>
          <w:tcPr>
            <w:tcW w:w="1766" w:type="dxa"/>
            <w:tcBorders>
              <w:top w:val="nil"/>
              <w:left w:val="nil"/>
              <w:bottom w:val="single" w:sz="6" w:space="0" w:color="000000"/>
              <w:right w:val="single" w:sz="6" w:space="0" w:color="000000"/>
            </w:tcBorders>
            <w:shd w:val="clear" w:color="auto" w:fill="EDEDED"/>
            <w:tcMar>
              <w:top w:w="0" w:type="dxa"/>
              <w:left w:w="100" w:type="dxa"/>
              <w:bottom w:w="0" w:type="dxa"/>
              <w:right w:w="100" w:type="dxa"/>
            </w:tcMar>
          </w:tcPr>
          <w:p w14:paraId="24877524"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£3,000,000</w:t>
            </w:r>
          </w:p>
        </w:tc>
        <w:tc>
          <w:tcPr>
            <w:tcW w:w="1766" w:type="dxa"/>
            <w:tcBorders>
              <w:top w:val="nil"/>
              <w:left w:val="nil"/>
              <w:bottom w:val="single" w:sz="6" w:space="0" w:color="000000"/>
              <w:right w:val="single" w:sz="6" w:space="0" w:color="000000"/>
            </w:tcBorders>
            <w:shd w:val="clear" w:color="auto" w:fill="EDEDED"/>
            <w:tcMar>
              <w:top w:w="0" w:type="dxa"/>
              <w:left w:w="100" w:type="dxa"/>
              <w:bottom w:w="0" w:type="dxa"/>
              <w:right w:w="100" w:type="dxa"/>
            </w:tcMar>
          </w:tcPr>
          <w:p w14:paraId="7BA5A9CF"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£3,000,000</w:t>
            </w:r>
          </w:p>
        </w:tc>
        <w:tc>
          <w:tcPr>
            <w:tcW w:w="1766" w:type="dxa"/>
            <w:tcBorders>
              <w:top w:val="nil"/>
              <w:left w:val="nil"/>
              <w:bottom w:val="single" w:sz="6" w:space="0" w:color="000000"/>
              <w:right w:val="single" w:sz="6" w:space="0" w:color="000000"/>
            </w:tcBorders>
            <w:shd w:val="clear" w:color="auto" w:fill="EDEDED"/>
            <w:tcMar>
              <w:top w:w="0" w:type="dxa"/>
              <w:left w:w="100" w:type="dxa"/>
              <w:bottom w:w="0" w:type="dxa"/>
              <w:right w:w="100" w:type="dxa"/>
            </w:tcMar>
          </w:tcPr>
          <w:p w14:paraId="1D707232"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£3,000,000</w:t>
            </w:r>
          </w:p>
        </w:tc>
      </w:tr>
      <w:tr w:rsidR="007969F4" w:rsidRPr="00FB56DB" w14:paraId="06986F47" w14:textId="77777777">
        <w:trPr>
          <w:cantSplit/>
          <w:trHeight w:val="345"/>
          <w:tblHeader/>
        </w:trPr>
        <w:tc>
          <w:tcPr>
            <w:tcW w:w="3726" w:type="dxa"/>
            <w:tcBorders>
              <w:top w:val="nil"/>
              <w:left w:val="single" w:sz="6" w:space="0" w:color="000000"/>
              <w:bottom w:val="single" w:sz="6" w:space="0" w:color="000000"/>
              <w:right w:val="single" w:sz="6" w:space="0" w:color="000000"/>
            </w:tcBorders>
            <w:shd w:val="clear" w:color="auto" w:fill="A5A5A5"/>
            <w:tcMar>
              <w:top w:w="0" w:type="dxa"/>
              <w:left w:w="100" w:type="dxa"/>
              <w:bottom w:w="0" w:type="dxa"/>
              <w:right w:w="100" w:type="dxa"/>
            </w:tcMar>
          </w:tcPr>
          <w:p w14:paraId="241D073F" w14:textId="77777777" w:rsidR="007969F4" w:rsidRPr="00FB56DB" w:rsidRDefault="007B1277">
            <w:pPr>
              <w:pStyle w:val="Normal1"/>
              <w:spacing w:before="240" w:line="360" w:lineRule="auto"/>
              <w:jc w:val="both"/>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Total Liabilities</w:t>
            </w:r>
          </w:p>
        </w:tc>
        <w:tc>
          <w:tcPr>
            <w:tcW w:w="1766" w:type="dxa"/>
            <w:tcBorders>
              <w:top w:val="nil"/>
              <w:left w:val="nil"/>
              <w:bottom w:val="single" w:sz="6" w:space="0" w:color="000000"/>
              <w:right w:val="single" w:sz="6" w:space="0" w:color="000000"/>
            </w:tcBorders>
            <w:shd w:val="clear" w:color="auto" w:fill="DBDBDB"/>
            <w:tcMar>
              <w:top w:w="0" w:type="dxa"/>
              <w:left w:w="100" w:type="dxa"/>
              <w:bottom w:w="0" w:type="dxa"/>
              <w:right w:w="100" w:type="dxa"/>
            </w:tcMar>
          </w:tcPr>
          <w:p w14:paraId="08ABC698"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£3,250,000</w:t>
            </w:r>
          </w:p>
        </w:tc>
        <w:tc>
          <w:tcPr>
            <w:tcW w:w="1766" w:type="dxa"/>
            <w:tcBorders>
              <w:top w:val="nil"/>
              <w:left w:val="nil"/>
              <w:bottom w:val="single" w:sz="6" w:space="0" w:color="000000"/>
              <w:right w:val="single" w:sz="6" w:space="0" w:color="000000"/>
            </w:tcBorders>
            <w:shd w:val="clear" w:color="auto" w:fill="DBDBDB"/>
            <w:tcMar>
              <w:top w:w="0" w:type="dxa"/>
              <w:left w:w="100" w:type="dxa"/>
              <w:bottom w:w="0" w:type="dxa"/>
              <w:right w:w="100" w:type="dxa"/>
            </w:tcMar>
          </w:tcPr>
          <w:p w14:paraId="40EE6C5E"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£3,270,000</w:t>
            </w:r>
          </w:p>
        </w:tc>
        <w:tc>
          <w:tcPr>
            <w:tcW w:w="1766" w:type="dxa"/>
            <w:tcBorders>
              <w:top w:val="nil"/>
              <w:left w:val="nil"/>
              <w:bottom w:val="single" w:sz="6" w:space="0" w:color="000000"/>
              <w:right w:val="single" w:sz="6" w:space="0" w:color="000000"/>
            </w:tcBorders>
            <w:shd w:val="clear" w:color="auto" w:fill="DBDBDB"/>
            <w:tcMar>
              <w:top w:w="0" w:type="dxa"/>
              <w:left w:w="100" w:type="dxa"/>
              <w:bottom w:w="0" w:type="dxa"/>
              <w:right w:w="100" w:type="dxa"/>
            </w:tcMar>
          </w:tcPr>
          <w:p w14:paraId="15C02000"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£3,300,000</w:t>
            </w:r>
          </w:p>
        </w:tc>
      </w:tr>
      <w:tr w:rsidR="007969F4" w:rsidRPr="00FB56DB" w14:paraId="78D0AB1B" w14:textId="77777777">
        <w:trPr>
          <w:cantSplit/>
          <w:trHeight w:val="345"/>
          <w:tblHeader/>
        </w:trPr>
        <w:tc>
          <w:tcPr>
            <w:tcW w:w="3726" w:type="dxa"/>
            <w:tcBorders>
              <w:top w:val="nil"/>
              <w:left w:val="single" w:sz="6" w:space="0" w:color="000000"/>
              <w:bottom w:val="single" w:sz="6" w:space="0" w:color="000000"/>
              <w:right w:val="single" w:sz="6" w:space="0" w:color="000000"/>
            </w:tcBorders>
            <w:shd w:val="clear" w:color="auto" w:fill="6AA84F"/>
            <w:tcMar>
              <w:top w:w="0" w:type="dxa"/>
              <w:left w:w="100" w:type="dxa"/>
              <w:bottom w:w="0" w:type="dxa"/>
              <w:right w:w="100" w:type="dxa"/>
            </w:tcMar>
          </w:tcPr>
          <w:p w14:paraId="20F1B104" w14:textId="77777777" w:rsidR="007969F4" w:rsidRPr="00FB56DB" w:rsidRDefault="007B1277">
            <w:pPr>
              <w:pStyle w:val="Normal1"/>
              <w:spacing w:before="240" w:line="360" w:lineRule="auto"/>
              <w:jc w:val="both"/>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Equity</w:t>
            </w:r>
          </w:p>
        </w:tc>
        <w:tc>
          <w:tcPr>
            <w:tcW w:w="1766" w:type="dxa"/>
            <w:tcBorders>
              <w:top w:val="nil"/>
              <w:left w:val="nil"/>
              <w:bottom w:val="single" w:sz="6" w:space="0" w:color="000000"/>
              <w:right w:val="single" w:sz="6" w:space="0" w:color="000000"/>
            </w:tcBorders>
            <w:shd w:val="clear" w:color="auto" w:fill="EDEDED"/>
            <w:tcMar>
              <w:top w:w="0" w:type="dxa"/>
              <w:left w:w="100" w:type="dxa"/>
              <w:bottom w:w="0" w:type="dxa"/>
              <w:right w:w="100" w:type="dxa"/>
            </w:tcMar>
          </w:tcPr>
          <w:p w14:paraId="73209F19"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£2,200,000</w:t>
            </w:r>
          </w:p>
        </w:tc>
        <w:tc>
          <w:tcPr>
            <w:tcW w:w="1766" w:type="dxa"/>
            <w:tcBorders>
              <w:top w:val="nil"/>
              <w:left w:val="nil"/>
              <w:bottom w:val="single" w:sz="6" w:space="0" w:color="000000"/>
              <w:right w:val="single" w:sz="6" w:space="0" w:color="000000"/>
            </w:tcBorders>
            <w:shd w:val="clear" w:color="auto" w:fill="EDEDED"/>
            <w:tcMar>
              <w:top w:w="0" w:type="dxa"/>
              <w:left w:w="100" w:type="dxa"/>
              <w:bottom w:w="0" w:type="dxa"/>
              <w:right w:w="100" w:type="dxa"/>
            </w:tcMar>
          </w:tcPr>
          <w:p w14:paraId="45846836"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£1,830,000</w:t>
            </w:r>
          </w:p>
        </w:tc>
        <w:tc>
          <w:tcPr>
            <w:tcW w:w="1766" w:type="dxa"/>
            <w:tcBorders>
              <w:top w:val="nil"/>
              <w:left w:val="nil"/>
              <w:bottom w:val="single" w:sz="6" w:space="0" w:color="000000"/>
              <w:right w:val="single" w:sz="6" w:space="0" w:color="000000"/>
            </w:tcBorders>
            <w:shd w:val="clear" w:color="auto" w:fill="EDEDED"/>
            <w:tcMar>
              <w:top w:w="0" w:type="dxa"/>
              <w:left w:w="100" w:type="dxa"/>
              <w:bottom w:w="0" w:type="dxa"/>
              <w:right w:w="100" w:type="dxa"/>
            </w:tcMar>
          </w:tcPr>
          <w:p w14:paraId="039EA947"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£1,380,000</w:t>
            </w:r>
          </w:p>
        </w:tc>
      </w:tr>
    </w:tbl>
    <w:p w14:paraId="7841325A" w14:textId="77777777" w:rsidR="007969F4" w:rsidRPr="00FB56DB" w:rsidRDefault="007B1277" w:rsidP="002D4287">
      <w:pPr>
        <w:pStyle w:val="Heading2"/>
        <w:rPr>
          <w:lang w:val="en-GB"/>
        </w:rPr>
      </w:pPr>
      <w:bookmarkStart w:id="8" w:name="_Toc168537189"/>
      <w:r w:rsidRPr="00FB56DB">
        <w:rPr>
          <w:lang w:val="en-GB"/>
        </w:rPr>
        <w:lastRenderedPageBreak/>
        <w:t>2.1 Revenue Analysis</w:t>
      </w:r>
      <w:bookmarkEnd w:id="8"/>
    </w:p>
    <w:p w14:paraId="78359729" w14:textId="77777777" w:rsidR="007969F4" w:rsidRPr="00FB56DB" w:rsidRDefault="007B1277">
      <w:pPr>
        <w:pStyle w:val="Normal1"/>
        <w:spacing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Over the last three years, the income of the Urban Heights Hotel has decreased, going from £2,500,000 in 2021 to £1,800,000 in 2023. It indicates a notable decline of around 28% for the given time frame. Recovering from the COVID-19 pandemic</w:t>
      </w:r>
      <w:r w:rsidR="002D4287" w:rsidRPr="00FB56DB">
        <w:rPr>
          <w:rFonts w:ascii="Times New Roman" w:eastAsia="Times New Roman" w:hAnsi="Times New Roman" w:cs="Times New Roman"/>
          <w:sz w:val="24"/>
          <w:szCs w:val="24"/>
          <w:lang w:val="en-GB"/>
        </w:rPr>
        <w:t>’</w:t>
      </w:r>
      <w:r w:rsidRPr="00FB56DB">
        <w:rPr>
          <w:rFonts w:ascii="Times New Roman" w:eastAsia="Times New Roman" w:hAnsi="Times New Roman" w:cs="Times New Roman"/>
          <w:sz w:val="24"/>
          <w:szCs w:val="24"/>
          <w:lang w:val="en-GB"/>
        </w:rPr>
        <w:t>s effects, the hotel sector was in 2021. Openings and renovations continued at a rapid pace, demonstrating the industry</w:t>
      </w:r>
      <w:r w:rsidR="002D4287" w:rsidRPr="00FB56DB">
        <w:rPr>
          <w:rFonts w:ascii="Times New Roman" w:eastAsia="Times New Roman" w:hAnsi="Times New Roman" w:cs="Times New Roman"/>
          <w:sz w:val="24"/>
          <w:szCs w:val="24"/>
          <w:lang w:val="en-GB"/>
        </w:rPr>
        <w:t>’</w:t>
      </w:r>
      <w:r w:rsidRPr="00FB56DB">
        <w:rPr>
          <w:rFonts w:ascii="Times New Roman" w:eastAsia="Times New Roman" w:hAnsi="Times New Roman" w:cs="Times New Roman"/>
          <w:sz w:val="24"/>
          <w:szCs w:val="24"/>
          <w:lang w:val="en-GB"/>
        </w:rPr>
        <w:t>s resiliency. It might account for the Urban Heights Hotel</w:t>
      </w:r>
      <w:r w:rsidR="002D4287" w:rsidRPr="00FB56DB">
        <w:rPr>
          <w:rFonts w:ascii="Times New Roman" w:eastAsia="Times New Roman" w:hAnsi="Times New Roman" w:cs="Times New Roman"/>
          <w:sz w:val="24"/>
          <w:szCs w:val="24"/>
          <w:lang w:val="en-GB"/>
        </w:rPr>
        <w:t>’</w:t>
      </w:r>
      <w:r w:rsidRPr="00FB56DB">
        <w:rPr>
          <w:rFonts w:ascii="Times New Roman" w:eastAsia="Times New Roman" w:hAnsi="Times New Roman" w:cs="Times New Roman"/>
          <w:sz w:val="24"/>
          <w:szCs w:val="24"/>
          <w:lang w:val="en-GB"/>
        </w:rPr>
        <w:t xml:space="preserve">s comparatively large income of £2,500,000 in 2021. </w:t>
      </w:r>
    </w:p>
    <w:p w14:paraId="3AF4F276" w14:textId="0A54AB4D" w:rsidR="007969F4" w:rsidRPr="00FB56DB" w:rsidRDefault="00571693">
      <w:pPr>
        <w:pStyle w:val="Normal1"/>
        <w:spacing w:line="360" w:lineRule="auto"/>
        <w:jc w:val="both"/>
        <w:rPr>
          <w:rFonts w:ascii="Times New Roman" w:eastAsia="Times New Roman" w:hAnsi="Times New Roman" w:cs="Times New Roman"/>
          <w:sz w:val="24"/>
          <w:szCs w:val="24"/>
          <w:lang w:val="en-GB"/>
        </w:rPr>
      </w:pPr>
      <w:r>
        <w:t>Revenue declined to £2,200,000 in 2022. The hotel sector's patchy recovery may be to blame. Some cities recovered rapidly, others took longer. The Urban Heights Hotel's clientele and location may have contributed to its demise (Tranter et al., 2014). The £1,800,000 drop in 2023 suggests problems will endure. Increasing hotel competition may be a factor. RevPAR in New York City achieved record highs in 2023, up 15.2% from 2019. An increase in demand may have driven visitors away from the Urban Heights Hotel</w:t>
      </w:r>
      <w:r w:rsidR="007B1277" w:rsidRPr="00FB56DB">
        <w:rPr>
          <w:rFonts w:ascii="Times New Roman" w:eastAsia="Times New Roman" w:hAnsi="Times New Roman" w:cs="Times New Roman"/>
          <w:sz w:val="24"/>
          <w:szCs w:val="24"/>
          <w:lang w:val="en-GB"/>
        </w:rPr>
        <w:t>.</w:t>
      </w:r>
    </w:p>
    <w:p w14:paraId="6206685D" w14:textId="77777777" w:rsidR="007969F4" w:rsidRPr="00FB56DB" w:rsidRDefault="007B1277" w:rsidP="002D4287">
      <w:pPr>
        <w:pStyle w:val="Heading2"/>
        <w:rPr>
          <w:lang w:val="en-GB"/>
        </w:rPr>
      </w:pPr>
      <w:bookmarkStart w:id="9" w:name="_Toc168537190"/>
      <w:r w:rsidRPr="00FB56DB">
        <w:rPr>
          <w:lang w:val="en-GB"/>
        </w:rPr>
        <w:t>2.2 Expense Analysis</w:t>
      </w:r>
      <w:bookmarkEnd w:id="9"/>
    </w:p>
    <w:p w14:paraId="2ADEAD46" w14:textId="77777777" w:rsidR="007969F4" w:rsidRPr="00FB56DB" w:rsidRDefault="007B1277">
      <w:pPr>
        <w:pStyle w:val="Normal1"/>
        <w:spacing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The hotel had a 28% increase in operating expenditures from £1,800,000 to £2,300,000 between 2021 and 2023. There are several reasons for the increasing tendency. In 2021, the hotel sector was still getting over the COVID-19 pandemic</w:t>
      </w:r>
      <w:r w:rsidR="002D4287" w:rsidRPr="00FB56DB">
        <w:rPr>
          <w:rFonts w:ascii="Times New Roman" w:eastAsia="Times New Roman" w:hAnsi="Times New Roman" w:cs="Times New Roman"/>
          <w:sz w:val="24"/>
          <w:szCs w:val="24"/>
          <w:lang w:val="en-GB"/>
        </w:rPr>
        <w:t>’</w:t>
      </w:r>
      <w:r w:rsidRPr="00FB56DB">
        <w:rPr>
          <w:rFonts w:ascii="Times New Roman" w:eastAsia="Times New Roman" w:hAnsi="Times New Roman" w:cs="Times New Roman"/>
          <w:sz w:val="24"/>
          <w:szCs w:val="24"/>
          <w:lang w:val="en-GB"/>
        </w:rPr>
        <w:t xml:space="preserve">s effects. The Urban Heights Hotel may have used cost-cutting strategies at this time such as lowering personnel and operating expenses, which led to comparatively low operating expenses. </w:t>
      </w:r>
    </w:p>
    <w:p w14:paraId="3BAA2914" w14:textId="77777777" w:rsidR="007969F4" w:rsidRPr="00FB56DB" w:rsidRDefault="007B1277">
      <w:pPr>
        <w:pStyle w:val="Normal1"/>
        <w:spacing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However</w:t>
      </w:r>
      <w:r w:rsidR="00251310" w:rsidRPr="00FB56DB">
        <w:rPr>
          <w:lang w:val="en-GB"/>
        </w:rPr>
        <w:t>,</w:t>
      </w:r>
      <w:r w:rsidR="00251310" w:rsidRPr="00FB56DB">
        <w:rPr>
          <w:rFonts w:ascii="Times New Roman" w:eastAsia="Times New Roman" w:hAnsi="Times New Roman" w:cs="Times New Roman"/>
          <w:sz w:val="24"/>
          <w:szCs w:val="24"/>
          <w:lang w:val="en-GB"/>
        </w:rPr>
        <w:t xml:space="preserve"> Urban Heights Hotel may have ramped up its business again in 2022 as the hotel market began to improve, which could have led to higher costs. In 2022, the hotel reported higher labour costs in the hotel business, resulting in increased running costs. They can also be distributed. The hotel may also face rising costs due to variable factors including rising prices, rising labour costs and a lack of desire for innovation and growth, as seen through operating costs further increase to £2,300,000 by 2023.</w:t>
      </w:r>
    </w:p>
    <w:p w14:paraId="09F6A528" w14:textId="77777777" w:rsidR="007969F4" w:rsidRPr="00FB56DB" w:rsidRDefault="007B1277" w:rsidP="002D4287">
      <w:pPr>
        <w:pStyle w:val="Heading2"/>
        <w:rPr>
          <w:lang w:val="en-GB"/>
        </w:rPr>
      </w:pPr>
      <w:bookmarkStart w:id="10" w:name="_Toc168537191"/>
      <w:r w:rsidRPr="00FB56DB">
        <w:rPr>
          <w:lang w:val="en-GB"/>
        </w:rPr>
        <w:t>2.3 Profitability Analysis</w:t>
      </w:r>
      <w:bookmarkEnd w:id="10"/>
    </w:p>
    <w:p w14:paraId="562AAE8B" w14:textId="77777777" w:rsidR="007969F4" w:rsidRPr="00FB56DB" w:rsidRDefault="007B1277">
      <w:pPr>
        <w:pStyle w:val="Normal1"/>
        <w:spacing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The Urban Heights Hotel</w:t>
      </w:r>
      <w:r w:rsidR="002D4287" w:rsidRPr="00FB56DB">
        <w:rPr>
          <w:rFonts w:ascii="Times New Roman" w:eastAsia="Times New Roman" w:hAnsi="Times New Roman" w:cs="Times New Roman"/>
          <w:sz w:val="24"/>
          <w:szCs w:val="24"/>
          <w:lang w:val="en-GB"/>
        </w:rPr>
        <w:t>’</w:t>
      </w:r>
      <w:r w:rsidRPr="00FB56DB">
        <w:rPr>
          <w:rFonts w:ascii="Times New Roman" w:eastAsia="Times New Roman" w:hAnsi="Times New Roman" w:cs="Times New Roman"/>
          <w:sz w:val="24"/>
          <w:szCs w:val="24"/>
          <w:lang w:val="en-GB"/>
        </w:rPr>
        <w:t>s net income declined from £700,000 in 2021 to a £500,000 loss in 2023. Despite the difficulties caused by the pandemic, the hotel was able to turn an impressive profit in 2021. The industry</w:t>
      </w:r>
      <w:r w:rsidR="002D4287" w:rsidRPr="00FB56DB">
        <w:rPr>
          <w:rFonts w:ascii="Times New Roman" w:eastAsia="Times New Roman" w:hAnsi="Times New Roman" w:cs="Times New Roman"/>
          <w:sz w:val="24"/>
          <w:szCs w:val="24"/>
          <w:lang w:val="en-GB"/>
        </w:rPr>
        <w:t>’</w:t>
      </w:r>
      <w:r w:rsidRPr="00FB56DB">
        <w:rPr>
          <w:rFonts w:ascii="Times New Roman" w:eastAsia="Times New Roman" w:hAnsi="Times New Roman" w:cs="Times New Roman"/>
          <w:sz w:val="24"/>
          <w:szCs w:val="24"/>
          <w:lang w:val="en-GB"/>
        </w:rPr>
        <w:t xml:space="preserve">s resiliency and the cost-cutting measures put in place during the epidemic may be to blame. </w:t>
      </w:r>
    </w:p>
    <w:p w14:paraId="3E77017C" w14:textId="77777777" w:rsidR="007969F4" w:rsidRPr="00FB56DB" w:rsidRDefault="007B1277">
      <w:pPr>
        <w:pStyle w:val="Normal1"/>
        <w:spacing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However, in 2022, despite the increase in operating expenses, the hotel still managed to generate a net income of £200,000. It implies that the hotel</w:t>
      </w:r>
      <w:r w:rsidR="002D4287" w:rsidRPr="00FB56DB">
        <w:rPr>
          <w:rFonts w:ascii="Times New Roman" w:eastAsia="Times New Roman" w:hAnsi="Times New Roman" w:cs="Times New Roman"/>
          <w:sz w:val="24"/>
          <w:szCs w:val="24"/>
          <w:lang w:val="en-GB"/>
        </w:rPr>
        <w:t>’</w:t>
      </w:r>
      <w:r w:rsidRPr="00FB56DB">
        <w:rPr>
          <w:rFonts w:ascii="Times New Roman" w:eastAsia="Times New Roman" w:hAnsi="Times New Roman" w:cs="Times New Roman"/>
          <w:sz w:val="24"/>
          <w:szCs w:val="24"/>
          <w:lang w:val="en-GB"/>
        </w:rPr>
        <w:t>s earnings were insufficient to pay for the rising costs. Since the hotel</w:t>
      </w:r>
      <w:r w:rsidR="002D4287" w:rsidRPr="00FB56DB">
        <w:rPr>
          <w:rFonts w:ascii="Times New Roman" w:eastAsia="Times New Roman" w:hAnsi="Times New Roman" w:cs="Times New Roman"/>
          <w:sz w:val="24"/>
          <w:szCs w:val="24"/>
          <w:lang w:val="en-GB"/>
        </w:rPr>
        <w:t>’</w:t>
      </w:r>
      <w:r w:rsidRPr="00FB56DB">
        <w:rPr>
          <w:rFonts w:ascii="Times New Roman" w:eastAsia="Times New Roman" w:hAnsi="Times New Roman" w:cs="Times New Roman"/>
          <w:sz w:val="24"/>
          <w:szCs w:val="24"/>
          <w:lang w:val="en-GB"/>
        </w:rPr>
        <w:t xml:space="preserve">s revenues were insufficient to pay its operational expenditures, the negative net income for 2023 suggests a loss. Increasing competitiveness in </w:t>
      </w:r>
      <w:r w:rsidRPr="00FB56DB">
        <w:rPr>
          <w:rFonts w:ascii="Times New Roman" w:eastAsia="Times New Roman" w:hAnsi="Times New Roman" w:cs="Times New Roman"/>
          <w:sz w:val="24"/>
          <w:szCs w:val="24"/>
          <w:lang w:val="en-GB"/>
        </w:rPr>
        <w:lastRenderedPageBreak/>
        <w:t>the hotel business might be one probable explanation for this. The Urban Heights Hotel may have lost business to other hotels in 2023 if they had increased their free cash flow and working capital.</w:t>
      </w:r>
    </w:p>
    <w:p w14:paraId="7680B69A" w14:textId="77777777" w:rsidR="007969F4" w:rsidRPr="00FB56DB" w:rsidRDefault="007B1277" w:rsidP="002D4287">
      <w:pPr>
        <w:pStyle w:val="Heading2"/>
        <w:rPr>
          <w:lang w:val="en-GB"/>
        </w:rPr>
      </w:pPr>
      <w:bookmarkStart w:id="11" w:name="_Toc168537192"/>
      <w:r w:rsidRPr="00FB56DB">
        <w:rPr>
          <w:lang w:val="en-GB"/>
        </w:rPr>
        <w:t>2.4 Liquidity Analysis</w:t>
      </w:r>
      <w:bookmarkEnd w:id="11"/>
    </w:p>
    <w:p w14:paraId="42EA39DE" w14:textId="77777777" w:rsidR="007969F4" w:rsidRPr="00FB56DB" w:rsidRDefault="007B1277">
      <w:pPr>
        <w:pStyle w:val="Normal1"/>
        <w:spacing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 xml:space="preserve">The capacity of an organisation to satisfy its immediate financial commitments is referred to as liquidity (Drury, 2021). A crucial metric for assessing liquidity is the current ratio, which is the ratio of current assets to current liabilities. Less than one implies possible liquidity issues, but a current ratio of more than one shows that the business can easily fulfil its short-term obligations (Seal </w:t>
      </w:r>
      <w:r w:rsidRPr="00FB56DB">
        <w:rPr>
          <w:rFonts w:ascii="Times New Roman" w:eastAsia="Times New Roman" w:hAnsi="Times New Roman" w:cs="Times New Roman"/>
          <w:i/>
          <w:sz w:val="24"/>
          <w:szCs w:val="24"/>
          <w:lang w:val="en-GB"/>
        </w:rPr>
        <w:t>et al</w:t>
      </w:r>
      <w:r w:rsidRPr="00FB56DB">
        <w:rPr>
          <w:rFonts w:ascii="Times New Roman" w:eastAsia="Times New Roman" w:hAnsi="Times New Roman" w:cs="Times New Roman"/>
          <w:sz w:val="24"/>
          <w:szCs w:val="24"/>
          <w:lang w:val="en-GB"/>
        </w:rPr>
        <w:t>., 2008). The Urban Heights Hotel demonstrated a healthy liquidity position in 2021 with a current ratio of 1.8. However, by 2022 and 2023, this ratio had dropped to 1.1 and 0.6 respectively. By 2023, the hotel</w:t>
      </w:r>
      <w:r w:rsidR="002D4287" w:rsidRPr="00FB56DB">
        <w:rPr>
          <w:rFonts w:ascii="Times New Roman" w:eastAsia="Times New Roman" w:hAnsi="Times New Roman" w:cs="Times New Roman"/>
          <w:sz w:val="24"/>
          <w:szCs w:val="24"/>
          <w:lang w:val="en-GB"/>
        </w:rPr>
        <w:t>’</w:t>
      </w:r>
      <w:r w:rsidRPr="00FB56DB">
        <w:rPr>
          <w:rFonts w:ascii="Times New Roman" w:eastAsia="Times New Roman" w:hAnsi="Times New Roman" w:cs="Times New Roman"/>
          <w:sz w:val="24"/>
          <w:szCs w:val="24"/>
          <w:lang w:val="en-GB"/>
        </w:rPr>
        <w:t>s current liabilities will have surpassed its current assets, indicating a worsening liquidity situation based on this downward pattern.</w:t>
      </w:r>
    </w:p>
    <w:p w14:paraId="2EBAC028" w14:textId="77777777" w:rsidR="007969F4" w:rsidRPr="00FB56DB" w:rsidRDefault="007B1277" w:rsidP="002D4287">
      <w:pPr>
        <w:pStyle w:val="Heading2"/>
        <w:rPr>
          <w:lang w:val="en-GB"/>
        </w:rPr>
      </w:pPr>
      <w:bookmarkStart w:id="12" w:name="_Toc168537193"/>
      <w:r w:rsidRPr="00FB56DB">
        <w:rPr>
          <w:lang w:val="en-GB"/>
        </w:rPr>
        <w:t>2.5 Solvency Analysis</w:t>
      </w:r>
      <w:bookmarkEnd w:id="12"/>
    </w:p>
    <w:p w14:paraId="4D6A9573" w14:textId="77777777" w:rsidR="007969F4" w:rsidRPr="00FB56DB" w:rsidRDefault="007B1277">
      <w:pPr>
        <w:pStyle w:val="Normal1"/>
        <w:spacing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A company</w:t>
      </w:r>
      <w:r w:rsidR="002D4287" w:rsidRPr="00FB56DB">
        <w:rPr>
          <w:rFonts w:ascii="Times New Roman" w:eastAsia="Times New Roman" w:hAnsi="Times New Roman" w:cs="Times New Roman"/>
          <w:sz w:val="24"/>
          <w:szCs w:val="24"/>
          <w:lang w:val="en-GB"/>
        </w:rPr>
        <w:t>’</w:t>
      </w:r>
      <w:r w:rsidRPr="00FB56DB">
        <w:rPr>
          <w:rFonts w:ascii="Times New Roman" w:eastAsia="Times New Roman" w:hAnsi="Times New Roman" w:cs="Times New Roman"/>
          <w:sz w:val="24"/>
          <w:szCs w:val="24"/>
          <w:lang w:val="en-GB"/>
        </w:rPr>
        <w:t>s solvency indicates its capacity to fulfil its long-term commitments. One popular indicator of solvency is the debt-to-equity ratio, which shows how much debt a firm has relative to its equity held by shareholders (Wild, 2018). Between 2021 and 2022, the debt-to-equity ratio of the Urban Heights Hotel grew, reaching 1.8 and 2.4 respectively. The hotel may be at risk if profitability drops or interest rates rise, as the growing trend suggests that it is depending more and more on debt to fund its operations.</w:t>
      </w:r>
    </w:p>
    <w:p w14:paraId="0CF42B3B" w14:textId="77777777" w:rsidR="007969F4" w:rsidRPr="00FB56DB" w:rsidRDefault="007B1277">
      <w:pPr>
        <w:pStyle w:val="Normal1"/>
        <w:spacing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One possible explanation for the rise in the debt-to-equity ratio might be a rise in long-term debt or a fall in equity. Retained earnings may have decreased as a consequence of reduced profitability or larger dividend payments or it may have been brought on by the hotel taking on additional debt to finance operations or capital projects.</w:t>
      </w:r>
    </w:p>
    <w:p w14:paraId="0E2B30BB" w14:textId="77777777" w:rsidR="007969F4" w:rsidRPr="00FB56DB" w:rsidRDefault="007B1277" w:rsidP="002D4287">
      <w:pPr>
        <w:pStyle w:val="Heading2"/>
        <w:rPr>
          <w:lang w:val="en-GB"/>
        </w:rPr>
      </w:pPr>
      <w:bookmarkStart w:id="13" w:name="_Toc168537194"/>
      <w:r w:rsidRPr="00FB56DB">
        <w:rPr>
          <w:lang w:val="en-GB"/>
        </w:rPr>
        <w:t>2.6 Financial Ratio Analysis</w:t>
      </w:r>
      <w:bookmarkEnd w:id="13"/>
    </w:p>
    <w:tbl>
      <w:tblPr>
        <w:tblStyle w:val="a1"/>
        <w:tblW w:w="8865" w:type="dxa"/>
        <w:tblLayout w:type="fixed"/>
        <w:tblLook w:val="0600" w:firstRow="0" w:lastRow="0" w:firstColumn="0" w:lastColumn="0" w:noHBand="1" w:noVBand="1"/>
      </w:tblPr>
      <w:tblGrid>
        <w:gridCol w:w="1560"/>
        <w:gridCol w:w="7305"/>
      </w:tblGrid>
      <w:tr w:rsidR="007969F4" w:rsidRPr="00FB56DB" w14:paraId="58881DDD" w14:textId="77777777">
        <w:trPr>
          <w:cantSplit/>
          <w:trHeight w:val="345"/>
          <w:tblHeader/>
        </w:trPr>
        <w:tc>
          <w:tcPr>
            <w:tcW w:w="8865" w:type="dxa"/>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9F9358D"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“Current Ratio = Current Assets/Current Liabilities”</w:t>
            </w:r>
          </w:p>
        </w:tc>
      </w:tr>
      <w:tr w:rsidR="007969F4" w:rsidRPr="00FB56DB" w14:paraId="0FD0A633" w14:textId="77777777">
        <w:trPr>
          <w:cantSplit/>
          <w:trHeight w:val="413"/>
          <w:tblHeader/>
        </w:trPr>
        <w:tc>
          <w:tcPr>
            <w:tcW w:w="1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8EE9799"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2021</w:t>
            </w:r>
          </w:p>
        </w:tc>
        <w:tc>
          <w:tcPr>
            <w:tcW w:w="7305" w:type="dxa"/>
            <w:tcBorders>
              <w:top w:val="nil"/>
              <w:left w:val="nil"/>
              <w:bottom w:val="single" w:sz="6" w:space="0" w:color="000000"/>
              <w:right w:val="single" w:sz="6" w:space="0" w:color="000000"/>
            </w:tcBorders>
            <w:tcMar>
              <w:top w:w="0" w:type="dxa"/>
              <w:left w:w="100" w:type="dxa"/>
              <w:bottom w:w="0" w:type="dxa"/>
              <w:right w:w="100" w:type="dxa"/>
            </w:tcMar>
          </w:tcPr>
          <w:p w14:paraId="743AD37F" w14:textId="77777777" w:rsidR="007969F4" w:rsidRPr="00FB56DB" w:rsidRDefault="007B1277">
            <w:pPr>
              <w:pStyle w:val="Normal1"/>
              <w:spacing w:before="240" w:line="360" w:lineRule="auto"/>
              <w:jc w:val="center"/>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“Current Ratio= 450000/250000 = 1.8”</w:t>
            </w:r>
          </w:p>
        </w:tc>
      </w:tr>
      <w:tr w:rsidR="007969F4" w:rsidRPr="00FB56DB" w14:paraId="22D9D174" w14:textId="77777777">
        <w:trPr>
          <w:cantSplit/>
          <w:trHeight w:val="345"/>
          <w:tblHeader/>
        </w:trPr>
        <w:tc>
          <w:tcPr>
            <w:tcW w:w="1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284BE21"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2022</w:t>
            </w:r>
          </w:p>
        </w:tc>
        <w:tc>
          <w:tcPr>
            <w:tcW w:w="7305" w:type="dxa"/>
            <w:tcBorders>
              <w:top w:val="nil"/>
              <w:left w:val="nil"/>
              <w:bottom w:val="single" w:sz="6" w:space="0" w:color="000000"/>
              <w:right w:val="single" w:sz="6" w:space="0" w:color="000000"/>
            </w:tcBorders>
            <w:tcMar>
              <w:top w:w="0" w:type="dxa"/>
              <w:left w:w="100" w:type="dxa"/>
              <w:bottom w:w="0" w:type="dxa"/>
              <w:right w:w="100" w:type="dxa"/>
            </w:tcMar>
          </w:tcPr>
          <w:p w14:paraId="497EDC64" w14:textId="77777777" w:rsidR="007969F4" w:rsidRPr="00FB56DB" w:rsidRDefault="007B1277">
            <w:pPr>
              <w:pStyle w:val="Normal1"/>
              <w:spacing w:before="240" w:line="360" w:lineRule="auto"/>
              <w:jc w:val="center"/>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“Current Ratio = 300000/270000 = 1.1”</w:t>
            </w:r>
          </w:p>
        </w:tc>
      </w:tr>
      <w:tr w:rsidR="007969F4" w:rsidRPr="00FB56DB" w14:paraId="526087CE" w14:textId="77777777">
        <w:trPr>
          <w:cantSplit/>
          <w:trHeight w:val="345"/>
          <w:tblHeader/>
        </w:trPr>
        <w:tc>
          <w:tcPr>
            <w:tcW w:w="1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94522EA"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2023</w:t>
            </w:r>
          </w:p>
        </w:tc>
        <w:tc>
          <w:tcPr>
            <w:tcW w:w="7305" w:type="dxa"/>
            <w:tcBorders>
              <w:top w:val="nil"/>
              <w:left w:val="nil"/>
              <w:bottom w:val="single" w:sz="6" w:space="0" w:color="000000"/>
              <w:right w:val="single" w:sz="6" w:space="0" w:color="000000"/>
            </w:tcBorders>
            <w:tcMar>
              <w:top w:w="0" w:type="dxa"/>
              <w:left w:w="100" w:type="dxa"/>
              <w:bottom w:w="0" w:type="dxa"/>
              <w:right w:w="100" w:type="dxa"/>
            </w:tcMar>
          </w:tcPr>
          <w:p w14:paraId="0C592156" w14:textId="77777777" w:rsidR="007969F4" w:rsidRPr="00FB56DB" w:rsidRDefault="007B1277">
            <w:pPr>
              <w:pStyle w:val="Normal1"/>
              <w:spacing w:before="240" w:line="360" w:lineRule="auto"/>
              <w:jc w:val="center"/>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“Current Ratio = 180000/300000 = 0.6”</w:t>
            </w:r>
          </w:p>
        </w:tc>
      </w:tr>
    </w:tbl>
    <w:p w14:paraId="5C46C014" w14:textId="77777777" w:rsidR="007969F4" w:rsidRPr="00FB56DB" w:rsidRDefault="007B1277">
      <w:pPr>
        <w:pStyle w:val="Normal1"/>
        <w:spacing w:before="240" w:line="360" w:lineRule="auto"/>
        <w:jc w:val="both"/>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 xml:space="preserve"> </w:t>
      </w:r>
    </w:p>
    <w:tbl>
      <w:tblPr>
        <w:tblStyle w:val="a2"/>
        <w:tblW w:w="8865" w:type="dxa"/>
        <w:tblLayout w:type="fixed"/>
        <w:tblLook w:val="0600" w:firstRow="0" w:lastRow="0" w:firstColumn="0" w:lastColumn="0" w:noHBand="1" w:noVBand="1"/>
      </w:tblPr>
      <w:tblGrid>
        <w:gridCol w:w="1560"/>
        <w:gridCol w:w="7305"/>
      </w:tblGrid>
      <w:tr w:rsidR="007969F4" w:rsidRPr="00FB56DB" w14:paraId="39BA0DF4" w14:textId="77777777">
        <w:trPr>
          <w:cantSplit/>
          <w:trHeight w:val="634"/>
          <w:tblHeader/>
        </w:trPr>
        <w:tc>
          <w:tcPr>
            <w:tcW w:w="8865" w:type="dxa"/>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1439BBB"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lastRenderedPageBreak/>
              <w:t>“Quick Ratio = Current Assets – Inventory/Current Liabilities”</w:t>
            </w:r>
          </w:p>
        </w:tc>
      </w:tr>
      <w:tr w:rsidR="007969F4" w:rsidRPr="00FB56DB" w14:paraId="1BFB9CA8" w14:textId="77777777">
        <w:trPr>
          <w:cantSplit/>
          <w:trHeight w:val="345"/>
          <w:tblHeader/>
        </w:trPr>
        <w:tc>
          <w:tcPr>
            <w:tcW w:w="1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1B62C3F"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2021</w:t>
            </w:r>
          </w:p>
        </w:tc>
        <w:tc>
          <w:tcPr>
            <w:tcW w:w="7305" w:type="dxa"/>
            <w:tcBorders>
              <w:top w:val="nil"/>
              <w:left w:val="nil"/>
              <w:bottom w:val="single" w:sz="6" w:space="0" w:color="000000"/>
              <w:right w:val="single" w:sz="6" w:space="0" w:color="000000"/>
            </w:tcBorders>
            <w:tcMar>
              <w:top w:w="0" w:type="dxa"/>
              <w:left w:w="100" w:type="dxa"/>
              <w:bottom w:w="0" w:type="dxa"/>
              <w:right w:w="100" w:type="dxa"/>
            </w:tcMar>
          </w:tcPr>
          <w:p w14:paraId="34CC483A" w14:textId="77777777" w:rsidR="007969F4" w:rsidRPr="00FB56DB" w:rsidRDefault="007B1277">
            <w:pPr>
              <w:pStyle w:val="Normal1"/>
              <w:spacing w:before="240" w:line="360" w:lineRule="auto"/>
              <w:jc w:val="center"/>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“Quick Ratio = 450000/250000 = 1.8”</w:t>
            </w:r>
          </w:p>
        </w:tc>
      </w:tr>
      <w:tr w:rsidR="007969F4" w:rsidRPr="00FB56DB" w14:paraId="145FB5EF" w14:textId="77777777">
        <w:trPr>
          <w:cantSplit/>
          <w:trHeight w:val="345"/>
          <w:tblHeader/>
        </w:trPr>
        <w:tc>
          <w:tcPr>
            <w:tcW w:w="1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EB5ACBA"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2022</w:t>
            </w:r>
          </w:p>
        </w:tc>
        <w:tc>
          <w:tcPr>
            <w:tcW w:w="7305" w:type="dxa"/>
            <w:tcBorders>
              <w:top w:val="nil"/>
              <w:left w:val="nil"/>
              <w:bottom w:val="single" w:sz="6" w:space="0" w:color="000000"/>
              <w:right w:val="single" w:sz="6" w:space="0" w:color="000000"/>
            </w:tcBorders>
            <w:tcMar>
              <w:top w:w="0" w:type="dxa"/>
              <w:left w:w="100" w:type="dxa"/>
              <w:bottom w:w="0" w:type="dxa"/>
              <w:right w:w="100" w:type="dxa"/>
            </w:tcMar>
          </w:tcPr>
          <w:p w14:paraId="3AB0314A" w14:textId="77777777" w:rsidR="007969F4" w:rsidRPr="00FB56DB" w:rsidRDefault="007B1277">
            <w:pPr>
              <w:pStyle w:val="Normal1"/>
              <w:spacing w:before="240" w:line="360" w:lineRule="auto"/>
              <w:jc w:val="center"/>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“Quick Ratio = 300000/270000 = 1.1”</w:t>
            </w:r>
          </w:p>
        </w:tc>
      </w:tr>
      <w:tr w:rsidR="007969F4" w:rsidRPr="00FB56DB" w14:paraId="3CBEE320" w14:textId="77777777">
        <w:trPr>
          <w:cantSplit/>
          <w:trHeight w:val="345"/>
          <w:tblHeader/>
        </w:trPr>
        <w:tc>
          <w:tcPr>
            <w:tcW w:w="1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6D34154"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2023</w:t>
            </w:r>
          </w:p>
        </w:tc>
        <w:tc>
          <w:tcPr>
            <w:tcW w:w="7305" w:type="dxa"/>
            <w:tcBorders>
              <w:top w:val="nil"/>
              <w:left w:val="nil"/>
              <w:bottom w:val="single" w:sz="6" w:space="0" w:color="000000"/>
              <w:right w:val="single" w:sz="6" w:space="0" w:color="000000"/>
            </w:tcBorders>
            <w:tcMar>
              <w:top w:w="0" w:type="dxa"/>
              <w:left w:w="100" w:type="dxa"/>
              <w:bottom w:w="0" w:type="dxa"/>
              <w:right w:w="100" w:type="dxa"/>
            </w:tcMar>
          </w:tcPr>
          <w:p w14:paraId="617E137F" w14:textId="77777777" w:rsidR="007969F4" w:rsidRPr="00FB56DB" w:rsidRDefault="007B1277">
            <w:pPr>
              <w:pStyle w:val="Normal1"/>
              <w:spacing w:before="240" w:line="360" w:lineRule="auto"/>
              <w:jc w:val="center"/>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“Quick Ratio = 180000/300000 = 0.6”</w:t>
            </w:r>
          </w:p>
        </w:tc>
      </w:tr>
    </w:tbl>
    <w:p w14:paraId="021C235D" w14:textId="77777777" w:rsidR="007969F4" w:rsidRPr="00FB56DB" w:rsidRDefault="007B1277">
      <w:pPr>
        <w:pStyle w:val="Normal1"/>
        <w:spacing w:before="240" w:line="360" w:lineRule="auto"/>
        <w:jc w:val="both"/>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 xml:space="preserve"> </w:t>
      </w:r>
    </w:p>
    <w:tbl>
      <w:tblPr>
        <w:tblStyle w:val="a3"/>
        <w:tblW w:w="8865" w:type="dxa"/>
        <w:tblLayout w:type="fixed"/>
        <w:tblLook w:val="0600" w:firstRow="0" w:lastRow="0" w:firstColumn="0" w:lastColumn="0" w:noHBand="1" w:noVBand="1"/>
      </w:tblPr>
      <w:tblGrid>
        <w:gridCol w:w="1560"/>
        <w:gridCol w:w="7305"/>
      </w:tblGrid>
      <w:tr w:rsidR="007969F4" w:rsidRPr="00FB56DB" w14:paraId="7001CF40" w14:textId="77777777">
        <w:trPr>
          <w:cantSplit/>
          <w:trHeight w:val="345"/>
          <w:tblHeader/>
        </w:trPr>
        <w:tc>
          <w:tcPr>
            <w:tcW w:w="8865" w:type="dxa"/>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C854702"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“Debt to Equity Ratio = Total Liabilities/ Shareholders Equity”</w:t>
            </w:r>
          </w:p>
        </w:tc>
      </w:tr>
      <w:tr w:rsidR="007969F4" w:rsidRPr="00FB56DB" w14:paraId="3B95B9AF" w14:textId="77777777">
        <w:trPr>
          <w:cantSplit/>
          <w:trHeight w:val="345"/>
          <w:tblHeader/>
        </w:trPr>
        <w:tc>
          <w:tcPr>
            <w:tcW w:w="1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078AB93"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2021</w:t>
            </w:r>
          </w:p>
        </w:tc>
        <w:tc>
          <w:tcPr>
            <w:tcW w:w="7305" w:type="dxa"/>
            <w:tcBorders>
              <w:top w:val="nil"/>
              <w:left w:val="nil"/>
              <w:bottom w:val="single" w:sz="6" w:space="0" w:color="000000"/>
              <w:right w:val="single" w:sz="6" w:space="0" w:color="000000"/>
            </w:tcBorders>
            <w:tcMar>
              <w:top w:w="0" w:type="dxa"/>
              <w:left w:w="100" w:type="dxa"/>
              <w:bottom w:w="0" w:type="dxa"/>
              <w:right w:w="100" w:type="dxa"/>
            </w:tcMar>
          </w:tcPr>
          <w:p w14:paraId="005AEF29" w14:textId="77777777" w:rsidR="007969F4" w:rsidRPr="00FB56DB" w:rsidRDefault="007B1277">
            <w:pPr>
              <w:pStyle w:val="Normal1"/>
              <w:spacing w:before="240" w:line="360" w:lineRule="auto"/>
              <w:jc w:val="center"/>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“Debt to Equity Ratio = 3250000/2200000 = 1.5”</w:t>
            </w:r>
          </w:p>
        </w:tc>
      </w:tr>
      <w:tr w:rsidR="007969F4" w:rsidRPr="00FB56DB" w14:paraId="19608A5B" w14:textId="77777777">
        <w:trPr>
          <w:cantSplit/>
          <w:trHeight w:val="345"/>
          <w:tblHeader/>
        </w:trPr>
        <w:tc>
          <w:tcPr>
            <w:tcW w:w="1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A01347B"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2022</w:t>
            </w:r>
          </w:p>
        </w:tc>
        <w:tc>
          <w:tcPr>
            <w:tcW w:w="7305" w:type="dxa"/>
            <w:tcBorders>
              <w:top w:val="nil"/>
              <w:left w:val="nil"/>
              <w:bottom w:val="single" w:sz="6" w:space="0" w:color="000000"/>
              <w:right w:val="single" w:sz="6" w:space="0" w:color="000000"/>
            </w:tcBorders>
            <w:tcMar>
              <w:top w:w="0" w:type="dxa"/>
              <w:left w:w="100" w:type="dxa"/>
              <w:bottom w:w="0" w:type="dxa"/>
              <w:right w:w="100" w:type="dxa"/>
            </w:tcMar>
          </w:tcPr>
          <w:p w14:paraId="1B474CF8" w14:textId="77777777" w:rsidR="007969F4" w:rsidRPr="00FB56DB" w:rsidRDefault="007B1277">
            <w:pPr>
              <w:pStyle w:val="Normal1"/>
              <w:spacing w:before="240" w:line="360" w:lineRule="auto"/>
              <w:jc w:val="center"/>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“Debt to Equity Ratio = 3270000/1830000 = 1.8”</w:t>
            </w:r>
          </w:p>
        </w:tc>
      </w:tr>
      <w:tr w:rsidR="007969F4" w:rsidRPr="00FB56DB" w14:paraId="2225D8E0" w14:textId="77777777">
        <w:trPr>
          <w:cantSplit/>
          <w:trHeight w:val="345"/>
          <w:tblHeader/>
        </w:trPr>
        <w:tc>
          <w:tcPr>
            <w:tcW w:w="1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7A88ABE"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2023</w:t>
            </w:r>
          </w:p>
        </w:tc>
        <w:tc>
          <w:tcPr>
            <w:tcW w:w="7305" w:type="dxa"/>
            <w:tcBorders>
              <w:top w:val="nil"/>
              <w:left w:val="nil"/>
              <w:bottom w:val="single" w:sz="6" w:space="0" w:color="000000"/>
              <w:right w:val="single" w:sz="6" w:space="0" w:color="000000"/>
            </w:tcBorders>
            <w:tcMar>
              <w:top w:w="0" w:type="dxa"/>
              <w:left w:w="100" w:type="dxa"/>
              <w:bottom w:w="0" w:type="dxa"/>
              <w:right w:w="100" w:type="dxa"/>
            </w:tcMar>
          </w:tcPr>
          <w:p w14:paraId="07DF7205" w14:textId="77777777" w:rsidR="007969F4" w:rsidRPr="00FB56DB" w:rsidRDefault="007B1277">
            <w:pPr>
              <w:pStyle w:val="Normal1"/>
              <w:spacing w:before="240" w:line="360" w:lineRule="auto"/>
              <w:jc w:val="center"/>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“Debt to Equity Ratio = 3300000/1380000 = 2.4”</w:t>
            </w:r>
          </w:p>
        </w:tc>
      </w:tr>
    </w:tbl>
    <w:p w14:paraId="20FDBF8D" w14:textId="77777777" w:rsidR="007969F4" w:rsidRPr="00FB56DB" w:rsidRDefault="007969F4">
      <w:pPr>
        <w:pStyle w:val="Normal1"/>
        <w:spacing w:before="240" w:after="240" w:line="360" w:lineRule="auto"/>
        <w:jc w:val="both"/>
        <w:rPr>
          <w:rFonts w:ascii="Times New Roman" w:eastAsia="Times New Roman" w:hAnsi="Times New Roman" w:cs="Times New Roman"/>
          <w:b/>
          <w:sz w:val="24"/>
          <w:szCs w:val="24"/>
          <w:lang w:val="en-GB"/>
        </w:rPr>
      </w:pPr>
    </w:p>
    <w:tbl>
      <w:tblPr>
        <w:tblStyle w:val="a4"/>
        <w:tblW w:w="8865" w:type="dxa"/>
        <w:tblLayout w:type="fixed"/>
        <w:tblLook w:val="0600" w:firstRow="0" w:lastRow="0" w:firstColumn="0" w:lastColumn="0" w:noHBand="1" w:noVBand="1"/>
      </w:tblPr>
      <w:tblGrid>
        <w:gridCol w:w="1560"/>
        <w:gridCol w:w="7305"/>
      </w:tblGrid>
      <w:tr w:rsidR="007969F4" w:rsidRPr="00FB56DB" w14:paraId="3C07AA1A" w14:textId="77777777">
        <w:trPr>
          <w:cantSplit/>
          <w:trHeight w:val="345"/>
          <w:tblHeader/>
        </w:trPr>
        <w:tc>
          <w:tcPr>
            <w:tcW w:w="8865" w:type="dxa"/>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1AA4436"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“Return on Assets = Net income/Average Total Assets”</w:t>
            </w:r>
          </w:p>
        </w:tc>
      </w:tr>
      <w:tr w:rsidR="007969F4" w:rsidRPr="00FB56DB" w14:paraId="23814B75" w14:textId="77777777">
        <w:trPr>
          <w:cantSplit/>
          <w:trHeight w:val="345"/>
          <w:tblHeader/>
        </w:trPr>
        <w:tc>
          <w:tcPr>
            <w:tcW w:w="1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D158329"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2021</w:t>
            </w:r>
          </w:p>
        </w:tc>
        <w:tc>
          <w:tcPr>
            <w:tcW w:w="7305" w:type="dxa"/>
            <w:tcBorders>
              <w:top w:val="nil"/>
              <w:left w:val="nil"/>
              <w:bottom w:val="single" w:sz="6" w:space="0" w:color="000000"/>
              <w:right w:val="single" w:sz="6" w:space="0" w:color="000000"/>
            </w:tcBorders>
            <w:tcMar>
              <w:top w:w="0" w:type="dxa"/>
              <w:left w:w="100" w:type="dxa"/>
              <w:bottom w:w="0" w:type="dxa"/>
              <w:right w:w="100" w:type="dxa"/>
            </w:tcMar>
          </w:tcPr>
          <w:p w14:paraId="0D557BF6" w14:textId="77777777" w:rsidR="007969F4" w:rsidRPr="00FB56DB" w:rsidRDefault="007B1277">
            <w:pPr>
              <w:pStyle w:val="Normal1"/>
              <w:spacing w:before="240" w:line="360" w:lineRule="auto"/>
              <w:jc w:val="center"/>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“Return on Assets = 700000/5450000 = 0.12”</w:t>
            </w:r>
          </w:p>
        </w:tc>
      </w:tr>
      <w:tr w:rsidR="007969F4" w:rsidRPr="00FB56DB" w14:paraId="3FD0CA3F" w14:textId="77777777">
        <w:trPr>
          <w:cantSplit/>
          <w:trHeight w:val="345"/>
          <w:tblHeader/>
        </w:trPr>
        <w:tc>
          <w:tcPr>
            <w:tcW w:w="1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2389F19"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2022</w:t>
            </w:r>
          </w:p>
        </w:tc>
        <w:tc>
          <w:tcPr>
            <w:tcW w:w="7305" w:type="dxa"/>
            <w:tcBorders>
              <w:top w:val="nil"/>
              <w:left w:val="nil"/>
              <w:bottom w:val="single" w:sz="6" w:space="0" w:color="000000"/>
              <w:right w:val="single" w:sz="6" w:space="0" w:color="000000"/>
            </w:tcBorders>
            <w:tcMar>
              <w:top w:w="0" w:type="dxa"/>
              <w:left w:w="100" w:type="dxa"/>
              <w:bottom w:w="0" w:type="dxa"/>
              <w:right w:w="100" w:type="dxa"/>
            </w:tcMar>
          </w:tcPr>
          <w:p w14:paraId="413C4285" w14:textId="77777777" w:rsidR="007969F4" w:rsidRPr="00FB56DB" w:rsidRDefault="007B1277">
            <w:pPr>
              <w:pStyle w:val="Normal1"/>
              <w:spacing w:before="240" w:line="360" w:lineRule="auto"/>
              <w:jc w:val="center"/>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“Return on Assets = 200000/5275000 = 0.03”</w:t>
            </w:r>
          </w:p>
        </w:tc>
      </w:tr>
      <w:tr w:rsidR="007969F4" w:rsidRPr="00FB56DB" w14:paraId="781A1C47" w14:textId="77777777">
        <w:trPr>
          <w:cantSplit/>
          <w:trHeight w:val="345"/>
          <w:tblHeader/>
        </w:trPr>
        <w:tc>
          <w:tcPr>
            <w:tcW w:w="1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7EBBC3C"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2023</w:t>
            </w:r>
          </w:p>
        </w:tc>
        <w:tc>
          <w:tcPr>
            <w:tcW w:w="7305" w:type="dxa"/>
            <w:tcBorders>
              <w:top w:val="nil"/>
              <w:left w:val="nil"/>
              <w:bottom w:val="single" w:sz="6" w:space="0" w:color="000000"/>
              <w:right w:val="single" w:sz="6" w:space="0" w:color="000000"/>
            </w:tcBorders>
            <w:tcMar>
              <w:top w:w="0" w:type="dxa"/>
              <w:left w:w="100" w:type="dxa"/>
              <w:bottom w:w="0" w:type="dxa"/>
              <w:right w:w="100" w:type="dxa"/>
            </w:tcMar>
          </w:tcPr>
          <w:p w14:paraId="39A13279" w14:textId="77777777" w:rsidR="007969F4" w:rsidRPr="00FB56DB" w:rsidRDefault="007B1277">
            <w:pPr>
              <w:pStyle w:val="Normal1"/>
              <w:spacing w:before="240" w:line="360" w:lineRule="auto"/>
              <w:jc w:val="center"/>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“Return on Assets = -500000/4890000 = -0.10”</w:t>
            </w:r>
          </w:p>
        </w:tc>
      </w:tr>
    </w:tbl>
    <w:p w14:paraId="1CBBC535" w14:textId="77777777" w:rsidR="007969F4" w:rsidRPr="00FB56DB" w:rsidRDefault="007B1277">
      <w:pPr>
        <w:pStyle w:val="Normal1"/>
        <w:spacing w:before="240" w:line="360" w:lineRule="auto"/>
        <w:jc w:val="both"/>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 xml:space="preserve"> </w:t>
      </w:r>
    </w:p>
    <w:tbl>
      <w:tblPr>
        <w:tblStyle w:val="a5"/>
        <w:tblW w:w="8865" w:type="dxa"/>
        <w:tblLayout w:type="fixed"/>
        <w:tblLook w:val="0600" w:firstRow="0" w:lastRow="0" w:firstColumn="0" w:lastColumn="0" w:noHBand="1" w:noVBand="1"/>
      </w:tblPr>
      <w:tblGrid>
        <w:gridCol w:w="1560"/>
        <w:gridCol w:w="7305"/>
      </w:tblGrid>
      <w:tr w:rsidR="007969F4" w:rsidRPr="00FB56DB" w14:paraId="30826EB5" w14:textId="77777777">
        <w:trPr>
          <w:cantSplit/>
          <w:trHeight w:val="345"/>
          <w:tblHeader/>
        </w:trPr>
        <w:tc>
          <w:tcPr>
            <w:tcW w:w="8865" w:type="dxa"/>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A894E01"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“Return on Equity= Net income / Average shareholder</w:t>
            </w:r>
            <w:r w:rsidR="002D4287" w:rsidRPr="00FB56DB">
              <w:rPr>
                <w:rFonts w:ascii="Times New Roman" w:eastAsia="Times New Roman" w:hAnsi="Times New Roman" w:cs="Times New Roman"/>
                <w:b/>
                <w:sz w:val="24"/>
                <w:szCs w:val="24"/>
                <w:lang w:val="en-GB"/>
              </w:rPr>
              <w:t>’</w:t>
            </w:r>
            <w:r w:rsidRPr="00FB56DB">
              <w:rPr>
                <w:rFonts w:ascii="Times New Roman" w:eastAsia="Times New Roman" w:hAnsi="Times New Roman" w:cs="Times New Roman"/>
                <w:b/>
                <w:sz w:val="24"/>
                <w:szCs w:val="24"/>
                <w:lang w:val="en-GB"/>
              </w:rPr>
              <w:t>s equity”</w:t>
            </w:r>
          </w:p>
        </w:tc>
      </w:tr>
      <w:tr w:rsidR="007969F4" w:rsidRPr="00FB56DB" w14:paraId="4F67FCEB" w14:textId="77777777">
        <w:trPr>
          <w:cantSplit/>
          <w:trHeight w:val="345"/>
          <w:tblHeader/>
        </w:trPr>
        <w:tc>
          <w:tcPr>
            <w:tcW w:w="1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6DDD047"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2021</w:t>
            </w:r>
          </w:p>
        </w:tc>
        <w:tc>
          <w:tcPr>
            <w:tcW w:w="7305" w:type="dxa"/>
            <w:tcBorders>
              <w:top w:val="nil"/>
              <w:left w:val="nil"/>
              <w:bottom w:val="single" w:sz="6" w:space="0" w:color="000000"/>
              <w:right w:val="single" w:sz="6" w:space="0" w:color="000000"/>
            </w:tcBorders>
            <w:tcMar>
              <w:top w:w="0" w:type="dxa"/>
              <w:left w:w="100" w:type="dxa"/>
              <w:bottom w:w="0" w:type="dxa"/>
              <w:right w:w="100" w:type="dxa"/>
            </w:tcMar>
          </w:tcPr>
          <w:p w14:paraId="568BE1F3" w14:textId="77777777" w:rsidR="007969F4" w:rsidRPr="00FB56DB" w:rsidRDefault="007B1277">
            <w:pPr>
              <w:pStyle w:val="Normal1"/>
              <w:spacing w:before="240" w:line="360" w:lineRule="auto"/>
              <w:jc w:val="center"/>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“Return on Equity = 700000/2,200,000 = 0.3”</w:t>
            </w:r>
          </w:p>
        </w:tc>
      </w:tr>
      <w:tr w:rsidR="007969F4" w:rsidRPr="00FB56DB" w14:paraId="3F1D25D5" w14:textId="77777777">
        <w:trPr>
          <w:cantSplit/>
          <w:trHeight w:val="345"/>
          <w:tblHeader/>
        </w:trPr>
        <w:tc>
          <w:tcPr>
            <w:tcW w:w="1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35EB4D0"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2022</w:t>
            </w:r>
          </w:p>
        </w:tc>
        <w:tc>
          <w:tcPr>
            <w:tcW w:w="7305" w:type="dxa"/>
            <w:tcBorders>
              <w:top w:val="nil"/>
              <w:left w:val="nil"/>
              <w:bottom w:val="single" w:sz="6" w:space="0" w:color="000000"/>
              <w:right w:val="single" w:sz="6" w:space="0" w:color="000000"/>
            </w:tcBorders>
            <w:tcMar>
              <w:top w:w="0" w:type="dxa"/>
              <w:left w:w="100" w:type="dxa"/>
              <w:bottom w:w="0" w:type="dxa"/>
              <w:right w:w="100" w:type="dxa"/>
            </w:tcMar>
          </w:tcPr>
          <w:p w14:paraId="434B698D" w14:textId="77777777" w:rsidR="007969F4" w:rsidRPr="00FB56DB" w:rsidRDefault="007B1277">
            <w:pPr>
              <w:pStyle w:val="Normal1"/>
              <w:spacing w:before="240" w:line="360" w:lineRule="auto"/>
              <w:jc w:val="center"/>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“Return on Equity = 200000/2015000 = 0.1”</w:t>
            </w:r>
          </w:p>
        </w:tc>
      </w:tr>
      <w:tr w:rsidR="007969F4" w:rsidRPr="00FB56DB" w14:paraId="7DEF7B86" w14:textId="77777777">
        <w:trPr>
          <w:cantSplit/>
          <w:trHeight w:val="345"/>
          <w:tblHeader/>
        </w:trPr>
        <w:tc>
          <w:tcPr>
            <w:tcW w:w="1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C412D86" w14:textId="77777777" w:rsidR="007969F4" w:rsidRPr="00FB56DB" w:rsidRDefault="007B1277">
            <w:pPr>
              <w:pStyle w:val="Normal1"/>
              <w:spacing w:before="240" w:line="360" w:lineRule="auto"/>
              <w:jc w:val="center"/>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2023</w:t>
            </w:r>
          </w:p>
        </w:tc>
        <w:tc>
          <w:tcPr>
            <w:tcW w:w="7305" w:type="dxa"/>
            <w:tcBorders>
              <w:top w:val="nil"/>
              <w:left w:val="nil"/>
              <w:bottom w:val="single" w:sz="6" w:space="0" w:color="000000"/>
              <w:right w:val="single" w:sz="6" w:space="0" w:color="000000"/>
            </w:tcBorders>
            <w:tcMar>
              <w:top w:w="0" w:type="dxa"/>
              <w:left w:w="100" w:type="dxa"/>
              <w:bottom w:w="0" w:type="dxa"/>
              <w:right w:w="100" w:type="dxa"/>
            </w:tcMar>
          </w:tcPr>
          <w:p w14:paraId="4B7C6304" w14:textId="77777777" w:rsidR="007969F4" w:rsidRPr="00FB56DB" w:rsidRDefault="007B1277">
            <w:pPr>
              <w:pStyle w:val="Normal1"/>
              <w:spacing w:before="240" w:line="360" w:lineRule="auto"/>
              <w:jc w:val="center"/>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“Return on Equity = 500000/1605000 = 0.3”</w:t>
            </w:r>
          </w:p>
        </w:tc>
      </w:tr>
    </w:tbl>
    <w:p w14:paraId="6762B32C" w14:textId="77777777" w:rsidR="007969F4" w:rsidRPr="00FB56DB" w:rsidRDefault="007B1277">
      <w:pPr>
        <w:pStyle w:val="Normal1"/>
        <w:spacing w:before="240" w:after="240" w:line="360" w:lineRule="auto"/>
        <w:jc w:val="both"/>
        <w:rPr>
          <w:rFonts w:ascii="Times New Roman" w:eastAsia="Times New Roman" w:hAnsi="Times New Roman" w:cs="Times New Roman"/>
          <w:b/>
          <w:sz w:val="24"/>
          <w:szCs w:val="24"/>
          <w:lang w:val="en-GB"/>
        </w:rPr>
      </w:pPr>
      <w:r w:rsidRPr="00FB56DB">
        <w:rPr>
          <w:rFonts w:ascii="Times New Roman" w:eastAsia="Times New Roman" w:hAnsi="Times New Roman" w:cs="Times New Roman"/>
          <w:b/>
          <w:sz w:val="24"/>
          <w:szCs w:val="24"/>
          <w:lang w:val="en-GB"/>
        </w:rPr>
        <w:t xml:space="preserve"> Analysis</w:t>
      </w:r>
    </w:p>
    <w:p w14:paraId="5080839D" w14:textId="77777777" w:rsidR="007969F4" w:rsidRPr="00FB56DB" w:rsidRDefault="007B1277">
      <w:pPr>
        <w:pStyle w:val="Normal1"/>
        <w:spacing w:before="240" w:after="240"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lastRenderedPageBreak/>
        <w:t>The current ratio has significantly decreased from 1.8 in 2021 to 0.6 in 2023. The current ratio is a liquidity ratio that gauges a company</w:t>
      </w:r>
      <w:r w:rsidR="002D4287" w:rsidRPr="00FB56DB">
        <w:rPr>
          <w:rFonts w:ascii="Times New Roman" w:eastAsia="Times New Roman" w:hAnsi="Times New Roman" w:cs="Times New Roman"/>
          <w:sz w:val="24"/>
          <w:szCs w:val="24"/>
          <w:lang w:val="en-GB"/>
        </w:rPr>
        <w:t>’</w:t>
      </w:r>
      <w:r w:rsidRPr="00FB56DB">
        <w:rPr>
          <w:rFonts w:ascii="Times New Roman" w:eastAsia="Times New Roman" w:hAnsi="Times New Roman" w:cs="Times New Roman"/>
          <w:sz w:val="24"/>
          <w:szCs w:val="24"/>
          <w:lang w:val="en-GB"/>
        </w:rPr>
        <w:t>s capacity to meet both short- and long-term obligations (Walker, 2021). The hotel</w:t>
      </w:r>
      <w:r w:rsidR="002D4287" w:rsidRPr="00FB56DB">
        <w:rPr>
          <w:rFonts w:ascii="Times New Roman" w:eastAsia="Times New Roman" w:hAnsi="Times New Roman" w:cs="Times New Roman"/>
          <w:sz w:val="24"/>
          <w:szCs w:val="24"/>
          <w:lang w:val="en-GB"/>
        </w:rPr>
        <w:t>’</w:t>
      </w:r>
      <w:r w:rsidRPr="00FB56DB">
        <w:rPr>
          <w:rFonts w:ascii="Times New Roman" w:eastAsia="Times New Roman" w:hAnsi="Times New Roman" w:cs="Times New Roman"/>
          <w:sz w:val="24"/>
          <w:szCs w:val="24"/>
          <w:lang w:val="en-GB"/>
        </w:rPr>
        <w:t xml:space="preserve">s short-term liquidity may have been worse over time, based on this decreasing pattern. If the current ratio is less than 1, it can be difficult for the business to pay its short-term debts (Walker, 2021). It could be brought on by a rise in current obligations, a fall in current assets or both. </w:t>
      </w:r>
    </w:p>
    <w:p w14:paraId="6D45F5B3" w14:textId="77777777" w:rsidR="007969F4" w:rsidRPr="00FB56DB" w:rsidRDefault="007B1277">
      <w:pPr>
        <w:pStyle w:val="Normal1"/>
        <w:spacing w:before="240" w:after="240"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In this case, the current ratio is the same as the quick ratio, sometimes referred to as the acid-test ratio. The tendency of decline is likewise comparable. Since they are harder to dispose of, inventories and other current assets are not included in the ratio. Because it suggests that the hotel would find it difficult to turn its assets into cash quickly enough to pay its immediate commitments, a dropping quick ratio could be the reason for concern. An indicator of a company</w:t>
      </w:r>
      <w:r w:rsidR="002D4287" w:rsidRPr="00FB56DB">
        <w:rPr>
          <w:rFonts w:ascii="Times New Roman" w:eastAsia="Times New Roman" w:hAnsi="Times New Roman" w:cs="Times New Roman"/>
          <w:sz w:val="24"/>
          <w:szCs w:val="24"/>
          <w:lang w:val="en-GB"/>
        </w:rPr>
        <w:t>’</w:t>
      </w:r>
      <w:r w:rsidRPr="00FB56DB">
        <w:rPr>
          <w:rFonts w:ascii="Times New Roman" w:eastAsia="Times New Roman" w:hAnsi="Times New Roman" w:cs="Times New Roman"/>
          <w:sz w:val="24"/>
          <w:szCs w:val="24"/>
          <w:lang w:val="en-GB"/>
        </w:rPr>
        <w:t xml:space="preserve">s financial leverage, the debt-to-equity ratio, grew from 1.5 in 2021 to 2.4 in 2023. The growing trend suggests that debt, rather than equity, is being used more and more to finance hotel operations. </w:t>
      </w:r>
    </w:p>
    <w:p w14:paraId="2FEFC1CC" w14:textId="77777777" w:rsidR="007969F4" w:rsidRPr="00FB56DB" w:rsidRDefault="007B1277">
      <w:pPr>
        <w:pStyle w:val="Normal1"/>
        <w:spacing w:before="240" w:after="240"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Even while debt can help generate more value for shareholders, having too much debt might make the organisation more financially vulnerable. Management needs to consider how to balance its debt and equity in order to maintain a sustainable capital structure. The return on assets (ROA), which quantifies how well a business can turn a profit from its assets, has varied over time, peaking at 0.12 in 2021, falling to 0.03 in 2022, and then rising to 0.10 in 2023. The irregularities observed in ROA may indicate operational instability (Seal, 2019). It is critical that management comprehends the causes of these variations and works to maintain and increase ROA. Return on equity is a metric that indicates how much money owners of common stock have made back. It has fluctuated over time, reaching a high of 0.3 between 2021 and 2023 and a low of 0.1 in 2022. The hotel</w:t>
      </w:r>
      <w:r w:rsidR="002D4287" w:rsidRPr="00FB56DB">
        <w:rPr>
          <w:rFonts w:ascii="Times New Roman" w:eastAsia="Times New Roman" w:hAnsi="Times New Roman" w:cs="Times New Roman"/>
          <w:sz w:val="24"/>
          <w:szCs w:val="24"/>
          <w:lang w:val="en-GB"/>
        </w:rPr>
        <w:t>’</w:t>
      </w:r>
      <w:r w:rsidRPr="00FB56DB">
        <w:rPr>
          <w:rFonts w:ascii="Times New Roman" w:eastAsia="Times New Roman" w:hAnsi="Times New Roman" w:cs="Times New Roman"/>
          <w:sz w:val="24"/>
          <w:szCs w:val="24"/>
          <w:lang w:val="en-GB"/>
        </w:rPr>
        <w:t>s profitability from equity appears to have been created unevenly, based on the fluctuation displayed in ROE. Management needs to aim for a growing and consistent ROE since this indicates a robust return on capital invested.</w:t>
      </w:r>
    </w:p>
    <w:p w14:paraId="1BEA8CFF" w14:textId="77777777" w:rsidR="007969F4" w:rsidRPr="00FB56DB" w:rsidRDefault="007B1277" w:rsidP="002D4287">
      <w:pPr>
        <w:pStyle w:val="Heading1"/>
        <w:rPr>
          <w:lang w:val="en-GB"/>
        </w:rPr>
      </w:pPr>
      <w:bookmarkStart w:id="14" w:name="_45dve7woh1uz" w:colFirst="0" w:colLast="0"/>
      <w:bookmarkStart w:id="15" w:name="_Toc168537195"/>
      <w:bookmarkEnd w:id="14"/>
      <w:r w:rsidRPr="00FB56DB">
        <w:rPr>
          <w:lang w:val="en-GB"/>
        </w:rPr>
        <w:t>3. Key Reasons for Decline in Profitability</w:t>
      </w:r>
      <w:bookmarkEnd w:id="15"/>
    </w:p>
    <w:p w14:paraId="102FDCF8" w14:textId="77777777" w:rsidR="007969F4" w:rsidRPr="00FB56DB" w:rsidRDefault="007B1277">
      <w:pPr>
        <w:pStyle w:val="Normal1"/>
        <w:spacing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 xml:space="preserve">There are several reasons that </w:t>
      </w:r>
      <w:r w:rsidR="00251310" w:rsidRPr="00FB56DB">
        <w:rPr>
          <w:rFonts w:ascii="Times New Roman" w:eastAsia="Times New Roman" w:hAnsi="Times New Roman" w:cs="Times New Roman"/>
          <w:sz w:val="24"/>
          <w:szCs w:val="24"/>
          <w:lang w:val="en-GB"/>
        </w:rPr>
        <w:t>have</w:t>
      </w:r>
      <w:r w:rsidRPr="00FB56DB">
        <w:rPr>
          <w:rFonts w:ascii="Times New Roman" w:eastAsia="Times New Roman" w:hAnsi="Times New Roman" w:cs="Times New Roman"/>
          <w:sz w:val="24"/>
          <w:szCs w:val="24"/>
          <w:lang w:val="en-GB"/>
        </w:rPr>
        <w:t xml:space="preserve"> resulted in declining profitability of the hotel that are explained below:</w:t>
      </w:r>
    </w:p>
    <w:p w14:paraId="173CD0C4" w14:textId="77777777" w:rsidR="007969F4" w:rsidRPr="00FB56DB" w:rsidRDefault="007B1277">
      <w:pPr>
        <w:pStyle w:val="Normal1"/>
        <w:spacing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b/>
          <w:i/>
          <w:sz w:val="24"/>
          <w:szCs w:val="24"/>
          <w:lang w:val="en-GB"/>
        </w:rPr>
        <w:t>Increased Debt:</w:t>
      </w:r>
      <w:r w:rsidRPr="00FB56DB">
        <w:rPr>
          <w:rFonts w:ascii="Times New Roman" w:eastAsia="Times New Roman" w:hAnsi="Times New Roman" w:cs="Times New Roman"/>
          <w:sz w:val="24"/>
          <w:szCs w:val="24"/>
          <w:lang w:val="en-GB"/>
        </w:rPr>
        <w:t xml:space="preserve"> The hotel has been depending more and more on borrowed money, as seen by the rising debt-to-equity ratio over time. Excessive debt can result in increased interest costs, which can reduce the hotel</w:t>
      </w:r>
      <w:r w:rsidR="002D4287" w:rsidRPr="00FB56DB">
        <w:rPr>
          <w:rFonts w:ascii="Times New Roman" w:eastAsia="Times New Roman" w:hAnsi="Times New Roman" w:cs="Times New Roman"/>
          <w:sz w:val="24"/>
          <w:szCs w:val="24"/>
          <w:lang w:val="en-GB"/>
        </w:rPr>
        <w:t>’</w:t>
      </w:r>
      <w:r w:rsidRPr="00FB56DB">
        <w:rPr>
          <w:rFonts w:ascii="Times New Roman" w:eastAsia="Times New Roman" w:hAnsi="Times New Roman" w:cs="Times New Roman"/>
          <w:sz w:val="24"/>
          <w:szCs w:val="24"/>
          <w:lang w:val="en-GB"/>
        </w:rPr>
        <w:t xml:space="preserve">s profitability even if debt can be utilised to finance </w:t>
      </w:r>
      <w:r w:rsidRPr="00FB56DB">
        <w:rPr>
          <w:rFonts w:ascii="Times New Roman" w:eastAsia="Times New Roman" w:hAnsi="Times New Roman" w:cs="Times New Roman"/>
          <w:sz w:val="24"/>
          <w:szCs w:val="24"/>
          <w:lang w:val="en-GB"/>
        </w:rPr>
        <w:lastRenderedPageBreak/>
        <w:t>expansion (</w:t>
      </w:r>
      <w:proofErr w:type="spellStart"/>
      <w:r w:rsidRPr="00FB56DB">
        <w:rPr>
          <w:rFonts w:ascii="Times New Roman" w:eastAsia="Times New Roman" w:hAnsi="Times New Roman" w:cs="Times New Roman"/>
          <w:color w:val="222222"/>
          <w:sz w:val="24"/>
          <w:szCs w:val="24"/>
          <w:highlight w:val="white"/>
          <w:lang w:val="en-GB"/>
        </w:rPr>
        <w:t>Dirman</w:t>
      </w:r>
      <w:proofErr w:type="spellEnd"/>
      <w:r w:rsidRPr="00FB56DB">
        <w:rPr>
          <w:rFonts w:ascii="Times New Roman" w:eastAsia="Times New Roman" w:hAnsi="Times New Roman" w:cs="Times New Roman"/>
          <w:color w:val="222222"/>
          <w:sz w:val="24"/>
          <w:szCs w:val="24"/>
          <w:highlight w:val="white"/>
          <w:lang w:val="en-GB"/>
        </w:rPr>
        <w:t>, 2020</w:t>
      </w:r>
      <w:r w:rsidRPr="00FB56DB">
        <w:rPr>
          <w:rFonts w:ascii="Times New Roman" w:eastAsia="Times New Roman" w:hAnsi="Times New Roman" w:cs="Times New Roman"/>
          <w:sz w:val="24"/>
          <w:szCs w:val="24"/>
          <w:lang w:val="en-GB"/>
        </w:rPr>
        <w:t>). The hotel may be more susceptible to financial risk and subsequent economic downturns if it has a high degree of debt.</w:t>
      </w:r>
    </w:p>
    <w:p w14:paraId="1321AB4C" w14:textId="77777777" w:rsidR="007969F4" w:rsidRPr="00FB56DB" w:rsidRDefault="007B1277">
      <w:pPr>
        <w:pStyle w:val="Normal1"/>
        <w:spacing w:line="360" w:lineRule="auto"/>
        <w:jc w:val="both"/>
        <w:rPr>
          <w:rFonts w:ascii="Times New Roman" w:eastAsia="Times New Roman" w:hAnsi="Times New Roman" w:cs="Times New Roman"/>
          <w:sz w:val="24"/>
          <w:szCs w:val="24"/>
          <w:highlight w:val="yellow"/>
          <w:lang w:val="en-GB"/>
        </w:rPr>
      </w:pPr>
      <w:r w:rsidRPr="00FB56DB">
        <w:rPr>
          <w:rFonts w:ascii="Times New Roman" w:eastAsia="Times New Roman" w:hAnsi="Times New Roman" w:cs="Times New Roman"/>
          <w:b/>
          <w:i/>
          <w:sz w:val="24"/>
          <w:szCs w:val="24"/>
          <w:lang w:val="en-GB"/>
        </w:rPr>
        <w:t>Inadequate Utilisation of Assets:</w:t>
      </w:r>
      <w:r w:rsidRPr="00FB56DB">
        <w:rPr>
          <w:rFonts w:ascii="Times New Roman" w:eastAsia="Times New Roman" w:hAnsi="Times New Roman" w:cs="Times New Roman"/>
          <w:b/>
          <w:sz w:val="24"/>
          <w:szCs w:val="24"/>
          <w:lang w:val="en-GB"/>
        </w:rPr>
        <w:t xml:space="preserve"> </w:t>
      </w:r>
      <w:r w:rsidRPr="00FB56DB">
        <w:rPr>
          <w:rFonts w:ascii="Times New Roman" w:eastAsia="Times New Roman" w:hAnsi="Times New Roman" w:cs="Times New Roman"/>
          <w:sz w:val="24"/>
          <w:szCs w:val="24"/>
          <w:lang w:val="en-GB"/>
        </w:rPr>
        <w:t>The hotel</w:t>
      </w:r>
      <w:r w:rsidR="002D4287" w:rsidRPr="00FB56DB">
        <w:rPr>
          <w:rFonts w:ascii="Times New Roman" w:eastAsia="Times New Roman" w:hAnsi="Times New Roman" w:cs="Times New Roman"/>
          <w:sz w:val="24"/>
          <w:szCs w:val="24"/>
          <w:lang w:val="en-GB"/>
        </w:rPr>
        <w:t>’</w:t>
      </w:r>
      <w:r w:rsidRPr="00FB56DB">
        <w:rPr>
          <w:rFonts w:ascii="Times New Roman" w:eastAsia="Times New Roman" w:hAnsi="Times New Roman" w:cs="Times New Roman"/>
          <w:sz w:val="24"/>
          <w:szCs w:val="24"/>
          <w:lang w:val="en-GB"/>
        </w:rPr>
        <w:t xml:space="preserve">s uneven ability to earn a profit from its assets is indicated by the rising and falling return on assets. Ineffective investments </w:t>
      </w:r>
      <w:r w:rsidR="00D25BEB" w:rsidRPr="00FB56DB">
        <w:rPr>
          <w:rFonts w:ascii="Times New Roman" w:eastAsia="Times New Roman" w:hAnsi="Times New Roman" w:cs="Times New Roman"/>
          <w:sz w:val="24"/>
          <w:szCs w:val="24"/>
          <w:lang w:val="en-GB"/>
        </w:rPr>
        <w:t>or inadequate</w:t>
      </w:r>
      <w:r w:rsidRPr="00FB56DB">
        <w:rPr>
          <w:rFonts w:ascii="Times New Roman" w:eastAsia="Times New Roman" w:hAnsi="Times New Roman" w:cs="Times New Roman"/>
          <w:sz w:val="24"/>
          <w:szCs w:val="24"/>
          <w:lang w:val="en-GB"/>
        </w:rPr>
        <w:t xml:space="preserve"> asset management may be </w:t>
      </w:r>
      <w:r w:rsidR="00D25BEB" w:rsidRPr="00FB56DB">
        <w:rPr>
          <w:rFonts w:ascii="Times New Roman" w:eastAsia="Times New Roman" w:hAnsi="Times New Roman" w:cs="Times New Roman"/>
          <w:sz w:val="24"/>
          <w:szCs w:val="24"/>
          <w:lang w:val="en-GB"/>
        </w:rPr>
        <w:t>reason of the declining</w:t>
      </w:r>
      <w:r w:rsidRPr="00FB56DB">
        <w:rPr>
          <w:rFonts w:ascii="Times New Roman" w:eastAsia="Times New Roman" w:hAnsi="Times New Roman" w:cs="Times New Roman"/>
          <w:sz w:val="24"/>
          <w:szCs w:val="24"/>
          <w:lang w:val="en-GB"/>
        </w:rPr>
        <w:t xml:space="preserve"> (</w:t>
      </w:r>
      <w:r w:rsidRPr="00FB56DB">
        <w:rPr>
          <w:rFonts w:ascii="Times New Roman" w:eastAsia="Times New Roman" w:hAnsi="Times New Roman" w:cs="Times New Roman"/>
          <w:color w:val="222222"/>
          <w:sz w:val="24"/>
          <w:szCs w:val="24"/>
          <w:lang w:val="en-GB"/>
        </w:rPr>
        <w:t>Mason, 2022</w:t>
      </w:r>
      <w:r w:rsidRPr="00FB56DB">
        <w:rPr>
          <w:rFonts w:ascii="Times New Roman" w:eastAsia="Times New Roman" w:hAnsi="Times New Roman" w:cs="Times New Roman"/>
          <w:sz w:val="24"/>
          <w:szCs w:val="24"/>
          <w:lang w:val="en-GB"/>
        </w:rPr>
        <w:t xml:space="preserve">). </w:t>
      </w:r>
      <w:r w:rsidR="00D25BEB" w:rsidRPr="00FB56DB">
        <w:rPr>
          <w:rFonts w:ascii="Times New Roman" w:eastAsia="Times New Roman" w:hAnsi="Times New Roman" w:cs="Times New Roman"/>
          <w:sz w:val="24"/>
          <w:szCs w:val="24"/>
          <w:lang w:val="en-GB"/>
        </w:rPr>
        <w:t xml:space="preserve">Declining </w:t>
      </w:r>
      <w:r w:rsidR="00251310" w:rsidRPr="00FB56DB">
        <w:rPr>
          <w:rFonts w:ascii="Times New Roman" w:eastAsia="Times New Roman" w:hAnsi="Times New Roman" w:cs="Times New Roman"/>
          <w:sz w:val="24"/>
          <w:szCs w:val="24"/>
          <w:lang w:val="en-GB"/>
        </w:rPr>
        <w:t xml:space="preserve">in ROA can be </w:t>
      </w:r>
      <w:r w:rsidR="00D25BEB" w:rsidRPr="00FB56DB">
        <w:rPr>
          <w:rFonts w:ascii="Times New Roman" w:eastAsia="Times New Roman" w:hAnsi="Times New Roman" w:cs="Times New Roman"/>
          <w:sz w:val="24"/>
          <w:szCs w:val="24"/>
          <w:lang w:val="en-GB"/>
        </w:rPr>
        <w:t>eminent</w:t>
      </w:r>
      <w:r w:rsidR="00251310" w:rsidRPr="00FB56DB">
        <w:rPr>
          <w:rFonts w:ascii="Times New Roman" w:eastAsia="Times New Roman" w:hAnsi="Times New Roman" w:cs="Times New Roman"/>
          <w:sz w:val="24"/>
          <w:szCs w:val="24"/>
          <w:lang w:val="en-GB"/>
        </w:rPr>
        <w:t xml:space="preserve"> from expensive improvements made to hotels that no longer end up in higher room rates or occupancy costs.</w:t>
      </w:r>
    </w:p>
    <w:p w14:paraId="0DB55004" w14:textId="77777777" w:rsidR="007969F4" w:rsidRPr="00FB56DB" w:rsidRDefault="007B1277">
      <w:pPr>
        <w:pStyle w:val="Normal1"/>
        <w:spacing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b/>
          <w:i/>
          <w:sz w:val="24"/>
          <w:szCs w:val="24"/>
          <w:lang w:val="en-GB"/>
        </w:rPr>
        <w:t>Decreased Liquidity:</w:t>
      </w:r>
      <w:r w:rsidRPr="00FB56DB">
        <w:rPr>
          <w:rFonts w:ascii="Times New Roman" w:eastAsia="Times New Roman" w:hAnsi="Times New Roman" w:cs="Times New Roman"/>
          <w:sz w:val="24"/>
          <w:szCs w:val="24"/>
          <w:lang w:val="en-GB"/>
        </w:rPr>
        <w:t xml:space="preserve"> </w:t>
      </w:r>
      <w:r w:rsidR="00251310" w:rsidRPr="00FB56DB">
        <w:rPr>
          <w:rFonts w:ascii="Times New Roman" w:eastAsia="Times New Roman" w:hAnsi="Times New Roman" w:cs="Times New Roman"/>
          <w:sz w:val="24"/>
          <w:szCs w:val="24"/>
          <w:lang w:val="en-GB"/>
        </w:rPr>
        <w:t xml:space="preserve">The hotel’s declining cash flow indicates </w:t>
      </w:r>
      <w:r w:rsidR="007755A6" w:rsidRPr="00FB56DB">
        <w:rPr>
          <w:rFonts w:ascii="Times New Roman" w:eastAsia="Times New Roman" w:hAnsi="Times New Roman" w:cs="Times New Roman"/>
          <w:sz w:val="24"/>
          <w:szCs w:val="24"/>
          <w:lang w:val="en-GB"/>
        </w:rPr>
        <w:t>deterioration of its current assets</w:t>
      </w:r>
      <w:r w:rsidR="00251310" w:rsidRPr="00FB56DB">
        <w:rPr>
          <w:rFonts w:ascii="Times New Roman" w:eastAsia="Times New Roman" w:hAnsi="Times New Roman" w:cs="Times New Roman"/>
          <w:sz w:val="24"/>
          <w:szCs w:val="24"/>
          <w:lang w:val="en-GB"/>
        </w:rPr>
        <w:t xml:space="preserve">. It could be due to </w:t>
      </w:r>
      <w:r w:rsidR="00D25BEB" w:rsidRPr="00FB56DB">
        <w:rPr>
          <w:rFonts w:ascii="Times New Roman" w:eastAsia="Times New Roman" w:hAnsi="Times New Roman" w:cs="Times New Roman"/>
          <w:sz w:val="24"/>
          <w:szCs w:val="24"/>
          <w:lang w:val="en-GB"/>
        </w:rPr>
        <w:t>increased</w:t>
      </w:r>
      <w:r w:rsidR="00251310" w:rsidRPr="00FB56DB">
        <w:rPr>
          <w:rFonts w:ascii="Times New Roman" w:eastAsia="Times New Roman" w:hAnsi="Times New Roman" w:cs="Times New Roman"/>
          <w:sz w:val="24"/>
          <w:szCs w:val="24"/>
          <w:lang w:val="en-GB"/>
        </w:rPr>
        <w:t xml:space="preserve"> </w:t>
      </w:r>
      <w:r w:rsidR="00D25BEB" w:rsidRPr="00FB56DB">
        <w:rPr>
          <w:rFonts w:ascii="Times New Roman" w:eastAsia="Times New Roman" w:hAnsi="Times New Roman" w:cs="Times New Roman"/>
          <w:sz w:val="24"/>
          <w:szCs w:val="24"/>
          <w:lang w:val="en-GB"/>
        </w:rPr>
        <w:t>short term liabilities</w:t>
      </w:r>
      <w:r w:rsidR="00251310" w:rsidRPr="00FB56DB">
        <w:rPr>
          <w:rFonts w:ascii="Times New Roman" w:eastAsia="Times New Roman" w:hAnsi="Times New Roman" w:cs="Times New Roman"/>
          <w:sz w:val="24"/>
          <w:szCs w:val="24"/>
          <w:lang w:val="en-GB"/>
        </w:rPr>
        <w:t xml:space="preserve"> and lower current assets</w:t>
      </w:r>
      <w:r w:rsidRPr="00FB56DB">
        <w:rPr>
          <w:rFonts w:ascii="Times New Roman" w:eastAsia="Times New Roman" w:hAnsi="Times New Roman" w:cs="Times New Roman"/>
          <w:sz w:val="24"/>
          <w:szCs w:val="24"/>
          <w:lang w:val="en-GB"/>
        </w:rPr>
        <w:t xml:space="preserve"> (</w:t>
      </w:r>
      <w:proofErr w:type="spellStart"/>
      <w:r w:rsidRPr="00FB56DB">
        <w:rPr>
          <w:rFonts w:ascii="Times New Roman" w:eastAsia="Times New Roman" w:hAnsi="Times New Roman" w:cs="Times New Roman"/>
          <w:color w:val="222222"/>
          <w:sz w:val="24"/>
          <w:szCs w:val="24"/>
          <w:lang w:val="en-GB"/>
        </w:rPr>
        <w:t>Shygun</w:t>
      </w:r>
      <w:proofErr w:type="spellEnd"/>
      <w:r w:rsidRPr="00FB56DB">
        <w:rPr>
          <w:rFonts w:ascii="Times New Roman" w:eastAsia="Times New Roman" w:hAnsi="Times New Roman" w:cs="Times New Roman"/>
          <w:color w:val="222222"/>
          <w:sz w:val="24"/>
          <w:szCs w:val="24"/>
          <w:lang w:val="en-GB"/>
        </w:rPr>
        <w:t xml:space="preserve"> </w:t>
      </w:r>
      <w:r w:rsidRPr="00FB56DB">
        <w:rPr>
          <w:rFonts w:ascii="Times New Roman" w:eastAsia="Times New Roman" w:hAnsi="Times New Roman" w:cs="Times New Roman"/>
          <w:i/>
          <w:color w:val="222222"/>
          <w:sz w:val="24"/>
          <w:szCs w:val="24"/>
          <w:lang w:val="en-GB"/>
        </w:rPr>
        <w:t>et al</w:t>
      </w:r>
      <w:r w:rsidRPr="00FB56DB">
        <w:rPr>
          <w:rFonts w:ascii="Times New Roman" w:eastAsia="Times New Roman" w:hAnsi="Times New Roman" w:cs="Times New Roman"/>
          <w:color w:val="222222"/>
          <w:sz w:val="24"/>
          <w:szCs w:val="24"/>
          <w:lang w:val="en-GB"/>
        </w:rPr>
        <w:t>., 2020</w:t>
      </w:r>
      <w:r w:rsidRPr="00FB56DB">
        <w:rPr>
          <w:rFonts w:ascii="Times New Roman" w:eastAsia="Times New Roman" w:hAnsi="Times New Roman" w:cs="Times New Roman"/>
          <w:sz w:val="24"/>
          <w:szCs w:val="24"/>
          <w:lang w:val="en-GB"/>
        </w:rPr>
        <w:t>). The hotel</w:t>
      </w:r>
      <w:r w:rsidR="002D4287" w:rsidRPr="00FB56DB">
        <w:rPr>
          <w:rFonts w:ascii="Times New Roman" w:eastAsia="Times New Roman" w:hAnsi="Times New Roman" w:cs="Times New Roman"/>
          <w:sz w:val="24"/>
          <w:szCs w:val="24"/>
          <w:lang w:val="en-GB"/>
        </w:rPr>
        <w:t>’</w:t>
      </w:r>
      <w:r w:rsidRPr="00FB56DB">
        <w:rPr>
          <w:rFonts w:ascii="Times New Roman" w:eastAsia="Times New Roman" w:hAnsi="Times New Roman" w:cs="Times New Roman"/>
          <w:sz w:val="24"/>
          <w:szCs w:val="24"/>
          <w:lang w:val="en-GB"/>
        </w:rPr>
        <w:t>s profitability may suffer if it has to take money away from productive ventures to pay its short-term debts.</w:t>
      </w:r>
    </w:p>
    <w:p w14:paraId="7FCB4EEA" w14:textId="77777777" w:rsidR="007969F4" w:rsidRPr="00FB56DB" w:rsidRDefault="007B1277">
      <w:pPr>
        <w:pStyle w:val="Normal1"/>
        <w:spacing w:line="360" w:lineRule="auto"/>
        <w:jc w:val="both"/>
        <w:rPr>
          <w:rFonts w:ascii="Times New Roman" w:eastAsia="Times New Roman" w:hAnsi="Times New Roman" w:cs="Times New Roman"/>
          <w:sz w:val="24"/>
          <w:szCs w:val="24"/>
          <w:highlight w:val="yellow"/>
          <w:lang w:val="en-GB"/>
        </w:rPr>
      </w:pPr>
      <w:r w:rsidRPr="00FB56DB">
        <w:rPr>
          <w:rFonts w:ascii="Times New Roman" w:eastAsia="Times New Roman" w:hAnsi="Times New Roman" w:cs="Times New Roman"/>
          <w:b/>
          <w:i/>
          <w:sz w:val="24"/>
          <w:szCs w:val="24"/>
          <w:lang w:val="en-GB"/>
        </w:rPr>
        <w:t>Operational Inefficiencies:</w:t>
      </w:r>
      <w:r w:rsidRPr="00FB56DB">
        <w:rPr>
          <w:rFonts w:ascii="Times New Roman" w:eastAsia="Times New Roman" w:hAnsi="Times New Roman" w:cs="Times New Roman"/>
          <w:sz w:val="24"/>
          <w:szCs w:val="24"/>
          <w:lang w:val="en-GB"/>
        </w:rPr>
        <w:t xml:space="preserve"> Inconsistent return on equity may indicate inefficiencies in the operations (</w:t>
      </w:r>
      <w:proofErr w:type="spellStart"/>
      <w:r w:rsidRPr="00FB56DB">
        <w:rPr>
          <w:rFonts w:ascii="Times New Roman" w:eastAsia="Times New Roman" w:hAnsi="Times New Roman" w:cs="Times New Roman"/>
          <w:color w:val="222222"/>
          <w:sz w:val="24"/>
          <w:szCs w:val="24"/>
          <w:lang w:val="en-GB"/>
        </w:rPr>
        <w:t>Yiu</w:t>
      </w:r>
      <w:proofErr w:type="spellEnd"/>
      <w:r w:rsidRPr="00FB56DB">
        <w:rPr>
          <w:rFonts w:ascii="Times New Roman" w:eastAsia="Times New Roman" w:hAnsi="Times New Roman" w:cs="Times New Roman"/>
          <w:color w:val="222222"/>
          <w:sz w:val="24"/>
          <w:szCs w:val="24"/>
          <w:lang w:val="en-GB"/>
        </w:rPr>
        <w:t xml:space="preserve"> </w:t>
      </w:r>
      <w:r w:rsidRPr="00FB56DB">
        <w:rPr>
          <w:rFonts w:ascii="Times New Roman" w:eastAsia="Times New Roman" w:hAnsi="Times New Roman" w:cs="Times New Roman"/>
          <w:i/>
          <w:color w:val="222222"/>
          <w:sz w:val="24"/>
          <w:szCs w:val="24"/>
          <w:lang w:val="en-GB"/>
        </w:rPr>
        <w:t>et al</w:t>
      </w:r>
      <w:r w:rsidRPr="00FB56DB">
        <w:rPr>
          <w:rFonts w:ascii="Times New Roman" w:eastAsia="Times New Roman" w:hAnsi="Times New Roman" w:cs="Times New Roman"/>
          <w:color w:val="222222"/>
          <w:sz w:val="24"/>
          <w:szCs w:val="24"/>
          <w:lang w:val="en-GB"/>
        </w:rPr>
        <w:t>., 2020</w:t>
      </w:r>
      <w:r w:rsidRPr="00FB56DB">
        <w:rPr>
          <w:rFonts w:ascii="Times New Roman" w:eastAsia="Times New Roman" w:hAnsi="Times New Roman" w:cs="Times New Roman"/>
          <w:sz w:val="24"/>
          <w:szCs w:val="24"/>
          <w:lang w:val="en-GB"/>
        </w:rPr>
        <w:t xml:space="preserve">). </w:t>
      </w:r>
      <w:r w:rsidR="007755A6" w:rsidRPr="00FB56DB">
        <w:rPr>
          <w:rFonts w:ascii="Times New Roman" w:eastAsia="Times New Roman" w:hAnsi="Times New Roman" w:cs="Times New Roman"/>
          <w:sz w:val="24"/>
          <w:szCs w:val="24"/>
          <w:lang w:val="en-GB"/>
        </w:rPr>
        <w:t>For example, the net profit of the hotel can be impacted by excessive operating costs including staff salaries, electricity bills and maintenance costs along with inefficiencies in areas such as pricing planning, supplier distribution and stock control.</w:t>
      </w:r>
    </w:p>
    <w:p w14:paraId="359F6051" w14:textId="77777777" w:rsidR="007755A6" w:rsidRPr="00FB56DB" w:rsidRDefault="007B1277">
      <w:pPr>
        <w:pStyle w:val="Normal1"/>
        <w:spacing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b/>
          <w:i/>
          <w:sz w:val="24"/>
          <w:szCs w:val="24"/>
          <w:lang w:val="en-GB"/>
        </w:rPr>
        <w:t>Market Conditions:</w:t>
      </w:r>
      <w:r w:rsidRPr="00FB56DB">
        <w:rPr>
          <w:rFonts w:ascii="Times New Roman" w:eastAsia="Times New Roman" w:hAnsi="Times New Roman" w:cs="Times New Roman"/>
          <w:sz w:val="24"/>
          <w:szCs w:val="24"/>
          <w:lang w:val="en-GB"/>
        </w:rPr>
        <w:t xml:space="preserve"> The hotel</w:t>
      </w:r>
      <w:r w:rsidR="002D4287" w:rsidRPr="00FB56DB">
        <w:rPr>
          <w:rFonts w:ascii="Times New Roman" w:eastAsia="Times New Roman" w:hAnsi="Times New Roman" w:cs="Times New Roman"/>
          <w:sz w:val="24"/>
          <w:szCs w:val="24"/>
          <w:lang w:val="en-GB"/>
        </w:rPr>
        <w:t>’</w:t>
      </w:r>
      <w:r w:rsidRPr="00FB56DB">
        <w:rPr>
          <w:rFonts w:ascii="Times New Roman" w:eastAsia="Times New Roman" w:hAnsi="Times New Roman" w:cs="Times New Roman"/>
          <w:sz w:val="24"/>
          <w:szCs w:val="24"/>
          <w:lang w:val="en-GB"/>
        </w:rPr>
        <w:t>s profitability might also be impacted</w:t>
      </w:r>
      <w:r w:rsidR="007755A6" w:rsidRPr="00FB56DB">
        <w:rPr>
          <w:rFonts w:ascii="Times New Roman" w:eastAsia="Times New Roman" w:hAnsi="Times New Roman" w:cs="Times New Roman"/>
          <w:sz w:val="24"/>
          <w:szCs w:val="24"/>
          <w:lang w:val="en-GB"/>
        </w:rPr>
        <w:t xml:space="preserve"> by outside variables like the condition</w:t>
      </w:r>
      <w:r w:rsidRPr="00FB56DB">
        <w:rPr>
          <w:rFonts w:ascii="Times New Roman" w:eastAsia="Times New Roman" w:hAnsi="Times New Roman" w:cs="Times New Roman"/>
          <w:sz w:val="24"/>
          <w:szCs w:val="24"/>
          <w:lang w:val="en-GB"/>
        </w:rPr>
        <w:t xml:space="preserve"> of the market. For example, decreased occupancy rates may result from a drop in tourists brought on by pandemics, natural </w:t>
      </w:r>
      <w:r w:rsidR="007755A6" w:rsidRPr="00FB56DB">
        <w:rPr>
          <w:rFonts w:ascii="Times New Roman" w:eastAsia="Times New Roman" w:hAnsi="Times New Roman" w:cs="Times New Roman"/>
          <w:sz w:val="24"/>
          <w:szCs w:val="24"/>
          <w:lang w:val="en-GB"/>
        </w:rPr>
        <w:t>disaster</w:t>
      </w:r>
      <w:r w:rsidRPr="00FB56DB">
        <w:rPr>
          <w:rFonts w:ascii="Times New Roman" w:eastAsia="Times New Roman" w:hAnsi="Times New Roman" w:cs="Times New Roman"/>
          <w:sz w:val="24"/>
          <w:szCs w:val="24"/>
          <w:lang w:val="en-GB"/>
        </w:rPr>
        <w:t xml:space="preserve"> or economic downturns. </w:t>
      </w:r>
      <w:r w:rsidR="007755A6" w:rsidRPr="00FB56DB">
        <w:rPr>
          <w:rFonts w:ascii="Times New Roman" w:eastAsia="Times New Roman" w:hAnsi="Times New Roman" w:cs="Times New Roman"/>
          <w:sz w:val="24"/>
          <w:szCs w:val="24"/>
          <w:lang w:val="en-GB"/>
        </w:rPr>
        <w:t xml:space="preserve">Consequently, </w:t>
      </w:r>
      <w:r w:rsidRPr="00FB56DB">
        <w:rPr>
          <w:rFonts w:ascii="Times New Roman" w:eastAsia="Times New Roman" w:hAnsi="Times New Roman" w:cs="Times New Roman"/>
          <w:sz w:val="24"/>
          <w:szCs w:val="24"/>
          <w:lang w:val="en-GB"/>
        </w:rPr>
        <w:t xml:space="preserve">higher competition in the </w:t>
      </w:r>
      <w:r w:rsidR="007755A6" w:rsidRPr="00FB56DB">
        <w:rPr>
          <w:rFonts w:ascii="Times New Roman" w:eastAsia="Times New Roman" w:hAnsi="Times New Roman" w:cs="Times New Roman"/>
          <w:sz w:val="24"/>
          <w:szCs w:val="24"/>
          <w:lang w:val="en-GB"/>
        </w:rPr>
        <w:t>hospitality industry</w:t>
      </w:r>
      <w:r w:rsidRPr="00FB56DB">
        <w:rPr>
          <w:rFonts w:ascii="Times New Roman" w:eastAsia="Times New Roman" w:hAnsi="Times New Roman" w:cs="Times New Roman"/>
          <w:sz w:val="24"/>
          <w:szCs w:val="24"/>
          <w:lang w:val="en-GB"/>
        </w:rPr>
        <w:t xml:space="preserve"> </w:t>
      </w:r>
      <w:r w:rsidR="007755A6" w:rsidRPr="00FB56DB">
        <w:rPr>
          <w:rFonts w:ascii="Times New Roman" w:eastAsia="Times New Roman" w:hAnsi="Times New Roman" w:cs="Times New Roman"/>
          <w:sz w:val="24"/>
          <w:szCs w:val="24"/>
          <w:lang w:val="en-GB"/>
        </w:rPr>
        <w:t>has</w:t>
      </w:r>
      <w:r w:rsidRPr="00FB56DB">
        <w:rPr>
          <w:rFonts w:ascii="Times New Roman" w:eastAsia="Times New Roman" w:hAnsi="Times New Roman" w:cs="Times New Roman"/>
          <w:sz w:val="24"/>
          <w:szCs w:val="24"/>
          <w:lang w:val="en-GB"/>
        </w:rPr>
        <w:t xml:space="preserve"> </w:t>
      </w:r>
      <w:r w:rsidR="007755A6" w:rsidRPr="00FB56DB">
        <w:rPr>
          <w:rFonts w:ascii="Times New Roman" w:eastAsia="Times New Roman" w:hAnsi="Times New Roman" w:cs="Times New Roman"/>
          <w:sz w:val="24"/>
          <w:szCs w:val="24"/>
          <w:lang w:val="en-GB"/>
        </w:rPr>
        <w:t>forced</w:t>
      </w:r>
      <w:r w:rsidRPr="00FB56DB">
        <w:rPr>
          <w:rFonts w:ascii="Times New Roman" w:eastAsia="Times New Roman" w:hAnsi="Times New Roman" w:cs="Times New Roman"/>
          <w:sz w:val="24"/>
          <w:szCs w:val="24"/>
          <w:lang w:val="en-GB"/>
        </w:rPr>
        <w:t xml:space="preserve"> </w:t>
      </w:r>
      <w:r w:rsidR="007755A6" w:rsidRPr="00FB56DB">
        <w:rPr>
          <w:rFonts w:ascii="Times New Roman" w:eastAsia="Times New Roman" w:hAnsi="Times New Roman" w:cs="Times New Roman"/>
          <w:sz w:val="24"/>
          <w:szCs w:val="24"/>
          <w:lang w:val="en-GB"/>
        </w:rPr>
        <w:t>the hotel to charge lower room rates</w:t>
      </w:r>
      <w:r w:rsidRPr="00FB56DB">
        <w:rPr>
          <w:rFonts w:ascii="Times New Roman" w:eastAsia="Times New Roman" w:hAnsi="Times New Roman" w:cs="Times New Roman"/>
          <w:sz w:val="24"/>
          <w:szCs w:val="24"/>
          <w:lang w:val="en-GB"/>
        </w:rPr>
        <w:t>.</w:t>
      </w:r>
    </w:p>
    <w:p w14:paraId="3E3EE043" w14:textId="77777777" w:rsidR="007969F4" w:rsidRPr="00FB56DB" w:rsidRDefault="007B1277" w:rsidP="002D4287">
      <w:pPr>
        <w:pStyle w:val="Heading1"/>
        <w:rPr>
          <w:lang w:val="en-GB"/>
        </w:rPr>
      </w:pPr>
      <w:bookmarkStart w:id="16" w:name="_Toc168537196"/>
      <w:r w:rsidRPr="00FB56DB">
        <w:rPr>
          <w:lang w:val="en-GB"/>
        </w:rPr>
        <w:t>4. Recommendations</w:t>
      </w:r>
      <w:bookmarkEnd w:id="16"/>
      <w:r w:rsidRPr="00FB56DB">
        <w:rPr>
          <w:lang w:val="en-GB"/>
        </w:rPr>
        <w:t xml:space="preserve"> </w:t>
      </w:r>
    </w:p>
    <w:p w14:paraId="0D2E4635" w14:textId="77777777" w:rsidR="007969F4" w:rsidRPr="00FB56DB" w:rsidRDefault="007B1277">
      <w:pPr>
        <w:pStyle w:val="Normal1"/>
        <w:spacing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The hotel should implement the following strategy to improve its financial condition and revert back its reputation in the competitive industry:</w:t>
      </w:r>
    </w:p>
    <w:p w14:paraId="434806E4" w14:textId="77777777" w:rsidR="007969F4" w:rsidRPr="00FB56DB" w:rsidRDefault="007B1277">
      <w:pPr>
        <w:pStyle w:val="Normal1"/>
        <w:spacing w:line="360" w:lineRule="auto"/>
        <w:jc w:val="both"/>
        <w:rPr>
          <w:rFonts w:ascii="Times New Roman" w:eastAsia="Times New Roman" w:hAnsi="Times New Roman" w:cs="Times New Roman"/>
          <w:sz w:val="24"/>
          <w:szCs w:val="24"/>
          <w:highlight w:val="yellow"/>
          <w:lang w:val="en-GB"/>
        </w:rPr>
      </w:pPr>
      <w:r w:rsidRPr="00FB56DB">
        <w:rPr>
          <w:rFonts w:ascii="Times New Roman" w:eastAsia="Times New Roman" w:hAnsi="Times New Roman" w:cs="Times New Roman"/>
          <w:b/>
          <w:i/>
          <w:sz w:val="24"/>
          <w:szCs w:val="24"/>
          <w:lang w:val="en-GB"/>
        </w:rPr>
        <w:t xml:space="preserve">Debt Restructuring: </w:t>
      </w:r>
      <w:r w:rsidRPr="00FB56DB">
        <w:rPr>
          <w:rFonts w:ascii="Times New Roman" w:eastAsia="Times New Roman" w:hAnsi="Times New Roman" w:cs="Times New Roman"/>
          <w:sz w:val="24"/>
          <w:szCs w:val="24"/>
          <w:lang w:val="en-GB"/>
        </w:rPr>
        <w:t>Restructuring the hotel</w:t>
      </w:r>
      <w:r w:rsidR="002D4287" w:rsidRPr="00FB56DB">
        <w:rPr>
          <w:rFonts w:ascii="Times New Roman" w:eastAsia="Times New Roman" w:hAnsi="Times New Roman" w:cs="Times New Roman"/>
          <w:sz w:val="24"/>
          <w:szCs w:val="24"/>
          <w:lang w:val="en-GB"/>
        </w:rPr>
        <w:t>’</w:t>
      </w:r>
      <w:r w:rsidRPr="00FB56DB">
        <w:rPr>
          <w:rFonts w:ascii="Times New Roman" w:eastAsia="Times New Roman" w:hAnsi="Times New Roman" w:cs="Times New Roman"/>
          <w:sz w:val="24"/>
          <w:szCs w:val="24"/>
          <w:lang w:val="en-GB"/>
        </w:rPr>
        <w:t>s debt might lower interest expenses and increase cash flow (</w:t>
      </w:r>
      <w:proofErr w:type="spellStart"/>
      <w:r w:rsidRPr="00FB56DB">
        <w:rPr>
          <w:rFonts w:ascii="Times New Roman" w:eastAsia="Times New Roman" w:hAnsi="Times New Roman" w:cs="Times New Roman"/>
          <w:color w:val="222222"/>
          <w:sz w:val="24"/>
          <w:szCs w:val="24"/>
          <w:lang w:val="en-GB"/>
        </w:rPr>
        <w:t>Mavlutova</w:t>
      </w:r>
      <w:proofErr w:type="spellEnd"/>
      <w:r w:rsidRPr="00FB56DB">
        <w:rPr>
          <w:rFonts w:ascii="Times New Roman" w:eastAsia="Times New Roman" w:hAnsi="Times New Roman" w:cs="Times New Roman"/>
          <w:color w:val="222222"/>
          <w:sz w:val="24"/>
          <w:szCs w:val="24"/>
          <w:lang w:val="en-GB"/>
        </w:rPr>
        <w:t xml:space="preserve"> </w:t>
      </w:r>
      <w:r w:rsidRPr="00FB56DB">
        <w:rPr>
          <w:rFonts w:ascii="Times New Roman" w:eastAsia="Times New Roman" w:hAnsi="Times New Roman" w:cs="Times New Roman"/>
          <w:i/>
          <w:color w:val="222222"/>
          <w:sz w:val="24"/>
          <w:szCs w:val="24"/>
          <w:lang w:val="en-GB"/>
        </w:rPr>
        <w:t>et al</w:t>
      </w:r>
      <w:r w:rsidRPr="00FB56DB">
        <w:rPr>
          <w:rFonts w:ascii="Times New Roman" w:eastAsia="Times New Roman" w:hAnsi="Times New Roman" w:cs="Times New Roman"/>
          <w:color w:val="222222"/>
          <w:sz w:val="24"/>
          <w:szCs w:val="24"/>
          <w:lang w:val="en-GB"/>
        </w:rPr>
        <w:t>., 2021</w:t>
      </w:r>
      <w:r w:rsidRPr="00FB56DB">
        <w:rPr>
          <w:rFonts w:ascii="Times New Roman" w:eastAsia="Times New Roman" w:hAnsi="Times New Roman" w:cs="Times New Roman"/>
          <w:sz w:val="24"/>
          <w:szCs w:val="24"/>
          <w:lang w:val="en-GB"/>
        </w:rPr>
        <w:t xml:space="preserve">). </w:t>
      </w:r>
      <w:r w:rsidR="007755A6" w:rsidRPr="00FB56DB">
        <w:rPr>
          <w:rFonts w:ascii="Times New Roman" w:eastAsia="Times New Roman" w:hAnsi="Times New Roman" w:cs="Times New Roman"/>
          <w:sz w:val="24"/>
          <w:szCs w:val="24"/>
          <w:lang w:val="en-GB"/>
        </w:rPr>
        <w:t>Perhaps longer reimbursement terms or reduced interest fees is probably negotiated with creditors. The inn’s debt-to-equity ratio might drop and its economic vulnerability might be reduced if debt restructuring blanketed the conversion of a few debts into equity.</w:t>
      </w:r>
    </w:p>
    <w:p w14:paraId="3D3D360A" w14:textId="77777777" w:rsidR="007969F4" w:rsidRPr="00FB56DB" w:rsidRDefault="007B1277">
      <w:pPr>
        <w:pStyle w:val="Normal1"/>
        <w:spacing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b/>
          <w:i/>
          <w:sz w:val="24"/>
          <w:szCs w:val="24"/>
          <w:lang w:val="en-GB"/>
        </w:rPr>
        <w:t xml:space="preserve">Optimisation of Assets: </w:t>
      </w:r>
      <w:r w:rsidR="007755A6" w:rsidRPr="00FB56DB">
        <w:rPr>
          <w:rFonts w:ascii="Times New Roman" w:eastAsia="Times New Roman" w:hAnsi="Times New Roman" w:cs="Times New Roman"/>
          <w:sz w:val="24"/>
          <w:szCs w:val="24"/>
          <w:lang w:val="en-GB"/>
        </w:rPr>
        <w:t xml:space="preserve">The hotel must do an in-depth review of all of its assets to become aware of underperforming property that may be sold to raise finances </w:t>
      </w:r>
      <w:r w:rsidRPr="00FB56DB">
        <w:rPr>
          <w:rFonts w:ascii="Times New Roman" w:eastAsia="Times New Roman" w:hAnsi="Times New Roman" w:cs="Times New Roman"/>
          <w:sz w:val="24"/>
          <w:szCs w:val="24"/>
          <w:lang w:val="en-GB"/>
        </w:rPr>
        <w:t>(</w:t>
      </w:r>
      <w:r w:rsidRPr="00FB56DB">
        <w:rPr>
          <w:rFonts w:ascii="Times New Roman" w:eastAsia="Times New Roman" w:hAnsi="Times New Roman" w:cs="Times New Roman"/>
          <w:color w:val="222222"/>
          <w:sz w:val="24"/>
          <w:szCs w:val="24"/>
          <w:lang w:val="en-GB"/>
        </w:rPr>
        <w:t>Munsanje, 2021</w:t>
      </w:r>
      <w:r w:rsidRPr="00FB56DB">
        <w:rPr>
          <w:rFonts w:ascii="Times New Roman" w:eastAsia="Times New Roman" w:hAnsi="Times New Roman" w:cs="Times New Roman"/>
          <w:sz w:val="24"/>
          <w:szCs w:val="24"/>
          <w:lang w:val="en-GB"/>
        </w:rPr>
        <w:t xml:space="preserve">). </w:t>
      </w:r>
      <w:r w:rsidR="007755A6" w:rsidRPr="00FB56DB">
        <w:rPr>
          <w:rFonts w:ascii="Times New Roman" w:eastAsia="Times New Roman" w:hAnsi="Times New Roman" w:cs="Times New Roman"/>
          <w:sz w:val="24"/>
          <w:szCs w:val="24"/>
          <w:lang w:val="en-GB"/>
        </w:rPr>
        <w:t>The hotel is probably capable of pay off debt with the proceeds from these offers, strengthening its economic function. The hotel must recollect ways to optimise the use of its present assets if it hopes to enhance profitability.</w:t>
      </w:r>
    </w:p>
    <w:p w14:paraId="704EF5F8" w14:textId="77777777" w:rsidR="007969F4" w:rsidRPr="00FB56DB" w:rsidRDefault="007B1277">
      <w:pPr>
        <w:pStyle w:val="Normal1"/>
        <w:spacing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b/>
          <w:i/>
          <w:sz w:val="24"/>
          <w:szCs w:val="24"/>
          <w:lang w:val="en-GB"/>
        </w:rPr>
        <w:t>Operational Efficiency:</w:t>
      </w:r>
      <w:r w:rsidRPr="00FB56DB">
        <w:rPr>
          <w:rFonts w:ascii="Times New Roman" w:eastAsia="Times New Roman" w:hAnsi="Times New Roman" w:cs="Times New Roman"/>
          <w:sz w:val="24"/>
          <w:szCs w:val="24"/>
          <w:lang w:val="en-GB"/>
        </w:rPr>
        <w:t xml:space="preserve"> The hotel should execute a thorough analysis of its functions to pinpoint opportunities for improving efficiency. Process simplification, waste reduction or </w:t>
      </w:r>
      <w:r w:rsidRPr="00FB56DB">
        <w:rPr>
          <w:rFonts w:ascii="Times New Roman" w:eastAsia="Times New Roman" w:hAnsi="Times New Roman" w:cs="Times New Roman"/>
          <w:sz w:val="24"/>
          <w:szCs w:val="24"/>
          <w:lang w:val="en-GB"/>
        </w:rPr>
        <w:lastRenderedPageBreak/>
        <w:t>the adoption of new technology that boosts output might all be part of it (</w:t>
      </w:r>
      <w:proofErr w:type="spellStart"/>
      <w:r w:rsidRPr="00FB56DB">
        <w:rPr>
          <w:rFonts w:ascii="Times New Roman" w:eastAsia="Times New Roman" w:hAnsi="Times New Roman" w:cs="Times New Roman"/>
          <w:color w:val="222222"/>
          <w:sz w:val="24"/>
          <w:szCs w:val="24"/>
          <w:highlight w:val="white"/>
          <w:lang w:val="en-GB"/>
        </w:rPr>
        <w:t>Kolasani</w:t>
      </w:r>
      <w:proofErr w:type="spellEnd"/>
      <w:r w:rsidRPr="00FB56DB">
        <w:rPr>
          <w:rFonts w:ascii="Times New Roman" w:eastAsia="Times New Roman" w:hAnsi="Times New Roman" w:cs="Times New Roman"/>
          <w:color w:val="222222"/>
          <w:sz w:val="24"/>
          <w:szCs w:val="24"/>
          <w:highlight w:val="white"/>
          <w:lang w:val="en-GB"/>
        </w:rPr>
        <w:t>, 2023</w:t>
      </w:r>
      <w:r w:rsidRPr="00FB56DB">
        <w:rPr>
          <w:rFonts w:ascii="Times New Roman" w:eastAsia="Times New Roman" w:hAnsi="Times New Roman" w:cs="Times New Roman"/>
          <w:sz w:val="24"/>
          <w:szCs w:val="24"/>
          <w:lang w:val="en-GB"/>
        </w:rPr>
        <w:t>). The hotel should consider methods to improve service delivery to increase client happiness and loyalty as well as assess its pricing plan to make sure it is optimising income.</w:t>
      </w:r>
    </w:p>
    <w:p w14:paraId="203F3138" w14:textId="77777777" w:rsidR="007969F4" w:rsidRPr="00FB56DB" w:rsidRDefault="007B1277">
      <w:pPr>
        <w:pStyle w:val="Normal1"/>
        <w:spacing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b/>
          <w:i/>
          <w:sz w:val="24"/>
          <w:szCs w:val="24"/>
          <w:lang w:val="en-GB"/>
        </w:rPr>
        <w:t xml:space="preserve">Risk Management: </w:t>
      </w:r>
      <w:r w:rsidRPr="00FB56DB">
        <w:rPr>
          <w:rFonts w:ascii="Times New Roman" w:eastAsia="Times New Roman" w:hAnsi="Times New Roman" w:cs="Times New Roman"/>
          <w:sz w:val="24"/>
          <w:szCs w:val="24"/>
          <w:lang w:val="en-GB"/>
        </w:rPr>
        <w:t>Robust risk management methods are crucial for the hotel, given its elevated debt levels and diminishing liquidity (</w:t>
      </w:r>
      <w:r w:rsidRPr="00FB56DB">
        <w:rPr>
          <w:rFonts w:ascii="Times New Roman" w:eastAsia="Times New Roman" w:hAnsi="Times New Roman" w:cs="Times New Roman"/>
          <w:color w:val="222222"/>
          <w:sz w:val="24"/>
          <w:szCs w:val="24"/>
          <w:highlight w:val="white"/>
          <w:lang w:val="en-GB"/>
        </w:rPr>
        <w:t>Rajendran, Kassim and Ahmad, 2023</w:t>
      </w:r>
      <w:r w:rsidRPr="00FB56DB">
        <w:rPr>
          <w:rFonts w:ascii="Times New Roman" w:eastAsia="Times New Roman" w:hAnsi="Times New Roman" w:cs="Times New Roman"/>
          <w:sz w:val="24"/>
          <w:szCs w:val="24"/>
          <w:lang w:val="en-GB"/>
        </w:rPr>
        <w:t>). It can include forming a risk management committee, carrying out recurring risk assessments, and creating backup plans in case something goes wrong. The hotel should consider getting insurance to guard against unexpected situations that may negatively impact its financial situation.</w:t>
      </w:r>
    </w:p>
    <w:p w14:paraId="334FEA11" w14:textId="77777777" w:rsidR="007969F4" w:rsidRPr="00FB56DB" w:rsidRDefault="007B1277" w:rsidP="002D4287">
      <w:pPr>
        <w:pStyle w:val="Heading1"/>
        <w:rPr>
          <w:lang w:val="en-GB"/>
        </w:rPr>
      </w:pPr>
      <w:bookmarkStart w:id="17" w:name="_462hcv42ck88" w:colFirst="0" w:colLast="0"/>
      <w:bookmarkStart w:id="18" w:name="_Toc168537197"/>
      <w:bookmarkEnd w:id="17"/>
      <w:r w:rsidRPr="00FB56DB">
        <w:rPr>
          <w:lang w:val="en-GB"/>
        </w:rPr>
        <w:t>5. Conclusion</w:t>
      </w:r>
      <w:bookmarkEnd w:id="18"/>
    </w:p>
    <w:p w14:paraId="1BD354E9" w14:textId="77777777" w:rsidR="007969F4" w:rsidRPr="00FB56DB" w:rsidRDefault="007B1277">
      <w:pPr>
        <w:pStyle w:val="Normal1"/>
        <w:spacing w:line="360" w:lineRule="auto"/>
        <w:jc w:val="both"/>
        <w:rPr>
          <w:rFonts w:ascii="Times New Roman" w:eastAsia="Times New Roman" w:hAnsi="Times New Roman" w:cs="Times New Roman"/>
          <w:b/>
          <w:sz w:val="24"/>
          <w:szCs w:val="24"/>
          <w:lang w:val="en-GB"/>
        </w:rPr>
      </w:pPr>
      <w:r w:rsidRPr="00FB56DB">
        <w:rPr>
          <w:rFonts w:ascii="Times New Roman" w:eastAsia="Times New Roman" w:hAnsi="Times New Roman" w:cs="Times New Roman"/>
          <w:sz w:val="24"/>
          <w:szCs w:val="24"/>
          <w:lang w:val="en-GB"/>
        </w:rPr>
        <w:t xml:space="preserve">The above study has demonstrated the financial condition of The Urban Heights hotel that is currently facing issues due to declining occupancy rate, revenue and profitability. The financial ratios of the hotel have been determined and analysed based on information of the financial statements. The potential causes of changes in profitability, liquidity and solvency of the hotel </w:t>
      </w:r>
      <w:proofErr w:type="gramStart"/>
      <w:r w:rsidRPr="00FB56DB">
        <w:rPr>
          <w:rFonts w:ascii="Times New Roman" w:eastAsia="Times New Roman" w:hAnsi="Times New Roman" w:cs="Times New Roman"/>
          <w:sz w:val="24"/>
          <w:szCs w:val="24"/>
          <w:lang w:val="en-GB"/>
        </w:rPr>
        <w:t>has</w:t>
      </w:r>
      <w:proofErr w:type="gramEnd"/>
      <w:r w:rsidRPr="00FB56DB">
        <w:rPr>
          <w:rFonts w:ascii="Times New Roman" w:eastAsia="Times New Roman" w:hAnsi="Times New Roman" w:cs="Times New Roman"/>
          <w:sz w:val="24"/>
          <w:szCs w:val="24"/>
          <w:lang w:val="en-GB"/>
        </w:rPr>
        <w:t xml:space="preserve"> been examined in the assessment. Furthermore, reasons for declining profitability of the hotel have been discussed in the study. </w:t>
      </w:r>
      <w:r w:rsidR="002D4287" w:rsidRPr="00FB56DB">
        <w:rPr>
          <w:rFonts w:ascii="Times New Roman" w:eastAsia="Times New Roman" w:hAnsi="Times New Roman" w:cs="Times New Roman"/>
          <w:sz w:val="24"/>
          <w:szCs w:val="24"/>
          <w:lang w:val="en-GB"/>
        </w:rPr>
        <w:t>Feasible strategies for dealing with the worrying financial condition of the hotel have</w:t>
      </w:r>
      <w:r w:rsidRPr="00FB56DB">
        <w:rPr>
          <w:rFonts w:ascii="Times New Roman" w:eastAsia="Times New Roman" w:hAnsi="Times New Roman" w:cs="Times New Roman"/>
          <w:sz w:val="24"/>
          <w:szCs w:val="24"/>
          <w:lang w:val="en-GB"/>
        </w:rPr>
        <w:t xml:space="preserve"> been recommended in the report. </w:t>
      </w:r>
      <w:r w:rsidRPr="00FB56DB">
        <w:rPr>
          <w:lang w:val="en-GB"/>
        </w:rPr>
        <w:br w:type="page"/>
      </w:r>
    </w:p>
    <w:p w14:paraId="156D341B" w14:textId="77777777" w:rsidR="007969F4" w:rsidRPr="00FB56DB" w:rsidRDefault="007B1277">
      <w:pPr>
        <w:pStyle w:val="Heading1"/>
        <w:jc w:val="both"/>
        <w:rPr>
          <w:lang w:val="en-GB"/>
        </w:rPr>
      </w:pPr>
      <w:bookmarkStart w:id="19" w:name="_eygkybpfdeyt" w:colFirst="0" w:colLast="0"/>
      <w:bookmarkStart w:id="20" w:name="_Toc168537198"/>
      <w:bookmarkEnd w:id="19"/>
      <w:r w:rsidRPr="00FB56DB">
        <w:rPr>
          <w:lang w:val="en-GB"/>
        </w:rPr>
        <w:lastRenderedPageBreak/>
        <w:t>References</w:t>
      </w:r>
      <w:bookmarkEnd w:id="20"/>
    </w:p>
    <w:p w14:paraId="037B9B78" w14:textId="77777777" w:rsidR="00571693" w:rsidRPr="00FB56DB" w:rsidRDefault="00571693" w:rsidP="00571693">
      <w:pPr>
        <w:pStyle w:val="Normal1"/>
        <w:widowControl w:val="0"/>
        <w:spacing w:before="240" w:after="200" w:line="360" w:lineRule="auto"/>
        <w:jc w:val="both"/>
        <w:rPr>
          <w:rFonts w:ascii="Times New Roman" w:eastAsia="Times New Roman" w:hAnsi="Times New Roman" w:cs="Times New Roman"/>
          <w:sz w:val="24"/>
          <w:szCs w:val="24"/>
          <w:lang w:val="en-GB"/>
        </w:rPr>
      </w:pPr>
      <w:proofErr w:type="spellStart"/>
      <w:r w:rsidRPr="00FB56DB">
        <w:rPr>
          <w:rFonts w:ascii="Times New Roman" w:eastAsia="Times New Roman" w:hAnsi="Times New Roman" w:cs="Times New Roman"/>
          <w:color w:val="222222"/>
          <w:sz w:val="24"/>
          <w:szCs w:val="24"/>
          <w:highlight w:val="white"/>
          <w:lang w:val="en-GB"/>
        </w:rPr>
        <w:t>Dirman</w:t>
      </w:r>
      <w:proofErr w:type="spellEnd"/>
      <w:r w:rsidRPr="00FB56DB">
        <w:rPr>
          <w:rFonts w:ascii="Times New Roman" w:eastAsia="Times New Roman" w:hAnsi="Times New Roman" w:cs="Times New Roman"/>
          <w:color w:val="222222"/>
          <w:sz w:val="24"/>
          <w:szCs w:val="24"/>
          <w:highlight w:val="white"/>
          <w:lang w:val="en-GB"/>
        </w:rPr>
        <w:t xml:space="preserve">, A. (2020). Financial distress: the impacts of profitability, liquidity, leverage, firm size, and free cash flow. </w:t>
      </w:r>
      <w:r w:rsidRPr="00FB56DB">
        <w:rPr>
          <w:rFonts w:ascii="Times New Roman" w:eastAsia="Times New Roman" w:hAnsi="Times New Roman" w:cs="Times New Roman"/>
          <w:i/>
          <w:color w:val="222222"/>
          <w:sz w:val="24"/>
          <w:szCs w:val="24"/>
          <w:highlight w:val="white"/>
          <w:lang w:val="en-GB"/>
        </w:rPr>
        <w:t>International Journal of Business, Economics and Law</w:t>
      </w:r>
      <w:r w:rsidRPr="00FB56DB">
        <w:rPr>
          <w:rFonts w:ascii="Times New Roman" w:eastAsia="Times New Roman" w:hAnsi="Times New Roman" w:cs="Times New Roman"/>
          <w:color w:val="222222"/>
          <w:sz w:val="24"/>
          <w:szCs w:val="24"/>
          <w:highlight w:val="white"/>
          <w:lang w:val="en-GB"/>
        </w:rPr>
        <w:t xml:space="preserve">, </w:t>
      </w:r>
      <w:r w:rsidRPr="00FB56DB">
        <w:rPr>
          <w:rFonts w:ascii="Times New Roman" w:eastAsia="Times New Roman" w:hAnsi="Times New Roman" w:cs="Times New Roman"/>
          <w:i/>
          <w:color w:val="222222"/>
          <w:sz w:val="24"/>
          <w:szCs w:val="24"/>
          <w:highlight w:val="white"/>
          <w:lang w:val="en-GB"/>
        </w:rPr>
        <w:t>22</w:t>
      </w:r>
      <w:r w:rsidRPr="00FB56DB">
        <w:rPr>
          <w:rFonts w:ascii="Times New Roman" w:eastAsia="Times New Roman" w:hAnsi="Times New Roman" w:cs="Times New Roman"/>
          <w:color w:val="222222"/>
          <w:sz w:val="24"/>
          <w:szCs w:val="24"/>
          <w:highlight w:val="white"/>
          <w:lang w:val="en-GB"/>
        </w:rPr>
        <w:t>(1), pp.17-25.</w:t>
      </w:r>
    </w:p>
    <w:p w14:paraId="38080A95" w14:textId="77777777" w:rsidR="00571693" w:rsidRPr="00FB56DB" w:rsidRDefault="00571693" w:rsidP="00571693">
      <w:pPr>
        <w:pStyle w:val="Normal1"/>
        <w:spacing w:before="240"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Drury C (2021) (11th Ed) Management and Cost Accounting, London, Prentice Hall.</w:t>
      </w:r>
    </w:p>
    <w:p w14:paraId="278AD49E" w14:textId="77777777" w:rsidR="00571693" w:rsidRPr="00FB56DB" w:rsidRDefault="00571693" w:rsidP="00571693">
      <w:pPr>
        <w:pStyle w:val="Normal1"/>
        <w:spacing w:before="240" w:after="200" w:line="360" w:lineRule="auto"/>
        <w:jc w:val="both"/>
        <w:rPr>
          <w:rFonts w:ascii="Times New Roman" w:eastAsia="Times New Roman" w:hAnsi="Times New Roman" w:cs="Times New Roman"/>
          <w:color w:val="222222"/>
          <w:sz w:val="24"/>
          <w:szCs w:val="24"/>
          <w:highlight w:val="white"/>
          <w:lang w:val="en-GB"/>
        </w:rPr>
      </w:pPr>
      <w:proofErr w:type="spellStart"/>
      <w:r w:rsidRPr="00FB56DB">
        <w:rPr>
          <w:rFonts w:ascii="Times New Roman" w:eastAsia="Times New Roman" w:hAnsi="Times New Roman" w:cs="Times New Roman"/>
          <w:color w:val="222222"/>
          <w:sz w:val="24"/>
          <w:szCs w:val="24"/>
          <w:highlight w:val="white"/>
          <w:lang w:val="en-GB"/>
        </w:rPr>
        <w:t>Kolasani</w:t>
      </w:r>
      <w:proofErr w:type="spellEnd"/>
      <w:r w:rsidRPr="00FB56DB">
        <w:rPr>
          <w:rFonts w:ascii="Times New Roman" w:eastAsia="Times New Roman" w:hAnsi="Times New Roman" w:cs="Times New Roman"/>
          <w:color w:val="222222"/>
          <w:sz w:val="24"/>
          <w:szCs w:val="24"/>
          <w:highlight w:val="white"/>
          <w:lang w:val="en-GB"/>
        </w:rPr>
        <w:t xml:space="preserve">, S. (2023). Innovations in digital, enterprise, cloud, data transformation, and organizational change management using agile, lean, and data-driven methodologies. </w:t>
      </w:r>
      <w:r w:rsidRPr="00FB56DB">
        <w:rPr>
          <w:rFonts w:ascii="Times New Roman" w:eastAsia="Times New Roman" w:hAnsi="Times New Roman" w:cs="Times New Roman"/>
          <w:i/>
          <w:color w:val="222222"/>
          <w:sz w:val="24"/>
          <w:szCs w:val="24"/>
          <w:highlight w:val="white"/>
          <w:lang w:val="en-GB"/>
        </w:rPr>
        <w:t>International Journal of Machine Learning and Artificial Intelligence</w:t>
      </w:r>
      <w:r w:rsidRPr="00FB56DB">
        <w:rPr>
          <w:rFonts w:ascii="Times New Roman" w:eastAsia="Times New Roman" w:hAnsi="Times New Roman" w:cs="Times New Roman"/>
          <w:color w:val="222222"/>
          <w:sz w:val="24"/>
          <w:szCs w:val="24"/>
          <w:highlight w:val="white"/>
          <w:lang w:val="en-GB"/>
        </w:rPr>
        <w:t xml:space="preserve">, </w:t>
      </w:r>
      <w:r w:rsidRPr="00FB56DB">
        <w:rPr>
          <w:rFonts w:ascii="Times New Roman" w:eastAsia="Times New Roman" w:hAnsi="Times New Roman" w:cs="Times New Roman"/>
          <w:i/>
          <w:color w:val="222222"/>
          <w:sz w:val="24"/>
          <w:szCs w:val="24"/>
          <w:highlight w:val="white"/>
          <w:lang w:val="en-GB"/>
        </w:rPr>
        <w:t>4</w:t>
      </w:r>
      <w:r w:rsidRPr="00FB56DB">
        <w:rPr>
          <w:rFonts w:ascii="Times New Roman" w:eastAsia="Times New Roman" w:hAnsi="Times New Roman" w:cs="Times New Roman"/>
          <w:color w:val="222222"/>
          <w:sz w:val="24"/>
          <w:szCs w:val="24"/>
          <w:highlight w:val="white"/>
          <w:lang w:val="en-GB"/>
        </w:rPr>
        <w:t>(4), pp.1-18.</w:t>
      </w:r>
    </w:p>
    <w:p w14:paraId="140B66C0" w14:textId="77777777" w:rsidR="00571693" w:rsidRPr="00FB56DB" w:rsidRDefault="00571693" w:rsidP="00571693">
      <w:pPr>
        <w:pStyle w:val="Normal1"/>
        <w:widowControl w:val="0"/>
        <w:spacing w:before="240" w:after="200" w:line="360" w:lineRule="auto"/>
        <w:jc w:val="both"/>
        <w:rPr>
          <w:rFonts w:ascii="Times New Roman" w:eastAsia="Times New Roman" w:hAnsi="Times New Roman" w:cs="Times New Roman"/>
          <w:color w:val="222222"/>
          <w:sz w:val="24"/>
          <w:szCs w:val="24"/>
          <w:highlight w:val="white"/>
          <w:lang w:val="en-GB"/>
        </w:rPr>
      </w:pPr>
      <w:r w:rsidRPr="00FB56DB">
        <w:rPr>
          <w:rFonts w:ascii="Times New Roman" w:eastAsia="Times New Roman" w:hAnsi="Times New Roman" w:cs="Times New Roman"/>
          <w:color w:val="222222"/>
          <w:sz w:val="24"/>
          <w:szCs w:val="24"/>
          <w:highlight w:val="white"/>
          <w:lang w:val="en-GB"/>
        </w:rPr>
        <w:t xml:space="preserve">Mason, J.T. (2022). </w:t>
      </w:r>
      <w:r w:rsidRPr="00FB56DB">
        <w:rPr>
          <w:rFonts w:ascii="Times New Roman" w:eastAsia="Times New Roman" w:hAnsi="Times New Roman" w:cs="Times New Roman"/>
          <w:i/>
          <w:color w:val="222222"/>
          <w:sz w:val="24"/>
          <w:szCs w:val="24"/>
          <w:highlight w:val="white"/>
          <w:lang w:val="en-GB"/>
        </w:rPr>
        <w:t>The Investing Oasis: Contrarian Treasure in the Capital Markets Desert</w:t>
      </w:r>
      <w:r w:rsidRPr="00FB56DB">
        <w:rPr>
          <w:rFonts w:ascii="Times New Roman" w:eastAsia="Times New Roman" w:hAnsi="Times New Roman" w:cs="Times New Roman"/>
          <w:color w:val="222222"/>
          <w:sz w:val="24"/>
          <w:szCs w:val="24"/>
          <w:highlight w:val="white"/>
          <w:lang w:val="en-GB"/>
        </w:rPr>
        <w:t>. John Wiley &amp; Sons.</w:t>
      </w:r>
    </w:p>
    <w:p w14:paraId="147193D1" w14:textId="77777777" w:rsidR="00571693" w:rsidRPr="00FB56DB" w:rsidRDefault="00571693" w:rsidP="00571693">
      <w:pPr>
        <w:pStyle w:val="Normal1"/>
        <w:spacing w:before="240" w:after="200" w:line="360" w:lineRule="auto"/>
        <w:jc w:val="both"/>
        <w:rPr>
          <w:rFonts w:ascii="Times New Roman" w:eastAsia="Times New Roman" w:hAnsi="Times New Roman" w:cs="Times New Roman"/>
          <w:color w:val="222222"/>
          <w:sz w:val="24"/>
          <w:szCs w:val="24"/>
          <w:highlight w:val="white"/>
          <w:lang w:val="en-GB"/>
        </w:rPr>
      </w:pPr>
      <w:proofErr w:type="spellStart"/>
      <w:r w:rsidRPr="00FB56DB">
        <w:rPr>
          <w:rFonts w:ascii="Times New Roman" w:eastAsia="Times New Roman" w:hAnsi="Times New Roman" w:cs="Times New Roman"/>
          <w:color w:val="222222"/>
          <w:sz w:val="24"/>
          <w:szCs w:val="24"/>
          <w:highlight w:val="white"/>
          <w:lang w:val="en-GB"/>
        </w:rPr>
        <w:t>Mavlutova</w:t>
      </w:r>
      <w:proofErr w:type="spellEnd"/>
      <w:r w:rsidRPr="00FB56DB">
        <w:rPr>
          <w:rFonts w:ascii="Times New Roman" w:eastAsia="Times New Roman" w:hAnsi="Times New Roman" w:cs="Times New Roman"/>
          <w:color w:val="222222"/>
          <w:sz w:val="24"/>
          <w:szCs w:val="24"/>
          <w:highlight w:val="white"/>
          <w:lang w:val="en-GB"/>
        </w:rPr>
        <w:t xml:space="preserve">, I., Babenko, V., Dykan, V., Prokopenko, N., </w:t>
      </w:r>
      <w:proofErr w:type="spellStart"/>
      <w:r w:rsidRPr="00FB56DB">
        <w:rPr>
          <w:rFonts w:ascii="Times New Roman" w:eastAsia="Times New Roman" w:hAnsi="Times New Roman" w:cs="Times New Roman"/>
          <w:color w:val="222222"/>
          <w:sz w:val="24"/>
          <w:szCs w:val="24"/>
          <w:highlight w:val="white"/>
          <w:lang w:val="en-GB"/>
        </w:rPr>
        <w:t>Kalinichenko</w:t>
      </w:r>
      <w:proofErr w:type="spellEnd"/>
      <w:r w:rsidRPr="00FB56DB">
        <w:rPr>
          <w:rFonts w:ascii="Times New Roman" w:eastAsia="Times New Roman" w:hAnsi="Times New Roman" w:cs="Times New Roman"/>
          <w:color w:val="222222"/>
          <w:sz w:val="24"/>
          <w:szCs w:val="24"/>
          <w:highlight w:val="white"/>
          <w:lang w:val="en-GB"/>
        </w:rPr>
        <w:t xml:space="preserve">, S. and </w:t>
      </w:r>
      <w:proofErr w:type="spellStart"/>
      <w:r w:rsidRPr="00FB56DB">
        <w:rPr>
          <w:rFonts w:ascii="Times New Roman" w:eastAsia="Times New Roman" w:hAnsi="Times New Roman" w:cs="Times New Roman"/>
          <w:color w:val="222222"/>
          <w:sz w:val="24"/>
          <w:szCs w:val="24"/>
          <w:highlight w:val="white"/>
          <w:lang w:val="en-GB"/>
        </w:rPr>
        <w:t>Tokmakova</w:t>
      </w:r>
      <w:proofErr w:type="spellEnd"/>
      <w:r w:rsidRPr="00FB56DB">
        <w:rPr>
          <w:rFonts w:ascii="Times New Roman" w:eastAsia="Times New Roman" w:hAnsi="Times New Roman" w:cs="Times New Roman"/>
          <w:color w:val="222222"/>
          <w:sz w:val="24"/>
          <w:szCs w:val="24"/>
          <w:highlight w:val="white"/>
          <w:lang w:val="en-GB"/>
        </w:rPr>
        <w:t xml:space="preserve">, I. (2021). Business restructuring as a method of </w:t>
      </w:r>
      <w:proofErr w:type="spellStart"/>
      <w:r w:rsidRPr="00FB56DB">
        <w:rPr>
          <w:rFonts w:ascii="Times New Roman" w:eastAsia="Times New Roman" w:hAnsi="Times New Roman" w:cs="Times New Roman"/>
          <w:color w:val="222222"/>
          <w:sz w:val="24"/>
          <w:szCs w:val="24"/>
          <w:highlight w:val="white"/>
          <w:lang w:val="en-GB"/>
        </w:rPr>
        <w:t>strengtening</w:t>
      </w:r>
      <w:proofErr w:type="spellEnd"/>
      <w:r w:rsidRPr="00FB56DB">
        <w:rPr>
          <w:rFonts w:ascii="Times New Roman" w:eastAsia="Times New Roman" w:hAnsi="Times New Roman" w:cs="Times New Roman"/>
          <w:color w:val="222222"/>
          <w:sz w:val="24"/>
          <w:szCs w:val="24"/>
          <w:highlight w:val="white"/>
          <w:lang w:val="en-GB"/>
        </w:rPr>
        <w:t xml:space="preserve"> company’s financial position. </w:t>
      </w:r>
      <w:r w:rsidRPr="00FB56DB">
        <w:rPr>
          <w:rFonts w:ascii="Times New Roman" w:eastAsia="Times New Roman" w:hAnsi="Times New Roman" w:cs="Times New Roman"/>
          <w:i/>
          <w:color w:val="222222"/>
          <w:sz w:val="24"/>
          <w:szCs w:val="24"/>
          <w:highlight w:val="white"/>
          <w:lang w:val="en-GB"/>
        </w:rPr>
        <w:t>Journal of Optimization in Industrial Engineering</w:t>
      </w:r>
      <w:r w:rsidRPr="00FB56DB">
        <w:rPr>
          <w:rFonts w:ascii="Times New Roman" w:eastAsia="Times New Roman" w:hAnsi="Times New Roman" w:cs="Times New Roman"/>
          <w:color w:val="222222"/>
          <w:sz w:val="24"/>
          <w:szCs w:val="24"/>
          <w:highlight w:val="white"/>
          <w:lang w:val="en-GB"/>
        </w:rPr>
        <w:t xml:space="preserve">, </w:t>
      </w:r>
      <w:r w:rsidRPr="00FB56DB">
        <w:rPr>
          <w:rFonts w:ascii="Times New Roman" w:eastAsia="Times New Roman" w:hAnsi="Times New Roman" w:cs="Times New Roman"/>
          <w:i/>
          <w:color w:val="222222"/>
          <w:sz w:val="24"/>
          <w:szCs w:val="24"/>
          <w:highlight w:val="white"/>
          <w:lang w:val="en-GB"/>
        </w:rPr>
        <w:t>14</w:t>
      </w:r>
      <w:r w:rsidRPr="00FB56DB">
        <w:rPr>
          <w:rFonts w:ascii="Times New Roman" w:eastAsia="Times New Roman" w:hAnsi="Times New Roman" w:cs="Times New Roman"/>
          <w:color w:val="222222"/>
          <w:sz w:val="24"/>
          <w:szCs w:val="24"/>
          <w:highlight w:val="white"/>
          <w:lang w:val="en-GB"/>
        </w:rPr>
        <w:t>(Special Issue), pp.105-115.</w:t>
      </w:r>
    </w:p>
    <w:p w14:paraId="64407803" w14:textId="77777777" w:rsidR="00571693" w:rsidRPr="00FB56DB" w:rsidRDefault="00571693" w:rsidP="00571693">
      <w:pPr>
        <w:pStyle w:val="Normal1"/>
        <w:spacing w:before="240" w:after="200"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color w:val="222222"/>
          <w:sz w:val="24"/>
          <w:szCs w:val="24"/>
          <w:highlight w:val="white"/>
          <w:lang w:val="en-GB"/>
        </w:rPr>
        <w:t xml:space="preserve">Munsanje, A.N. (2021). </w:t>
      </w:r>
      <w:r w:rsidRPr="00571693">
        <w:rPr>
          <w:rFonts w:ascii="Times New Roman" w:eastAsia="Times New Roman" w:hAnsi="Times New Roman" w:cs="Times New Roman"/>
          <w:i/>
          <w:iCs/>
          <w:color w:val="222222"/>
          <w:sz w:val="24"/>
          <w:szCs w:val="24"/>
          <w:highlight w:val="white"/>
          <w:lang w:val="en-GB"/>
        </w:rPr>
        <w:t xml:space="preserve">The performance of non-core property assets held by a </w:t>
      </w:r>
      <w:proofErr w:type="gramStart"/>
      <w:r w:rsidRPr="00571693">
        <w:rPr>
          <w:rFonts w:ascii="Times New Roman" w:eastAsia="Times New Roman" w:hAnsi="Times New Roman" w:cs="Times New Roman"/>
          <w:i/>
          <w:iCs/>
          <w:color w:val="222222"/>
          <w:sz w:val="24"/>
          <w:szCs w:val="24"/>
          <w:highlight w:val="white"/>
          <w:lang w:val="en-GB"/>
        </w:rPr>
        <w:t>state owned</w:t>
      </w:r>
      <w:proofErr w:type="gramEnd"/>
      <w:r w:rsidRPr="00571693">
        <w:rPr>
          <w:rFonts w:ascii="Times New Roman" w:eastAsia="Times New Roman" w:hAnsi="Times New Roman" w:cs="Times New Roman"/>
          <w:i/>
          <w:iCs/>
          <w:color w:val="222222"/>
          <w:sz w:val="24"/>
          <w:szCs w:val="24"/>
          <w:highlight w:val="white"/>
          <w:lang w:val="en-GB"/>
        </w:rPr>
        <w:t xml:space="preserve"> enterprise: a case study of Transnet</w:t>
      </w:r>
      <w:r w:rsidRPr="00FB56DB">
        <w:rPr>
          <w:rFonts w:ascii="Times New Roman" w:eastAsia="Times New Roman" w:hAnsi="Times New Roman" w:cs="Times New Roman"/>
          <w:color w:val="222222"/>
          <w:sz w:val="24"/>
          <w:szCs w:val="24"/>
          <w:highlight w:val="white"/>
          <w:lang w:val="en-GB"/>
        </w:rPr>
        <w:t>.</w:t>
      </w:r>
    </w:p>
    <w:p w14:paraId="1849090C" w14:textId="77777777" w:rsidR="00571693" w:rsidRPr="00FB56DB" w:rsidRDefault="00571693" w:rsidP="00571693">
      <w:pPr>
        <w:pStyle w:val="Normal1"/>
        <w:spacing w:before="240" w:after="200" w:line="360" w:lineRule="auto"/>
        <w:jc w:val="both"/>
        <w:rPr>
          <w:rFonts w:ascii="Times New Roman" w:eastAsia="Times New Roman" w:hAnsi="Times New Roman" w:cs="Times New Roman"/>
          <w:color w:val="222222"/>
          <w:sz w:val="24"/>
          <w:szCs w:val="24"/>
          <w:highlight w:val="white"/>
          <w:lang w:val="en-GB"/>
        </w:rPr>
      </w:pPr>
      <w:r w:rsidRPr="00FB56DB">
        <w:rPr>
          <w:rFonts w:ascii="Times New Roman" w:eastAsia="Times New Roman" w:hAnsi="Times New Roman" w:cs="Times New Roman"/>
          <w:color w:val="222222"/>
          <w:sz w:val="24"/>
          <w:szCs w:val="24"/>
          <w:highlight w:val="white"/>
          <w:lang w:val="en-GB"/>
        </w:rPr>
        <w:t xml:space="preserve">Rajendran, H.R., Kassim, A.A.M. and Ahmad, A. (2023). The Effect of Risk Management on the Financial Performances Among Hospitality and Tourism Companies in Malaysia. </w:t>
      </w:r>
      <w:r w:rsidRPr="00FB56DB">
        <w:rPr>
          <w:rFonts w:ascii="Times New Roman" w:eastAsia="Times New Roman" w:hAnsi="Times New Roman" w:cs="Times New Roman"/>
          <w:i/>
          <w:color w:val="222222"/>
          <w:sz w:val="24"/>
          <w:szCs w:val="24"/>
          <w:highlight w:val="white"/>
          <w:lang w:val="en-GB"/>
        </w:rPr>
        <w:t>International Journal of Professional Business Review</w:t>
      </w:r>
      <w:r w:rsidRPr="00FB56DB">
        <w:rPr>
          <w:rFonts w:ascii="Times New Roman" w:eastAsia="Times New Roman" w:hAnsi="Times New Roman" w:cs="Times New Roman"/>
          <w:color w:val="222222"/>
          <w:sz w:val="24"/>
          <w:szCs w:val="24"/>
          <w:highlight w:val="white"/>
          <w:lang w:val="en-GB"/>
        </w:rPr>
        <w:t xml:space="preserve">, </w:t>
      </w:r>
      <w:r w:rsidRPr="00FB56DB">
        <w:rPr>
          <w:rFonts w:ascii="Times New Roman" w:eastAsia="Times New Roman" w:hAnsi="Times New Roman" w:cs="Times New Roman"/>
          <w:i/>
          <w:color w:val="222222"/>
          <w:sz w:val="24"/>
          <w:szCs w:val="24"/>
          <w:highlight w:val="white"/>
          <w:lang w:val="en-GB"/>
        </w:rPr>
        <w:t>8</w:t>
      </w:r>
      <w:r w:rsidRPr="00FB56DB">
        <w:rPr>
          <w:rFonts w:ascii="Times New Roman" w:eastAsia="Times New Roman" w:hAnsi="Times New Roman" w:cs="Times New Roman"/>
          <w:color w:val="222222"/>
          <w:sz w:val="24"/>
          <w:szCs w:val="24"/>
          <w:highlight w:val="white"/>
          <w:lang w:val="en-GB"/>
        </w:rPr>
        <w:t>(9), pp.e03490-e03490.</w:t>
      </w:r>
    </w:p>
    <w:p w14:paraId="44ECD1CC" w14:textId="77777777" w:rsidR="00571693" w:rsidRPr="00FB56DB" w:rsidRDefault="00571693" w:rsidP="00571693">
      <w:pPr>
        <w:pStyle w:val="Normal1"/>
        <w:spacing w:before="240"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 xml:space="preserve">Seal W (2019) (6th Ed) </w:t>
      </w:r>
      <w:r w:rsidRPr="00571693">
        <w:rPr>
          <w:rFonts w:ascii="Times New Roman" w:eastAsia="Times New Roman" w:hAnsi="Times New Roman" w:cs="Times New Roman"/>
          <w:i/>
          <w:iCs/>
          <w:sz w:val="24"/>
          <w:szCs w:val="24"/>
          <w:lang w:val="en-GB"/>
        </w:rPr>
        <w:t>Management Accounting</w:t>
      </w:r>
      <w:r w:rsidRPr="00FB56DB">
        <w:rPr>
          <w:rFonts w:ascii="Times New Roman" w:eastAsia="Times New Roman" w:hAnsi="Times New Roman" w:cs="Times New Roman"/>
          <w:sz w:val="24"/>
          <w:szCs w:val="24"/>
          <w:lang w:val="en-GB"/>
        </w:rPr>
        <w:t>, London, McGraw Hill.</w:t>
      </w:r>
    </w:p>
    <w:p w14:paraId="4C39610A" w14:textId="77777777" w:rsidR="00571693" w:rsidRPr="00FB56DB" w:rsidRDefault="00571693" w:rsidP="00571693">
      <w:pPr>
        <w:pStyle w:val="Normal1"/>
        <w:spacing w:before="240"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Seal W, Garrison RH, Noreen E (2008) Management Accounting, McGraw Hill.</w:t>
      </w:r>
    </w:p>
    <w:p w14:paraId="504CA5FB" w14:textId="77777777" w:rsidR="00571693" w:rsidRPr="00FB56DB" w:rsidRDefault="00571693" w:rsidP="00571693">
      <w:pPr>
        <w:pStyle w:val="Normal1"/>
        <w:spacing w:before="240" w:after="200" w:line="360" w:lineRule="auto"/>
        <w:jc w:val="both"/>
        <w:rPr>
          <w:rFonts w:ascii="Times New Roman" w:eastAsia="Times New Roman" w:hAnsi="Times New Roman" w:cs="Times New Roman"/>
          <w:color w:val="222222"/>
          <w:sz w:val="24"/>
          <w:szCs w:val="24"/>
          <w:highlight w:val="white"/>
          <w:lang w:val="en-GB"/>
        </w:rPr>
      </w:pPr>
      <w:proofErr w:type="spellStart"/>
      <w:r w:rsidRPr="00FB56DB">
        <w:rPr>
          <w:rFonts w:ascii="Times New Roman" w:eastAsia="Times New Roman" w:hAnsi="Times New Roman" w:cs="Times New Roman"/>
          <w:color w:val="222222"/>
          <w:sz w:val="24"/>
          <w:szCs w:val="24"/>
          <w:highlight w:val="white"/>
          <w:lang w:val="en-GB"/>
        </w:rPr>
        <w:t>Shygun</w:t>
      </w:r>
      <w:proofErr w:type="spellEnd"/>
      <w:r w:rsidRPr="00FB56DB">
        <w:rPr>
          <w:rFonts w:ascii="Times New Roman" w:eastAsia="Times New Roman" w:hAnsi="Times New Roman" w:cs="Times New Roman"/>
          <w:color w:val="222222"/>
          <w:sz w:val="24"/>
          <w:szCs w:val="24"/>
          <w:highlight w:val="white"/>
          <w:lang w:val="en-GB"/>
        </w:rPr>
        <w:t xml:space="preserve">, M., Ostapyuk, N., </w:t>
      </w:r>
      <w:proofErr w:type="spellStart"/>
      <w:r w:rsidRPr="00FB56DB">
        <w:rPr>
          <w:rFonts w:ascii="Times New Roman" w:eastAsia="Times New Roman" w:hAnsi="Times New Roman" w:cs="Times New Roman"/>
          <w:color w:val="222222"/>
          <w:sz w:val="24"/>
          <w:szCs w:val="24"/>
          <w:highlight w:val="white"/>
          <w:lang w:val="en-GB"/>
        </w:rPr>
        <w:t>Zayachkivska</w:t>
      </w:r>
      <w:proofErr w:type="spellEnd"/>
      <w:r w:rsidRPr="00FB56DB">
        <w:rPr>
          <w:rFonts w:ascii="Times New Roman" w:eastAsia="Times New Roman" w:hAnsi="Times New Roman" w:cs="Times New Roman"/>
          <w:color w:val="222222"/>
          <w:sz w:val="24"/>
          <w:szCs w:val="24"/>
          <w:highlight w:val="white"/>
          <w:lang w:val="en-GB"/>
        </w:rPr>
        <w:t xml:space="preserve">, O. and </w:t>
      </w:r>
      <w:proofErr w:type="spellStart"/>
      <w:r w:rsidRPr="00FB56DB">
        <w:rPr>
          <w:rFonts w:ascii="Times New Roman" w:eastAsia="Times New Roman" w:hAnsi="Times New Roman" w:cs="Times New Roman"/>
          <w:color w:val="222222"/>
          <w:sz w:val="24"/>
          <w:szCs w:val="24"/>
          <w:highlight w:val="white"/>
          <w:lang w:val="en-GB"/>
        </w:rPr>
        <w:t>Goilo</w:t>
      </w:r>
      <w:proofErr w:type="spellEnd"/>
      <w:r w:rsidRPr="00FB56DB">
        <w:rPr>
          <w:rFonts w:ascii="Times New Roman" w:eastAsia="Times New Roman" w:hAnsi="Times New Roman" w:cs="Times New Roman"/>
          <w:color w:val="222222"/>
          <w:sz w:val="24"/>
          <w:szCs w:val="24"/>
          <w:highlight w:val="white"/>
          <w:lang w:val="en-GB"/>
        </w:rPr>
        <w:t>, N. (2020). The influence of the classification of non-current assets as holding for sales on the liquidity of the company’s balance sheet.</w:t>
      </w:r>
    </w:p>
    <w:p w14:paraId="278876DC" w14:textId="77777777" w:rsidR="00571693" w:rsidRPr="00FB56DB" w:rsidRDefault="00571693" w:rsidP="00571693">
      <w:pPr>
        <w:pStyle w:val="Normal1"/>
        <w:spacing w:before="240" w:line="360" w:lineRule="auto"/>
        <w:jc w:val="both"/>
        <w:rPr>
          <w:rFonts w:ascii="Times New Roman" w:eastAsia="Times New Roman" w:hAnsi="Times New Roman" w:cs="Times New Roman"/>
          <w:sz w:val="24"/>
          <w:szCs w:val="24"/>
          <w:lang w:val="en-GB"/>
        </w:rPr>
      </w:pPr>
      <w:proofErr w:type="spellStart"/>
      <w:r w:rsidRPr="00FB56DB">
        <w:rPr>
          <w:rFonts w:ascii="Times New Roman" w:eastAsia="Times New Roman" w:hAnsi="Times New Roman" w:cs="Times New Roman"/>
          <w:sz w:val="24"/>
          <w:szCs w:val="24"/>
          <w:lang w:val="en-GB"/>
        </w:rPr>
        <w:t>Tranter,K</w:t>
      </w:r>
      <w:proofErr w:type="spellEnd"/>
      <w:r w:rsidRPr="00FB56DB">
        <w:rPr>
          <w:rFonts w:ascii="Times New Roman" w:eastAsia="Times New Roman" w:hAnsi="Times New Roman" w:cs="Times New Roman"/>
          <w:sz w:val="24"/>
          <w:szCs w:val="24"/>
          <w:lang w:val="en-GB"/>
        </w:rPr>
        <w:t>. Stuart-</w:t>
      </w:r>
      <w:proofErr w:type="spellStart"/>
      <w:r w:rsidRPr="00FB56DB">
        <w:rPr>
          <w:rFonts w:ascii="Times New Roman" w:eastAsia="Times New Roman" w:hAnsi="Times New Roman" w:cs="Times New Roman"/>
          <w:sz w:val="24"/>
          <w:szCs w:val="24"/>
          <w:lang w:val="en-GB"/>
        </w:rPr>
        <w:t>Hill,T</w:t>
      </w:r>
      <w:proofErr w:type="spellEnd"/>
      <w:r w:rsidRPr="00FB56DB">
        <w:rPr>
          <w:rFonts w:ascii="Times New Roman" w:eastAsia="Times New Roman" w:hAnsi="Times New Roman" w:cs="Times New Roman"/>
          <w:sz w:val="24"/>
          <w:szCs w:val="24"/>
          <w:lang w:val="en-GB"/>
        </w:rPr>
        <w:t xml:space="preserve">. </w:t>
      </w:r>
      <w:proofErr w:type="spellStart"/>
      <w:r w:rsidRPr="00FB56DB">
        <w:rPr>
          <w:rFonts w:ascii="Times New Roman" w:eastAsia="Times New Roman" w:hAnsi="Times New Roman" w:cs="Times New Roman"/>
          <w:sz w:val="24"/>
          <w:szCs w:val="24"/>
          <w:lang w:val="en-GB"/>
        </w:rPr>
        <w:t>Parker,J</w:t>
      </w:r>
      <w:proofErr w:type="spellEnd"/>
      <w:r w:rsidRPr="00FB56DB">
        <w:rPr>
          <w:rFonts w:ascii="Times New Roman" w:eastAsia="Times New Roman" w:hAnsi="Times New Roman" w:cs="Times New Roman"/>
          <w:sz w:val="24"/>
          <w:szCs w:val="24"/>
          <w:lang w:val="en-GB"/>
        </w:rPr>
        <w:t>. (2014) Introduction to Revenue Management for the Hospitality Industry, London, Pearson.</w:t>
      </w:r>
    </w:p>
    <w:p w14:paraId="3944A63F" w14:textId="77777777" w:rsidR="00571693" w:rsidRPr="00FB56DB" w:rsidRDefault="00571693" w:rsidP="00571693">
      <w:pPr>
        <w:pStyle w:val="Normal1"/>
        <w:spacing w:before="240"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t>Walker J (2021) Introduction to Hospitality, Harlow, Pearson.</w:t>
      </w:r>
    </w:p>
    <w:p w14:paraId="19AA8DF0" w14:textId="77777777" w:rsidR="00571693" w:rsidRPr="00FB56DB" w:rsidRDefault="00571693" w:rsidP="00571693">
      <w:pPr>
        <w:pStyle w:val="Normal1"/>
        <w:spacing w:before="240" w:line="360" w:lineRule="auto"/>
        <w:jc w:val="both"/>
        <w:rPr>
          <w:rFonts w:ascii="Times New Roman" w:eastAsia="Times New Roman" w:hAnsi="Times New Roman" w:cs="Times New Roman"/>
          <w:sz w:val="24"/>
          <w:szCs w:val="24"/>
          <w:lang w:val="en-GB"/>
        </w:rPr>
      </w:pPr>
      <w:r w:rsidRPr="00FB56DB">
        <w:rPr>
          <w:rFonts w:ascii="Times New Roman" w:eastAsia="Times New Roman" w:hAnsi="Times New Roman" w:cs="Times New Roman"/>
          <w:sz w:val="24"/>
          <w:szCs w:val="24"/>
          <w:lang w:val="en-GB"/>
        </w:rPr>
        <w:lastRenderedPageBreak/>
        <w:t>Wild J (2018) Fundamental Accounting Principles, New York, McGraw Hill.</w:t>
      </w:r>
    </w:p>
    <w:p w14:paraId="3F13FBDE" w14:textId="77777777" w:rsidR="00571693" w:rsidRPr="00FB56DB" w:rsidRDefault="00571693" w:rsidP="00571693">
      <w:pPr>
        <w:pStyle w:val="Normal1"/>
        <w:spacing w:before="240" w:after="200" w:line="360" w:lineRule="auto"/>
        <w:jc w:val="both"/>
        <w:rPr>
          <w:rFonts w:ascii="Times New Roman" w:eastAsia="Times New Roman" w:hAnsi="Times New Roman" w:cs="Times New Roman"/>
          <w:color w:val="222222"/>
          <w:sz w:val="24"/>
          <w:szCs w:val="24"/>
          <w:highlight w:val="white"/>
          <w:lang w:val="en-GB"/>
        </w:rPr>
      </w:pPr>
      <w:proofErr w:type="spellStart"/>
      <w:r w:rsidRPr="00FB56DB">
        <w:rPr>
          <w:rFonts w:ascii="Times New Roman" w:eastAsia="Times New Roman" w:hAnsi="Times New Roman" w:cs="Times New Roman"/>
          <w:color w:val="222222"/>
          <w:sz w:val="24"/>
          <w:szCs w:val="24"/>
          <w:highlight w:val="white"/>
          <w:lang w:val="en-GB"/>
        </w:rPr>
        <w:t>Yiu</w:t>
      </w:r>
      <w:proofErr w:type="spellEnd"/>
      <w:r w:rsidRPr="00FB56DB">
        <w:rPr>
          <w:rFonts w:ascii="Times New Roman" w:eastAsia="Times New Roman" w:hAnsi="Times New Roman" w:cs="Times New Roman"/>
          <w:color w:val="222222"/>
          <w:sz w:val="24"/>
          <w:szCs w:val="24"/>
          <w:highlight w:val="white"/>
          <w:lang w:val="en-GB"/>
        </w:rPr>
        <w:t xml:space="preserve">, L.D., Lam, H.K., Yeung, A.C. and Cheng, T.C.E. (2020). Enhancing the financial returns of R&amp;D investments through operations management. </w:t>
      </w:r>
      <w:r w:rsidRPr="00FB56DB">
        <w:rPr>
          <w:rFonts w:ascii="Times New Roman" w:eastAsia="Times New Roman" w:hAnsi="Times New Roman" w:cs="Times New Roman"/>
          <w:i/>
          <w:color w:val="222222"/>
          <w:sz w:val="24"/>
          <w:szCs w:val="24"/>
          <w:highlight w:val="white"/>
          <w:lang w:val="en-GB"/>
        </w:rPr>
        <w:t>Production and Operations Management</w:t>
      </w:r>
      <w:r w:rsidRPr="00FB56DB">
        <w:rPr>
          <w:rFonts w:ascii="Times New Roman" w:eastAsia="Times New Roman" w:hAnsi="Times New Roman" w:cs="Times New Roman"/>
          <w:color w:val="222222"/>
          <w:sz w:val="24"/>
          <w:szCs w:val="24"/>
          <w:highlight w:val="white"/>
          <w:lang w:val="en-GB"/>
        </w:rPr>
        <w:t xml:space="preserve">, </w:t>
      </w:r>
      <w:r w:rsidRPr="00FB56DB">
        <w:rPr>
          <w:rFonts w:ascii="Times New Roman" w:eastAsia="Times New Roman" w:hAnsi="Times New Roman" w:cs="Times New Roman"/>
          <w:i/>
          <w:color w:val="222222"/>
          <w:sz w:val="24"/>
          <w:szCs w:val="24"/>
          <w:highlight w:val="white"/>
          <w:lang w:val="en-GB"/>
        </w:rPr>
        <w:t>29</w:t>
      </w:r>
      <w:r w:rsidRPr="00FB56DB">
        <w:rPr>
          <w:rFonts w:ascii="Times New Roman" w:eastAsia="Times New Roman" w:hAnsi="Times New Roman" w:cs="Times New Roman"/>
          <w:color w:val="222222"/>
          <w:sz w:val="24"/>
          <w:szCs w:val="24"/>
          <w:highlight w:val="white"/>
          <w:lang w:val="en-GB"/>
        </w:rPr>
        <w:t>(7), pp.1658-1678.</w:t>
      </w:r>
    </w:p>
    <w:sectPr w:rsidR="00571693" w:rsidRPr="00FB56DB" w:rsidSect="002D4287">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F30BF9" w14:textId="77777777" w:rsidR="00D65D8A" w:rsidRDefault="00D65D8A" w:rsidP="002D4287">
      <w:pPr>
        <w:spacing w:line="240" w:lineRule="auto"/>
      </w:pPr>
      <w:r>
        <w:separator/>
      </w:r>
    </w:p>
  </w:endnote>
  <w:endnote w:type="continuationSeparator" w:id="0">
    <w:p w14:paraId="364F10F8" w14:textId="77777777" w:rsidR="00D65D8A" w:rsidRDefault="00D65D8A" w:rsidP="002D42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685941"/>
      <w:docPartObj>
        <w:docPartGallery w:val="Page Numbers (Bottom of Page)"/>
        <w:docPartUnique/>
      </w:docPartObj>
    </w:sdtPr>
    <w:sdtContent>
      <w:p w14:paraId="08CA5CBC" w14:textId="77777777" w:rsidR="002D4287" w:rsidRDefault="002D4287">
        <w:pPr>
          <w:pStyle w:val="Footer"/>
          <w:jc w:val="right"/>
        </w:pPr>
        <w:r w:rsidRPr="002D4287">
          <w:rPr>
            <w:rFonts w:ascii="Times New Roman" w:hAnsi="Times New Roman" w:cs="Times New Roman"/>
            <w:sz w:val="24"/>
            <w:szCs w:val="24"/>
          </w:rPr>
          <w:t xml:space="preserve">Page | </w:t>
        </w:r>
        <w:r w:rsidR="006A3285" w:rsidRPr="002D4287">
          <w:rPr>
            <w:rFonts w:ascii="Times New Roman" w:hAnsi="Times New Roman" w:cs="Times New Roman"/>
            <w:sz w:val="24"/>
            <w:szCs w:val="24"/>
          </w:rPr>
          <w:fldChar w:fldCharType="begin"/>
        </w:r>
        <w:r w:rsidRPr="002D4287">
          <w:rPr>
            <w:rFonts w:ascii="Times New Roman" w:hAnsi="Times New Roman" w:cs="Times New Roman"/>
            <w:sz w:val="24"/>
            <w:szCs w:val="24"/>
          </w:rPr>
          <w:instrText xml:space="preserve"> PAGE   \* MERGEFORMAT </w:instrText>
        </w:r>
        <w:r w:rsidR="006A3285" w:rsidRPr="002D4287">
          <w:rPr>
            <w:rFonts w:ascii="Times New Roman" w:hAnsi="Times New Roman" w:cs="Times New Roman"/>
            <w:sz w:val="24"/>
            <w:szCs w:val="24"/>
          </w:rPr>
          <w:fldChar w:fldCharType="separate"/>
        </w:r>
        <w:r w:rsidR="000270E4">
          <w:rPr>
            <w:rFonts w:ascii="Times New Roman" w:hAnsi="Times New Roman" w:cs="Times New Roman"/>
            <w:noProof/>
            <w:sz w:val="24"/>
            <w:szCs w:val="24"/>
          </w:rPr>
          <w:t>5</w:t>
        </w:r>
        <w:r w:rsidR="006A3285" w:rsidRPr="002D4287">
          <w:rPr>
            <w:rFonts w:ascii="Times New Roman" w:hAnsi="Times New Roman" w:cs="Times New Roman"/>
            <w:sz w:val="24"/>
            <w:szCs w:val="24"/>
          </w:rPr>
          <w:fldChar w:fldCharType="end"/>
        </w:r>
        <w:r>
          <w:t xml:space="preserve"> </w:t>
        </w:r>
      </w:p>
    </w:sdtContent>
  </w:sdt>
  <w:p w14:paraId="56544E78" w14:textId="77777777" w:rsidR="002D4287" w:rsidRDefault="002D42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188756" w14:textId="77777777" w:rsidR="00D65D8A" w:rsidRDefault="00D65D8A" w:rsidP="002D4287">
      <w:pPr>
        <w:spacing w:line="240" w:lineRule="auto"/>
      </w:pPr>
      <w:r>
        <w:separator/>
      </w:r>
    </w:p>
  </w:footnote>
  <w:footnote w:type="continuationSeparator" w:id="0">
    <w:p w14:paraId="699E73BB" w14:textId="77777777" w:rsidR="00D65D8A" w:rsidRDefault="00D65D8A" w:rsidP="002D428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FA34217"/>
    <w:multiLevelType w:val="hybridMultilevel"/>
    <w:tmpl w:val="6CA0BB7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90902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9F4"/>
    <w:rsid w:val="00014EB1"/>
    <w:rsid w:val="000270E4"/>
    <w:rsid w:val="00056521"/>
    <w:rsid w:val="0012122D"/>
    <w:rsid w:val="00251310"/>
    <w:rsid w:val="002D4287"/>
    <w:rsid w:val="00374917"/>
    <w:rsid w:val="005160FD"/>
    <w:rsid w:val="00571693"/>
    <w:rsid w:val="00575895"/>
    <w:rsid w:val="005F7B24"/>
    <w:rsid w:val="006A3285"/>
    <w:rsid w:val="00760DE3"/>
    <w:rsid w:val="007662B8"/>
    <w:rsid w:val="007755A6"/>
    <w:rsid w:val="007969F4"/>
    <w:rsid w:val="007B1277"/>
    <w:rsid w:val="00B44323"/>
    <w:rsid w:val="00BE597A"/>
    <w:rsid w:val="00CB4C4C"/>
    <w:rsid w:val="00D153CB"/>
    <w:rsid w:val="00D25BEB"/>
    <w:rsid w:val="00D65D8A"/>
    <w:rsid w:val="00DD376F"/>
    <w:rsid w:val="00F9455C"/>
    <w:rsid w:val="00FB56DB"/>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94A92"/>
  <w15:docId w15:val="{E4B3CC00-E589-F948-8D2C-3E874267B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DE3"/>
  </w:style>
  <w:style w:type="paragraph" w:styleId="Heading1">
    <w:name w:val="heading 1"/>
    <w:basedOn w:val="Normal1"/>
    <w:next w:val="Normal1"/>
    <w:rsid w:val="007969F4"/>
    <w:pPr>
      <w:keepNext/>
      <w:keepLines/>
      <w:spacing w:line="360" w:lineRule="auto"/>
      <w:outlineLvl w:val="0"/>
    </w:pPr>
    <w:rPr>
      <w:rFonts w:ascii="Times New Roman" w:eastAsia="Times New Roman" w:hAnsi="Times New Roman" w:cs="Times New Roman"/>
      <w:b/>
      <w:sz w:val="24"/>
      <w:szCs w:val="24"/>
    </w:rPr>
  </w:style>
  <w:style w:type="paragraph" w:styleId="Heading2">
    <w:name w:val="heading 2"/>
    <w:basedOn w:val="Normal1"/>
    <w:next w:val="Normal1"/>
    <w:rsid w:val="007969F4"/>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7969F4"/>
    <w:pPr>
      <w:keepNext/>
      <w:keepLines/>
      <w:spacing w:before="320" w:after="80"/>
      <w:outlineLvl w:val="2"/>
    </w:pPr>
    <w:rPr>
      <w:color w:val="434343"/>
      <w:sz w:val="28"/>
      <w:szCs w:val="28"/>
    </w:rPr>
  </w:style>
  <w:style w:type="paragraph" w:styleId="Heading4">
    <w:name w:val="heading 4"/>
    <w:basedOn w:val="Normal1"/>
    <w:next w:val="Normal1"/>
    <w:rsid w:val="007969F4"/>
    <w:pPr>
      <w:keepNext/>
      <w:keepLines/>
      <w:spacing w:before="280" w:after="80"/>
      <w:outlineLvl w:val="3"/>
    </w:pPr>
    <w:rPr>
      <w:color w:val="666666"/>
      <w:sz w:val="24"/>
      <w:szCs w:val="24"/>
    </w:rPr>
  </w:style>
  <w:style w:type="paragraph" w:styleId="Heading5">
    <w:name w:val="heading 5"/>
    <w:basedOn w:val="Normal1"/>
    <w:next w:val="Normal1"/>
    <w:rsid w:val="007969F4"/>
    <w:pPr>
      <w:keepNext/>
      <w:keepLines/>
      <w:spacing w:before="240" w:after="80"/>
      <w:outlineLvl w:val="4"/>
    </w:pPr>
    <w:rPr>
      <w:color w:val="666666"/>
    </w:rPr>
  </w:style>
  <w:style w:type="paragraph" w:styleId="Heading6">
    <w:name w:val="heading 6"/>
    <w:basedOn w:val="Normal1"/>
    <w:next w:val="Normal1"/>
    <w:rsid w:val="007969F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969F4"/>
  </w:style>
  <w:style w:type="paragraph" w:styleId="Title">
    <w:name w:val="Title"/>
    <w:basedOn w:val="Normal1"/>
    <w:next w:val="Normal1"/>
    <w:rsid w:val="007969F4"/>
    <w:pPr>
      <w:keepNext/>
      <w:keepLines/>
      <w:spacing w:after="60"/>
    </w:pPr>
    <w:rPr>
      <w:sz w:val="52"/>
      <w:szCs w:val="52"/>
    </w:rPr>
  </w:style>
  <w:style w:type="paragraph" w:styleId="Subtitle">
    <w:name w:val="Subtitle"/>
    <w:basedOn w:val="Normal1"/>
    <w:next w:val="Normal1"/>
    <w:rsid w:val="007969F4"/>
    <w:pPr>
      <w:keepNext/>
      <w:keepLines/>
      <w:spacing w:after="320"/>
    </w:pPr>
    <w:rPr>
      <w:color w:val="666666"/>
      <w:sz w:val="30"/>
      <w:szCs w:val="30"/>
    </w:rPr>
  </w:style>
  <w:style w:type="table" w:customStyle="1" w:styleId="a">
    <w:basedOn w:val="TableNormal"/>
    <w:rsid w:val="007969F4"/>
    <w:tblPr>
      <w:tblStyleRowBandSize w:val="1"/>
      <w:tblStyleColBandSize w:val="1"/>
      <w:tblCellMar>
        <w:top w:w="100" w:type="dxa"/>
        <w:left w:w="100" w:type="dxa"/>
        <w:bottom w:w="100" w:type="dxa"/>
        <w:right w:w="100" w:type="dxa"/>
      </w:tblCellMar>
    </w:tblPr>
  </w:style>
  <w:style w:type="table" w:customStyle="1" w:styleId="a0">
    <w:basedOn w:val="TableNormal"/>
    <w:rsid w:val="007969F4"/>
    <w:tblPr>
      <w:tblStyleRowBandSize w:val="1"/>
      <w:tblStyleColBandSize w:val="1"/>
      <w:tblCellMar>
        <w:top w:w="100" w:type="dxa"/>
        <w:left w:w="100" w:type="dxa"/>
        <w:bottom w:w="100" w:type="dxa"/>
        <w:right w:w="100" w:type="dxa"/>
      </w:tblCellMar>
    </w:tblPr>
  </w:style>
  <w:style w:type="table" w:customStyle="1" w:styleId="a1">
    <w:basedOn w:val="TableNormal"/>
    <w:rsid w:val="007969F4"/>
    <w:tblPr>
      <w:tblStyleRowBandSize w:val="1"/>
      <w:tblStyleColBandSize w:val="1"/>
      <w:tblCellMar>
        <w:top w:w="100" w:type="dxa"/>
        <w:left w:w="100" w:type="dxa"/>
        <w:bottom w:w="100" w:type="dxa"/>
        <w:right w:w="100" w:type="dxa"/>
      </w:tblCellMar>
    </w:tblPr>
  </w:style>
  <w:style w:type="table" w:customStyle="1" w:styleId="a2">
    <w:basedOn w:val="TableNormal"/>
    <w:rsid w:val="007969F4"/>
    <w:tblPr>
      <w:tblStyleRowBandSize w:val="1"/>
      <w:tblStyleColBandSize w:val="1"/>
      <w:tblCellMar>
        <w:top w:w="100" w:type="dxa"/>
        <w:left w:w="100" w:type="dxa"/>
        <w:bottom w:w="100" w:type="dxa"/>
        <w:right w:w="100" w:type="dxa"/>
      </w:tblCellMar>
    </w:tblPr>
  </w:style>
  <w:style w:type="table" w:customStyle="1" w:styleId="a3">
    <w:basedOn w:val="TableNormal"/>
    <w:rsid w:val="007969F4"/>
    <w:tblPr>
      <w:tblStyleRowBandSize w:val="1"/>
      <w:tblStyleColBandSize w:val="1"/>
      <w:tblCellMar>
        <w:top w:w="100" w:type="dxa"/>
        <w:left w:w="100" w:type="dxa"/>
        <w:bottom w:w="100" w:type="dxa"/>
        <w:right w:w="100" w:type="dxa"/>
      </w:tblCellMar>
    </w:tblPr>
  </w:style>
  <w:style w:type="table" w:customStyle="1" w:styleId="a4">
    <w:basedOn w:val="TableNormal"/>
    <w:rsid w:val="007969F4"/>
    <w:tblPr>
      <w:tblStyleRowBandSize w:val="1"/>
      <w:tblStyleColBandSize w:val="1"/>
      <w:tblCellMar>
        <w:top w:w="100" w:type="dxa"/>
        <w:left w:w="100" w:type="dxa"/>
        <w:bottom w:w="100" w:type="dxa"/>
        <w:right w:w="100" w:type="dxa"/>
      </w:tblCellMar>
    </w:tblPr>
  </w:style>
  <w:style w:type="table" w:customStyle="1" w:styleId="a5">
    <w:basedOn w:val="TableNormal"/>
    <w:rsid w:val="007969F4"/>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2D428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4287"/>
    <w:rPr>
      <w:rFonts w:ascii="Tahoma" w:hAnsi="Tahoma" w:cs="Tahoma"/>
      <w:sz w:val="16"/>
      <w:szCs w:val="16"/>
    </w:rPr>
  </w:style>
  <w:style w:type="paragraph" w:styleId="Header">
    <w:name w:val="header"/>
    <w:basedOn w:val="Normal"/>
    <w:link w:val="HeaderChar"/>
    <w:uiPriority w:val="99"/>
    <w:semiHidden/>
    <w:unhideWhenUsed/>
    <w:rsid w:val="002D4287"/>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2D4287"/>
  </w:style>
  <w:style w:type="paragraph" w:styleId="Footer">
    <w:name w:val="footer"/>
    <w:basedOn w:val="Normal"/>
    <w:link w:val="FooterChar"/>
    <w:uiPriority w:val="99"/>
    <w:unhideWhenUsed/>
    <w:rsid w:val="002D4287"/>
    <w:pPr>
      <w:tabs>
        <w:tab w:val="center" w:pos="4513"/>
        <w:tab w:val="right" w:pos="9026"/>
      </w:tabs>
      <w:spacing w:line="240" w:lineRule="auto"/>
    </w:pPr>
  </w:style>
  <w:style w:type="character" w:customStyle="1" w:styleId="FooterChar">
    <w:name w:val="Footer Char"/>
    <w:basedOn w:val="DefaultParagraphFont"/>
    <w:link w:val="Footer"/>
    <w:uiPriority w:val="99"/>
    <w:rsid w:val="002D4287"/>
  </w:style>
  <w:style w:type="paragraph" w:styleId="TOCHeading">
    <w:name w:val="TOC Heading"/>
    <w:basedOn w:val="Heading1"/>
    <w:next w:val="Normal"/>
    <w:uiPriority w:val="39"/>
    <w:semiHidden/>
    <w:unhideWhenUsed/>
    <w:qFormat/>
    <w:rsid w:val="002D4287"/>
    <w:pPr>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2D4287"/>
    <w:pPr>
      <w:spacing w:after="100"/>
    </w:pPr>
  </w:style>
  <w:style w:type="character" w:styleId="Hyperlink">
    <w:name w:val="Hyperlink"/>
    <w:basedOn w:val="DefaultParagraphFont"/>
    <w:uiPriority w:val="99"/>
    <w:unhideWhenUsed/>
    <w:rsid w:val="002D4287"/>
    <w:rPr>
      <w:color w:val="0000FF" w:themeColor="hyperlink"/>
      <w:u w:val="single"/>
    </w:rPr>
  </w:style>
  <w:style w:type="paragraph" w:styleId="TOC2">
    <w:name w:val="toc 2"/>
    <w:basedOn w:val="Normal"/>
    <w:next w:val="Normal"/>
    <w:autoRedefine/>
    <w:uiPriority w:val="39"/>
    <w:unhideWhenUsed/>
    <w:rsid w:val="002D428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C3314-83B3-445D-B563-8C291CA52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2540</Words>
  <Characters>14478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ricardo pita</dc:creator>
  <cp:lastModifiedBy>ricardo pita</cp:lastModifiedBy>
  <cp:revision>2</cp:revision>
  <dcterms:created xsi:type="dcterms:W3CDTF">2024-06-06T09:57:00Z</dcterms:created>
  <dcterms:modified xsi:type="dcterms:W3CDTF">2024-06-06T09:57:00Z</dcterms:modified>
</cp:coreProperties>
</file>