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200" w:line="276" w:lineRule="auto"/>
        <w:rPr/>
      </w:pPr>
      <w:r w:rsidDel="00000000" w:rsidR="00000000" w:rsidRPr="00000000">
        <w:rPr>
          <w:rtl w:val="0"/>
        </w:rPr>
        <w:t xml:space="preserve">This report will be focusing on the Sustainable Development Goals set up by the United Nations. It will be focusing in particular on Goal 16 - Peace, Justice and Institutions. In particular, it will be looking at the elements of by 2030, provide a legal identity for all, including birth registrations. Also, strengthen relevant national institutions, including through international cooperation, for building capacity at all levels, in particular in developing countries, to prevent violence and combat terrorism. Finally, to promote and enforce non-discriminatory laws and policies for sustainable development. </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200" w:line="276" w:lineRule="auto"/>
        <w:rPr/>
      </w:pPr>
      <w:r w:rsidDel="00000000" w:rsidR="00000000" w:rsidRPr="00000000">
        <w:rPr>
          <w:rtl w:val="0"/>
        </w:rPr>
        <w:t xml:space="preserve">According to the United Nations (2020), in September 2015, the General Assembly of the United Nations established the 2030 Agenda for Sustainable Development that incorporates 17 Sustainable Development Goals. These focus on the belief of leaving no one behind, and the new agenda features a strategy to obtain sustainable development for all. The Suitable Development Goals also incorporate disability and individuals with disabilities. Disability is referenced in various sections of the Suitable Development Goals, particularly in the sections linked to education, growth and employment, inequality, accessibility of human settlements, as well as data collection and the monitoring of the Suitable Development Goals. The 17 Sustainable Development Goals are No Poverty, Zero Hunger, Good Health and Well-being, Quality Education, Gender, Clean Water and Sanitation, Affordable and Clean Energy, Decent Work and Economic Growth, Industry Innovation and Infrastructure, Reduced Inequality, Sustainable Cities and Communities, Responsible Consumption and Production, Climate Action, Life Below Water, Life on Land, Peace and Justice Strong Institutions and finally, Partnerships to Achieve the Goals.</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200" w:line="276" w:lineRule="auto"/>
        <w:rPr/>
      </w:pPr>
      <w:r w:rsidDel="00000000" w:rsidR="00000000" w:rsidRPr="00000000">
        <w:rPr>
          <w:rtl w:val="0"/>
        </w:rPr>
        <w:t xml:space="preserve">The United Nations Development Programme (2020) mentions that some research was completed and some shocking facts were discovered. By the end of 2017, over 68 million people had been forcibly displaced as a result of persecution, conflict, violence or human rights violations. Also, there are at least 10 million stateless people who have been denied nationality and its related rights. Corruption, bribery, theft and tax evasion cost developing countries over £1 trillion per year. In addition, 49 countries lack laws in protecting women from domestic violence. Finally, 1 billion people are legally invisible because they cannot prove who they are. This includes an estimated 635 million children under 14 whose births were never registered.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200" w:line="276" w:lineRule="auto"/>
        <w:rPr/>
      </w:pPr>
      <w:r w:rsidDel="00000000" w:rsidR="00000000" w:rsidRPr="00000000">
        <w:rPr>
          <w:rtl w:val="0"/>
        </w:rPr>
        <w:t xml:space="preserve">The UN Legal Identity Agenda (2020) states that every individual has a right to be identified as a character by the law as it is stated in Article 6 of the Universal Declaration on Human Rights and Article 16 of the International Covenant on Civil and Political Rights. The United Nations defines legal identity as the essential characteristics of a person’s identity. For example, name, sex, place and date of birth, also registration of birth. If a birth registration is absent, legal identity can be given by a legally-recognized identification authority. This system is connected to the civil registration system to guarantee a holistic appearance to legal identity from birth to death. Legal identity is eliminated by the issuance of a death certificate by the civil registration authority upon registration of death.</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200" w:line="276" w:lineRule="auto"/>
        <w:rPr/>
      </w:pPr>
      <w:r w:rsidDel="00000000" w:rsidR="00000000" w:rsidRPr="00000000">
        <w:rPr>
          <w:rtl w:val="0"/>
        </w:rPr>
        <w:t xml:space="preserve">According to the World Bank Group (2020), The United Nations is working with the World Bank Group to try and promote the Sustainable Development Goals. As part of this, the World Bank has launched the Identification for Development initiative to try and help countries to achieve this goal by making everyone have a unique legal identity. The Identification for Development initiative will support the strengthening of the civil and identification registries in order for these to guarantee the validity of the documents they issue. The Identification for Development initiative has four main objectives. They are enabling the operational environment of the legal registries to ensure that all adults have a robust form of legal identity and promote universal birth registration so that children can obtain legal identity. Also, to enable the operational environment of the administrative registries to efficiently and securely authenticate identities to ensure that civil identification systems are interoperable with social and other programs and facilitate citizens’ access to economic opportunities including access to finance and employment. Several principles guide the Identification for Development initiative, which are free birth registration of all children under one year of age, free insurance of birth certificate,  universal coverage of civil registration and civil identification systems, systems using modern technology and integrated platforms for promoting ID enabled services, robust legal framework and raising awareness on the integrity of registries to ensure long-term accessibility and security of legal identity records.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200" w:line="276" w:lineRule="auto"/>
        <w:rPr/>
      </w:pPr>
      <w:r w:rsidDel="00000000" w:rsidR="00000000" w:rsidRPr="00000000">
        <w:rPr>
          <w:rtl w:val="0"/>
        </w:rPr>
        <w:t xml:space="preserve">The UN Environment Programme (2019) explains that strong laws are the bedrock on environmental governance for the Sustainable Development Agenda 2030. The United Nations is currently working with over 50 different countries to ensure the progressive development of law. The United Nations provides expert guidance on the development of legislation, it gives legal assistance to help strengthen and streamline institutional arrangements and capacities for tackling legal issues. The United Nations offers technical and legal assistance to countries to strengthen capacities for enforcement of the law.</w:t>
      </w: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200" w:line="276" w:lineRule="auto"/>
        <w:rPr/>
      </w:pPr>
      <w:r w:rsidDel="00000000" w:rsidR="00000000" w:rsidRPr="00000000">
        <w:rPr>
          <w:rtl w:val="0"/>
        </w:rPr>
        <w:t xml:space="preserve">The European Commission (2020) mentions that </w:t>
      </w:r>
      <w:r w:rsidDel="00000000" w:rsidR="00000000" w:rsidRPr="00000000">
        <w:rPr>
          <w:rtl w:val="0"/>
        </w:rPr>
        <w:t xml:space="preserve">in 2011, there was a directive on combating the sexual exploitation of children online and child pornography. These better address developments in the online environment. The European Commission issued two reports on the measures taken by the Member States to comply with the Directive and one focusing on the measures against websites containing child pornography. Also, in 2013, a d</w:t>
      </w:r>
      <w:hyperlink r:id="rId6">
        <w:r w:rsidDel="00000000" w:rsidR="00000000" w:rsidRPr="00000000">
          <w:rPr>
            <w:rtl w:val="0"/>
          </w:rPr>
          <w:t xml:space="preserve">irective on attacks against information systems</w:t>
        </w:r>
      </w:hyperlink>
      <w:r w:rsidDel="00000000" w:rsidR="00000000" w:rsidRPr="00000000">
        <w:rPr>
          <w:rtl w:val="0"/>
        </w:rPr>
        <w:t xml:space="preserve">, which aimed to tackle large-scale cyber-attacks by requiring the Member States to strengthen national cyber-crime laws and introduce tougher criminal sanctions. In 2017, the Commission published a report assessing the extent to which the Member States have taken the necessary measures in order to comply with the Directive. In 2019, a new </w:t>
      </w:r>
      <w:hyperlink r:id="rId7">
        <w:r w:rsidDel="00000000" w:rsidR="00000000" w:rsidRPr="00000000">
          <w:rPr>
            <w:rtl w:val="0"/>
          </w:rPr>
          <w:t xml:space="preserve">Directive on non-cash means of payment</w:t>
        </w:r>
      </w:hyperlink>
      <w:r w:rsidDel="00000000" w:rsidR="00000000" w:rsidRPr="00000000">
        <w:rPr>
          <w:rtl w:val="0"/>
        </w:rPr>
        <w:t xml:space="preserve">, which updates the legal framework, removing obstacles to operational cooperation and enhancing prevention and victims’ assistance, to make law enforcement action against fraud and counterfeiting of non-cash means of payment more effective. European Union legislation on cybercrime corresponds to the rules set out in the </w:t>
      </w:r>
      <w:hyperlink r:id="rId8">
        <w:r w:rsidDel="00000000" w:rsidR="00000000" w:rsidRPr="00000000">
          <w:rPr>
            <w:rtl w:val="0"/>
          </w:rPr>
          <w:t xml:space="preserve">Council of Europe Convention on Cybercrime</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200" w:line="276" w:lineRule="auto"/>
        <w:rPr/>
      </w:pPr>
      <w:r w:rsidDel="00000000" w:rsidR="00000000" w:rsidRPr="00000000">
        <w:rPr>
          <w:rtl w:val="0"/>
        </w:rPr>
        <w:t xml:space="preserve">According to the SDG Tracker (2020), the Suitable Development Goal focuses on promoting and enforcing non-discriminatory laws and policies in all countries by 2030. A</w:t>
      </w:r>
      <w:r w:rsidDel="00000000" w:rsidR="00000000" w:rsidRPr="00000000">
        <w:rPr>
          <w:rtl w:val="0"/>
        </w:rPr>
        <w:t xml:space="preserve"> proportion of population reporting having personally felt discriminated against or harassed in the past on the basis of a ground of discrimination prohibited under international human rights law.</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160" w:line="276" w:lineRule="auto"/>
        <w:rPr/>
      </w:pPr>
      <w:r w:rsidDel="00000000" w:rsidR="00000000" w:rsidRPr="00000000">
        <w:rPr>
          <w:rtl w:val="0"/>
        </w:rPr>
        <w:t xml:space="preserve">The European Union (2019) states that everyday individuals are verbally and physically harassed, bullied or attacked because of their ethnic origin, religion, sexual orientation, gender identity, disabilities, social status or other characteristics. When the Suitable Development Goals were launched, The High-Level Group was created to help reach these goals by 2030. This group supports the European Union and national efforts in guaranteeing the implementation of applicable regulations and in establishing adequate policies to prevent. This is achieved by promoting thematic discussions on challenges and responses, developing the most beneficial practice exchange, developing guidance and encouraging cooperation and synergies between key stakeholders. Practical guidance has been issued from work being completed on critical areas. A European Union Framework Decision has been made on combating racism and xenophobia, and it aims to help national authorities address common issues of the practical application of these rules and ensure active investigation, prosecution and sentencing of hate crime and hate speech on the ground. Under the leadership of the European Commission, the High-Level Group frequently meets in Brussels, with experts from the Member States, civil society and community-based organisations, EU agencies and in particular the EU Agency for Fundamental Rights.</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160" w:line="276" w:lineRule="auto"/>
        <w:rPr/>
      </w:pPr>
      <w:r w:rsidDel="00000000" w:rsidR="00000000" w:rsidRPr="00000000">
        <w:rPr>
          <w:rtl w:val="0"/>
        </w:rPr>
        <w:t xml:space="preserve">Knowledge Platform (2020) states that The Global Partnership Monitoring Framework is the primary tool that the Global Partnership uses to review the implementation of the Suitable Development Goals. The Global Partnership Progress Report is an annual report that uses data and evidence collected by 81 low and middle-income countries, with the participation of 125 development partners, 74 development organisations, and hundreds of civil society organisations, private sector representatives, trade unions, foundations, parliamentarians and local governments. All of these countries provide evidence about the Suitable Development Goals. In the most recent report, several ways to improve the effectiveness of the Suitable Development Goals were highlighted. Firstly, ensuring that aid is spent in an effective and efficient way. Also, to increase the use of national systems, including procurement systems. In addition, increase government accountability and increase central government leading efforts. Finally, to increase the use of effective partnerships with businesses</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160" w:line="276" w:lineRule="auto"/>
        <w:rPr/>
      </w:pPr>
      <w:r w:rsidDel="00000000" w:rsidR="00000000" w:rsidRPr="00000000">
        <w:rPr>
          <w:rtl w:val="0"/>
        </w:rPr>
        <w:t xml:space="preserve">According to Suitable Developments Goals (2020), if the United Nations are unable to achieve their goal of peace, justice and strong institutions by 2030 the consequences could be devastating. Armed violence and insecurity have a destructive impact on a country’s development, affecting economic growth and often resulting in long-standing grievances among communities. Violence, in all its forms, has a pervasive impact on societies. Violence affects children’s health, development and well-being, and their ability to thrive. It causes trauma and weakens social inclusion. Lack of access to justice means that conflicts remain unresolved and people cannot obtain protection and redress. Institutions that do not function according to legitimate laws are prone to arbitrariness and abuse of power, and less capable of delivering public services to everyone. To exclude and to discriminate not only violates human rights, but also causes resentment and animosity, and could give rise to violence. </w:t>
      </w:r>
    </w:p>
    <w:p w:rsidR="00000000" w:rsidDel="00000000" w:rsidP="00000000" w:rsidRDefault="00000000" w:rsidRPr="00000000" w14:paraId="0000000C">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t xml:space="preserve">According to The Institute for Economics and Peace (2019), as of 2020, because the Suitable Development Goals are still relatively new, there is not a lot of data about them. Currently, UNICEF maintains a global database for every person with a legal identity, as well as some regional databases such as the TransMONEE. The primary sources of data come from nationally representative household surveys, such as Multiple Indicator Cluster Surveys, Demographic and Health Surveys, Reproduction Health Surveys and AIDS Indicator Surveys, as well as vital registration systems. There is a moderately statistically significant relationship between countries that have a low statistical capacity and lower comparable levels of birth registration. This suggests that countries that have high statistical capacity also have the institutions in place to provide registration. The effect of this is that statistical capacity will need to be strengthened in the countries that are not registering all births. Birth registration could also be viewed as a proxy for statistical capacity. Also, currently, discrimination can only be measured in the short term. This is usually done by a World Values Survey which asks whether people approve of the human rights movement. In order to see how strong institutions are, the Statistical Capacity Indicator used by the World Bank measures the capacity using 25 different indicators. The relationship between statistical capacity and peace is likely to be even more potent, except the World Bank does not give a score for several countries that have a high statistical capacity. These countries are usually the most peaceful. Up until the Suitable Development Goals were introduced, data had not yet been captured for all countries for every goal. By the time the Suitable Development Goals have ended, a more significant effort on building the statistical capacities of countries must be an essential component. In measuring Goal 16, a significant amount of resources will need to be invested particularly in less peaceful countries that have reduced statistical capacity.</w:t>
      </w:r>
    </w:p>
    <w:p w:rsidR="00000000" w:rsidDel="00000000" w:rsidP="00000000" w:rsidRDefault="00000000" w:rsidRPr="00000000" w14:paraId="0000000D">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t xml:space="preserve">To conclude, in 2015, the United Nations set up the 2030 Agenda for Sustainable Development that has 17 Goals. These goals aim to leave no one behind, and the new agenda features a strategy to obtain sustainable development for all. Under the Declaration of Human Rights every person has a right to be identified as a character. The United Nations defines legal identity as the essential characteristics of a person’s identity. For example, name, sex, place and date of birth, also registration of birth. Legal identity is eliminated by the issuance of a death certificate by the civil registration authority upon registration of death. The United Nations is working with the World Bank Group to try and promote the Sustainable Development Goals. As part of this, the World Bank has launched the Identification for Development initiative to try and help countries to achieve this goal by making everyone have a unique legal identity. </w:t>
      </w:r>
      <w:r w:rsidDel="00000000" w:rsidR="00000000" w:rsidRPr="00000000">
        <w:rPr>
          <w:shd w:fill="d9d2e9" w:val="clear"/>
          <w:rtl w:val="0"/>
        </w:rPr>
        <w:t xml:space="preserve">S</w:t>
      </w:r>
      <w:r w:rsidDel="00000000" w:rsidR="00000000" w:rsidRPr="00000000">
        <w:rPr>
          <w:rtl w:val="0"/>
        </w:rPr>
        <w:t xml:space="preserve">trong laws are the bedrock on environmental governance for the Sustainable Development Agenda 2030. The United Nations is currently working with over 50 different countries to ensure the progressive development of law. The United Nations is focusing on promoting and enforcing non-discriminatory laws and policies in all countries by 2030. A proportion of population reporting having personally felt discriminated against or harassed in the past on the basis of a ground of discrimination prohibited under international human rights law. Everyday individuals are verbally and physically harassed, bullied or attacked because of their ethnic origin, religion, sexual orientation, gender identity, disabilities, social status or other characteristics. When the Suitable Development Goals were launched, The High-Level Group was created to help reach these goals by 2030. This group supports the European Union and national efforts in guaranteeing the implementation of applicable regulations and in establishing adequate policies to prevent. </w:t>
      </w:r>
    </w:p>
    <w:p w:rsidR="00000000" w:rsidDel="00000000" w:rsidP="00000000" w:rsidRDefault="00000000" w:rsidRPr="00000000" w14:paraId="0000000E">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r>
    </w:p>
    <w:p w:rsidR="00000000" w:rsidDel="00000000" w:rsidP="00000000" w:rsidRDefault="00000000" w:rsidRPr="00000000" w14:paraId="0000000F">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r>
    </w:p>
    <w:p w:rsidR="00000000" w:rsidDel="00000000" w:rsidP="00000000" w:rsidRDefault="00000000" w:rsidRPr="00000000" w14:paraId="00000010">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r>
    </w:p>
    <w:p w:rsidR="00000000" w:rsidDel="00000000" w:rsidP="00000000" w:rsidRDefault="00000000" w:rsidRPr="00000000" w14:paraId="00000011">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r>
    </w:p>
    <w:p w:rsidR="00000000" w:rsidDel="00000000" w:rsidP="00000000" w:rsidRDefault="00000000" w:rsidRPr="00000000" w14:paraId="00000012">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r>
    </w:p>
    <w:p w:rsidR="00000000" w:rsidDel="00000000" w:rsidP="00000000" w:rsidRDefault="00000000" w:rsidRPr="00000000" w14:paraId="00000013">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r>
    </w:p>
    <w:p w:rsidR="00000000" w:rsidDel="00000000" w:rsidP="00000000" w:rsidRDefault="00000000" w:rsidRPr="00000000" w14:paraId="00000014">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r>
    </w:p>
    <w:p w:rsidR="00000000" w:rsidDel="00000000" w:rsidP="00000000" w:rsidRDefault="00000000" w:rsidRPr="00000000" w14:paraId="00000015">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r>
    </w:p>
    <w:p w:rsidR="00000000" w:rsidDel="00000000" w:rsidP="00000000" w:rsidRDefault="00000000" w:rsidRPr="00000000" w14:paraId="00000016">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r>
    </w:p>
    <w:p w:rsidR="00000000" w:rsidDel="00000000" w:rsidP="00000000" w:rsidRDefault="00000000" w:rsidRPr="00000000" w14:paraId="00000017">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r>
    </w:p>
    <w:p w:rsidR="00000000" w:rsidDel="00000000" w:rsidP="00000000" w:rsidRDefault="00000000" w:rsidRPr="00000000" w14:paraId="00000018">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r>
    </w:p>
    <w:p w:rsidR="00000000" w:rsidDel="00000000" w:rsidP="00000000" w:rsidRDefault="00000000" w:rsidRPr="00000000" w14:paraId="00000019">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r>
    </w:p>
    <w:p w:rsidR="00000000" w:rsidDel="00000000" w:rsidP="00000000" w:rsidRDefault="00000000" w:rsidRPr="00000000" w14:paraId="0000001A">
      <w:pPr>
        <w:pBdr>
          <w:top w:color="auto" w:space="0" w:sz="0" w:val="none"/>
          <w:bottom w:color="auto" w:space="0" w:sz="0" w:val="none"/>
          <w:right w:color="auto" w:space="0" w:sz="0" w:val="none"/>
          <w:between w:color="auto" w:space="0" w:sz="0" w:val="none"/>
        </w:pBdr>
        <w:spacing w:after="500" w:line="276" w:lineRule="auto"/>
        <w:ind w:left="0" w:firstLine="0"/>
        <w:rPr/>
      </w:pPr>
      <w:r w:rsidDel="00000000" w:rsidR="00000000" w:rsidRPr="00000000">
        <w:rPr>
          <w:rtl w:val="0"/>
        </w:rPr>
      </w:r>
    </w:p>
    <w:p w:rsidR="00000000" w:rsidDel="00000000" w:rsidP="00000000" w:rsidRDefault="00000000" w:rsidRPr="00000000" w14:paraId="0000001B">
      <w:pPr>
        <w:pBdr>
          <w:top w:color="auto" w:space="0" w:sz="0" w:val="none"/>
          <w:bottom w:color="auto" w:space="0" w:sz="0" w:val="none"/>
          <w:right w:color="auto" w:space="0" w:sz="0" w:val="none"/>
          <w:between w:color="auto" w:space="0" w:sz="0" w:val="none"/>
        </w:pBdr>
        <w:spacing w:after="500" w:line="276" w:lineRule="auto"/>
        <w:ind w:left="0" w:firstLine="0"/>
        <w:rPr>
          <w:b w:val="1"/>
          <w:sz w:val="24"/>
          <w:szCs w:val="24"/>
        </w:rPr>
      </w:pPr>
      <w:r w:rsidDel="00000000" w:rsidR="00000000" w:rsidRPr="00000000">
        <w:rPr>
          <w:b w:val="1"/>
          <w:sz w:val="24"/>
          <w:szCs w:val="24"/>
          <w:rtl w:val="0"/>
        </w:rPr>
        <w:t xml:space="preserve">References </w:t>
      </w:r>
    </w:p>
    <w:p w:rsidR="00000000" w:rsidDel="00000000" w:rsidP="00000000" w:rsidRDefault="00000000" w:rsidRPr="00000000" w14:paraId="0000001C">
      <w:pPr>
        <w:spacing w:line="360" w:lineRule="auto"/>
        <w:rPr>
          <w:sz w:val="24"/>
          <w:szCs w:val="24"/>
        </w:rPr>
      </w:pPr>
      <w:r w:rsidDel="00000000" w:rsidR="00000000" w:rsidRPr="00000000">
        <w:rPr>
          <w:sz w:val="24"/>
          <w:szCs w:val="24"/>
          <w:rtl w:val="0"/>
        </w:rPr>
        <w:t xml:space="preserve">UN Environment Programme, </w:t>
      </w:r>
      <w:r w:rsidDel="00000000" w:rsidR="00000000" w:rsidRPr="00000000">
        <w:rPr>
          <w:i w:val="1"/>
          <w:sz w:val="24"/>
          <w:szCs w:val="24"/>
          <w:rtl w:val="0"/>
        </w:rPr>
        <w:t xml:space="preserve">Strengthening Institutions, </w:t>
      </w:r>
      <w:r w:rsidDel="00000000" w:rsidR="00000000" w:rsidRPr="00000000">
        <w:rPr>
          <w:sz w:val="24"/>
          <w:szCs w:val="24"/>
          <w:rtl w:val="0"/>
        </w:rPr>
        <w:t xml:space="preserve">UN Environment Programme</w:t>
      </w:r>
      <w:r w:rsidDel="00000000" w:rsidR="00000000" w:rsidRPr="00000000">
        <w:rPr>
          <w:i w:val="1"/>
          <w:sz w:val="24"/>
          <w:szCs w:val="24"/>
          <w:rtl w:val="0"/>
        </w:rPr>
        <w:t xml:space="preserve">,</w:t>
      </w:r>
      <w:r w:rsidDel="00000000" w:rsidR="00000000" w:rsidRPr="00000000">
        <w:rPr>
          <w:sz w:val="24"/>
          <w:szCs w:val="24"/>
          <w:rtl w:val="0"/>
        </w:rPr>
        <w:t xml:space="preserve"> 2020.</w:t>
      </w:r>
    </w:p>
    <w:p w:rsidR="00000000" w:rsidDel="00000000" w:rsidP="00000000" w:rsidRDefault="00000000" w:rsidRPr="00000000" w14:paraId="0000001D">
      <w:pPr>
        <w:spacing w:line="360" w:lineRule="auto"/>
        <w:rPr>
          <w:sz w:val="24"/>
          <w:szCs w:val="24"/>
        </w:rPr>
      </w:pPr>
      <w:r w:rsidDel="00000000" w:rsidR="00000000" w:rsidRPr="00000000">
        <w:rPr>
          <w:sz w:val="24"/>
          <w:szCs w:val="24"/>
          <w:rtl w:val="0"/>
        </w:rPr>
        <w:t xml:space="preserve">Accessed on: April 10th 2020</w:t>
      </w:r>
    </w:p>
    <w:p w:rsidR="00000000" w:rsidDel="00000000" w:rsidP="00000000" w:rsidRDefault="00000000" w:rsidRPr="00000000" w14:paraId="0000001E">
      <w:pPr>
        <w:spacing w:line="360" w:lineRule="auto"/>
        <w:rPr>
          <w:sz w:val="24"/>
          <w:szCs w:val="24"/>
        </w:rPr>
      </w:pPr>
      <w:r w:rsidDel="00000000" w:rsidR="00000000" w:rsidRPr="00000000">
        <w:rPr>
          <w:sz w:val="24"/>
          <w:szCs w:val="24"/>
          <w:rtl w:val="0"/>
        </w:rPr>
        <w:t xml:space="preserve">Available at:</w:t>
      </w:r>
      <w:r w:rsidDel="00000000" w:rsidR="00000000" w:rsidRPr="00000000">
        <w:rPr>
          <w:rtl w:val="0"/>
        </w:rPr>
      </w:r>
    </w:p>
    <w:p w:rsidR="00000000" w:rsidDel="00000000" w:rsidP="00000000" w:rsidRDefault="00000000" w:rsidRPr="00000000" w14:paraId="0000001F">
      <w:pPr>
        <w:pBdr>
          <w:top w:color="auto" w:space="0" w:sz="0" w:val="none"/>
          <w:bottom w:color="auto" w:space="0" w:sz="0" w:val="none"/>
          <w:right w:color="auto" w:space="0" w:sz="0" w:val="none"/>
          <w:between w:color="auto" w:space="0" w:sz="0" w:val="none"/>
        </w:pBdr>
        <w:spacing w:after="500" w:line="480" w:lineRule="auto"/>
        <w:ind w:left="0" w:firstLine="0"/>
        <w:rPr>
          <w:sz w:val="24"/>
          <w:szCs w:val="24"/>
        </w:rPr>
      </w:pPr>
      <w:r w:rsidDel="00000000" w:rsidR="00000000" w:rsidRPr="00000000">
        <w:rPr>
          <w:sz w:val="24"/>
          <w:szCs w:val="24"/>
          <w:rtl w:val="0"/>
        </w:rPr>
        <w:t xml:space="preserve">https://www.unenvironment.org/explore-topics/environmental-rights-and-governance/what-we-do/strengthening-institutions</w:t>
      </w:r>
    </w:p>
    <w:p w:rsidR="00000000" w:rsidDel="00000000" w:rsidP="00000000" w:rsidRDefault="00000000" w:rsidRPr="00000000" w14:paraId="00000020">
      <w:pPr>
        <w:spacing w:line="360" w:lineRule="auto"/>
        <w:rPr>
          <w:sz w:val="24"/>
          <w:szCs w:val="24"/>
        </w:rPr>
      </w:pPr>
      <w:r w:rsidDel="00000000" w:rsidR="00000000" w:rsidRPr="00000000">
        <w:rPr>
          <w:sz w:val="24"/>
          <w:szCs w:val="24"/>
          <w:rtl w:val="0"/>
        </w:rPr>
        <w:t xml:space="preserve">Suitable Development Goals</w:t>
      </w:r>
      <w:r w:rsidDel="00000000" w:rsidR="00000000" w:rsidRPr="00000000">
        <w:rPr>
          <w:sz w:val="24"/>
          <w:szCs w:val="24"/>
          <w:rtl w:val="0"/>
        </w:rPr>
        <w:t xml:space="preserve">, </w:t>
      </w:r>
      <w:r w:rsidDel="00000000" w:rsidR="00000000" w:rsidRPr="00000000">
        <w:rPr>
          <w:i w:val="1"/>
          <w:sz w:val="24"/>
          <w:szCs w:val="24"/>
          <w:rtl w:val="0"/>
        </w:rPr>
        <w:t xml:space="preserve">Why is SDGs Matter, </w:t>
      </w:r>
      <w:r w:rsidDel="00000000" w:rsidR="00000000" w:rsidRPr="00000000">
        <w:rPr>
          <w:sz w:val="24"/>
          <w:szCs w:val="24"/>
          <w:rtl w:val="0"/>
        </w:rPr>
        <w:t xml:space="preserve">UN Environment Programme</w:t>
      </w:r>
      <w:r w:rsidDel="00000000" w:rsidR="00000000" w:rsidRPr="00000000">
        <w:rPr>
          <w:i w:val="1"/>
          <w:sz w:val="24"/>
          <w:szCs w:val="24"/>
          <w:rtl w:val="0"/>
        </w:rPr>
        <w:t xml:space="preserve">,</w:t>
      </w:r>
      <w:r w:rsidDel="00000000" w:rsidR="00000000" w:rsidRPr="00000000">
        <w:rPr>
          <w:sz w:val="24"/>
          <w:szCs w:val="24"/>
          <w:rtl w:val="0"/>
        </w:rPr>
        <w:t xml:space="preserve"> 2020.</w:t>
      </w:r>
    </w:p>
    <w:p w:rsidR="00000000" w:rsidDel="00000000" w:rsidP="00000000" w:rsidRDefault="00000000" w:rsidRPr="00000000" w14:paraId="00000021">
      <w:pPr>
        <w:spacing w:line="360" w:lineRule="auto"/>
        <w:rPr>
          <w:sz w:val="24"/>
          <w:szCs w:val="24"/>
        </w:rPr>
      </w:pPr>
      <w:r w:rsidDel="00000000" w:rsidR="00000000" w:rsidRPr="00000000">
        <w:rPr>
          <w:sz w:val="24"/>
          <w:szCs w:val="24"/>
          <w:rtl w:val="0"/>
        </w:rPr>
        <w:t xml:space="preserve">Accessed on: April 11th 2020</w:t>
      </w:r>
    </w:p>
    <w:p w:rsidR="00000000" w:rsidDel="00000000" w:rsidP="00000000" w:rsidRDefault="00000000" w:rsidRPr="00000000" w14:paraId="00000022">
      <w:pPr>
        <w:spacing w:line="360" w:lineRule="auto"/>
        <w:rPr>
          <w:sz w:val="24"/>
          <w:szCs w:val="24"/>
        </w:rPr>
      </w:pPr>
      <w:r w:rsidDel="00000000" w:rsidR="00000000" w:rsidRPr="00000000">
        <w:rPr>
          <w:sz w:val="24"/>
          <w:szCs w:val="24"/>
          <w:rtl w:val="0"/>
        </w:rPr>
        <w:t xml:space="preserve">Available at:</w:t>
      </w:r>
      <w:r w:rsidDel="00000000" w:rsidR="00000000" w:rsidRPr="00000000">
        <w:rPr>
          <w:sz w:val="24"/>
          <w:szCs w:val="24"/>
          <w:rtl w:val="0"/>
        </w:rPr>
        <w:t xml:space="preserve">https://www.un.org/sustainabledevelopment/why-the-sdgs-matter/</w:t>
      </w:r>
    </w:p>
    <w:p w:rsidR="00000000" w:rsidDel="00000000" w:rsidP="00000000" w:rsidRDefault="00000000" w:rsidRPr="00000000" w14:paraId="00000023">
      <w:pPr>
        <w:spacing w:line="360" w:lineRule="auto"/>
        <w:rPr>
          <w:sz w:val="24"/>
          <w:szCs w:val="24"/>
        </w:rPr>
      </w:pPr>
      <w:r w:rsidDel="00000000" w:rsidR="00000000" w:rsidRPr="00000000">
        <w:rPr>
          <w:rtl w:val="0"/>
        </w:rPr>
      </w:r>
    </w:p>
    <w:p w:rsidR="00000000" w:rsidDel="00000000" w:rsidP="00000000" w:rsidRDefault="00000000" w:rsidRPr="00000000" w14:paraId="00000024">
      <w:pPr>
        <w:spacing w:line="360" w:lineRule="auto"/>
        <w:rPr>
          <w:sz w:val="24"/>
          <w:szCs w:val="24"/>
        </w:rPr>
      </w:pPr>
      <w:r w:rsidDel="00000000" w:rsidR="00000000" w:rsidRPr="00000000">
        <w:rPr>
          <w:sz w:val="24"/>
          <w:szCs w:val="24"/>
          <w:rtl w:val="0"/>
        </w:rPr>
        <w:t xml:space="preserve">European Commission, </w:t>
      </w:r>
      <w:r w:rsidDel="00000000" w:rsidR="00000000" w:rsidRPr="00000000">
        <w:rPr>
          <w:i w:val="1"/>
          <w:sz w:val="24"/>
          <w:szCs w:val="24"/>
          <w:rtl w:val="0"/>
        </w:rPr>
        <w:t xml:space="preserve">High Level Group on Non-discrimination, Equality and Diversity, </w:t>
      </w:r>
      <w:r w:rsidDel="00000000" w:rsidR="00000000" w:rsidRPr="00000000">
        <w:rPr>
          <w:sz w:val="24"/>
          <w:szCs w:val="24"/>
          <w:rtl w:val="0"/>
        </w:rPr>
        <w:t xml:space="preserve">EUROPEAN COMMISSION DIRECTORATE-GENERAL JUSTICE AND CONSUMERS</w:t>
      </w:r>
      <w:r w:rsidDel="00000000" w:rsidR="00000000" w:rsidRPr="00000000">
        <w:rPr>
          <w:i w:val="1"/>
          <w:sz w:val="24"/>
          <w:szCs w:val="24"/>
          <w:rtl w:val="0"/>
        </w:rPr>
        <w:t xml:space="preserve">,</w:t>
      </w:r>
      <w:r w:rsidDel="00000000" w:rsidR="00000000" w:rsidRPr="00000000">
        <w:rPr>
          <w:sz w:val="24"/>
          <w:szCs w:val="24"/>
          <w:rtl w:val="0"/>
        </w:rPr>
        <w:t xml:space="preserve"> 2020.</w:t>
      </w:r>
    </w:p>
    <w:p w:rsidR="00000000" w:rsidDel="00000000" w:rsidP="00000000" w:rsidRDefault="00000000" w:rsidRPr="00000000" w14:paraId="00000025">
      <w:pPr>
        <w:spacing w:line="360" w:lineRule="auto"/>
        <w:rPr>
          <w:sz w:val="24"/>
          <w:szCs w:val="24"/>
        </w:rPr>
      </w:pPr>
      <w:r w:rsidDel="00000000" w:rsidR="00000000" w:rsidRPr="00000000">
        <w:rPr>
          <w:sz w:val="24"/>
          <w:szCs w:val="24"/>
          <w:rtl w:val="0"/>
        </w:rPr>
        <w:t xml:space="preserve">Accessed on: April 11th 2020</w:t>
      </w:r>
    </w:p>
    <w:p w:rsidR="00000000" w:rsidDel="00000000" w:rsidP="00000000" w:rsidRDefault="00000000" w:rsidRPr="00000000" w14:paraId="00000026">
      <w:pPr>
        <w:spacing w:line="360" w:lineRule="auto"/>
        <w:rPr>
          <w:sz w:val="24"/>
          <w:szCs w:val="24"/>
        </w:rPr>
      </w:pPr>
      <w:r w:rsidDel="00000000" w:rsidR="00000000" w:rsidRPr="00000000">
        <w:rPr>
          <w:sz w:val="24"/>
          <w:szCs w:val="24"/>
          <w:rtl w:val="0"/>
        </w:rPr>
        <w:t xml:space="preserve">Available at: </w:t>
      </w:r>
      <w:r w:rsidDel="00000000" w:rsidR="00000000" w:rsidRPr="00000000">
        <w:rPr>
          <w:sz w:val="24"/>
          <w:szCs w:val="24"/>
          <w:rtl w:val="0"/>
        </w:rPr>
        <w:t xml:space="preserve">https://ec.europa.eu/info/sites/info/files/hlg_mandate_en_0.pdf</w:t>
      </w:r>
    </w:p>
    <w:p w:rsidR="00000000" w:rsidDel="00000000" w:rsidP="00000000" w:rsidRDefault="00000000" w:rsidRPr="00000000" w14:paraId="00000027">
      <w:pPr>
        <w:spacing w:line="360" w:lineRule="auto"/>
        <w:rPr>
          <w:sz w:val="24"/>
          <w:szCs w:val="24"/>
          <w:shd w:fill="d9d2e9" w:val="clear"/>
        </w:rPr>
      </w:pPr>
      <w:r w:rsidDel="00000000" w:rsidR="00000000" w:rsidRPr="00000000">
        <w:rPr>
          <w:rtl w:val="0"/>
        </w:rPr>
      </w:r>
    </w:p>
    <w:p w:rsidR="00000000" w:rsidDel="00000000" w:rsidP="00000000" w:rsidRDefault="00000000" w:rsidRPr="00000000" w14:paraId="00000028">
      <w:pPr>
        <w:spacing w:line="360" w:lineRule="auto"/>
        <w:rPr>
          <w:sz w:val="24"/>
          <w:szCs w:val="24"/>
        </w:rPr>
      </w:pPr>
      <w:r w:rsidDel="00000000" w:rsidR="00000000" w:rsidRPr="00000000">
        <w:rPr>
          <w:sz w:val="24"/>
          <w:szCs w:val="24"/>
          <w:rtl w:val="0"/>
        </w:rPr>
        <w:t xml:space="preserve">Suitable Development Goals, </w:t>
      </w:r>
      <w:r w:rsidDel="00000000" w:rsidR="00000000" w:rsidRPr="00000000">
        <w:rPr>
          <w:color w:val="4d4d4d"/>
          <w:sz w:val="24"/>
          <w:szCs w:val="24"/>
          <w:highlight w:val="white"/>
          <w:rtl w:val="0"/>
        </w:rPr>
        <w:t xml:space="preserve">Global Partnership for Effective Development Co-operation</w:t>
      </w:r>
      <w:r w:rsidDel="00000000" w:rsidR="00000000" w:rsidRPr="00000000">
        <w:rPr>
          <w:i w:val="1"/>
          <w:sz w:val="24"/>
          <w:szCs w:val="24"/>
          <w:rtl w:val="0"/>
        </w:rPr>
        <w:t xml:space="preserve">, </w:t>
      </w:r>
      <w:r w:rsidDel="00000000" w:rsidR="00000000" w:rsidRPr="00000000">
        <w:rPr>
          <w:sz w:val="24"/>
          <w:szCs w:val="24"/>
          <w:rtl w:val="0"/>
        </w:rPr>
        <w:t xml:space="preserve">Suitable Development Goals Knowledge Platform</w:t>
      </w:r>
      <w:r w:rsidDel="00000000" w:rsidR="00000000" w:rsidRPr="00000000">
        <w:rPr>
          <w:i w:val="1"/>
          <w:sz w:val="24"/>
          <w:szCs w:val="24"/>
          <w:rtl w:val="0"/>
        </w:rPr>
        <w:t xml:space="preserve">,</w:t>
      </w:r>
      <w:r w:rsidDel="00000000" w:rsidR="00000000" w:rsidRPr="00000000">
        <w:rPr>
          <w:sz w:val="24"/>
          <w:szCs w:val="24"/>
          <w:rtl w:val="0"/>
        </w:rPr>
        <w:t xml:space="preserve"> 2020.</w:t>
      </w:r>
    </w:p>
    <w:p w:rsidR="00000000" w:rsidDel="00000000" w:rsidP="00000000" w:rsidRDefault="00000000" w:rsidRPr="00000000" w14:paraId="00000029">
      <w:pPr>
        <w:spacing w:line="360" w:lineRule="auto"/>
        <w:rPr>
          <w:sz w:val="24"/>
          <w:szCs w:val="24"/>
        </w:rPr>
      </w:pPr>
      <w:r w:rsidDel="00000000" w:rsidR="00000000" w:rsidRPr="00000000">
        <w:rPr>
          <w:sz w:val="24"/>
          <w:szCs w:val="24"/>
          <w:rtl w:val="0"/>
        </w:rPr>
        <w:t xml:space="preserve">Accessed on: April 13th 2020</w:t>
      </w:r>
    </w:p>
    <w:p w:rsidR="00000000" w:rsidDel="00000000" w:rsidP="00000000" w:rsidRDefault="00000000" w:rsidRPr="00000000" w14:paraId="0000002A">
      <w:pPr>
        <w:spacing w:line="360" w:lineRule="auto"/>
        <w:rPr>
          <w:sz w:val="24"/>
          <w:szCs w:val="24"/>
        </w:rPr>
      </w:pPr>
      <w:r w:rsidDel="00000000" w:rsidR="00000000" w:rsidRPr="00000000">
        <w:rPr>
          <w:sz w:val="24"/>
          <w:szCs w:val="24"/>
          <w:rtl w:val="0"/>
        </w:rPr>
        <w:t xml:space="preserve">Available at: </w:t>
      </w:r>
      <w:r w:rsidDel="00000000" w:rsidR="00000000" w:rsidRPr="00000000">
        <w:rPr>
          <w:rtl w:val="0"/>
        </w:rPr>
      </w:r>
    </w:p>
    <w:p w:rsidR="00000000" w:rsidDel="00000000" w:rsidP="00000000" w:rsidRDefault="00000000" w:rsidRPr="00000000" w14:paraId="0000002B">
      <w:pPr>
        <w:pBdr>
          <w:top w:color="auto" w:space="0" w:sz="0" w:val="none"/>
          <w:bottom w:color="auto" w:space="0" w:sz="0" w:val="none"/>
          <w:right w:color="auto" w:space="0" w:sz="0" w:val="none"/>
          <w:between w:color="auto" w:space="0" w:sz="0" w:val="none"/>
        </w:pBdr>
        <w:spacing w:line="480" w:lineRule="auto"/>
        <w:rPr>
          <w:color w:val="4a6ee0"/>
          <w:sz w:val="24"/>
          <w:szCs w:val="24"/>
          <w:u w:val="single"/>
        </w:rPr>
      </w:pPr>
      <w:r w:rsidDel="00000000" w:rsidR="00000000" w:rsidRPr="00000000">
        <w:rPr>
          <w:sz w:val="24"/>
          <w:szCs w:val="24"/>
          <w:rtl w:val="0"/>
        </w:rPr>
        <w:t xml:space="preserve">https://sustainabledevelopment.un.org/index.php?page=view&amp;type=30022&amp;nr=692&amp;menu=3170</w:t>
      </w:r>
      <w:r w:rsidDel="00000000" w:rsidR="00000000" w:rsidRPr="00000000">
        <w:rPr>
          <w:rtl w:val="0"/>
        </w:rPr>
      </w:r>
    </w:p>
    <w:p w:rsidR="00000000" w:rsidDel="00000000" w:rsidP="00000000" w:rsidRDefault="00000000" w:rsidRPr="00000000" w14:paraId="0000002C">
      <w:pPr>
        <w:spacing w:line="360" w:lineRule="auto"/>
        <w:rPr>
          <w:sz w:val="24"/>
          <w:szCs w:val="24"/>
          <w:shd w:fill="d9d2e9" w:val="clear"/>
        </w:rPr>
      </w:pPr>
      <w:r w:rsidDel="00000000" w:rsidR="00000000" w:rsidRPr="00000000">
        <w:rPr>
          <w:rtl w:val="0"/>
        </w:rPr>
      </w:r>
    </w:p>
    <w:p w:rsidR="00000000" w:rsidDel="00000000" w:rsidP="00000000" w:rsidRDefault="00000000" w:rsidRPr="00000000" w14:paraId="0000002D">
      <w:pPr>
        <w:spacing w:line="360" w:lineRule="auto"/>
        <w:rPr>
          <w:color w:val="212529"/>
          <w:sz w:val="24"/>
          <w:szCs w:val="24"/>
        </w:rPr>
      </w:pPr>
      <w:r w:rsidDel="00000000" w:rsidR="00000000" w:rsidRPr="00000000">
        <w:rPr>
          <w:sz w:val="24"/>
          <w:szCs w:val="24"/>
          <w:rtl w:val="0"/>
        </w:rPr>
        <w:t xml:space="preserve">Suitable Development Goals Tracker, </w:t>
      </w:r>
      <w:r w:rsidDel="00000000" w:rsidR="00000000" w:rsidRPr="00000000">
        <w:rPr>
          <w:color w:val="212529"/>
          <w:sz w:val="24"/>
          <w:szCs w:val="24"/>
          <w:rtl w:val="0"/>
        </w:rPr>
        <w:t xml:space="preserve">Peace, Justice and Strong Institutions</w:t>
      </w:r>
    </w:p>
    <w:p w:rsidR="00000000" w:rsidDel="00000000" w:rsidP="00000000" w:rsidRDefault="00000000" w:rsidRPr="00000000" w14:paraId="0000002E">
      <w:pPr>
        <w:shd w:fill="ffffff" w:val="clear"/>
        <w:spacing w:line="360" w:lineRule="auto"/>
        <w:ind w:left="-440" w:right="-440" w:firstLine="0"/>
        <w:rPr>
          <w:sz w:val="24"/>
          <w:szCs w:val="24"/>
        </w:rPr>
      </w:pPr>
      <w:r w:rsidDel="00000000" w:rsidR="00000000" w:rsidRPr="00000000">
        <w:rPr>
          <w:color w:val="212529"/>
          <w:sz w:val="24"/>
          <w:szCs w:val="24"/>
          <w:rtl w:val="0"/>
        </w:rPr>
        <w:t xml:space="preserve">       SUSTAINABLE DEVELOPMENT GOAL 16</w:t>
      </w:r>
      <w:r w:rsidDel="00000000" w:rsidR="00000000" w:rsidRPr="00000000">
        <w:rPr>
          <w:i w:val="1"/>
          <w:sz w:val="24"/>
          <w:szCs w:val="24"/>
          <w:rtl w:val="0"/>
        </w:rPr>
        <w:t xml:space="preserve">, </w:t>
      </w:r>
      <w:r w:rsidDel="00000000" w:rsidR="00000000" w:rsidRPr="00000000">
        <w:rPr>
          <w:sz w:val="24"/>
          <w:szCs w:val="24"/>
          <w:rtl w:val="0"/>
        </w:rPr>
        <w:t xml:space="preserve">Suitable Development Goals Tracker</w:t>
      </w:r>
      <w:r w:rsidDel="00000000" w:rsidR="00000000" w:rsidRPr="00000000">
        <w:rPr>
          <w:i w:val="1"/>
          <w:sz w:val="24"/>
          <w:szCs w:val="24"/>
          <w:rtl w:val="0"/>
        </w:rPr>
        <w:t xml:space="preserve">,</w:t>
      </w:r>
      <w:r w:rsidDel="00000000" w:rsidR="00000000" w:rsidRPr="00000000">
        <w:rPr>
          <w:sz w:val="24"/>
          <w:szCs w:val="24"/>
          <w:rtl w:val="0"/>
        </w:rPr>
        <w:t xml:space="preserve"> 2020.</w:t>
      </w:r>
    </w:p>
    <w:p w:rsidR="00000000" w:rsidDel="00000000" w:rsidP="00000000" w:rsidRDefault="00000000" w:rsidRPr="00000000" w14:paraId="0000002F">
      <w:pPr>
        <w:spacing w:line="360" w:lineRule="auto"/>
        <w:rPr>
          <w:sz w:val="24"/>
          <w:szCs w:val="24"/>
        </w:rPr>
      </w:pPr>
      <w:r w:rsidDel="00000000" w:rsidR="00000000" w:rsidRPr="00000000">
        <w:rPr>
          <w:sz w:val="24"/>
          <w:szCs w:val="24"/>
          <w:rtl w:val="0"/>
        </w:rPr>
        <w:t xml:space="preserve">Accessed on: April 14th 2020</w:t>
      </w:r>
    </w:p>
    <w:p w:rsidR="00000000" w:rsidDel="00000000" w:rsidP="00000000" w:rsidRDefault="00000000" w:rsidRPr="00000000" w14:paraId="00000030">
      <w:pPr>
        <w:spacing w:line="360" w:lineRule="auto"/>
        <w:rPr>
          <w:sz w:val="24"/>
          <w:szCs w:val="24"/>
        </w:rPr>
      </w:pPr>
      <w:r w:rsidDel="00000000" w:rsidR="00000000" w:rsidRPr="00000000">
        <w:rPr>
          <w:sz w:val="24"/>
          <w:szCs w:val="24"/>
          <w:rtl w:val="0"/>
        </w:rPr>
        <w:t xml:space="preserve">Available at: </w:t>
      </w:r>
      <w:r w:rsidDel="00000000" w:rsidR="00000000" w:rsidRPr="00000000">
        <w:rPr>
          <w:sz w:val="24"/>
          <w:szCs w:val="24"/>
          <w:rtl w:val="0"/>
        </w:rPr>
        <w:t xml:space="preserve">https://sdg-tracker.org/peace-justice</w:t>
      </w:r>
    </w:p>
    <w:p w:rsidR="00000000" w:rsidDel="00000000" w:rsidP="00000000" w:rsidRDefault="00000000" w:rsidRPr="00000000" w14:paraId="00000031">
      <w:pPr>
        <w:spacing w:line="360" w:lineRule="auto"/>
        <w:rPr>
          <w:sz w:val="24"/>
          <w:szCs w:val="24"/>
        </w:rPr>
      </w:pPr>
      <w:r w:rsidDel="00000000" w:rsidR="00000000" w:rsidRPr="00000000">
        <w:rPr>
          <w:rtl w:val="0"/>
        </w:rPr>
      </w:r>
    </w:p>
    <w:p w:rsidR="00000000" w:rsidDel="00000000" w:rsidP="00000000" w:rsidRDefault="00000000" w:rsidRPr="00000000" w14:paraId="00000032">
      <w:pPr>
        <w:spacing w:line="360" w:lineRule="auto"/>
        <w:rPr>
          <w:sz w:val="24"/>
          <w:szCs w:val="24"/>
        </w:rPr>
      </w:pPr>
      <w:r w:rsidDel="00000000" w:rsidR="00000000" w:rsidRPr="00000000">
        <w:rPr>
          <w:sz w:val="24"/>
          <w:szCs w:val="24"/>
          <w:rtl w:val="0"/>
        </w:rPr>
        <w:t xml:space="preserve">UN Legal Identity Agenda, </w:t>
      </w:r>
      <w:r w:rsidDel="00000000" w:rsidR="00000000" w:rsidRPr="00000000">
        <w:rPr>
          <w:color w:val="212529"/>
          <w:sz w:val="24"/>
          <w:szCs w:val="24"/>
          <w:rtl w:val="0"/>
        </w:rPr>
        <w:t xml:space="preserve">Legal Identity</w:t>
      </w:r>
      <w:r w:rsidDel="00000000" w:rsidR="00000000" w:rsidRPr="00000000">
        <w:rPr>
          <w:i w:val="1"/>
          <w:sz w:val="24"/>
          <w:szCs w:val="24"/>
          <w:rtl w:val="0"/>
        </w:rPr>
        <w:t xml:space="preserve">, </w:t>
      </w:r>
      <w:r w:rsidDel="00000000" w:rsidR="00000000" w:rsidRPr="00000000">
        <w:rPr>
          <w:sz w:val="24"/>
          <w:szCs w:val="24"/>
          <w:rtl w:val="0"/>
        </w:rPr>
        <w:t xml:space="preserve">UN Legal Identity Agenda</w:t>
      </w:r>
      <w:r w:rsidDel="00000000" w:rsidR="00000000" w:rsidRPr="00000000">
        <w:rPr>
          <w:i w:val="1"/>
          <w:sz w:val="24"/>
          <w:szCs w:val="24"/>
          <w:rtl w:val="0"/>
        </w:rPr>
        <w:t xml:space="preserve">,</w:t>
      </w:r>
      <w:r w:rsidDel="00000000" w:rsidR="00000000" w:rsidRPr="00000000">
        <w:rPr>
          <w:sz w:val="24"/>
          <w:szCs w:val="24"/>
          <w:rtl w:val="0"/>
        </w:rPr>
        <w:t xml:space="preserve"> 2020.</w:t>
      </w:r>
    </w:p>
    <w:p w:rsidR="00000000" w:rsidDel="00000000" w:rsidP="00000000" w:rsidRDefault="00000000" w:rsidRPr="00000000" w14:paraId="00000033">
      <w:pPr>
        <w:spacing w:line="360" w:lineRule="auto"/>
        <w:rPr>
          <w:sz w:val="24"/>
          <w:szCs w:val="24"/>
        </w:rPr>
      </w:pPr>
      <w:r w:rsidDel="00000000" w:rsidR="00000000" w:rsidRPr="00000000">
        <w:rPr>
          <w:sz w:val="24"/>
          <w:szCs w:val="24"/>
          <w:rtl w:val="0"/>
        </w:rPr>
        <w:t xml:space="preserve">Accessed on: April 14th 2020</w:t>
      </w:r>
    </w:p>
    <w:p w:rsidR="00000000" w:rsidDel="00000000" w:rsidP="00000000" w:rsidRDefault="00000000" w:rsidRPr="00000000" w14:paraId="00000034">
      <w:pPr>
        <w:spacing w:line="360" w:lineRule="auto"/>
        <w:rPr>
          <w:sz w:val="24"/>
          <w:szCs w:val="24"/>
        </w:rPr>
      </w:pPr>
      <w:r w:rsidDel="00000000" w:rsidR="00000000" w:rsidRPr="00000000">
        <w:rPr>
          <w:sz w:val="24"/>
          <w:szCs w:val="24"/>
          <w:rtl w:val="0"/>
        </w:rPr>
        <w:t xml:space="preserve">Available at: </w:t>
      </w:r>
      <w:r w:rsidDel="00000000" w:rsidR="00000000" w:rsidRPr="00000000">
        <w:rPr>
          <w:sz w:val="24"/>
          <w:szCs w:val="24"/>
          <w:rtl w:val="0"/>
        </w:rPr>
        <w:t xml:space="preserve">https://unstats.un.org/legal-identity-agenda/</w:t>
      </w:r>
    </w:p>
    <w:p w:rsidR="00000000" w:rsidDel="00000000" w:rsidP="00000000" w:rsidRDefault="00000000" w:rsidRPr="00000000" w14:paraId="00000035">
      <w:pPr>
        <w:spacing w:line="360" w:lineRule="auto"/>
        <w:rPr>
          <w:sz w:val="24"/>
          <w:szCs w:val="24"/>
        </w:rPr>
      </w:pPr>
      <w:r w:rsidDel="00000000" w:rsidR="00000000" w:rsidRPr="00000000">
        <w:rPr>
          <w:rtl w:val="0"/>
        </w:rPr>
      </w:r>
    </w:p>
    <w:p w:rsidR="00000000" w:rsidDel="00000000" w:rsidP="00000000" w:rsidRDefault="00000000" w:rsidRPr="00000000" w14:paraId="00000036">
      <w:pPr>
        <w:spacing w:line="360" w:lineRule="auto"/>
        <w:rPr>
          <w:sz w:val="24"/>
          <w:szCs w:val="24"/>
        </w:rPr>
      </w:pPr>
      <w:r w:rsidDel="00000000" w:rsidR="00000000" w:rsidRPr="00000000">
        <w:rPr>
          <w:sz w:val="24"/>
          <w:szCs w:val="24"/>
          <w:rtl w:val="0"/>
        </w:rPr>
        <w:t xml:space="preserve">World Bank Group</w:t>
      </w:r>
      <w:r w:rsidDel="00000000" w:rsidR="00000000" w:rsidRPr="00000000">
        <w:rPr>
          <w:i w:val="1"/>
          <w:sz w:val="24"/>
          <w:szCs w:val="24"/>
          <w:rtl w:val="0"/>
        </w:rPr>
        <w:t xml:space="preserve">, </w:t>
      </w:r>
      <w:r w:rsidDel="00000000" w:rsidR="00000000" w:rsidRPr="00000000">
        <w:rPr>
          <w:sz w:val="24"/>
          <w:szCs w:val="24"/>
          <w:rtl w:val="0"/>
        </w:rPr>
        <w:t xml:space="preserve">Identification for Development,</w:t>
      </w:r>
      <w:r w:rsidDel="00000000" w:rsidR="00000000" w:rsidRPr="00000000">
        <w:rPr>
          <w:i w:val="1"/>
          <w:sz w:val="24"/>
          <w:szCs w:val="24"/>
          <w:rtl w:val="0"/>
        </w:rPr>
        <w:t xml:space="preserve"> </w:t>
      </w:r>
      <w:r w:rsidDel="00000000" w:rsidR="00000000" w:rsidRPr="00000000">
        <w:rPr>
          <w:sz w:val="24"/>
          <w:szCs w:val="24"/>
          <w:rtl w:val="0"/>
        </w:rPr>
        <w:t xml:space="preserve">Cross Practice,</w:t>
      </w:r>
      <w:r w:rsidDel="00000000" w:rsidR="00000000" w:rsidRPr="00000000">
        <w:rPr>
          <w:sz w:val="24"/>
          <w:szCs w:val="24"/>
          <w:rtl w:val="0"/>
        </w:rPr>
        <w:t xml:space="preserve"> 2020.</w:t>
      </w:r>
    </w:p>
    <w:p w:rsidR="00000000" w:rsidDel="00000000" w:rsidP="00000000" w:rsidRDefault="00000000" w:rsidRPr="00000000" w14:paraId="00000037">
      <w:pPr>
        <w:spacing w:line="360" w:lineRule="auto"/>
        <w:rPr>
          <w:sz w:val="24"/>
          <w:szCs w:val="24"/>
        </w:rPr>
      </w:pPr>
      <w:r w:rsidDel="00000000" w:rsidR="00000000" w:rsidRPr="00000000">
        <w:rPr>
          <w:sz w:val="24"/>
          <w:szCs w:val="24"/>
          <w:rtl w:val="0"/>
        </w:rPr>
        <w:t xml:space="preserve">Accessed on: April 15th 2020</w:t>
      </w:r>
    </w:p>
    <w:p w:rsidR="00000000" w:rsidDel="00000000" w:rsidP="00000000" w:rsidRDefault="00000000" w:rsidRPr="00000000" w14:paraId="00000038">
      <w:pPr>
        <w:spacing w:line="360" w:lineRule="auto"/>
        <w:rPr>
          <w:sz w:val="24"/>
          <w:szCs w:val="24"/>
        </w:rPr>
      </w:pPr>
      <w:r w:rsidDel="00000000" w:rsidR="00000000" w:rsidRPr="00000000">
        <w:rPr>
          <w:sz w:val="24"/>
          <w:szCs w:val="24"/>
          <w:rtl w:val="0"/>
        </w:rPr>
        <w:t xml:space="preserve">Available at: https://www.worldbank.org/content/dam/Worldbank/Governance/GGP%20ID4D%20flyer.pdf</w:t>
      </w:r>
      <w:r w:rsidDel="00000000" w:rsidR="00000000" w:rsidRPr="00000000">
        <w:rPr>
          <w:rtl w:val="0"/>
        </w:rPr>
      </w:r>
    </w:p>
    <w:p w:rsidR="00000000" w:rsidDel="00000000" w:rsidP="00000000" w:rsidRDefault="00000000" w:rsidRPr="00000000" w14:paraId="00000039">
      <w:pPr>
        <w:spacing w:line="360" w:lineRule="auto"/>
        <w:rPr>
          <w:sz w:val="24"/>
          <w:szCs w:val="24"/>
        </w:rPr>
      </w:pPr>
      <w:r w:rsidDel="00000000" w:rsidR="00000000" w:rsidRPr="00000000">
        <w:rPr>
          <w:rtl w:val="0"/>
        </w:rPr>
      </w:r>
    </w:p>
    <w:p w:rsidR="00000000" w:rsidDel="00000000" w:rsidP="00000000" w:rsidRDefault="00000000" w:rsidRPr="00000000" w14:paraId="0000003A">
      <w:pPr>
        <w:spacing w:line="360" w:lineRule="auto"/>
        <w:rPr>
          <w:i w:val="1"/>
          <w:color w:val="4d4d4d"/>
          <w:sz w:val="24"/>
          <w:szCs w:val="24"/>
        </w:rPr>
      </w:pPr>
      <w:r w:rsidDel="00000000" w:rsidR="00000000" w:rsidRPr="00000000">
        <w:rPr>
          <w:sz w:val="24"/>
          <w:szCs w:val="24"/>
          <w:rtl w:val="0"/>
        </w:rPr>
        <w:t xml:space="preserve">UN</w:t>
      </w:r>
      <w:r w:rsidDel="00000000" w:rsidR="00000000" w:rsidRPr="00000000">
        <w:rPr>
          <w:i w:val="1"/>
          <w:sz w:val="24"/>
          <w:szCs w:val="24"/>
          <w:rtl w:val="0"/>
        </w:rPr>
        <w:t xml:space="preserve">, </w:t>
      </w:r>
      <w:r w:rsidDel="00000000" w:rsidR="00000000" w:rsidRPr="00000000">
        <w:rPr>
          <w:i w:val="1"/>
          <w:sz w:val="24"/>
          <w:szCs w:val="24"/>
          <w:rtl w:val="0"/>
        </w:rPr>
        <w:t xml:space="preserve">#Envision2030: 17 goals to transform the world for persons with disabilities</w:t>
      </w:r>
      <w:r w:rsidDel="00000000" w:rsidR="00000000" w:rsidRPr="00000000">
        <w:rPr>
          <w:i w:val="1"/>
          <w:sz w:val="24"/>
          <w:szCs w:val="24"/>
          <w:rtl w:val="0"/>
        </w:rPr>
        <w:t xml:space="preserve">,</w:t>
      </w:r>
      <w:r w:rsidDel="00000000" w:rsidR="00000000" w:rsidRPr="00000000">
        <w:rPr>
          <w:i w:val="1"/>
          <w:color w:val="4d4d4d"/>
          <w:sz w:val="24"/>
          <w:szCs w:val="24"/>
          <w:rtl w:val="0"/>
        </w:rPr>
        <w:t xml:space="preserve">Department of Economic and Social Affairs</w:t>
      </w:r>
    </w:p>
    <w:p w:rsidR="00000000" w:rsidDel="00000000" w:rsidP="00000000" w:rsidRDefault="00000000" w:rsidRPr="00000000" w14:paraId="0000003B">
      <w:pPr>
        <w:spacing w:line="360" w:lineRule="auto"/>
        <w:rPr>
          <w:sz w:val="24"/>
          <w:szCs w:val="24"/>
        </w:rPr>
      </w:pPr>
      <w:r w:rsidDel="00000000" w:rsidR="00000000" w:rsidRPr="00000000">
        <w:rPr>
          <w:i w:val="1"/>
          <w:color w:val="4d4d4d"/>
          <w:sz w:val="24"/>
          <w:szCs w:val="24"/>
          <w:rtl w:val="0"/>
        </w:rPr>
        <w:t xml:space="preserve">Disability.</w:t>
      </w:r>
      <w:r w:rsidDel="00000000" w:rsidR="00000000" w:rsidRPr="00000000">
        <w:rPr>
          <w:sz w:val="24"/>
          <w:szCs w:val="24"/>
          <w:rtl w:val="0"/>
        </w:rPr>
        <w:t xml:space="preserve"> 2020.</w:t>
      </w:r>
    </w:p>
    <w:p w:rsidR="00000000" w:rsidDel="00000000" w:rsidP="00000000" w:rsidRDefault="00000000" w:rsidRPr="00000000" w14:paraId="0000003C">
      <w:pPr>
        <w:spacing w:line="360" w:lineRule="auto"/>
        <w:rPr>
          <w:sz w:val="24"/>
          <w:szCs w:val="24"/>
        </w:rPr>
      </w:pPr>
      <w:r w:rsidDel="00000000" w:rsidR="00000000" w:rsidRPr="00000000">
        <w:rPr>
          <w:sz w:val="24"/>
          <w:szCs w:val="24"/>
          <w:rtl w:val="0"/>
        </w:rPr>
        <w:t xml:space="preserve">Accessed on: April 14th 2020</w:t>
      </w:r>
    </w:p>
    <w:p w:rsidR="00000000" w:rsidDel="00000000" w:rsidP="00000000" w:rsidRDefault="00000000" w:rsidRPr="00000000" w14:paraId="0000003D">
      <w:pPr>
        <w:spacing w:line="360" w:lineRule="auto"/>
        <w:rPr>
          <w:sz w:val="24"/>
          <w:szCs w:val="24"/>
        </w:rPr>
      </w:pPr>
      <w:r w:rsidDel="00000000" w:rsidR="00000000" w:rsidRPr="00000000">
        <w:rPr>
          <w:sz w:val="24"/>
          <w:szCs w:val="24"/>
          <w:rtl w:val="0"/>
        </w:rPr>
        <w:t xml:space="preserve">Available at: https: </w:t>
      </w:r>
      <w:r w:rsidDel="00000000" w:rsidR="00000000" w:rsidRPr="00000000">
        <w:rPr>
          <w:sz w:val="24"/>
          <w:szCs w:val="24"/>
          <w:rtl w:val="0"/>
        </w:rPr>
        <w:t xml:space="preserve">https://www.un.org/development/desa/disabilities/envision2030.html</w:t>
      </w:r>
    </w:p>
    <w:p w:rsidR="00000000" w:rsidDel="00000000" w:rsidP="00000000" w:rsidRDefault="00000000" w:rsidRPr="00000000" w14:paraId="0000003E">
      <w:pPr>
        <w:pBdr>
          <w:top w:color="auto" w:space="0" w:sz="0" w:val="none"/>
          <w:bottom w:color="auto" w:space="0" w:sz="0" w:val="none"/>
          <w:right w:color="auto" w:space="0" w:sz="0" w:val="none"/>
          <w:between w:color="auto" w:space="0" w:sz="0" w:val="none"/>
        </w:pBdr>
        <w:spacing w:after="500" w:line="480" w:lineRule="auto"/>
        <w:ind w:left="0" w:firstLine="0"/>
        <w:rPr>
          <w:sz w:val="24"/>
          <w:szCs w:val="24"/>
          <w:shd w:fill="d9d2e9" w:val="clea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eur-lex.europa.eu/LexUriServ/LexUriServ.do?uri=OJ:L:2013:218:0008:0014:EN:PDF" TargetMode="External"/><Relationship Id="rId7" Type="http://schemas.openxmlformats.org/officeDocument/2006/relationships/hyperlink" Target="https://eur-lex.europa.eu/legal-content/EN/TXT/?uri=uriserv:OJ.L_.2019.123.01.0018.01.ENG" TargetMode="External"/><Relationship Id="rId8" Type="http://schemas.openxmlformats.org/officeDocument/2006/relationships/hyperlink" Target="https://www.coe.int/en/web/conventions/full-list/-/conventions/treaty/1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