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DE4B1" w14:textId="77777777" w:rsidR="009369DE" w:rsidRDefault="001C1F5F" w:rsidP="00707E49">
      <w:pPr>
        <w:spacing w:before="120" w:after="120"/>
      </w:pPr>
      <w:r>
        <w:rPr>
          <w:noProof/>
          <w:sz w:val="20"/>
          <w:lang w:eastAsia="en-GB"/>
        </w:rPr>
        <w:drawing>
          <wp:inline distT="0" distB="0" distL="0" distR="0" wp14:anchorId="1EA49529" wp14:editId="2AFAFBFF">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2C294E96" w14:textId="77777777" w:rsidR="006153B5" w:rsidRDefault="006153B5" w:rsidP="00707E49">
      <w:pPr>
        <w:spacing w:before="120" w:after="120"/>
      </w:pPr>
    </w:p>
    <w:p w14:paraId="0E1E6216" w14:textId="77777777" w:rsidR="006153B5" w:rsidRDefault="006153B5" w:rsidP="00707E49">
      <w:pPr>
        <w:spacing w:before="120" w:after="120"/>
      </w:pPr>
    </w:p>
    <w:p w14:paraId="72BDF999" w14:textId="7E962B29" w:rsidR="006153B5" w:rsidRPr="006153B5" w:rsidRDefault="006153B5" w:rsidP="006153B5">
      <w:pPr>
        <w:spacing w:before="120" w:after="120"/>
        <w:jc w:val="center"/>
        <w:rPr>
          <w:sz w:val="48"/>
          <w:szCs w:val="44"/>
        </w:rPr>
      </w:pPr>
      <w:r w:rsidRPr="006153B5">
        <w:rPr>
          <w:sz w:val="48"/>
          <w:szCs w:val="44"/>
        </w:rPr>
        <w:t>University of Wales Trinity Saint David</w:t>
      </w:r>
    </w:p>
    <w:p w14:paraId="419B0B01" w14:textId="77777777" w:rsidR="00EE0B40" w:rsidRDefault="00EE0B40" w:rsidP="00707E49">
      <w:pPr>
        <w:spacing w:before="120" w:after="120"/>
      </w:pPr>
    </w:p>
    <w:p w14:paraId="1BEDEA14" w14:textId="77777777" w:rsidR="006153B5" w:rsidRDefault="006153B5" w:rsidP="00707E49">
      <w:pPr>
        <w:spacing w:before="120" w:after="120"/>
      </w:pPr>
    </w:p>
    <w:p w14:paraId="6E75C794" w14:textId="77777777" w:rsidR="006153B5" w:rsidRDefault="006153B5" w:rsidP="00707E49">
      <w:pPr>
        <w:spacing w:before="120" w:after="120"/>
      </w:pPr>
    </w:p>
    <w:p w14:paraId="57816E76" w14:textId="77777777" w:rsidR="006153B5" w:rsidRDefault="006153B5" w:rsidP="00707E49">
      <w:pPr>
        <w:spacing w:before="120" w:after="120"/>
      </w:pPr>
    </w:p>
    <w:p w14:paraId="5FA99116" w14:textId="072FF35B" w:rsidR="006153B5" w:rsidRPr="006153B5" w:rsidRDefault="006153B5" w:rsidP="006153B5">
      <w:pPr>
        <w:spacing w:before="120" w:after="120"/>
        <w:jc w:val="center"/>
        <w:rPr>
          <w:rFonts w:ascii="Tahoma" w:hAnsi="Tahoma" w:cs="Tahoma"/>
          <w:color w:val="000000"/>
          <w:sz w:val="40"/>
          <w:szCs w:val="40"/>
          <w:shd w:val="clear" w:color="auto" w:fill="FFFFFF"/>
        </w:rPr>
      </w:pPr>
      <w:r w:rsidRPr="006153B5">
        <w:rPr>
          <w:sz w:val="40"/>
          <w:szCs w:val="36"/>
        </w:rPr>
        <w:t>S</w:t>
      </w:r>
      <w:r w:rsidRPr="006153B5">
        <w:rPr>
          <w:rFonts w:ascii="Tahoma" w:hAnsi="Tahoma" w:cs="Tahoma"/>
          <w:color w:val="000000"/>
          <w:sz w:val="40"/>
          <w:szCs w:val="40"/>
          <w:shd w:val="clear" w:color="auto" w:fill="FFFFFF"/>
        </w:rPr>
        <w:t>trategic Management &amp; Sustainability</w:t>
      </w:r>
    </w:p>
    <w:p w14:paraId="6B2498AF" w14:textId="55978EEC" w:rsidR="006153B5" w:rsidRDefault="006153B5" w:rsidP="006153B5">
      <w:pPr>
        <w:spacing w:before="120" w:after="120"/>
        <w:jc w:val="center"/>
        <w:rPr>
          <w:rFonts w:ascii="Tahoma" w:hAnsi="Tahoma" w:cs="Tahoma"/>
          <w:color w:val="000000"/>
          <w:sz w:val="26"/>
          <w:szCs w:val="26"/>
          <w:shd w:val="clear" w:color="auto" w:fill="FFFFFF"/>
        </w:rPr>
      </w:pPr>
      <w:r>
        <w:rPr>
          <w:rFonts w:ascii="Tahoma" w:hAnsi="Tahoma" w:cs="Tahoma"/>
          <w:color w:val="000000"/>
          <w:sz w:val="26"/>
          <w:szCs w:val="26"/>
          <w:shd w:val="clear" w:color="auto" w:fill="FFFFFF"/>
        </w:rPr>
        <w:t>LCBB6004</w:t>
      </w:r>
    </w:p>
    <w:p w14:paraId="2FC1B9C3" w14:textId="77777777" w:rsidR="006153B5" w:rsidRDefault="006153B5" w:rsidP="006153B5">
      <w:pPr>
        <w:spacing w:before="120" w:after="120"/>
        <w:jc w:val="center"/>
        <w:rPr>
          <w:rFonts w:ascii="Tahoma" w:hAnsi="Tahoma" w:cs="Tahoma"/>
          <w:color w:val="000000"/>
          <w:sz w:val="26"/>
          <w:szCs w:val="26"/>
          <w:shd w:val="clear" w:color="auto" w:fill="FFFFFF"/>
        </w:rPr>
      </w:pPr>
    </w:p>
    <w:p w14:paraId="4299FD97" w14:textId="6C9AE14F" w:rsidR="006153B5" w:rsidRDefault="006153B5" w:rsidP="006153B5">
      <w:pPr>
        <w:spacing w:before="120" w:after="120"/>
        <w:jc w:val="center"/>
      </w:pPr>
      <w:r>
        <w:rPr>
          <w:rFonts w:ascii="Tahoma" w:hAnsi="Tahoma" w:cs="Tahoma"/>
          <w:color w:val="000000"/>
          <w:sz w:val="26"/>
          <w:szCs w:val="26"/>
          <w:shd w:val="clear" w:color="auto" w:fill="FFFFFF"/>
        </w:rPr>
        <w:t>Assessment 1 - Report</w:t>
      </w:r>
    </w:p>
    <w:p w14:paraId="52CE9F56" w14:textId="77777777" w:rsidR="006153B5" w:rsidRDefault="006153B5" w:rsidP="00707E49">
      <w:pPr>
        <w:spacing w:before="120" w:after="120"/>
      </w:pPr>
    </w:p>
    <w:p w14:paraId="2AAA8F22" w14:textId="77777777" w:rsidR="006153B5" w:rsidRDefault="006153B5" w:rsidP="00707E49">
      <w:pPr>
        <w:spacing w:before="120" w:after="120"/>
      </w:pPr>
    </w:p>
    <w:p w14:paraId="105B0561" w14:textId="77777777" w:rsidR="006153B5" w:rsidRDefault="006153B5" w:rsidP="00707E49">
      <w:pPr>
        <w:spacing w:before="120" w:after="120"/>
      </w:pPr>
    </w:p>
    <w:p w14:paraId="3447D9E6" w14:textId="77777777" w:rsidR="006153B5" w:rsidRDefault="006153B5" w:rsidP="00707E49">
      <w:pPr>
        <w:spacing w:before="120" w:after="120"/>
      </w:pPr>
    </w:p>
    <w:p w14:paraId="007ABC29" w14:textId="77777777" w:rsidR="006153B5" w:rsidRDefault="006153B5" w:rsidP="00707E49">
      <w:pPr>
        <w:spacing w:before="120" w:after="120"/>
      </w:pPr>
    </w:p>
    <w:p w14:paraId="7D35ED4E" w14:textId="77777777" w:rsidR="006153B5" w:rsidRDefault="006153B5" w:rsidP="00707E49">
      <w:pPr>
        <w:spacing w:before="120" w:after="120"/>
      </w:pPr>
    </w:p>
    <w:p w14:paraId="0CD1E42E" w14:textId="77777777" w:rsidR="006153B5" w:rsidRDefault="006153B5" w:rsidP="00707E49">
      <w:pPr>
        <w:spacing w:before="120" w:after="120"/>
      </w:pPr>
    </w:p>
    <w:p w14:paraId="5E7559B8" w14:textId="77777777" w:rsidR="006153B5" w:rsidRDefault="006153B5" w:rsidP="00707E49">
      <w:pPr>
        <w:spacing w:before="120" w:after="120"/>
      </w:pPr>
    </w:p>
    <w:p w14:paraId="70CC4E16" w14:textId="77777777" w:rsidR="00EE0B40" w:rsidRDefault="00EE0B40" w:rsidP="00707E49">
      <w:pPr>
        <w:spacing w:before="120" w:after="120"/>
      </w:pPr>
    </w:p>
    <w:p w14:paraId="68DCA3C4" w14:textId="3C720DEB" w:rsidR="00EE0B40" w:rsidRPr="00EE0B40" w:rsidRDefault="001C1F5F" w:rsidP="00707E49">
      <w:pPr>
        <w:spacing w:before="120" w:after="120"/>
        <w:jc w:val="center"/>
        <w:rPr>
          <w:b/>
          <w:bCs/>
        </w:rPr>
      </w:pPr>
      <w:r w:rsidRPr="00EE0B40">
        <w:rPr>
          <w:b/>
          <w:bCs/>
        </w:rPr>
        <w:t>Student name:</w:t>
      </w:r>
      <w:r w:rsidR="006153B5">
        <w:rPr>
          <w:b/>
          <w:bCs/>
        </w:rPr>
        <w:t xml:space="preserve"> Dobrinka Vasileva</w:t>
      </w:r>
    </w:p>
    <w:p w14:paraId="17E37FD7" w14:textId="55A030C2" w:rsidR="00EE0B40" w:rsidRPr="006153B5" w:rsidRDefault="001C1F5F" w:rsidP="006153B5">
      <w:pPr>
        <w:spacing w:before="120" w:after="120"/>
        <w:jc w:val="center"/>
        <w:rPr>
          <w:b/>
          <w:bCs/>
        </w:rPr>
      </w:pPr>
      <w:r w:rsidRPr="00EE0B40">
        <w:rPr>
          <w:b/>
          <w:bCs/>
        </w:rPr>
        <w:t>Student ID:</w:t>
      </w:r>
      <w:r w:rsidR="006153B5">
        <w:rPr>
          <w:b/>
          <w:bCs/>
        </w:rPr>
        <w:t xml:space="preserve"> 2030402</w:t>
      </w:r>
    </w:p>
    <w:p w14:paraId="0DAC0AFD" w14:textId="77777777" w:rsidR="00DF5752" w:rsidRDefault="001C1F5F" w:rsidP="00707E49">
      <w:pPr>
        <w:spacing w:before="120" w:after="120"/>
        <w:rPr>
          <w:b/>
          <w:bCs/>
        </w:rPr>
      </w:pPr>
      <w:r w:rsidRPr="00EE0B40">
        <w:rPr>
          <w:b/>
          <w:bCs/>
        </w:rPr>
        <w:lastRenderedPageBreak/>
        <w:t>Executive Summary</w:t>
      </w:r>
    </w:p>
    <w:p w14:paraId="1C2E4203" w14:textId="77777777" w:rsidR="006673CF" w:rsidRDefault="001C1F5F" w:rsidP="00707E49">
      <w:pPr>
        <w:spacing w:before="120" w:after="120"/>
      </w:pPr>
      <w:r>
        <w:t xml:space="preserve">This report focuses on the topic of strategic reviews in business, underpinned by research and observation on the business of a chosen UK business. This includes assessing the strategy of the business and the company's implementation of it in its operations as well as identifying the resources and capabilities of the business and its alignment with current business strategies. Furthermore, the report also assesses the competitive strategy of the business and how it creates an advantage over rivals, both in market performance and sustainability aspects. Lastly, the report discusses potential strategic directions for the chosen business and provides recommendations for further improvement of sustainability practices. </w:t>
      </w:r>
    </w:p>
    <w:p w14:paraId="35A7261C" w14:textId="77777777" w:rsidR="00DF4701" w:rsidRDefault="001C1F5F" w:rsidP="00707E49">
      <w:pPr>
        <w:spacing w:before="120" w:after="120"/>
        <w:jc w:val="left"/>
      </w:pPr>
      <w:r>
        <w:br w:type="page"/>
      </w:r>
    </w:p>
    <w:sdt>
      <w:sdtPr>
        <w:rPr>
          <w:rFonts w:ascii="Times New Roman" w:eastAsiaTheme="minorHAnsi" w:hAnsi="Times New Roman" w:cstheme="minorBidi"/>
          <w:color w:val="auto"/>
          <w:kern w:val="2"/>
          <w:sz w:val="24"/>
          <w:szCs w:val="22"/>
          <w:lang w:val="en-GB"/>
          <w14:ligatures w14:val="standardContextual"/>
        </w:rPr>
        <w:id w:val="-1829204642"/>
        <w:docPartObj>
          <w:docPartGallery w:val="Table of Contents"/>
          <w:docPartUnique/>
        </w:docPartObj>
      </w:sdtPr>
      <w:sdtEndPr>
        <w:rPr>
          <w:b/>
          <w:bCs/>
          <w:noProof/>
        </w:rPr>
      </w:sdtEndPr>
      <w:sdtContent>
        <w:p w14:paraId="686DE2C6" w14:textId="77777777" w:rsidR="00EE0B40" w:rsidRPr="00EE0B40" w:rsidRDefault="001C1F5F" w:rsidP="00707E49">
          <w:pPr>
            <w:pStyle w:val="TOCHeading"/>
            <w:spacing w:before="120" w:after="120" w:line="360" w:lineRule="auto"/>
            <w:jc w:val="center"/>
            <w:rPr>
              <w:rFonts w:ascii="Times New Roman" w:hAnsi="Times New Roman" w:cs="Times New Roman"/>
              <w:b/>
              <w:bCs/>
              <w:color w:val="auto"/>
              <w:sz w:val="24"/>
              <w:szCs w:val="24"/>
            </w:rPr>
          </w:pPr>
          <w:r w:rsidRPr="00EE0B40">
            <w:rPr>
              <w:rFonts w:ascii="Times New Roman" w:hAnsi="Times New Roman" w:cs="Times New Roman"/>
              <w:b/>
              <w:bCs/>
              <w:color w:val="auto"/>
              <w:sz w:val="24"/>
              <w:szCs w:val="24"/>
            </w:rPr>
            <w:t>Table of Contents</w:t>
          </w:r>
        </w:p>
        <w:p w14:paraId="5AA1C7A1" w14:textId="77777777" w:rsidR="003D3A10" w:rsidRDefault="001C1F5F">
          <w:pPr>
            <w:pStyle w:val="TOC1"/>
            <w:tabs>
              <w:tab w:val="right" w:leader="dot" w:pos="9016"/>
            </w:tabs>
            <w:rPr>
              <w:rFonts w:asciiTheme="minorHAnsi" w:eastAsiaTheme="minorEastAsia" w:hAnsiTheme="minorHAnsi"/>
              <w:noProof/>
              <w:kern w:val="0"/>
              <w:sz w:val="22"/>
              <w:lang w:eastAsia="en-GB"/>
              <w14:ligatures w14:val="none"/>
            </w:rPr>
          </w:pPr>
          <w:r>
            <w:fldChar w:fldCharType="begin"/>
          </w:r>
          <w:r>
            <w:instrText xml:space="preserve"> TOC \o "1-3" \h \z \u </w:instrText>
          </w:r>
          <w:r>
            <w:fldChar w:fldCharType="separate"/>
          </w:r>
          <w:hyperlink w:anchor="_Toc152867874" w:history="1">
            <w:r w:rsidR="003D3A10" w:rsidRPr="00FE3A22">
              <w:rPr>
                <w:rStyle w:val="Hyperlink"/>
                <w:noProof/>
              </w:rPr>
              <w:t>Introduction</w:t>
            </w:r>
            <w:r w:rsidR="003D3A10">
              <w:rPr>
                <w:noProof/>
                <w:webHidden/>
              </w:rPr>
              <w:tab/>
            </w:r>
            <w:r w:rsidR="003D3A10">
              <w:rPr>
                <w:noProof/>
                <w:webHidden/>
              </w:rPr>
              <w:fldChar w:fldCharType="begin"/>
            </w:r>
            <w:r w:rsidR="003D3A10">
              <w:rPr>
                <w:noProof/>
                <w:webHidden/>
              </w:rPr>
              <w:instrText xml:space="preserve"> PAGEREF _Toc152867874 \h </w:instrText>
            </w:r>
            <w:r w:rsidR="003D3A10">
              <w:rPr>
                <w:noProof/>
                <w:webHidden/>
              </w:rPr>
            </w:r>
            <w:r w:rsidR="003D3A10">
              <w:rPr>
                <w:noProof/>
                <w:webHidden/>
              </w:rPr>
              <w:fldChar w:fldCharType="separate"/>
            </w:r>
            <w:r w:rsidR="003D3A10">
              <w:rPr>
                <w:noProof/>
                <w:webHidden/>
              </w:rPr>
              <w:t>4</w:t>
            </w:r>
            <w:r w:rsidR="003D3A10">
              <w:rPr>
                <w:noProof/>
                <w:webHidden/>
              </w:rPr>
              <w:fldChar w:fldCharType="end"/>
            </w:r>
          </w:hyperlink>
        </w:p>
        <w:p w14:paraId="0B745571" w14:textId="77777777" w:rsidR="003D3A10" w:rsidRDefault="00881111">
          <w:pPr>
            <w:pStyle w:val="TOC1"/>
            <w:tabs>
              <w:tab w:val="right" w:leader="dot" w:pos="9016"/>
            </w:tabs>
            <w:rPr>
              <w:rFonts w:asciiTheme="minorHAnsi" w:eastAsiaTheme="minorEastAsia" w:hAnsiTheme="minorHAnsi"/>
              <w:noProof/>
              <w:kern w:val="0"/>
              <w:sz w:val="22"/>
              <w:lang w:eastAsia="en-GB"/>
              <w14:ligatures w14:val="none"/>
            </w:rPr>
          </w:pPr>
          <w:hyperlink w:anchor="_Toc152867875" w:history="1">
            <w:r w:rsidR="003D3A10" w:rsidRPr="00FE3A22">
              <w:rPr>
                <w:rStyle w:val="Hyperlink"/>
                <w:noProof/>
              </w:rPr>
              <w:t>Identify with evidence the key business and corporate strategies of the company.</w:t>
            </w:r>
            <w:r w:rsidR="003D3A10">
              <w:rPr>
                <w:noProof/>
                <w:webHidden/>
              </w:rPr>
              <w:tab/>
            </w:r>
            <w:r w:rsidR="003D3A10">
              <w:rPr>
                <w:noProof/>
                <w:webHidden/>
              </w:rPr>
              <w:fldChar w:fldCharType="begin"/>
            </w:r>
            <w:r w:rsidR="003D3A10">
              <w:rPr>
                <w:noProof/>
                <w:webHidden/>
              </w:rPr>
              <w:instrText xml:space="preserve"> PAGEREF _Toc152867875 \h </w:instrText>
            </w:r>
            <w:r w:rsidR="003D3A10">
              <w:rPr>
                <w:noProof/>
                <w:webHidden/>
              </w:rPr>
            </w:r>
            <w:r w:rsidR="003D3A10">
              <w:rPr>
                <w:noProof/>
                <w:webHidden/>
              </w:rPr>
              <w:fldChar w:fldCharType="separate"/>
            </w:r>
            <w:r w:rsidR="003D3A10">
              <w:rPr>
                <w:noProof/>
                <w:webHidden/>
              </w:rPr>
              <w:t>5</w:t>
            </w:r>
            <w:r w:rsidR="003D3A10">
              <w:rPr>
                <w:noProof/>
                <w:webHidden/>
              </w:rPr>
              <w:fldChar w:fldCharType="end"/>
            </w:r>
          </w:hyperlink>
        </w:p>
        <w:p w14:paraId="08FE7D63" w14:textId="77777777" w:rsidR="003D3A10" w:rsidRDefault="00881111">
          <w:pPr>
            <w:pStyle w:val="TOC1"/>
            <w:tabs>
              <w:tab w:val="right" w:leader="dot" w:pos="9016"/>
            </w:tabs>
            <w:rPr>
              <w:rFonts w:asciiTheme="minorHAnsi" w:eastAsiaTheme="minorEastAsia" w:hAnsiTheme="minorHAnsi"/>
              <w:noProof/>
              <w:kern w:val="0"/>
              <w:sz w:val="22"/>
              <w:lang w:eastAsia="en-GB"/>
              <w14:ligatures w14:val="none"/>
            </w:rPr>
          </w:pPr>
          <w:hyperlink w:anchor="_Toc152867876" w:history="1">
            <w:r w:rsidR="003D3A10" w:rsidRPr="00FE3A22">
              <w:rPr>
                <w:rStyle w:val="Hyperlink"/>
                <w:noProof/>
              </w:rPr>
              <w:t>Identify with evidence the resources and capabilities of the selected company and analyse to what extent the company has aligned its resources and capabilities to its current business/corporate strategies.</w:t>
            </w:r>
            <w:r w:rsidR="003D3A10">
              <w:rPr>
                <w:noProof/>
                <w:webHidden/>
              </w:rPr>
              <w:tab/>
            </w:r>
            <w:r w:rsidR="003D3A10">
              <w:rPr>
                <w:noProof/>
                <w:webHidden/>
              </w:rPr>
              <w:fldChar w:fldCharType="begin"/>
            </w:r>
            <w:r w:rsidR="003D3A10">
              <w:rPr>
                <w:noProof/>
                <w:webHidden/>
              </w:rPr>
              <w:instrText xml:space="preserve"> PAGEREF _Toc152867876 \h </w:instrText>
            </w:r>
            <w:r w:rsidR="003D3A10">
              <w:rPr>
                <w:noProof/>
                <w:webHidden/>
              </w:rPr>
            </w:r>
            <w:r w:rsidR="003D3A10">
              <w:rPr>
                <w:noProof/>
                <w:webHidden/>
              </w:rPr>
              <w:fldChar w:fldCharType="separate"/>
            </w:r>
            <w:r w:rsidR="003D3A10">
              <w:rPr>
                <w:noProof/>
                <w:webHidden/>
              </w:rPr>
              <w:t>7</w:t>
            </w:r>
            <w:r w:rsidR="003D3A10">
              <w:rPr>
                <w:noProof/>
                <w:webHidden/>
              </w:rPr>
              <w:fldChar w:fldCharType="end"/>
            </w:r>
          </w:hyperlink>
        </w:p>
        <w:p w14:paraId="261CEE52" w14:textId="77777777" w:rsidR="003D3A10" w:rsidRDefault="00881111">
          <w:pPr>
            <w:pStyle w:val="TOC1"/>
            <w:tabs>
              <w:tab w:val="right" w:leader="dot" w:pos="9016"/>
            </w:tabs>
            <w:rPr>
              <w:rFonts w:asciiTheme="minorHAnsi" w:eastAsiaTheme="minorEastAsia" w:hAnsiTheme="minorHAnsi"/>
              <w:noProof/>
              <w:kern w:val="0"/>
              <w:sz w:val="22"/>
              <w:lang w:eastAsia="en-GB"/>
              <w14:ligatures w14:val="none"/>
            </w:rPr>
          </w:pPr>
          <w:hyperlink w:anchor="_Toc152867877" w:history="1">
            <w:r w:rsidR="003D3A10" w:rsidRPr="00FE3A22">
              <w:rPr>
                <w:rStyle w:val="Hyperlink"/>
                <w:noProof/>
              </w:rPr>
              <w:t>Evaluate with evidence how successful the company has been in implementing selected business and corporate strategies to compete in the market and create competitive advantages over rivals.</w:t>
            </w:r>
            <w:r w:rsidR="003D3A10">
              <w:rPr>
                <w:noProof/>
                <w:webHidden/>
              </w:rPr>
              <w:tab/>
            </w:r>
            <w:r w:rsidR="003D3A10">
              <w:rPr>
                <w:noProof/>
                <w:webHidden/>
              </w:rPr>
              <w:fldChar w:fldCharType="begin"/>
            </w:r>
            <w:r w:rsidR="003D3A10">
              <w:rPr>
                <w:noProof/>
                <w:webHidden/>
              </w:rPr>
              <w:instrText xml:space="preserve"> PAGEREF _Toc152867877 \h </w:instrText>
            </w:r>
            <w:r w:rsidR="003D3A10">
              <w:rPr>
                <w:noProof/>
                <w:webHidden/>
              </w:rPr>
            </w:r>
            <w:r w:rsidR="003D3A10">
              <w:rPr>
                <w:noProof/>
                <w:webHidden/>
              </w:rPr>
              <w:fldChar w:fldCharType="separate"/>
            </w:r>
            <w:r w:rsidR="003D3A10">
              <w:rPr>
                <w:noProof/>
                <w:webHidden/>
              </w:rPr>
              <w:t>11</w:t>
            </w:r>
            <w:r w:rsidR="003D3A10">
              <w:rPr>
                <w:noProof/>
                <w:webHidden/>
              </w:rPr>
              <w:fldChar w:fldCharType="end"/>
            </w:r>
          </w:hyperlink>
        </w:p>
        <w:p w14:paraId="3EEF91D6" w14:textId="77777777" w:rsidR="003D3A10" w:rsidRDefault="00881111">
          <w:pPr>
            <w:pStyle w:val="TOC1"/>
            <w:tabs>
              <w:tab w:val="right" w:leader="dot" w:pos="9016"/>
            </w:tabs>
            <w:rPr>
              <w:rFonts w:asciiTheme="minorHAnsi" w:eastAsiaTheme="minorEastAsia" w:hAnsiTheme="minorHAnsi"/>
              <w:noProof/>
              <w:kern w:val="0"/>
              <w:sz w:val="22"/>
              <w:lang w:eastAsia="en-GB"/>
              <w14:ligatures w14:val="none"/>
            </w:rPr>
          </w:pPr>
          <w:hyperlink w:anchor="_Toc152867878" w:history="1">
            <w:r w:rsidR="003D3A10" w:rsidRPr="00FE3A22">
              <w:rPr>
                <w:rStyle w:val="Hyperlink"/>
                <w:noProof/>
              </w:rPr>
              <w:t>Evaluate with evidence how the selected company has tried to become more competitive while taking into consideration sustainability and the environment.</w:t>
            </w:r>
            <w:r w:rsidR="003D3A10">
              <w:rPr>
                <w:noProof/>
                <w:webHidden/>
              </w:rPr>
              <w:tab/>
            </w:r>
            <w:r w:rsidR="003D3A10">
              <w:rPr>
                <w:noProof/>
                <w:webHidden/>
              </w:rPr>
              <w:fldChar w:fldCharType="begin"/>
            </w:r>
            <w:r w:rsidR="003D3A10">
              <w:rPr>
                <w:noProof/>
                <w:webHidden/>
              </w:rPr>
              <w:instrText xml:space="preserve"> PAGEREF _Toc152867878 \h </w:instrText>
            </w:r>
            <w:r w:rsidR="003D3A10">
              <w:rPr>
                <w:noProof/>
                <w:webHidden/>
              </w:rPr>
            </w:r>
            <w:r w:rsidR="003D3A10">
              <w:rPr>
                <w:noProof/>
                <w:webHidden/>
              </w:rPr>
              <w:fldChar w:fldCharType="separate"/>
            </w:r>
            <w:r w:rsidR="003D3A10">
              <w:rPr>
                <w:noProof/>
                <w:webHidden/>
              </w:rPr>
              <w:t>13</w:t>
            </w:r>
            <w:r w:rsidR="003D3A10">
              <w:rPr>
                <w:noProof/>
                <w:webHidden/>
              </w:rPr>
              <w:fldChar w:fldCharType="end"/>
            </w:r>
          </w:hyperlink>
        </w:p>
        <w:p w14:paraId="07BA949D" w14:textId="77777777" w:rsidR="003D3A10" w:rsidRDefault="00881111">
          <w:pPr>
            <w:pStyle w:val="TOC1"/>
            <w:tabs>
              <w:tab w:val="right" w:leader="dot" w:pos="9016"/>
            </w:tabs>
            <w:rPr>
              <w:rFonts w:asciiTheme="minorHAnsi" w:eastAsiaTheme="minorEastAsia" w:hAnsiTheme="minorHAnsi"/>
              <w:noProof/>
              <w:kern w:val="0"/>
              <w:sz w:val="22"/>
              <w:lang w:eastAsia="en-GB"/>
              <w14:ligatures w14:val="none"/>
            </w:rPr>
          </w:pPr>
          <w:hyperlink w:anchor="_Toc152867879" w:history="1">
            <w:r w:rsidR="003D3A10" w:rsidRPr="00FE3A22">
              <w:rPr>
                <w:rStyle w:val="Hyperlink"/>
                <w:noProof/>
              </w:rPr>
              <w:t>Evaluate the choices available for the company’s strategic direction in the future.</w:t>
            </w:r>
            <w:r w:rsidR="003D3A10">
              <w:rPr>
                <w:noProof/>
                <w:webHidden/>
              </w:rPr>
              <w:tab/>
            </w:r>
            <w:r w:rsidR="003D3A10">
              <w:rPr>
                <w:noProof/>
                <w:webHidden/>
              </w:rPr>
              <w:fldChar w:fldCharType="begin"/>
            </w:r>
            <w:r w:rsidR="003D3A10">
              <w:rPr>
                <w:noProof/>
                <w:webHidden/>
              </w:rPr>
              <w:instrText xml:space="preserve"> PAGEREF _Toc152867879 \h </w:instrText>
            </w:r>
            <w:r w:rsidR="003D3A10">
              <w:rPr>
                <w:noProof/>
                <w:webHidden/>
              </w:rPr>
            </w:r>
            <w:r w:rsidR="003D3A10">
              <w:rPr>
                <w:noProof/>
                <w:webHidden/>
              </w:rPr>
              <w:fldChar w:fldCharType="separate"/>
            </w:r>
            <w:r w:rsidR="003D3A10">
              <w:rPr>
                <w:noProof/>
                <w:webHidden/>
              </w:rPr>
              <w:t>15</w:t>
            </w:r>
            <w:r w:rsidR="003D3A10">
              <w:rPr>
                <w:noProof/>
                <w:webHidden/>
              </w:rPr>
              <w:fldChar w:fldCharType="end"/>
            </w:r>
          </w:hyperlink>
        </w:p>
        <w:p w14:paraId="1BE404A8" w14:textId="77777777" w:rsidR="003D3A10" w:rsidRDefault="00881111">
          <w:pPr>
            <w:pStyle w:val="TOC1"/>
            <w:tabs>
              <w:tab w:val="right" w:leader="dot" w:pos="9016"/>
            </w:tabs>
            <w:rPr>
              <w:rFonts w:asciiTheme="minorHAnsi" w:eastAsiaTheme="minorEastAsia" w:hAnsiTheme="minorHAnsi"/>
              <w:noProof/>
              <w:kern w:val="0"/>
              <w:sz w:val="22"/>
              <w:lang w:eastAsia="en-GB"/>
              <w14:ligatures w14:val="none"/>
            </w:rPr>
          </w:pPr>
          <w:hyperlink w:anchor="_Toc152867880" w:history="1">
            <w:r w:rsidR="003D3A10" w:rsidRPr="00FE3A22">
              <w:rPr>
                <w:rStyle w:val="Hyperlink"/>
                <w:noProof/>
              </w:rPr>
              <w:t>Conclusion</w:t>
            </w:r>
            <w:r w:rsidR="003D3A10">
              <w:rPr>
                <w:noProof/>
                <w:webHidden/>
              </w:rPr>
              <w:tab/>
            </w:r>
            <w:r w:rsidR="003D3A10">
              <w:rPr>
                <w:noProof/>
                <w:webHidden/>
              </w:rPr>
              <w:fldChar w:fldCharType="begin"/>
            </w:r>
            <w:r w:rsidR="003D3A10">
              <w:rPr>
                <w:noProof/>
                <w:webHidden/>
              </w:rPr>
              <w:instrText xml:space="preserve"> PAGEREF _Toc152867880 \h </w:instrText>
            </w:r>
            <w:r w:rsidR="003D3A10">
              <w:rPr>
                <w:noProof/>
                <w:webHidden/>
              </w:rPr>
            </w:r>
            <w:r w:rsidR="003D3A10">
              <w:rPr>
                <w:noProof/>
                <w:webHidden/>
              </w:rPr>
              <w:fldChar w:fldCharType="separate"/>
            </w:r>
            <w:r w:rsidR="003D3A10">
              <w:rPr>
                <w:noProof/>
                <w:webHidden/>
              </w:rPr>
              <w:t>17</w:t>
            </w:r>
            <w:r w:rsidR="003D3A10">
              <w:rPr>
                <w:noProof/>
                <w:webHidden/>
              </w:rPr>
              <w:fldChar w:fldCharType="end"/>
            </w:r>
          </w:hyperlink>
        </w:p>
        <w:p w14:paraId="15936EA9" w14:textId="77777777" w:rsidR="003D3A10" w:rsidRDefault="00881111">
          <w:pPr>
            <w:pStyle w:val="TOC1"/>
            <w:tabs>
              <w:tab w:val="right" w:leader="dot" w:pos="9016"/>
            </w:tabs>
            <w:rPr>
              <w:rFonts w:asciiTheme="minorHAnsi" w:eastAsiaTheme="minorEastAsia" w:hAnsiTheme="minorHAnsi"/>
              <w:noProof/>
              <w:kern w:val="0"/>
              <w:sz w:val="22"/>
              <w:lang w:eastAsia="en-GB"/>
              <w14:ligatures w14:val="none"/>
            </w:rPr>
          </w:pPr>
          <w:hyperlink w:anchor="_Toc152867881" w:history="1">
            <w:r w:rsidR="003D3A10" w:rsidRPr="00FE3A22">
              <w:rPr>
                <w:rStyle w:val="Hyperlink"/>
                <w:noProof/>
              </w:rPr>
              <w:t>Reference List</w:t>
            </w:r>
            <w:r w:rsidR="003D3A10">
              <w:rPr>
                <w:noProof/>
                <w:webHidden/>
              </w:rPr>
              <w:tab/>
            </w:r>
            <w:r w:rsidR="003D3A10">
              <w:rPr>
                <w:noProof/>
                <w:webHidden/>
              </w:rPr>
              <w:fldChar w:fldCharType="begin"/>
            </w:r>
            <w:r w:rsidR="003D3A10">
              <w:rPr>
                <w:noProof/>
                <w:webHidden/>
              </w:rPr>
              <w:instrText xml:space="preserve"> PAGEREF _Toc152867881 \h </w:instrText>
            </w:r>
            <w:r w:rsidR="003D3A10">
              <w:rPr>
                <w:noProof/>
                <w:webHidden/>
              </w:rPr>
            </w:r>
            <w:r w:rsidR="003D3A10">
              <w:rPr>
                <w:noProof/>
                <w:webHidden/>
              </w:rPr>
              <w:fldChar w:fldCharType="separate"/>
            </w:r>
            <w:r w:rsidR="003D3A10">
              <w:rPr>
                <w:noProof/>
                <w:webHidden/>
              </w:rPr>
              <w:t>18</w:t>
            </w:r>
            <w:r w:rsidR="003D3A10">
              <w:rPr>
                <w:noProof/>
                <w:webHidden/>
              </w:rPr>
              <w:fldChar w:fldCharType="end"/>
            </w:r>
          </w:hyperlink>
        </w:p>
        <w:p w14:paraId="540903C3" w14:textId="77777777" w:rsidR="003D3A10" w:rsidRDefault="00881111">
          <w:pPr>
            <w:pStyle w:val="TOC1"/>
            <w:tabs>
              <w:tab w:val="right" w:leader="dot" w:pos="9016"/>
            </w:tabs>
            <w:rPr>
              <w:rFonts w:asciiTheme="minorHAnsi" w:eastAsiaTheme="minorEastAsia" w:hAnsiTheme="minorHAnsi"/>
              <w:noProof/>
              <w:kern w:val="0"/>
              <w:sz w:val="22"/>
              <w:lang w:eastAsia="en-GB"/>
              <w14:ligatures w14:val="none"/>
            </w:rPr>
          </w:pPr>
          <w:hyperlink w:anchor="_Toc152867882" w:history="1">
            <w:r w:rsidR="003D3A10" w:rsidRPr="00FE3A22">
              <w:rPr>
                <w:rStyle w:val="Hyperlink"/>
                <w:noProof/>
              </w:rPr>
              <w:t>Appendix</w:t>
            </w:r>
            <w:r w:rsidR="003D3A10">
              <w:rPr>
                <w:noProof/>
                <w:webHidden/>
              </w:rPr>
              <w:tab/>
            </w:r>
            <w:r w:rsidR="003D3A10">
              <w:rPr>
                <w:noProof/>
                <w:webHidden/>
              </w:rPr>
              <w:fldChar w:fldCharType="begin"/>
            </w:r>
            <w:r w:rsidR="003D3A10">
              <w:rPr>
                <w:noProof/>
                <w:webHidden/>
              </w:rPr>
              <w:instrText xml:space="preserve"> PAGEREF _Toc152867882 \h </w:instrText>
            </w:r>
            <w:r w:rsidR="003D3A10">
              <w:rPr>
                <w:noProof/>
                <w:webHidden/>
              </w:rPr>
            </w:r>
            <w:r w:rsidR="003D3A10">
              <w:rPr>
                <w:noProof/>
                <w:webHidden/>
              </w:rPr>
              <w:fldChar w:fldCharType="separate"/>
            </w:r>
            <w:r w:rsidR="003D3A10">
              <w:rPr>
                <w:noProof/>
                <w:webHidden/>
              </w:rPr>
              <w:t>21</w:t>
            </w:r>
            <w:r w:rsidR="003D3A10">
              <w:rPr>
                <w:noProof/>
                <w:webHidden/>
              </w:rPr>
              <w:fldChar w:fldCharType="end"/>
            </w:r>
          </w:hyperlink>
        </w:p>
        <w:p w14:paraId="78E23CC8" w14:textId="77777777" w:rsidR="003D3A10" w:rsidRDefault="00881111">
          <w:pPr>
            <w:pStyle w:val="TOC2"/>
            <w:tabs>
              <w:tab w:val="right" w:leader="dot" w:pos="9016"/>
            </w:tabs>
            <w:rPr>
              <w:rFonts w:asciiTheme="minorHAnsi" w:eastAsiaTheme="minorEastAsia" w:hAnsiTheme="minorHAnsi"/>
              <w:noProof/>
              <w:kern w:val="0"/>
              <w:sz w:val="22"/>
              <w:lang w:eastAsia="en-GB"/>
              <w14:ligatures w14:val="none"/>
            </w:rPr>
          </w:pPr>
          <w:hyperlink w:anchor="_Toc152867883" w:history="1">
            <w:r w:rsidR="003D3A10" w:rsidRPr="00FE3A22">
              <w:rPr>
                <w:rStyle w:val="Hyperlink"/>
                <w:noProof/>
              </w:rPr>
              <w:t>Appendix A – PESTEL analysis</w:t>
            </w:r>
            <w:r w:rsidR="003D3A10">
              <w:rPr>
                <w:noProof/>
                <w:webHidden/>
              </w:rPr>
              <w:tab/>
            </w:r>
            <w:r w:rsidR="003D3A10">
              <w:rPr>
                <w:noProof/>
                <w:webHidden/>
              </w:rPr>
              <w:fldChar w:fldCharType="begin"/>
            </w:r>
            <w:r w:rsidR="003D3A10">
              <w:rPr>
                <w:noProof/>
                <w:webHidden/>
              </w:rPr>
              <w:instrText xml:space="preserve"> PAGEREF _Toc152867883 \h </w:instrText>
            </w:r>
            <w:r w:rsidR="003D3A10">
              <w:rPr>
                <w:noProof/>
                <w:webHidden/>
              </w:rPr>
            </w:r>
            <w:r w:rsidR="003D3A10">
              <w:rPr>
                <w:noProof/>
                <w:webHidden/>
              </w:rPr>
              <w:fldChar w:fldCharType="separate"/>
            </w:r>
            <w:r w:rsidR="003D3A10">
              <w:rPr>
                <w:noProof/>
                <w:webHidden/>
              </w:rPr>
              <w:t>21</w:t>
            </w:r>
            <w:r w:rsidR="003D3A10">
              <w:rPr>
                <w:noProof/>
                <w:webHidden/>
              </w:rPr>
              <w:fldChar w:fldCharType="end"/>
            </w:r>
          </w:hyperlink>
        </w:p>
        <w:p w14:paraId="1A42C8E8" w14:textId="77777777" w:rsidR="003D3A10" w:rsidRDefault="00881111">
          <w:pPr>
            <w:pStyle w:val="TOC2"/>
            <w:tabs>
              <w:tab w:val="right" w:leader="dot" w:pos="9016"/>
            </w:tabs>
            <w:rPr>
              <w:rFonts w:asciiTheme="minorHAnsi" w:eastAsiaTheme="minorEastAsia" w:hAnsiTheme="minorHAnsi"/>
              <w:noProof/>
              <w:kern w:val="0"/>
              <w:sz w:val="22"/>
              <w:lang w:eastAsia="en-GB"/>
              <w14:ligatures w14:val="none"/>
            </w:rPr>
          </w:pPr>
          <w:hyperlink w:anchor="_Toc152867884" w:history="1">
            <w:r w:rsidR="003D3A10" w:rsidRPr="00FE3A22">
              <w:rPr>
                <w:rStyle w:val="Hyperlink"/>
                <w:noProof/>
              </w:rPr>
              <w:t>Appendix B – SWOT analysis</w:t>
            </w:r>
            <w:r w:rsidR="003D3A10">
              <w:rPr>
                <w:noProof/>
                <w:webHidden/>
              </w:rPr>
              <w:tab/>
            </w:r>
            <w:r w:rsidR="003D3A10">
              <w:rPr>
                <w:noProof/>
                <w:webHidden/>
              </w:rPr>
              <w:fldChar w:fldCharType="begin"/>
            </w:r>
            <w:r w:rsidR="003D3A10">
              <w:rPr>
                <w:noProof/>
                <w:webHidden/>
              </w:rPr>
              <w:instrText xml:space="preserve"> PAGEREF _Toc152867884 \h </w:instrText>
            </w:r>
            <w:r w:rsidR="003D3A10">
              <w:rPr>
                <w:noProof/>
                <w:webHidden/>
              </w:rPr>
            </w:r>
            <w:r w:rsidR="003D3A10">
              <w:rPr>
                <w:noProof/>
                <w:webHidden/>
              </w:rPr>
              <w:fldChar w:fldCharType="separate"/>
            </w:r>
            <w:r w:rsidR="003D3A10">
              <w:rPr>
                <w:noProof/>
                <w:webHidden/>
              </w:rPr>
              <w:t>22</w:t>
            </w:r>
            <w:r w:rsidR="003D3A10">
              <w:rPr>
                <w:noProof/>
                <w:webHidden/>
              </w:rPr>
              <w:fldChar w:fldCharType="end"/>
            </w:r>
          </w:hyperlink>
        </w:p>
        <w:p w14:paraId="0F2236B0" w14:textId="77777777" w:rsidR="003D3A10" w:rsidRDefault="00881111">
          <w:pPr>
            <w:pStyle w:val="TOC2"/>
            <w:tabs>
              <w:tab w:val="right" w:leader="dot" w:pos="9016"/>
            </w:tabs>
            <w:rPr>
              <w:rFonts w:asciiTheme="minorHAnsi" w:eastAsiaTheme="minorEastAsia" w:hAnsiTheme="minorHAnsi"/>
              <w:noProof/>
              <w:kern w:val="0"/>
              <w:sz w:val="22"/>
              <w:lang w:eastAsia="en-GB"/>
              <w14:ligatures w14:val="none"/>
            </w:rPr>
          </w:pPr>
          <w:hyperlink w:anchor="_Toc152867885" w:history="1">
            <w:r w:rsidR="003D3A10" w:rsidRPr="00FE3A22">
              <w:rPr>
                <w:rStyle w:val="Hyperlink"/>
                <w:noProof/>
              </w:rPr>
              <w:t>Appendix C – Porter’s Five Forces Analysis</w:t>
            </w:r>
            <w:r w:rsidR="003D3A10">
              <w:rPr>
                <w:noProof/>
                <w:webHidden/>
              </w:rPr>
              <w:tab/>
            </w:r>
            <w:r w:rsidR="003D3A10">
              <w:rPr>
                <w:noProof/>
                <w:webHidden/>
              </w:rPr>
              <w:fldChar w:fldCharType="begin"/>
            </w:r>
            <w:r w:rsidR="003D3A10">
              <w:rPr>
                <w:noProof/>
                <w:webHidden/>
              </w:rPr>
              <w:instrText xml:space="preserve"> PAGEREF _Toc152867885 \h </w:instrText>
            </w:r>
            <w:r w:rsidR="003D3A10">
              <w:rPr>
                <w:noProof/>
                <w:webHidden/>
              </w:rPr>
            </w:r>
            <w:r w:rsidR="003D3A10">
              <w:rPr>
                <w:noProof/>
                <w:webHidden/>
              </w:rPr>
              <w:fldChar w:fldCharType="separate"/>
            </w:r>
            <w:r w:rsidR="003D3A10">
              <w:rPr>
                <w:noProof/>
                <w:webHidden/>
              </w:rPr>
              <w:t>23</w:t>
            </w:r>
            <w:r w:rsidR="003D3A10">
              <w:rPr>
                <w:noProof/>
                <w:webHidden/>
              </w:rPr>
              <w:fldChar w:fldCharType="end"/>
            </w:r>
          </w:hyperlink>
        </w:p>
        <w:p w14:paraId="2E98BF93" w14:textId="77777777" w:rsidR="00EE0B40" w:rsidRDefault="001C1F5F" w:rsidP="00707E49">
          <w:pPr>
            <w:spacing w:before="120" w:after="120"/>
          </w:pPr>
          <w:r>
            <w:rPr>
              <w:b/>
              <w:bCs/>
              <w:noProof/>
            </w:rPr>
            <w:fldChar w:fldCharType="end"/>
          </w:r>
        </w:p>
      </w:sdtContent>
    </w:sdt>
    <w:p w14:paraId="34FA48BD" w14:textId="77777777" w:rsidR="00EE0B40" w:rsidRDefault="00EE0B40" w:rsidP="00707E49">
      <w:pPr>
        <w:spacing w:before="120" w:after="120"/>
        <w:rPr>
          <w:b/>
          <w:bCs/>
        </w:rPr>
      </w:pPr>
    </w:p>
    <w:p w14:paraId="00C54871" w14:textId="77777777" w:rsidR="00EE0B40" w:rsidRPr="00EE0B40" w:rsidRDefault="00EE0B40" w:rsidP="00707E49">
      <w:pPr>
        <w:spacing w:before="120" w:after="120"/>
        <w:rPr>
          <w:b/>
          <w:bCs/>
        </w:rPr>
      </w:pPr>
    </w:p>
    <w:p w14:paraId="2B78B8FF" w14:textId="77777777" w:rsidR="00DF5752" w:rsidRDefault="001C1F5F" w:rsidP="00707E49">
      <w:pPr>
        <w:spacing w:before="120" w:after="120"/>
        <w:jc w:val="left"/>
        <w:rPr>
          <w:rFonts w:eastAsiaTheme="majorEastAsia" w:cstheme="majorBidi"/>
          <w:b/>
          <w:szCs w:val="32"/>
        </w:rPr>
      </w:pPr>
      <w:r>
        <w:br w:type="page"/>
      </w:r>
    </w:p>
    <w:p w14:paraId="515DCCFA" w14:textId="77777777" w:rsidR="00EE0B40" w:rsidRDefault="001C1F5F" w:rsidP="00707E49">
      <w:pPr>
        <w:pStyle w:val="Heading1"/>
        <w:spacing w:before="120" w:after="120"/>
      </w:pPr>
      <w:bookmarkStart w:id="0" w:name="_Toc152867874"/>
      <w:r>
        <w:lastRenderedPageBreak/>
        <w:t>Introduction</w:t>
      </w:r>
      <w:bookmarkEnd w:id="0"/>
    </w:p>
    <w:p w14:paraId="168D7CF6" w14:textId="77777777" w:rsidR="00EE0B40" w:rsidRPr="00EE0B40" w:rsidRDefault="001C1F5F" w:rsidP="00707E49">
      <w:pPr>
        <w:spacing w:before="120" w:after="120"/>
      </w:pPr>
      <w:r>
        <w:t>Monitoring and measurement of business performance and progress is important in regard to helping growth and development. As such, strategic reviews are a good way to assess how well a business has performed against its set goals and objectives, which can allow for an optimising strategy to leverage business/marketing opportunities and adapt to the changing market environment</w:t>
      </w:r>
      <w:r w:rsidR="00990EE1">
        <w:t xml:space="preserve"> (</w:t>
      </w:r>
      <w:r w:rsidR="00990EE1" w:rsidRPr="00990EE1">
        <w:t>nibusinessinfo.co.uk</w:t>
      </w:r>
      <w:r w:rsidR="00990EE1">
        <w:t>, 2023)</w:t>
      </w:r>
      <w:r>
        <w:t xml:space="preserve">. This report will conduct a strategic review of the corporate and business strategy of Sainsbury’s Plc and assess how successful it has been in implementing those strategies in its operations. Sainsbury’s </w:t>
      </w:r>
      <w:r w:rsidR="009354F4">
        <w:t>is a UK-based supermarket chain which was founded in 1869 by John James Sainsbury (</w:t>
      </w:r>
      <w:r w:rsidR="00990EE1">
        <w:t>Forbes, 2023</w:t>
      </w:r>
      <w:r w:rsidR="009354F4">
        <w:t>). Currently, it is headquartered in London, England, United Kingdom (UK), and has a</w:t>
      </w:r>
      <w:r w:rsidR="00990EE1">
        <w:t>n</w:t>
      </w:r>
      <w:r w:rsidR="009354F4">
        <w:t xml:space="preserve"> extensive network of stores, with 1409 in the UK </w:t>
      </w:r>
      <w:r w:rsidR="00990EE1">
        <w:t>that</w:t>
      </w:r>
      <w:r w:rsidR="009354F4">
        <w:t xml:space="preserve"> employ around 171,000 people</w:t>
      </w:r>
      <w:r w:rsidR="00990EE1">
        <w:t xml:space="preserve"> as of 2022 (Statista, 2023</w:t>
      </w:r>
      <w:r w:rsidR="009F360A">
        <w:t>a</w:t>
      </w:r>
      <w:r w:rsidR="00990EE1">
        <w:t xml:space="preserve">; Sainsbury’ Plc, 2022). It also generates revenues in billions, with a total of about </w:t>
      </w:r>
      <w:r w:rsidR="00990EE1">
        <w:rPr>
          <w:rFonts w:cs="Times New Roman"/>
        </w:rPr>
        <w:t>£</w:t>
      </w:r>
      <w:r w:rsidR="00990EE1">
        <w:t>29.89 billion generated through sales in 2022 (Sainsbury'</w:t>
      </w:r>
      <w:r w:rsidR="00E62815">
        <w:t>s</w:t>
      </w:r>
      <w:r w:rsidR="00990EE1">
        <w:t>, 2022).</w:t>
      </w:r>
    </w:p>
    <w:p w14:paraId="4CFF94FA" w14:textId="77777777" w:rsidR="00707E49" w:rsidRDefault="001C1F5F" w:rsidP="00707E49">
      <w:pPr>
        <w:spacing w:before="120" w:after="120"/>
        <w:jc w:val="left"/>
        <w:rPr>
          <w:rFonts w:eastAsiaTheme="majorEastAsia" w:cstheme="majorBidi"/>
          <w:b/>
          <w:szCs w:val="32"/>
        </w:rPr>
      </w:pPr>
      <w:r>
        <w:br w:type="page"/>
      </w:r>
    </w:p>
    <w:p w14:paraId="040309B9" w14:textId="77777777" w:rsidR="00EE0B40" w:rsidRDefault="001C1F5F" w:rsidP="00707E49">
      <w:pPr>
        <w:pStyle w:val="Heading1"/>
        <w:spacing w:before="120" w:after="120"/>
      </w:pPr>
      <w:bookmarkStart w:id="1" w:name="_Toc152867875"/>
      <w:r>
        <w:lastRenderedPageBreak/>
        <w:t>Identify with evidence the key business and corporate strategies of the company.</w:t>
      </w:r>
      <w:bookmarkEnd w:id="1"/>
    </w:p>
    <w:p w14:paraId="0398BBF4" w14:textId="77777777" w:rsidR="00941DED" w:rsidRDefault="001C1F5F" w:rsidP="00707E49">
      <w:pPr>
        <w:spacing w:before="120" w:after="120"/>
      </w:pPr>
      <w:r>
        <w:t>Looking at the company’s business strategy, a big focus is on simplifying the company’s operations and fast-tracking its cost saving programmes, with the aim of improving the overall performance of the business.</w:t>
      </w:r>
      <w:r w:rsidRPr="00941DED">
        <w:t xml:space="preserve"> </w:t>
      </w:r>
      <w:r>
        <w:t xml:space="preserve">This includes </w:t>
      </w:r>
      <w:r w:rsidR="00C5317E">
        <w:t xml:space="preserve">efforts made towards </w:t>
      </w:r>
      <w:r>
        <w:t xml:space="preserve">improving the quality of its food products, increasing product choices, furthering innovation, and ensuring constant delivery of value to its customers. Overall, the business </w:t>
      </w:r>
      <w:r w:rsidR="00C5317E">
        <w:t xml:space="preserve">strategy of the company </w:t>
      </w:r>
      <w:r>
        <w:t xml:space="preserve">into five key categories with </w:t>
      </w:r>
      <w:r w:rsidR="00C5317E">
        <w:t>diverse</w:t>
      </w:r>
      <w:r>
        <w:t xml:space="preserve"> focuses, which include – ‘Food First’, ‘Brands that Deliver’, ‘Save to Invest’, ‘Connect to Customers’ and ‘Plan to Better’. </w:t>
      </w:r>
    </w:p>
    <w:p w14:paraId="156F2688" w14:textId="77777777" w:rsidR="00C5317E" w:rsidRDefault="001C1F5F" w:rsidP="00707E49">
      <w:pPr>
        <w:spacing w:before="120" w:after="120"/>
      </w:pPr>
      <w:r w:rsidRPr="009613B1">
        <w:rPr>
          <w:b/>
          <w:bCs/>
          <w:i/>
          <w:iCs/>
        </w:rPr>
        <w:t>Food First</w:t>
      </w:r>
      <w:r>
        <w:t xml:space="preserve"> – This strategic focus entails improving value and innovation in its food products, underpinned by providing buying benefits and lowering the cost to serve.</w:t>
      </w:r>
    </w:p>
    <w:p w14:paraId="6425ED4C" w14:textId="77777777" w:rsidR="00C5317E" w:rsidRDefault="001C1F5F" w:rsidP="00707E49">
      <w:pPr>
        <w:spacing w:before="120" w:after="120"/>
      </w:pPr>
      <w:r w:rsidRPr="009613B1">
        <w:rPr>
          <w:b/>
          <w:bCs/>
          <w:i/>
          <w:iCs/>
        </w:rPr>
        <w:t>Brands that deliver</w:t>
      </w:r>
      <w:r>
        <w:t xml:space="preserve"> – This strategic focus is related to its food business, which centres around its customers and profits. </w:t>
      </w:r>
    </w:p>
    <w:p w14:paraId="1E0D57CD" w14:textId="77777777" w:rsidR="00C5317E" w:rsidRDefault="001C1F5F" w:rsidP="00707E49">
      <w:pPr>
        <w:spacing w:before="120" w:after="120"/>
      </w:pPr>
      <w:r w:rsidRPr="009613B1">
        <w:rPr>
          <w:b/>
          <w:bCs/>
          <w:i/>
          <w:iCs/>
        </w:rPr>
        <w:t>Save to invest</w:t>
      </w:r>
      <w:r>
        <w:t xml:space="preserve"> – This strategy is aimed at lowering the operating costs of the business, for instance by lowering the investment of its food business in fuel, diversifying the savings to reduce the complexity involved and increasing the pace of operations. </w:t>
      </w:r>
    </w:p>
    <w:p w14:paraId="00EE0920" w14:textId="77777777" w:rsidR="00C5317E" w:rsidRDefault="001C1F5F" w:rsidP="00707E49">
      <w:pPr>
        <w:spacing w:before="120" w:after="120"/>
      </w:pPr>
      <w:r w:rsidRPr="009613B1">
        <w:rPr>
          <w:b/>
          <w:bCs/>
          <w:i/>
          <w:iCs/>
        </w:rPr>
        <w:t>Connected to Customers</w:t>
      </w:r>
      <w:r>
        <w:t xml:space="preserve"> – This focuses on knowing and understanding </w:t>
      </w:r>
      <w:r w:rsidR="000E76E3">
        <w:t>its</w:t>
      </w:r>
      <w:r>
        <w:t xml:space="preserve"> consumers</w:t>
      </w:r>
      <w:r w:rsidR="000E76E3">
        <w:t xml:space="preserve"> to sustain business success. </w:t>
      </w:r>
    </w:p>
    <w:p w14:paraId="46E0C633" w14:textId="77777777" w:rsidR="000E76E3" w:rsidRDefault="001C1F5F" w:rsidP="00707E49">
      <w:pPr>
        <w:spacing w:before="120" w:after="120"/>
      </w:pPr>
      <w:r w:rsidRPr="009613B1">
        <w:rPr>
          <w:b/>
          <w:bCs/>
          <w:i/>
          <w:iCs/>
        </w:rPr>
        <w:t>Plant to Better</w:t>
      </w:r>
      <w:r>
        <w:t xml:space="preserve"> – Lastly, this strategy focuses on offering its products in a way that reduces environmental impact</w:t>
      </w:r>
      <w:r w:rsidR="00E62815">
        <w:t xml:space="preserve"> (</w:t>
      </w:r>
      <w:r w:rsidR="00E62815" w:rsidRPr="00E62815">
        <w:t>Sainsbury's</w:t>
      </w:r>
      <w:r w:rsidR="00E62815">
        <w:t>, 2023)</w:t>
      </w:r>
      <w:r>
        <w:t>.</w:t>
      </w:r>
    </w:p>
    <w:p w14:paraId="3820677F" w14:textId="77777777" w:rsidR="00E62815" w:rsidRDefault="001C1F5F" w:rsidP="00707E49">
      <w:pPr>
        <w:spacing w:before="120" w:after="120"/>
      </w:pPr>
      <w:r>
        <w:t xml:space="preserve">Towards justifying the adoption of the current business strategies, </w:t>
      </w:r>
      <w:r w:rsidR="009613B1">
        <w:t>the report has used analytical frameworks like PESTEL and SWOT analysis to assess</w:t>
      </w:r>
      <w:r>
        <w:t xml:space="preserve"> the current state </w:t>
      </w:r>
      <w:r w:rsidR="009613B1">
        <w:t xml:space="preserve">of the </w:t>
      </w:r>
      <w:r>
        <w:t>internal and external business environment of the company</w:t>
      </w:r>
      <w:r w:rsidR="009613B1">
        <w:t xml:space="preserve"> (</w:t>
      </w:r>
      <w:r w:rsidR="009613B1" w:rsidRPr="009613B1">
        <w:rPr>
          <w:b/>
          <w:bCs/>
          <w:i/>
          <w:iCs/>
        </w:rPr>
        <w:t>refer to Appendix A and B</w:t>
      </w:r>
      <w:r w:rsidR="009613B1">
        <w:t>)</w:t>
      </w:r>
      <w:r>
        <w:t>. For instance, considering the current</w:t>
      </w:r>
      <w:r w:rsidR="009613B1">
        <w:t xml:space="preserve"> economic situation in the UK and around the world, specifically the rising cost of living due to high inflation and energy and fuel costs, which is limiting customer spending and increasing business costs, Sainsbury’s focus on lowering its cost to serve and its focus on reducing its operational costs through its ‘save to invest’ focus makes perfect sense (</w:t>
      </w:r>
      <w:r w:rsidR="009613B1" w:rsidRPr="009613B1">
        <w:t>British Business Bank</w:t>
      </w:r>
      <w:r w:rsidR="009613B1">
        <w:t xml:space="preserve">, 2023). </w:t>
      </w:r>
    </w:p>
    <w:p w14:paraId="4E2F57B1" w14:textId="77777777" w:rsidR="00707E49" w:rsidRPr="0048528F" w:rsidRDefault="001C1F5F" w:rsidP="0048528F">
      <w:pPr>
        <w:spacing w:before="120" w:after="120"/>
      </w:pPr>
      <w:r>
        <w:t xml:space="preserve">Furthermore, </w:t>
      </w:r>
      <w:r w:rsidR="008D671F">
        <w:t>the company can be said to be leveraging ongoing technological advancements and the shifting consumer focus to online retail changes through many of its brands now largely focusing on online sales</w:t>
      </w:r>
      <w:r w:rsidR="00E62815">
        <w:t xml:space="preserve"> (from the PESTEL analysis)</w:t>
      </w:r>
      <w:r w:rsidR="008D671F">
        <w:t xml:space="preserve">. This stands as both a requirement and </w:t>
      </w:r>
      <w:r w:rsidR="00E62815">
        <w:t xml:space="preserve">an enabler for the company to pursue personalisation which is evident in its strategic focus on </w:t>
      </w:r>
      <w:r w:rsidR="00E62815">
        <w:lastRenderedPageBreak/>
        <w:t>'brands that deliver' and 'connected to customers'. Lastly, taking into account the current public sentiment regarding business sustainability and the environmental impact of business, the company's commitment to becoming Net Zero in its operations and reducing its environmental impact is well justified (</w:t>
      </w:r>
      <w:r w:rsidR="00E62815" w:rsidRPr="00E62815">
        <w:t>Sainsbury's</w:t>
      </w:r>
      <w:r w:rsidR="00E62815">
        <w:t xml:space="preserve">, 2023). </w:t>
      </w:r>
      <w:r>
        <w:br w:type="page"/>
      </w:r>
    </w:p>
    <w:p w14:paraId="0943F201" w14:textId="77777777" w:rsidR="00EE0B40" w:rsidRDefault="001C1F5F" w:rsidP="00707E49">
      <w:pPr>
        <w:pStyle w:val="Heading1"/>
        <w:spacing w:before="120" w:after="120"/>
      </w:pPr>
      <w:bookmarkStart w:id="2" w:name="_Toc152867876"/>
      <w:r>
        <w:lastRenderedPageBreak/>
        <w:t>Identify with evidence the resources and capabilities of the selected company and analyse to what extent the company has aligned its resources and capabilities to its current business/corporate strategies.</w:t>
      </w:r>
      <w:bookmarkEnd w:id="2"/>
    </w:p>
    <w:p w14:paraId="0EA7B588" w14:textId="77777777" w:rsidR="00E62815" w:rsidRDefault="001C1F5F" w:rsidP="00707E49">
      <w:pPr>
        <w:spacing w:before="120" w:after="120"/>
      </w:pPr>
      <w:r>
        <w:t xml:space="preserve">In light of the above analysis of Sainsbury's business strategy, an evaluation of its resources and capabilities in the context of assessing the company's capacity to support and sustain its current strategy is required. To this end, applying the principles of the resource-based view, the following discussion analyses the company's current tangible and intangible resources and competencies. </w:t>
      </w:r>
    </w:p>
    <w:p w14:paraId="52EBD97A" w14:textId="77777777" w:rsidR="00D70CCA" w:rsidRPr="00055616" w:rsidRDefault="001C1F5F" w:rsidP="00707E49">
      <w:pPr>
        <w:spacing w:before="120" w:after="120"/>
        <w:rPr>
          <w:b/>
          <w:bCs/>
        </w:rPr>
      </w:pPr>
      <w:r w:rsidRPr="00055616">
        <w:rPr>
          <w:b/>
          <w:bCs/>
        </w:rPr>
        <w:t>Tangible</w:t>
      </w:r>
    </w:p>
    <w:p w14:paraId="3D030A91" w14:textId="77777777" w:rsidR="00D70CCA" w:rsidRPr="00055616" w:rsidRDefault="001C1F5F" w:rsidP="00707E49">
      <w:pPr>
        <w:spacing w:before="120" w:after="120"/>
      </w:pPr>
      <w:r w:rsidRPr="00055616">
        <w:rPr>
          <w:b/>
          <w:bCs/>
          <w:i/>
          <w:iCs/>
        </w:rPr>
        <w:t>Human resources</w:t>
      </w:r>
      <w:r w:rsidR="00055616">
        <w:rPr>
          <w:b/>
          <w:bCs/>
          <w:i/>
          <w:iCs/>
        </w:rPr>
        <w:t xml:space="preserve"> </w:t>
      </w:r>
      <w:r w:rsidR="00055616">
        <w:t>– The company has an expansive workforce with around 171,000 employees</w:t>
      </w:r>
    </w:p>
    <w:p w14:paraId="38B93012" w14:textId="77777777" w:rsidR="00D70CCA" w:rsidRPr="00055616" w:rsidRDefault="001C1F5F" w:rsidP="00707E49">
      <w:pPr>
        <w:spacing w:before="120" w:after="120"/>
      </w:pPr>
      <w:r w:rsidRPr="00055616">
        <w:rPr>
          <w:b/>
          <w:bCs/>
          <w:i/>
          <w:iCs/>
        </w:rPr>
        <w:t>Financial resources</w:t>
      </w:r>
      <w:r w:rsidR="00055616">
        <w:rPr>
          <w:b/>
          <w:bCs/>
          <w:i/>
          <w:iCs/>
        </w:rPr>
        <w:t xml:space="preserve"> </w:t>
      </w:r>
      <w:r w:rsidR="00055616">
        <w:t xml:space="preserve">– In terms of financial resources, the company generated revenue of around </w:t>
      </w:r>
      <w:r w:rsidR="00055616">
        <w:rPr>
          <w:rFonts w:cs="Times New Roman"/>
        </w:rPr>
        <w:t>£</w:t>
      </w:r>
      <w:r w:rsidR="00055616">
        <w:t xml:space="preserve">29,895 million and a gross profit of </w:t>
      </w:r>
      <w:r w:rsidR="00055616">
        <w:rPr>
          <w:rFonts w:cs="Times New Roman"/>
        </w:rPr>
        <w:t>£</w:t>
      </w:r>
      <w:r w:rsidR="00055616">
        <w:t xml:space="preserve">2,366 million in the last 2021/22 financial year. The company’s </w:t>
      </w:r>
      <w:r w:rsidR="009F360A">
        <w:t>c</w:t>
      </w:r>
      <w:r w:rsidR="00055616">
        <w:t xml:space="preserve">urrent operating profit is </w:t>
      </w:r>
      <w:r w:rsidR="00055616">
        <w:rPr>
          <w:rFonts w:cs="Times New Roman"/>
        </w:rPr>
        <w:t>£1,156 millio</w:t>
      </w:r>
      <w:r w:rsidR="009F360A">
        <w:rPr>
          <w:rFonts w:cs="Times New Roman"/>
        </w:rPr>
        <w:t xml:space="preserve">n, while </w:t>
      </w:r>
      <w:r w:rsidR="00055616">
        <w:rPr>
          <w:rFonts w:cs="Times New Roman"/>
        </w:rPr>
        <w:t xml:space="preserve">its total assets </w:t>
      </w:r>
      <w:r w:rsidR="009F360A">
        <w:rPr>
          <w:rFonts w:cs="Times New Roman"/>
        </w:rPr>
        <w:t>can be evaluated at £26,912 million. Overall, it has substantial financial resources to finance its business strategies.</w:t>
      </w:r>
    </w:p>
    <w:p w14:paraId="337602C0" w14:textId="77777777" w:rsidR="009F360A" w:rsidRPr="009F360A" w:rsidRDefault="001C1F5F" w:rsidP="00707E49">
      <w:pPr>
        <w:spacing w:before="120" w:after="120"/>
      </w:pPr>
      <w:r w:rsidRPr="00055616">
        <w:rPr>
          <w:b/>
          <w:bCs/>
          <w:i/>
          <w:iCs/>
        </w:rPr>
        <w:t>Properties/equipmen</w:t>
      </w:r>
      <w:r>
        <w:rPr>
          <w:b/>
          <w:bCs/>
          <w:i/>
          <w:iCs/>
        </w:rPr>
        <w:t xml:space="preserve">t </w:t>
      </w:r>
      <w:r>
        <w:t xml:space="preserve">– Its portfolio of physical properties, plant, and equipment are valued at </w:t>
      </w:r>
      <w:r>
        <w:rPr>
          <w:rFonts w:cs="Times New Roman"/>
        </w:rPr>
        <w:t xml:space="preserve">£8,402 million as of FY 2021/22. </w:t>
      </w:r>
    </w:p>
    <w:p w14:paraId="51543BEB" w14:textId="77777777" w:rsidR="00D70CCA" w:rsidRPr="00055616" w:rsidRDefault="001C1F5F" w:rsidP="00707E49">
      <w:pPr>
        <w:spacing w:before="120" w:after="120"/>
        <w:rPr>
          <w:b/>
          <w:bCs/>
        </w:rPr>
      </w:pPr>
      <w:r w:rsidRPr="00055616">
        <w:rPr>
          <w:b/>
          <w:bCs/>
        </w:rPr>
        <w:t>Intangible</w:t>
      </w:r>
    </w:p>
    <w:p w14:paraId="278B7ABE" w14:textId="77777777" w:rsidR="00D70CCA" w:rsidRDefault="001C1F5F" w:rsidP="00707E49">
      <w:pPr>
        <w:spacing w:before="120" w:after="120"/>
      </w:pPr>
      <w:r w:rsidRPr="00055616">
        <w:rPr>
          <w:b/>
          <w:bCs/>
          <w:i/>
          <w:iCs/>
        </w:rPr>
        <w:t>Brand value</w:t>
      </w:r>
      <w:r w:rsidR="009F360A">
        <w:rPr>
          <w:b/>
          <w:bCs/>
          <w:i/>
          <w:iCs/>
        </w:rPr>
        <w:t xml:space="preserve"> </w:t>
      </w:r>
      <w:r w:rsidR="009F360A">
        <w:t>– The company’s brand value as of 2022 is $3.75 billion (</w:t>
      </w:r>
      <w:r w:rsidR="009F360A">
        <w:rPr>
          <w:rFonts w:cs="Times New Roman"/>
        </w:rPr>
        <w:t>£</w:t>
      </w:r>
      <w:r w:rsidR="009F360A">
        <w:t xml:space="preserve">2.98 billion) (Statista, 2023b). </w:t>
      </w:r>
    </w:p>
    <w:p w14:paraId="2CF092BB" w14:textId="77777777" w:rsidR="009F360A" w:rsidRDefault="001C1F5F" w:rsidP="00707E49">
      <w:pPr>
        <w:keepNext/>
        <w:spacing w:before="120" w:after="120"/>
        <w:jc w:val="center"/>
      </w:pPr>
      <w:r w:rsidRPr="009F360A">
        <w:rPr>
          <w:noProof/>
          <w:lang w:eastAsia="en-GB"/>
        </w:rPr>
        <w:lastRenderedPageBreak/>
        <w:drawing>
          <wp:inline distT="0" distB="0" distL="0" distR="0" wp14:anchorId="79A21EA7" wp14:editId="5B7EF5A3">
            <wp:extent cx="4131310" cy="2598432"/>
            <wp:effectExtent l="0" t="0" r="2540" b="0"/>
            <wp:docPr id="1564508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08306" name=""/>
                    <pic:cNvPicPr/>
                  </pic:nvPicPr>
                  <pic:blipFill>
                    <a:blip r:embed="rId9"/>
                    <a:stretch>
                      <a:fillRect/>
                    </a:stretch>
                  </pic:blipFill>
                  <pic:spPr>
                    <a:xfrm>
                      <a:off x="0" y="0"/>
                      <a:ext cx="4132750" cy="2599338"/>
                    </a:xfrm>
                    <a:prstGeom prst="rect">
                      <a:avLst/>
                    </a:prstGeom>
                  </pic:spPr>
                </pic:pic>
              </a:graphicData>
            </a:graphic>
          </wp:inline>
        </w:drawing>
      </w:r>
    </w:p>
    <w:p w14:paraId="2439E342" w14:textId="77777777" w:rsidR="009F360A" w:rsidRDefault="001C1F5F" w:rsidP="00707E49">
      <w:pPr>
        <w:pStyle w:val="Caption"/>
        <w:spacing w:before="120" w:after="120" w:line="360" w:lineRule="auto"/>
        <w:jc w:val="center"/>
        <w:rPr>
          <w:b/>
          <w:bCs/>
          <w:i w:val="0"/>
          <w:iCs w:val="0"/>
          <w:color w:val="auto"/>
          <w:sz w:val="24"/>
          <w:szCs w:val="24"/>
        </w:rPr>
      </w:pPr>
      <w:r w:rsidRPr="009F360A">
        <w:rPr>
          <w:b/>
          <w:bCs/>
          <w:i w:val="0"/>
          <w:iCs w:val="0"/>
          <w:color w:val="auto"/>
          <w:sz w:val="24"/>
          <w:szCs w:val="24"/>
        </w:rPr>
        <w:t xml:space="preserve">Figure </w:t>
      </w:r>
      <w:r w:rsidRPr="009F360A">
        <w:rPr>
          <w:b/>
          <w:bCs/>
          <w:i w:val="0"/>
          <w:iCs w:val="0"/>
          <w:color w:val="auto"/>
          <w:sz w:val="24"/>
          <w:szCs w:val="24"/>
        </w:rPr>
        <w:fldChar w:fldCharType="begin"/>
      </w:r>
      <w:r w:rsidRPr="009F360A">
        <w:rPr>
          <w:b/>
          <w:bCs/>
          <w:i w:val="0"/>
          <w:iCs w:val="0"/>
          <w:color w:val="auto"/>
          <w:sz w:val="24"/>
          <w:szCs w:val="24"/>
        </w:rPr>
        <w:instrText xml:space="preserve"> SEQ Figure \* ARABIC </w:instrText>
      </w:r>
      <w:r w:rsidRPr="009F360A">
        <w:rPr>
          <w:b/>
          <w:bCs/>
          <w:i w:val="0"/>
          <w:iCs w:val="0"/>
          <w:color w:val="auto"/>
          <w:sz w:val="24"/>
          <w:szCs w:val="24"/>
        </w:rPr>
        <w:fldChar w:fldCharType="separate"/>
      </w:r>
      <w:r w:rsidR="007110D7">
        <w:rPr>
          <w:b/>
          <w:bCs/>
          <w:i w:val="0"/>
          <w:iCs w:val="0"/>
          <w:noProof/>
          <w:color w:val="auto"/>
          <w:sz w:val="24"/>
          <w:szCs w:val="24"/>
        </w:rPr>
        <w:t>1</w:t>
      </w:r>
      <w:r w:rsidRPr="009F360A">
        <w:rPr>
          <w:b/>
          <w:bCs/>
          <w:i w:val="0"/>
          <w:iCs w:val="0"/>
          <w:color w:val="auto"/>
          <w:sz w:val="24"/>
          <w:szCs w:val="24"/>
        </w:rPr>
        <w:fldChar w:fldCharType="end"/>
      </w:r>
      <w:r w:rsidRPr="009F360A">
        <w:rPr>
          <w:b/>
          <w:bCs/>
          <w:i w:val="0"/>
          <w:iCs w:val="0"/>
          <w:color w:val="auto"/>
          <w:sz w:val="24"/>
          <w:szCs w:val="24"/>
        </w:rPr>
        <w:t>: Sainsbury’s brand value from 2018-2022</w:t>
      </w:r>
    </w:p>
    <w:p w14:paraId="5BD00DDA" w14:textId="77777777" w:rsidR="009F360A" w:rsidRPr="009F360A" w:rsidRDefault="001C1F5F" w:rsidP="00707E49">
      <w:pPr>
        <w:spacing w:before="120" w:after="120"/>
        <w:jc w:val="center"/>
      </w:pPr>
      <w:r>
        <w:t>(Source: Statista, 2023b)</w:t>
      </w:r>
    </w:p>
    <w:p w14:paraId="57B04AD9" w14:textId="77777777" w:rsidR="00D70CCA" w:rsidRPr="009F360A" w:rsidRDefault="001C1F5F" w:rsidP="00707E49">
      <w:pPr>
        <w:spacing w:before="120" w:after="120"/>
      </w:pPr>
      <w:r w:rsidRPr="00055616">
        <w:rPr>
          <w:b/>
          <w:bCs/>
          <w:i/>
          <w:iCs/>
        </w:rPr>
        <w:t>Brand awa</w:t>
      </w:r>
      <w:r w:rsidR="00055616" w:rsidRPr="00055616">
        <w:rPr>
          <w:b/>
          <w:bCs/>
          <w:i/>
          <w:iCs/>
        </w:rPr>
        <w:t>reness</w:t>
      </w:r>
      <w:r w:rsidR="009F360A">
        <w:rPr>
          <w:b/>
          <w:bCs/>
          <w:i/>
          <w:iCs/>
        </w:rPr>
        <w:t xml:space="preserve"> </w:t>
      </w:r>
      <w:r w:rsidR="009F360A">
        <w:t>– In regard to its food/grocery business, the company’s brand awareness is at 95% in the UK. Of the 95% of online grocery delivery users who know about the brand, around 41% people say that they like it (Statista, 2023c).</w:t>
      </w:r>
    </w:p>
    <w:p w14:paraId="21343AD4" w14:textId="77777777" w:rsidR="00055616" w:rsidRDefault="001C1F5F" w:rsidP="00707E49">
      <w:pPr>
        <w:spacing w:before="120" w:after="120"/>
      </w:pPr>
      <w:r w:rsidRPr="00055616">
        <w:rPr>
          <w:b/>
          <w:bCs/>
          <w:i/>
          <w:iCs/>
        </w:rPr>
        <w:t>Patents/copyrights</w:t>
      </w:r>
      <w:r w:rsidR="009F360A">
        <w:rPr>
          <w:b/>
          <w:bCs/>
          <w:i/>
          <w:iCs/>
        </w:rPr>
        <w:t xml:space="preserve"> </w:t>
      </w:r>
      <w:r w:rsidR="004C4B20">
        <w:t>–</w:t>
      </w:r>
      <w:r w:rsidR="009F360A">
        <w:t xml:space="preserve"> </w:t>
      </w:r>
      <w:r w:rsidR="004C4B20">
        <w:t xml:space="preserve">The company currently has a total of 37 patents globally, out of which 20 belong to unique patent families, and 4 are active (Insights; Gate, 2023). </w:t>
      </w:r>
    </w:p>
    <w:p w14:paraId="6BC1A23E" w14:textId="77777777" w:rsidR="004C4B20" w:rsidRDefault="001C1F5F" w:rsidP="00707E49">
      <w:pPr>
        <w:keepNext/>
        <w:spacing w:before="120" w:after="120"/>
        <w:jc w:val="center"/>
      </w:pPr>
      <w:r w:rsidRPr="004C4B20">
        <w:rPr>
          <w:noProof/>
          <w:lang w:eastAsia="en-GB"/>
        </w:rPr>
        <w:drawing>
          <wp:inline distT="0" distB="0" distL="0" distR="0" wp14:anchorId="30A2498E" wp14:editId="5CEC902B">
            <wp:extent cx="4412658" cy="2549525"/>
            <wp:effectExtent l="0" t="0" r="6985" b="3175"/>
            <wp:docPr id="166317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173529" name=""/>
                    <pic:cNvPicPr/>
                  </pic:nvPicPr>
                  <pic:blipFill>
                    <a:blip r:embed="rId10"/>
                    <a:stretch>
                      <a:fillRect/>
                    </a:stretch>
                  </pic:blipFill>
                  <pic:spPr>
                    <a:xfrm>
                      <a:off x="0" y="0"/>
                      <a:ext cx="4414461" cy="2550567"/>
                    </a:xfrm>
                    <a:prstGeom prst="rect">
                      <a:avLst/>
                    </a:prstGeom>
                  </pic:spPr>
                </pic:pic>
              </a:graphicData>
            </a:graphic>
          </wp:inline>
        </w:drawing>
      </w:r>
    </w:p>
    <w:p w14:paraId="7E7A0C72" w14:textId="77777777" w:rsidR="004C4B20" w:rsidRDefault="001C1F5F" w:rsidP="00707E49">
      <w:pPr>
        <w:pStyle w:val="Caption"/>
        <w:spacing w:before="120" w:after="120" w:line="360" w:lineRule="auto"/>
        <w:jc w:val="center"/>
        <w:rPr>
          <w:b/>
          <w:bCs/>
          <w:i w:val="0"/>
          <w:iCs w:val="0"/>
          <w:color w:val="auto"/>
          <w:sz w:val="24"/>
          <w:szCs w:val="24"/>
        </w:rPr>
      </w:pPr>
      <w:r w:rsidRPr="004C4B20">
        <w:rPr>
          <w:b/>
          <w:bCs/>
          <w:i w:val="0"/>
          <w:iCs w:val="0"/>
          <w:color w:val="auto"/>
          <w:sz w:val="24"/>
          <w:szCs w:val="24"/>
        </w:rPr>
        <w:t xml:space="preserve">Figure </w:t>
      </w:r>
      <w:r w:rsidRPr="004C4B20">
        <w:rPr>
          <w:b/>
          <w:bCs/>
          <w:i w:val="0"/>
          <w:iCs w:val="0"/>
          <w:color w:val="auto"/>
          <w:sz w:val="24"/>
          <w:szCs w:val="24"/>
        </w:rPr>
        <w:fldChar w:fldCharType="begin"/>
      </w:r>
      <w:r w:rsidRPr="004C4B20">
        <w:rPr>
          <w:b/>
          <w:bCs/>
          <w:i w:val="0"/>
          <w:iCs w:val="0"/>
          <w:color w:val="auto"/>
          <w:sz w:val="24"/>
          <w:szCs w:val="24"/>
        </w:rPr>
        <w:instrText xml:space="preserve"> SEQ Figure \* ARABIC </w:instrText>
      </w:r>
      <w:r w:rsidRPr="004C4B20">
        <w:rPr>
          <w:b/>
          <w:bCs/>
          <w:i w:val="0"/>
          <w:iCs w:val="0"/>
          <w:color w:val="auto"/>
          <w:sz w:val="24"/>
          <w:szCs w:val="24"/>
        </w:rPr>
        <w:fldChar w:fldCharType="separate"/>
      </w:r>
      <w:r w:rsidR="007110D7">
        <w:rPr>
          <w:b/>
          <w:bCs/>
          <w:i w:val="0"/>
          <w:iCs w:val="0"/>
          <w:noProof/>
          <w:color w:val="auto"/>
          <w:sz w:val="24"/>
          <w:szCs w:val="24"/>
        </w:rPr>
        <w:t>2</w:t>
      </w:r>
      <w:r w:rsidRPr="004C4B20">
        <w:rPr>
          <w:b/>
          <w:bCs/>
          <w:i w:val="0"/>
          <w:iCs w:val="0"/>
          <w:color w:val="auto"/>
          <w:sz w:val="24"/>
          <w:szCs w:val="24"/>
        </w:rPr>
        <w:fldChar w:fldCharType="end"/>
      </w:r>
      <w:r w:rsidRPr="004C4B20">
        <w:rPr>
          <w:b/>
          <w:bCs/>
          <w:i w:val="0"/>
          <w:iCs w:val="0"/>
          <w:color w:val="auto"/>
          <w:sz w:val="24"/>
          <w:szCs w:val="24"/>
        </w:rPr>
        <w:t>: Sainsbury’s active and dead patents</w:t>
      </w:r>
    </w:p>
    <w:p w14:paraId="2B3C6F38" w14:textId="77777777" w:rsidR="004C4B20" w:rsidRPr="004C4B20" w:rsidRDefault="001C1F5F" w:rsidP="00707E49">
      <w:pPr>
        <w:spacing w:before="120" w:after="120"/>
        <w:jc w:val="center"/>
      </w:pPr>
      <w:r>
        <w:t>(Source: Insights; Gate, 2023)</w:t>
      </w:r>
    </w:p>
    <w:p w14:paraId="48839049" w14:textId="77777777" w:rsidR="004C4B20" w:rsidRDefault="001C1F5F" w:rsidP="00707E49">
      <w:pPr>
        <w:spacing w:before="120" w:after="120"/>
      </w:pPr>
      <w:r w:rsidRPr="00055616">
        <w:rPr>
          <w:b/>
          <w:bCs/>
          <w:i/>
          <w:iCs/>
        </w:rPr>
        <w:t>Goodwill</w:t>
      </w:r>
      <w:r>
        <w:rPr>
          <w:b/>
          <w:bCs/>
          <w:i/>
          <w:iCs/>
        </w:rPr>
        <w:t xml:space="preserve"> </w:t>
      </w:r>
      <w:r>
        <w:t xml:space="preserve">– The company’s goodwill and intangible assets are valued at </w:t>
      </w:r>
      <w:r w:rsidRPr="004C4B20">
        <w:t>$1.234</w:t>
      </w:r>
      <w:r>
        <w:t xml:space="preserve"> billion as of March 31, 2023 (Macrotrends, 2023). </w:t>
      </w:r>
    </w:p>
    <w:p w14:paraId="7A430B4B" w14:textId="77777777" w:rsidR="0040122C" w:rsidRDefault="001C1F5F" w:rsidP="00707E49">
      <w:pPr>
        <w:spacing w:before="120" w:after="120"/>
      </w:pPr>
      <w:r>
        <w:lastRenderedPageBreak/>
        <w:t>Below is a VRIO analysis to assess the value and significance of the resources identified above:</w:t>
      </w:r>
    </w:p>
    <w:tbl>
      <w:tblPr>
        <w:tblStyle w:val="TableGrid"/>
        <w:tblW w:w="0" w:type="auto"/>
        <w:tblLook w:val="04A0" w:firstRow="1" w:lastRow="0" w:firstColumn="1" w:lastColumn="0" w:noHBand="0" w:noVBand="1"/>
      </w:tblPr>
      <w:tblGrid>
        <w:gridCol w:w="2269"/>
        <w:gridCol w:w="1186"/>
        <w:gridCol w:w="1153"/>
        <w:gridCol w:w="1357"/>
        <w:gridCol w:w="1563"/>
        <w:gridCol w:w="1488"/>
      </w:tblGrid>
      <w:tr w:rsidR="00162AB4" w14:paraId="61028DFB" w14:textId="77777777" w:rsidTr="0040122C">
        <w:tc>
          <w:tcPr>
            <w:tcW w:w="2269" w:type="dxa"/>
          </w:tcPr>
          <w:p w14:paraId="79154716" w14:textId="77777777" w:rsidR="0040122C" w:rsidRPr="0040122C" w:rsidRDefault="001C1F5F" w:rsidP="00707E49">
            <w:pPr>
              <w:spacing w:before="120" w:after="120"/>
              <w:jc w:val="center"/>
              <w:rPr>
                <w:b/>
                <w:bCs/>
              </w:rPr>
            </w:pPr>
            <w:r w:rsidRPr="0040122C">
              <w:rPr>
                <w:b/>
                <w:bCs/>
              </w:rPr>
              <w:t>Resources/</w:t>
            </w:r>
          </w:p>
          <w:p w14:paraId="40550729" w14:textId="77777777" w:rsidR="0040122C" w:rsidRPr="0040122C" w:rsidRDefault="001C1F5F" w:rsidP="00707E49">
            <w:pPr>
              <w:spacing w:before="120" w:after="120"/>
              <w:jc w:val="center"/>
              <w:rPr>
                <w:b/>
                <w:bCs/>
              </w:rPr>
            </w:pPr>
            <w:r w:rsidRPr="0040122C">
              <w:rPr>
                <w:b/>
                <w:bCs/>
              </w:rPr>
              <w:t>competencies</w:t>
            </w:r>
          </w:p>
        </w:tc>
        <w:tc>
          <w:tcPr>
            <w:tcW w:w="1186" w:type="dxa"/>
          </w:tcPr>
          <w:p w14:paraId="19008697" w14:textId="77777777" w:rsidR="0040122C" w:rsidRPr="0040122C" w:rsidRDefault="001C1F5F" w:rsidP="00707E49">
            <w:pPr>
              <w:spacing w:before="120" w:after="120"/>
              <w:jc w:val="center"/>
              <w:rPr>
                <w:b/>
                <w:bCs/>
              </w:rPr>
            </w:pPr>
            <w:r w:rsidRPr="0040122C">
              <w:rPr>
                <w:b/>
                <w:bCs/>
                <w:shd w:val="clear" w:color="auto" w:fill="FFFFFF"/>
              </w:rPr>
              <w:t>Value</w:t>
            </w:r>
          </w:p>
        </w:tc>
        <w:tc>
          <w:tcPr>
            <w:tcW w:w="1153" w:type="dxa"/>
          </w:tcPr>
          <w:p w14:paraId="44380867" w14:textId="77777777" w:rsidR="0040122C" w:rsidRPr="0040122C" w:rsidRDefault="001C1F5F" w:rsidP="00707E49">
            <w:pPr>
              <w:spacing w:before="120" w:after="120"/>
              <w:jc w:val="center"/>
              <w:rPr>
                <w:b/>
                <w:bCs/>
              </w:rPr>
            </w:pPr>
            <w:r w:rsidRPr="0040122C">
              <w:rPr>
                <w:b/>
                <w:bCs/>
                <w:shd w:val="clear" w:color="auto" w:fill="FFFFFF"/>
              </w:rPr>
              <w:t>Rare</w:t>
            </w:r>
          </w:p>
        </w:tc>
        <w:tc>
          <w:tcPr>
            <w:tcW w:w="1357" w:type="dxa"/>
          </w:tcPr>
          <w:p w14:paraId="34A71E14" w14:textId="77777777" w:rsidR="0040122C" w:rsidRPr="0040122C" w:rsidRDefault="001C1F5F" w:rsidP="00707E49">
            <w:pPr>
              <w:spacing w:before="120" w:after="120"/>
              <w:jc w:val="center"/>
              <w:rPr>
                <w:b/>
                <w:bCs/>
              </w:rPr>
            </w:pPr>
            <w:r w:rsidRPr="0040122C">
              <w:rPr>
                <w:b/>
                <w:bCs/>
              </w:rPr>
              <w:t>Imitation</w:t>
            </w:r>
          </w:p>
        </w:tc>
        <w:tc>
          <w:tcPr>
            <w:tcW w:w="1563" w:type="dxa"/>
          </w:tcPr>
          <w:p w14:paraId="0A39A3C2" w14:textId="77777777" w:rsidR="0040122C" w:rsidRPr="0040122C" w:rsidRDefault="001C1F5F" w:rsidP="00707E49">
            <w:pPr>
              <w:spacing w:before="120" w:after="120"/>
              <w:jc w:val="center"/>
              <w:rPr>
                <w:b/>
                <w:bCs/>
              </w:rPr>
            </w:pPr>
            <w:r w:rsidRPr="0040122C">
              <w:rPr>
                <w:b/>
                <w:bCs/>
              </w:rPr>
              <w:t>Organisation</w:t>
            </w:r>
          </w:p>
        </w:tc>
        <w:tc>
          <w:tcPr>
            <w:tcW w:w="1488" w:type="dxa"/>
          </w:tcPr>
          <w:p w14:paraId="604C0FAF" w14:textId="77777777" w:rsidR="0040122C" w:rsidRPr="0040122C" w:rsidRDefault="001C1F5F" w:rsidP="00707E49">
            <w:pPr>
              <w:spacing w:before="120" w:after="120"/>
              <w:jc w:val="center"/>
              <w:rPr>
                <w:b/>
                <w:bCs/>
              </w:rPr>
            </w:pPr>
            <w:r w:rsidRPr="0040122C">
              <w:rPr>
                <w:b/>
                <w:bCs/>
              </w:rPr>
              <w:t>Competitive advantage</w:t>
            </w:r>
            <w:r>
              <w:rPr>
                <w:b/>
                <w:bCs/>
              </w:rPr>
              <w:t xml:space="preserve"> (CA)</w:t>
            </w:r>
          </w:p>
        </w:tc>
      </w:tr>
      <w:tr w:rsidR="00162AB4" w14:paraId="62CF2355" w14:textId="77777777" w:rsidTr="0040122C">
        <w:tc>
          <w:tcPr>
            <w:tcW w:w="2269" w:type="dxa"/>
          </w:tcPr>
          <w:p w14:paraId="3A0DB51E" w14:textId="77777777" w:rsidR="0040122C" w:rsidRDefault="001C1F5F" w:rsidP="00707E49">
            <w:pPr>
              <w:spacing w:before="120" w:after="120"/>
            </w:pPr>
            <w:r>
              <w:t xml:space="preserve">Human resources </w:t>
            </w:r>
          </w:p>
        </w:tc>
        <w:tc>
          <w:tcPr>
            <w:tcW w:w="1186" w:type="dxa"/>
            <w:vAlign w:val="center"/>
          </w:tcPr>
          <w:p w14:paraId="3AEA1F0F" w14:textId="77777777" w:rsidR="0040122C" w:rsidRDefault="001C1F5F" w:rsidP="00707E49">
            <w:pPr>
              <w:spacing w:before="120" w:after="120"/>
              <w:jc w:val="center"/>
            </w:pPr>
            <w:r>
              <w:t>Yes</w:t>
            </w:r>
          </w:p>
        </w:tc>
        <w:tc>
          <w:tcPr>
            <w:tcW w:w="1153" w:type="dxa"/>
            <w:vAlign w:val="center"/>
          </w:tcPr>
          <w:p w14:paraId="42B65026" w14:textId="77777777" w:rsidR="0040122C" w:rsidRDefault="001C1F5F" w:rsidP="00707E49">
            <w:pPr>
              <w:spacing w:before="120" w:after="120"/>
              <w:jc w:val="center"/>
            </w:pPr>
            <w:r>
              <w:t>No</w:t>
            </w:r>
          </w:p>
        </w:tc>
        <w:tc>
          <w:tcPr>
            <w:tcW w:w="1357" w:type="dxa"/>
            <w:vAlign w:val="center"/>
          </w:tcPr>
          <w:p w14:paraId="672DA981" w14:textId="77777777" w:rsidR="0040122C" w:rsidRDefault="001C1F5F" w:rsidP="00707E49">
            <w:pPr>
              <w:spacing w:before="120" w:after="120"/>
              <w:jc w:val="center"/>
            </w:pPr>
            <w:r>
              <w:t>No</w:t>
            </w:r>
          </w:p>
        </w:tc>
        <w:tc>
          <w:tcPr>
            <w:tcW w:w="1563" w:type="dxa"/>
            <w:vAlign w:val="center"/>
          </w:tcPr>
          <w:p w14:paraId="5DCCA2B0" w14:textId="77777777" w:rsidR="0040122C" w:rsidRDefault="001C1F5F" w:rsidP="00707E49">
            <w:pPr>
              <w:spacing w:before="120" w:after="120"/>
              <w:jc w:val="center"/>
            </w:pPr>
            <w:r>
              <w:t>Yes</w:t>
            </w:r>
          </w:p>
        </w:tc>
        <w:tc>
          <w:tcPr>
            <w:tcW w:w="1488" w:type="dxa"/>
            <w:vAlign w:val="center"/>
          </w:tcPr>
          <w:p w14:paraId="0E8A1833" w14:textId="77777777" w:rsidR="0040122C" w:rsidRDefault="001C1F5F" w:rsidP="00707E49">
            <w:pPr>
              <w:spacing w:before="120" w:after="120"/>
              <w:jc w:val="center"/>
            </w:pPr>
            <w:r>
              <w:t>Comparative CA</w:t>
            </w:r>
          </w:p>
        </w:tc>
      </w:tr>
      <w:tr w:rsidR="00162AB4" w14:paraId="2A2912BA" w14:textId="77777777" w:rsidTr="0040122C">
        <w:tc>
          <w:tcPr>
            <w:tcW w:w="2269" w:type="dxa"/>
          </w:tcPr>
          <w:p w14:paraId="3F8B66AB" w14:textId="77777777" w:rsidR="0040122C" w:rsidRDefault="001C1F5F" w:rsidP="00707E49">
            <w:pPr>
              <w:spacing w:before="120" w:after="120"/>
            </w:pPr>
            <w:r>
              <w:t xml:space="preserve">Financial resources </w:t>
            </w:r>
          </w:p>
        </w:tc>
        <w:tc>
          <w:tcPr>
            <w:tcW w:w="1186" w:type="dxa"/>
            <w:vAlign w:val="center"/>
          </w:tcPr>
          <w:p w14:paraId="61EE9273" w14:textId="77777777" w:rsidR="0040122C" w:rsidRDefault="001C1F5F" w:rsidP="00707E49">
            <w:pPr>
              <w:spacing w:before="120" w:after="120"/>
              <w:jc w:val="center"/>
            </w:pPr>
            <w:r>
              <w:t>Yes</w:t>
            </w:r>
          </w:p>
        </w:tc>
        <w:tc>
          <w:tcPr>
            <w:tcW w:w="1153" w:type="dxa"/>
            <w:vAlign w:val="center"/>
          </w:tcPr>
          <w:p w14:paraId="187527F0" w14:textId="77777777" w:rsidR="0040122C" w:rsidRDefault="001C1F5F" w:rsidP="00707E49">
            <w:pPr>
              <w:spacing w:before="120" w:after="120"/>
              <w:jc w:val="center"/>
            </w:pPr>
            <w:r>
              <w:t>No</w:t>
            </w:r>
          </w:p>
        </w:tc>
        <w:tc>
          <w:tcPr>
            <w:tcW w:w="1357" w:type="dxa"/>
            <w:vAlign w:val="center"/>
          </w:tcPr>
          <w:p w14:paraId="6189D3B7" w14:textId="77777777" w:rsidR="0040122C" w:rsidRDefault="001C1F5F" w:rsidP="00707E49">
            <w:pPr>
              <w:spacing w:before="120" w:after="120"/>
              <w:jc w:val="center"/>
            </w:pPr>
            <w:r>
              <w:t>No</w:t>
            </w:r>
          </w:p>
        </w:tc>
        <w:tc>
          <w:tcPr>
            <w:tcW w:w="1563" w:type="dxa"/>
            <w:vAlign w:val="center"/>
          </w:tcPr>
          <w:p w14:paraId="7F8BEFCA" w14:textId="77777777" w:rsidR="0040122C" w:rsidRDefault="001C1F5F" w:rsidP="00707E49">
            <w:pPr>
              <w:spacing w:before="120" w:after="120"/>
              <w:jc w:val="center"/>
            </w:pPr>
            <w:r>
              <w:t>Yes</w:t>
            </w:r>
          </w:p>
        </w:tc>
        <w:tc>
          <w:tcPr>
            <w:tcW w:w="1488" w:type="dxa"/>
            <w:vAlign w:val="center"/>
          </w:tcPr>
          <w:p w14:paraId="367B1032" w14:textId="77777777" w:rsidR="0040122C" w:rsidRDefault="001C1F5F" w:rsidP="00707E49">
            <w:pPr>
              <w:spacing w:before="120" w:after="120"/>
              <w:jc w:val="center"/>
            </w:pPr>
            <w:r>
              <w:t>Comparative CA</w:t>
            </w:r>
          </w:p>
        </w:tc>
      </w:tr>
      <w:tr w:rsidR="00162AB4" w14:paraId="66C4EE53" w14:textId="77777777" w:rsidTr="0040122C">
        <w:tc>
          <w:tcPr>
            <w:tcW w:w="2269" w:type="dxa"/>
          </w:tcPr>
          <w:p w14:paraId="04C024C5" w14:textId="77777777" w:rsidR="0040122C" w:rsidRDefault="001C1F5F" w:rsidP="00707E49">
            <w:pPr>
              <w:spacing w:before="120" w:after="120"/>
            </w:pPr>
            <w:r>
              <w:t>Properties/equipment</w:t>
            </w:r>
          </w:p>
        </w:tc>
        <w:tc>
          <w:tcPr>
            <w:tcW w:w="1186" w:type="dxa"/>
            <w:vAlign w:val="center"/>
          </w:tcPr>
          <w:p w14:paraId="5A4F39B6" w14:textId="77777777" w:rsidR="0040122C" w:rsidRDefault="001C1F5F" w:rsidP="00707E49">
            <w:pPr>
              <w:spacing w:before="120" w:after="120"/>
              <w:jc w:val="center"/>
            </w:pPr>
            <w:r>
              <w:t>Yes</w:t>
            </w:r>
          </w:p>
        </w:tc>
        <w:tc>
          <w:tcPr>
            <w:tcW w:w="1153" w:type="dxa"/>
            <w:vAlign w:val="center"/>
          </w:tcPr>
          <w:p w14:paraId="2C65D209" w14:textId="77777777" w:rsidR="0040122C" w:rsidRDefault="001C1F5F" w:rsidP="00707E49">
            <w:pPr>
              <w:spacing w:before="120" w:after="120"/>
              <w:jc w:val="center"/>
            </w:pPr>
            <w:r>
              <w:t>No</w:t>
            </w:r>
          </w:p>
        </w:tc>
        <w:tc>
          <w:tcPr>
            <w:tcW w:w="1357" w:type="dxa"/>
            <w:vAlign w:val="center"/>
          </w:tcPr>
          <w:p w14:paraId="593771B8" w14:textId="77777777" w:rsidR="0040122C" w:rsidRDefault="001C1F5F" w:rsidP="00707E49">
            <w:pPr>
              <w:spacing w:before="120" w:after="120"/>
              <w:jc w:val="center"/>
            </w:pPr>
            <w:r>
              <w:t>No</w:t>
            </w:r>
          </w:p>
        </w:tc>
        <w:tc>
          <w:tcPr>
            <w:tcW w:w="1563" w:type="dxa"/>
            <w:vAlign w:val="center"/>
          </w:tcPr>
          <w:p w14:paraId="3F128080" w14:textId="77777777" w:rsidR="0040122C" w:rsidRDefault="001C1F5F" w:rsidP="00707E49">
            <w:pPr>
              <w:spacing w:before="120" w:after="120"/>
              <w:jc w:val="center"/>
            </w:pPr>
            <w:r>
              <w:t>Yes</w:t>
            </w:r>
          </w:p>
        </w:tc>
        <w:tc>
          <w:tcPr>
            <w:tcW w:w="1488" w:type="dxa"/>
            <w:vAlign w:val="center"/>
          </w:tcPr>
          <w:p w14:paraId="43D8947A" w14:textId="77777777" w:rsidR="0040122C" w:rsidRDefault="001C1F5F" w:rsidP="00707E49">
            <w:pPr>
              <w:spacing w:before="120" w:after="120"/>
              <w:jc w:val="center"/>
            </w:pPr>
            <w:r>
              <w:t>Comparative CA</w:t>
            </w:r>
          </w:p>
        </w:tc>
      </w:tr>
      <w:tr w:rsidR="00162AB4" w14:paraId="264A5664" w14:textId="77777777" w:rsidTr="0040122C">
        <w:tc>
          <w:tcPr>
            <w:tcW w:w="2269" w:type="dxa"/>
          </w:tcPr>
          <w:p w14:paraId="2BF7D679" w14:textId="77777777" w:rsidR="0040122C" w:rsidRDefault="001C1F5F" w:rsidP="00707E49">
            <w:pPr>
              <w:spacing w:before="120" w:after="120"/>
            </w:pPr>
            <w:r>
              <w:t xml:space="preserve">Brand value </w:t>
            </w:r>
          </w:p>
        </w:tc>
        <w:tc>
          <w:tcPr>
            <w:tcW w:w="1186" w:type="dxa"/>
            <w:vAlign w:val="center"/>
          </w:tcPr>
          <w:p w14:paraId="5DEB9E25" w14:textId="77777777" w:rsidR="0040122C" w:rsidRDefault="001C1F5F" w:rsidP="00707E49">
            <w:pPr>
              <w:spacing w:before="120" w:after="120"/>
              <w:jc w:val="center"/>
            </w:pPr>
            <w:r>
              <w:t>Yes</w:t>
            </w:r>
          </w:p>
        </w:tc>
        <w:tc>
          <w:tcPr>
            <w:tcW w:w="1153" w:type="dxa"/>
            <w:vAlign w:val="center"/>
          </w:tcPr>
          <w:p w14:paraId="331EE881" w14:textId="77777777" w:rsidR="0040122C" w:rsidRDefault="001C1F5F" w:rsidP="00707E49">
            <w:pPr>
              <w:spacing w:before="120" w:after="120"/>
              <w:jc w:val="center"/>
            </w:pPr>
            <w:r>
              <w:t>Yes</w:t>
            </w:r>
          </w:p>
        </w:tc>
        <w:tc>
          <w:tcPr>
            <w:tcW w:w="1357" w:type="dxa"/>
            <w:vAlign w:val="center"/>
          </w:tcPr>
          <w:p w14:paraId="43CA6864" w14:textId="77777777" w:rsidR="0040122C" w:rsidRDefault="001C1F5F" w:rsidP="00707E49">
            <w:pPr>
              <w:spacing w:before="120" w:after="120"/>
              <w:jc w:val="center"/>
            </w:pPr>
            <w:r>
              <w:t>No</w:t>
            </w:r>
          </w:p>
        </w:tc>
        <w:tc>
          <w:tcPr>
            <w:tcW w:w="1563" w:type="dxa"/>
            <w:vAlign w:val="center"/>
          </w:tcPr>
          <w:p w14:paraId="4713A1C3" w14:textId="77777777" w:rsidR="0040122C" w:rsidRDefault="001C1F5F" w:rsidP="00707E49">
            <w:pPr>
              <w:spacing w:before="120" w:after="120"/>
              <w:jc w:val="center"/>
            </w:pPr>
            <w:r>
              <w:t>Yes</w:t>
            </w:r>
          </w:p>
        </w:tc>
        <w:tc>
          <w:tcPr>
            <w:tcW w:w="1488" w:type="dxa"/>
            <w:vAlign w:val="center"/>
          </w:tcPr>
          <w:p w14:paraId="5731A316" w14:textId="77777777" w:rsidR="0040122C" w:rsidRDefault="001C1F5F" w:rsidP="00707E49">
            <w:pPr>
              <w:spacing w:before="120" w:after="120"/>
              <w:jc w:val="center"/>
            </w:pPr>
            <w:r>
              <w:t>Temporary CA</w:t>
            </w:r>
          </w:p>
        </w:tc>
      </w:tr>
      <w:tr w:rsidR="00162AB4" w14:paraId="40EB6E7E" w14:textId="77777777" w:rsidTr="0040122C">
        <w:tc>
          <w:tcPr>
            <w:tcW w:w="2269" w:type="dxa"/>
          </w:tcPr>
          <w:p w14:paraId="0CE0F42D" w14:textId="77777777" w:rsidR="0040122C" w:rsidRDefault="001C1F5F" w:rsidP="00707E49">
            <w:pPr>
              <w:spacing w:before="120" w:after="120"/>
            </w:pPr>
            <w:r>
              <w:t xml:space="preserve">Brand awareness </w:t>
            </w:r>
          </w:p>
        </w:tc>
        <w:tc>
          <w:tcPr>
            <w:tcW w:w="1186" w:type="dxa"/>
            <w:vAlign w:val="center"/>
          </w:tcPr>
          <w:p w14:paraId="2D041E84" w14:textId="77777777" w:rsidR="0040122C" w:rsidRDefault="001C1F5F" w:rsidP="00707E49">
            <w:pPr>
              <w:spacing w:before="120" w:after="120"/>
              <w:jc w:val="center"/>
            </w:pPr>
            <w:r>
              <w:t>Yes</w:t>
            </w:r>
          </w:p>
        </w:tc>
        <w:tc>
          <w:tcPr>
            <w:tcW w:w="1153" w:type="dxa"/>
            <w:vAlign w:val="center"/>
          </w:tcPr>
          <w:p w14:paraId="12138253" w14:textId="77777777" w:rsidR="0040122C" w:rsidRDefault="001C1F5F" w:rsidP="00707E49">
            <w:pPr>
              <w:spacing w:before="120" w:after="120"/>
              <w:jc w:val="center"/>
            </w:pPr>
            <w:r>
              <w:t>Yes</w:t>
            </w:r>
          </w:p>
        </w:tc>
        <w:tc>
          <w:tcPr>
            <w:tcW w:w="1357" w:type="dxa"/>
            <w:vAlign w:val="center"/>
          </w:tcPr>
          <w:p w14:paraId="117B71DD" w14:textId="77777777" w:rsidR="0040122C" w:rsidRDefault="001C1F5F" w:rsidP="00707E49">
            <w:pPr>
              <w:spacing w:before="120" w:after="120"/>
              <w:jc w:val="center"/>
            </w:pPr>
            <w:r>
              <w:t>No</w:t>
            </w:r>
          </w:p>
        </w:tc>
        <w:tc>
          <w:tcPr>
            <w:tcW w:w="1563" w:type="dxa"/>
            <w:vAlign w:val="center"/>
          </w:tcPr>
          <w:p w14:paraId="47CBD83E" w14:textId="77777777" w:rsidR="0040122C" w:rsidRDefault="001C1F5F" w:rsidP="00707E49">
            <w:pPr>
              <w:spacing w:before="120" w:after="120"/>
              <w:jc w:val="center"/>
            </w:pPr>
            <w:r>
              <w:t>Yes</w:t>
            </w:r>
          </w:p>
        </w:tc>
        <w:tc>
          <w:tcPr>
            <w:tcW w:w="1488" w:type="dxa"/>
            <w:vAlign w:val="center"/>
          </w:tcPr>
          <w:p w14:paraId="72339BC3" w14:textId="77777777" w:rsidR="0040122C" w:rsidRDefault="001C1F5F" w:rsidP="00707E49">
            <w:pPr>
              <w:spacing w:before="120" w:after="120"/>
              <w:jc w:val="center"/>
            </w:pPr>
            <w:r>
              <w:t>Temporary CA</w:t>
            </w:r>
          </w:p>
        </w:tc>
      </w:tr>
      <w:tr w:rsidR="00162AB4" w14:paraId="1F05E4D7" w14:textId="77777777" w:rsidTr="0040122C">
        <w:tc>
          <w:tcPr>
            <w:tcW w:w="2269" w:type="dxa"/>
          </w:tcPr>
          <w:p w14:paraId="22FAABEC" w14:textId="77777777" w:rsidR="0040122C" w:rsidRDefault="001C1F5F" w:rsidP="00707E49">
            <w:pPr>
              <w:spacing w:before="120" w:after="120"/>
            </w:pPr>
            <w:r>
              <w:t xml:space="preserve">Patents/copyrights </w:t>
            </w:r>
          </w:p>
        </w:tc>
        <w:tc>
          <w:tcPr>
            <w:tcW w:w="1186" w:type="dxa"/>
            <w:vAlign w:val="center"/>
          </w:tcPr>
          <w:p w14:paraId="05A22F8A" w14:textId="77777777" w:rsidR="0040122C" w:rsidRDefault="001C1F5F" w:rsidP="00707E49">
            <w:pPr>
              <w:spacing w:before="120" w:after="120"/>
              <w:jc w:val="center"/>
            </w:pPr>
            <w:r>
              <w:t>Yes</w:t>
            </w:r>
          </w:p>
        </w:tc>
        <w:tc>
          <w:tcPr>
            <w:tcW w:w="1153" w:type="dxa"/>
            <w:vAlign w:val="center"/>
          </w:tcPr>
          <w:p w14:paraId="3A067A74" w14:textId="77777777" w:rsidR="0040122C" w:rsidRDefault="001C1F5F" w:rsidP="00707E49">
            <w:pPr>
              <w:spacing w:before="120" w:after="120"/>
              <w:jc w:val="center"/>
            </w:pPr>
            <w:r>
              <w:t>Yes</w:t>
            </w:r>
          </w:p>
        </w:tc>
        <w:tc>
          <w:tcPr>
            <w:tcW w:w="1357" w:type="dxa"/>
            <w:vAlign w:val="center"/>
          </w:tcPr>
          <w:p w14:paraId="25948C42" w14:textId="77777777" w:rsidR="0040122C" w:rsidRDefault="001C1F5F" w:rsidP="00707E49">
            <w:pPr>
              <w:spacing w:before="120" w:after="120"/>
              <w:jc w:val="center"/>
            </w:pPr>
            <w:r>
              <w:t>Yes</w:t>
            </w:r>
          </w:p>
        </w:tc>
        <w:tc>
          <w:tcPr>
            <w:tcW w:w="1563" w:type="dxa"/>
            <w:vAlign w:val="center"/>
          </w:tcPr>
          <w:p w14:paraId="4ED58AD4" w14:textId="77777777" w:rsidR="0040122C" w:rsidRDefault="001C1F5F" w:rsidP="00707E49">
            <w:pPr>
              <w:spacing w:before="120" w:after="120"/>
              <w:jc w:val="center"/>
            </w:pPr>
            <w:r>
              <w:t>Yes</w:t>
            </w:r>
          </w:p>
        </w:tc>
        <w:tc>
          <w:tcPr>
            <w:tcW w:w="1488" w:type="dxa"/>
            <w:vAlign w:val="center"/>
          </w:tcPr>
          <w:p w14:paraId="713BD276" w14:textId="77777777" w:rsidR="0040122C" w:rsidRDefault="001C1F5F" w:rsidP="00707E49">
            <w:pPr>
              <w:spacing w:before="120" w:after="120"/>
              <w:jc w:val="center"/>
            </w:pPr>
            <w:r>
              <w:t>Sustainable CA</w:t>
            </w:r>
          </w:p>
        </w:tc>
      </w:tr>
      <w:tr w:rsidR="00162AB4" w14:paraId="7C22D913" w14:textId="77777777" w:rsidTr="0040122C">
        <w:tc>
          <w:tcPr>
            <w:tcW w:w="2269" w:type="dxa"/>
          </w:tcPr>
          <w:p w14:paraId="4028DC34" w14:textId="77777777" w:rsidR="0040122C" w:rsidRDefault="001C1F5F" w:rsidP="00707E49">
            <w:pPr>
              <w:spacing w:before="120" w:after="120"/>
            </w:pPr>
            <w:r>
              <w:t>Goodwill</w:t>
            </w:r>
          </w:p>
        </w:tc>
        <w:tc>
          <w:tcPr>
            <w:tcW w:w="1186" w:type="dxa"/>
            <w:vAlign w:val="center"/>
          </w:tcPr>
          <w:p w14:paraId="7A949765" w14:textId="77777777" w:rsidR="0040122C" w:rsidRDefault="001C1F5F" w:rsidP="00707E49">
            <w:pPr>
              <w:spacing w:before="120" w:after="120"/>
              <w:jc w:val="center"/>
            </w:pPr>
            <w:r>
              <w:t>Yes</w:t>
            </w:r>
          </w:p>
        </w:tc>
        <w:tc>
          <w:tcPr>
            <w:tcW w:w="1153" w:type="dxa"/>
            <w:vAlign w:val="center"/>
          </w:tcPr>
          <w:p w14:paraId="3180FC19" w14:textId="77777777" w:rsidR="0040122C" w:rsidRDefault="001C1F5F" w:rsidP="00707E49">
            <w:pPr>
              <w:spacing w:before="120" w:after="120"/>
              <w:jc w:val="center"/>
            </w:pPr>
            <w:r>
              <w:t>Yes</w:t>
            </w:r>
          </w:p>
        </w:tc>
        <w:tc>
          <w:tcPr>
            <w:tcW w:w="1357" w:type="dxa"/>
            <w:vAlign w:val="center"/>
          </w:tcPr>
          <w:p w14:paraId="3C540F0B" w14:textId="77777777" w:rsidR="0040122C" w:rsidRDefault="001C1F5F" w:rsidP="00707E49">
            <w:pPr>
              <w:spacing w:before="120" w:after="120"/>
              <w:jc w:val="center"/>
            </w:pPr>
            <w:r>
              <w:t>Yes</w:t>
            </w:r>
          </w:p>
        </w:tc>
        <w:tc>
          <w:tcPr>
            <w:tcW w:w="1563" w:type="dxa"/>
            <w:vAlign w:val="center"/>
          </w:tcPr>
          <w:p w14:paraId="7FD1E92A" w14:textId="77777777" w:rsidR="0040122C" w:rsidRDefault="001C1F5F" w:rsidP="00707E49">
            <w:pPr>
              <w:spacing w:before="120" w:after="120"/>
              <w:jc w:val="center"/>
            </w:pPr>
            <w:r>
              <w:t>Yes</w:t>
            </w:r>
          </w:p>
        </w:tc>
        <w:tc>
          <w:tcPr>
            <w:tcW w:w="1488" w:type="dxa"/>
            <w:vAlign w:val="center"/>
          </w:tcPr>
          <w:p w14:paraId="32EAFE19" w14:textId="77777777" w:rsidR="0040122C" w:rsidRDefault="001C1F5F" w:rsidP="00707E49">
            <w:pPr>
              <w:keepNext/>
              <w:spacing w:before="120" w:after="120"/>
              <w:jc w:val="center"/>
            </w:pPr>
            <w:r>
              <w:t>Sustainable CA</w:t>
            </w:r>
          </w:p>
        </w:tc>
      </w:tr>
    </w:tbl>
    <w:p w14:paraId="5FEE9F7E" w14:textId="77777777" w:rsidR="0040122C" w:rsidRDefault="001C1F5F" w:rsidP="00707E49">
      <w:pPr>
        <w:pStyle w:val="Caption"/>
        <w:spacing w:before="120" w:after="120" w:line="360" w:lineRule="auto"/>
        <w:jc w:val="center"/>
        <w:rPr>
          <w:b/>
          <w:bCs/>
          <w:i w:val="0"/>
          <w:iCs w:val="0"/>
          <w:color w:val="auto"/>
          <w:sz w:val="24"/>
          <w:szCs w:val="24"/>
        </w:rPr>
      </w:pPr>
      <w:r w:rsidRPr="0040122C">
        <w:rPr>
          <w:b/>
          <w:bCs/>
          <w:i w:val="0"/>
          <w:iCs w:val="0"/>
          <w:color w:val="auto"/>
          <w:sz w:val="24"/>
          <w:szCs w:val="24"/>
        </w:rPr>
        <w:t xml:space="preserve">Table </w:t>
      </w:r>
      <w:r w:rsidRPr="0040122C">
        <w:rPr>
          <w:b/>
          <w:bCs/>
          <w:i w:val="0"/>
          <w:iCs w:val="0"/>
          <w:color w:val="auto"/>
          <w:sz w:val="24"/>
          <w:szCs w:val="24"/>
        </w:rPr>
        <w:fldChar w:fldCharType="begin"/>
      </w:r>
      <w:r w:rsidRPr="0040122C">
        <w:rPr>
          <w:b/>
          <w:bCs/>
          <w:i w:val="0"/>
          <w:iCs w:val="0"/>
          <w:color w:val="auto"/>
          <w:sz w:val="24"/>
          <w:szCs w:val="24"/>
        </w:rPr>
        <w:instrText xml:space="preserve"> SEQ Table \* ARABIC </w:instrText>
      </w:r>
      <w:r w:rsidRPr="0040122C">
        <w:rPr>
          <w:b/>
          <w:bCs/>
          <w:i w:val="0"/>
          <w:iCs w:val="0"/>
          <w:color w:val="auto"/>
          <w:sz w:val="24"/>
          <w:szCs w:val="24"/>
        </w:rPr>
        <w:fldChar w:fldCharType="separate"/>
      </w:r>
      <w:r w:rsidRPr="0040122C">
        <w:rPr>
          <w:b/>
          <w:bCs/>
          <w:i w:val="0"/>
          <w:iCs w:val="0"/>
          <w:noProof/>
          <w:color w:val="auto"/>
          <w:sz w:val="24"/>
          <w:szCs w:val="24"/>
        </w:rPr>
        <w:t>1</w:t>
      </w:r>
      <w:r w:rsidRPr="0040122C">
        <w:rPr>
          <w:b/>
          <w:bCs/>
          <w:i w:val="0"/>
          <w:iCs w:val="0"/>
          <w:color w:val="auto"/>
          <w:sz w:val="24"/>
          <w:szCs w:val="24"/>
        </w:rPr>
        <w:fldChar w:fldCharType="end"/>
      </w:r>
      <w:r w:rsidRPr="0040122C">
        <w:rPr>
          <w:b/>
          <w:bCs/>
          <w:i w:val="0"/>
          <w:iCs w:val="0"/>
          <w:color w:val="auto"/>
          <w:sz w:val="24"/>
          <w:szCs w:val="24"/>
        </w:rPr>
        <w:t>: VRIO analysis of Sainsbury's</w:t>
      </w:r>
    </w:p>
    <w:p w14:paraId="60698CB3" w14:textId="77777777" w:rsidR="0040122C" w:rsidRPr="0040122C" w:rsidRDefault="001C1F5F" w:rsidP="00707E49">
      <w:pPr>
        <w:spacing w:before="120" w:after="120"/>
        <w:jc w:val="center"/>
      </w:pPr>
      <w:r>
        <w:t>(Source: Created by the learner)</w:t>
      </w:r>
    </w:p>
    <w:p w14:paraId="4C478665" w14:textId="77777777" w:rsidR="00707E49" w:rsidRPr="0048528F" w:rsidRDefault="001C1F5F" w:rsidP="0048528F">
      <w:pPr>
        <w:spacing w:before="120" w:after="120"/>
      </w:pPr>
      <w:r>
        <w:t xml:space="preserve">Based on the above data, it is evident that the company has an extensive portfolio of resources which are definitely going to be helpful in regard to helping its business grow. </w:t>
      </w:r>
      <w:r w:rsidR="00C25E7A">
        <w:t xml:space="preserve">Overall, considering the current business strategy of the company, it can be said the company’s resources and capabilities are well aligned to support them. For one, </w:t>
      </w:r>
      <w:r w:rsidR="00262020">
        <w:t>its</w:t>
      </w:r>
      <w:r w:rsidR="00C25E7A">
        <w:t xml:space="preserve"> expansive human resource network means it has the talent to </w:t>
      </w:r>
      <w:r w:rsidR="00262020">
        <w:t xml:space="preserve">further its marketing capabilities through the use of technology, which will help it ensure the personalisation of its product and marketing strategy. Furthermore, combined with its existing patents and copyrights, the business will surely be </w:t>
      </w:r>
      <w:r w:rsidR="00262020">
        <w:lastRenderedPageBreak/>
        <w:t>capable of delivering innovation in its operations</w:t>
      </w:r>
      <w:r w:rsidR="008F0308">
        <w:t>, including developing new ways to save costs</w:t>
      </w:r>
      <w:r w:rsidR="00262020">
        <w:t>. Moreover, its brand value and awareness will serve to help it deliver value to a wide</w:t>
      </w:r>
      <w:r w:rsidR="008F0308">
        <w:t>r</w:t>
      </w:r>
      <w:r w:rsidR="00262020">
        <w:t xml:space="preserve"> consumer base</w:t>
      </w:r>
      <w:r w:rsidR="008F0308">
        <w:t xml:space="preserve">. </w:t>
      </w:r>
      <w:r>
        <w:br w:type="page"/>
      </w:r>
    </w:p>
    <w:p w14:paraId="6EFBA296" w14:textId="77777777" w:rsidR="00EE0B40" w:rsidRDefault="001C1F5F" w:rsidP="00707E49">
      <w:pPr>
        <w:pStyle w:val="Heading1"/>
        <w:spacing w:before="120" w:after="120"/>
      </w:pPr>
      <w:bookmarkStart w:id="3" w:name="_Toc152867877"/>
      <w:r>
        <w:lastRenderedPageBreak/>
        <w:t>Evaluate with evidence how successful the company has been in implementing selected business and corporate strategies to compete in the market and create competitive advantages over rivals.</w:t>
      </w:r>
      <w:bookmarkEnd w:id="3"/>
    </w:p>
    <w:p w14:paraId="469942C9" w14:textId="77777777" w:rsidR="008F0308" w:rsidRDefault="001C1F5F" w:rsidP="00707E49">
      <w:pPr>
        <w:spacing w:before="120" w:after="120"/>
      </w:pPr>
      <w:r>
        <w:t>The grocery supermarket segment is a competitive industry. As is identified through Porter's Five Forces Model (</w:t>
      </w:r>
      <w:r w:rsidRPr="008F0308">
        <w:rPr>
          <w:b/>
          <w:bCs/>
          <w:i/>
          <w:iCs/>
        </w:rPr>
        <w:t>refer to Appendix C</w:t>
      </w:r>
      <w:r>
        <w:t xml:space="preserve">), </w:t>
      </w:r>
      <w:r w:rsidR="00125AFB">
        <w:t xml:space="preserve">Sainsbury's competes with three other supermarkets in the UK for market share and consumers, combinedly known as the 'Big Four'. It is therefore evident that each of these companies is constantly trying to gain a competitive advantage over its rivals. In this regard, the above VRIO analysis has served to establish that Sainsbury's patents and copyrights and its goodwill go a long way to ensure that it has some amount of competitive advantage over its rivals. However, it needs to be considered that the other businesses also have their strengths which means that Sainsbury's will need to do something different to ensure that its business is able to sustain its competitive advantage. </w:t>
      </w:r>
      <w:r w:rsidR="00A9141D">
        <w:t>For instance, Tesco currently leads in regard to market share with 26.9% of the UK’s overall grocery market share, followed by Sainsbury’s, Asda, and Morrisons at 14.6%, 14.1%, and 9.1% respectively (</w:t>
      </w:r>
      <w:r w:rsidR="00A9141D" w:rsidRPr="00125AFB">
        <w:t>McKevitt</w:t>
      </w:r>
      <w:r w:rsidR="00A9141D">
        <w:t xml:space="preserve">, 2022).  </w:t>
      </w:r>
    </w:p>
    <w:p w14:paraId="00A40140" w14:textId="77777777" w:rsidR="00A9141D" w:rsidRDefault="001C1F5F" w:rsidP="00707E49">
      <w:pPr>
        <w:keepNext/>
        <w:spacing w:before="120" w:after="120"/>
        <w:jc w:val="center"/>
      </w:pPr>
      <w:r>
        <w:rPr>
          <w:noProof/>
          <w:lang w:eastAsia="en-GB"/>
        </w:rPr>
        <w:drawing>
          <wp:inline distT="0" distB="0" distL="0" distR="0" wp14:anchorId="7A63BBAD" wp14:editId="5F23D7ED">
            <wp:extent cx="4751705" cy="2758889"/>
            <wp:effectExtent l="0" t="0" r="0" b="3810"/>
            <wp:docPr id="1258478396" name="Picture 1" descr="uk dataviz - s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478396" name="Picture 1" descr="uk dataviz - sep"/>
                    <pic:cNvPicPr>
                      <a:picLocks noChangeAspect="1" noChangeArrowheads="1"/>
                    </pic:cNvPicPr>
                  </pic:nvPicPr>
                  <pic:blipFill>
                    <a:blip r:embed="rId11">
                      <a:extLst>
                        <a:ext uri="{28A0092B-C50C-407E-A947-70E740481C1C}">
                          <a14:useLocalDpi xmlns:a14="http://schemas.microsoft.com/office/drawing/2010/main" val="0"/>
                        </a:ext>
                      </a:extLst>
                    </a:blip>
                    <a:srcRect b="3131"/>
                    <a:stretch>
                      <a:fillRect/>
                    </a:stretch>
                  </pic:blipFill>
                  <pic:spPr bwMode="auto">
                    <a:xfrm>
                      <a:off x="0" y="0"/>
                      <a:ext cx="4754608" cy="2760575"/>
                    </a:xfrm>
                    <a:prstGeom prst="rect">
                      <a:avLst/>
                    </a:prstGeom>
                    <a:noFill/>
                    <a:ln>
                      <a:noFill/>
                    </a:ln>
                    <a:extLst>
                      <a:ext uri="{53640926-AAD7-44D8-BBD7-CCE9431645EC}">
                        <a14:shadowObscured xmlns:a14="http://schemas.microsoft.com/office/drawing/2010/main"/>
                      </a:ext>
                    </a:extLst>
                  </pic:spPr>
                </pic:pic>
              </a:graphicData>
            </a:graphic>
          </wp:inline>
        </w:drawing>
      </w:r>
    </w:p>
    <w:p w14:paraId="2ED09AC4" w14:textId="77777777" w:rsidR="00A9141D" w:rsidRPr="00A9141D" w:rsidRDefault="001C1F5F" w:rsidP="00707E49">
      <w:pPr>
        <w:pStyle w:val="Caption"/>
        <w:spacing w:before="120" w:after="120" w:line="360" w:lineRule="auto"/>
        <w:jc w:val="center"/>
        <w:rPr>
          <w:b/>
          <w:bCs/>
          <w:i w:val="0"/>
          <w:iCs w:val="0"/>
          <w:color w:val="auto"/>
          <w:sz w:val="24"/>
          <w:szCs w:val="24"/>
        </w:rPr>
      </w:pPr>
      <w:r w:rsidRPr="00A9141D">
        <w:rPr>
          <w:b/>
          <w:bCs/>
          <w:i w:val="0"/>
          <w:iCs w:val="0"/>
          <w:color w:val="auto"/>
          <w:sz w:val="24"/>
          <w:szCs w:val="24"/>
        </w:rPr>
        <w:t xml:space="preserve">Figure </w:t>
      </w:r>
      <w:r w:rsidRPr="00A9141D">
        <w:rPr>
          <w:b/>
          <w:bCs/>
          <w:i w:val="0"/>
          <w:iCs w:val="0"/>
          <w:color w:val="auto"/>
          <w:sz w:val="24"/>
          <w:szCs w:val="24"/>
        </w:rPr>
        <w:fldChar w:fldCharType="begin"/>
      </w:r>
      <w:r w:rsidRPr="00A9141D">
        <w:rPr>
          <w:b/>
          <w:bCs/>
          <w:i w:val="0"/>
          <w:iCs w:val="0"/>
          <w:color w:val="auto"/>
          <w:sz w:val="24"/>
          <w:szCs w:val="24"/>
        </w:rPr>
        <w:instrText xml:space="preserve"> SEQ Figure \* ARABIC </w:instrText>
      </w:r>
      <w:r w:rsidRPr="00A9141D">
        <w:rPr>
          <w:b/>
          <w:bCs/>
          <w:i w:val="0"/>
          <w:iCs w:val="0"/>
          <w:color w:val="auto"/>
          <w:sz w:val="24"/>
          <w:szCs w:val="24"/>
        </w:rPr>
        <w:fldChar w:fldCharType="separate"/>
      </w:r>
      <w:r w:rsidR="007110D7">
        <w:rPr>
          <w:b/>
          <w:bCs/>
          <w:i w:val="0"/>
          <w:iCs w:val="0"/>
          <w:noProof/>
          <w:color w:val="auto"/>
          <w:sz w:val="24"/>
          <w:szCs w:val="24"/>
        </w:rPr>
        <w:t>3</w:t>
      </w:r>
      <w:r w:rsidRPr="00A9141D">
        <w:rPr>
          <w:b/>
          <w:bCs/>
          <w:i w:val="0"/>
          <w:iCs w:val="0"/>
          <w:color w:val="auto"/>
          <w:sz w:val="24"/>
          <w:szCs w:val="24"/>
        </w:rPr>
        <w:fldChar w:fldCharType="end"/>
      </w:r>
      <w:r w:rsidRPr="00A9141D">
        <w:rPr>
          <w:b/>
          <w:bCs/>
          <w:i w:val="0"/>
          <w:iCs w:val="0"/>
          <w:color w:val="auto"/>
          <w:sz w:val="24"/>
          <w:szCs w:val="24"/>
        </w:rPr>
        <w:t>: Grocery market share in the UK</w:t>
      </w:r>
      <w:r>
        <w:rPr>
          <w:b/>
          <w:bCs/>
          <w:i w:val="0"/>
          <w:iCs w:val="0"/>
          <w:color w:val="auto"/>
          <w:sz w:val="24"/>
          <w:szCs w:val="24"/>
        </w:rPr>
        <w:t xml:space="preserve"> in 2022</w:t>
      </w:r>
    </w:p>
    <w:p w14:paraId="13CE129F" w14:textId="77777777" w:rsidR="00A9141D" w:rsidRDefault="001C1F5F" w:rsidP="00707E49">
      <w:pPr>
        <w:spacing w:before="120" w:after="120"/>
        <w:jc w:val="center"/>
      </w:pPr>
      <w:r>
        <w:t xml:space="preserve">(Source: </w:t>
      </w:r>
      <w:r w:rsidRPr="00125AFB">
        <w:t>McKevitt</w:t>
      </w:r>
      <w:r>
        <w:t>, 2022)</w:t>
      </w:r>
    </w:p>
    <w:p w14:paraId="63AD0C54" w14:textId="77777777" w:rsidR="00A9141D" w:rsidRDefault="001C1F5F" w:rsidP="00707E49">
      <w:pPr>
        <w:spacing w:before="120" w:after="120"/>
      </w:pPr>
      <w:r>
        <w:t xml:space="preserve">To this end, Sainsbury’s has indeed implemented some strategies to compete with its rivals. </w:t>
      </w:r>
      <w:r w:rsidR="00B80A8F">
        <w:t xml:space="preserve">In alignment with its core strategic focuses like 'Food First' and 'Save to Invest', which include objectives like reducing its cost to serve and operational costs, the company has adopted a "bolder" approach to value, innovation, and service. This has allowed it to fend off competition </w:t>
      </w:r>
      <w:r w:rsidR="00B80A8F">
        <w:lastRenderedPageBreak/>
        <w:t>from discount supermarkets Aldi and Lidl over Christmas in 2022</w:t>
      </w:r>
      <w:r w:rsidR="007A6CA6">
        <w:t>, who have snatched market share away from the big four supermarkets. The company has allegedly achieved this by improving its value credentials (</w:t>
      </w:r>
      <w:r w:rsidR="007A6CA6" w:rsidRPr="007A6CA6">
        <w:t>Carroll</w:t>
      </w:r>
      <w:r w:rsidR="007A6CA6">
        <w:t xml:space="preserve">, 2023). </w:t>
      </w:r>
    </w:p>
    <w:p w14:paraId="00BEDB4F" w14:textId="77777777" w:rsidR="00707E49" w:rsidRPr="0048528F" w:rsidRDefault="001C1F5F" w:rsidP="0048528F">
      <w:pPr>
        <w:spacing w:before="120" w:after="120"/>
      </w:pPr>
      <w:r>
        <w:t>Furthermore, the company is looking to enhance both quality and low-product pricing, once again resonating with its ‘</w:t>
      </w:r>
      <w:r w:rsidRPr="007A6CA6">
        <w:t>Food First</w:t>
      </w:r>
      <w:r>
        <w:t>' strategic focus. This has allowed the company to increase its market share by nearly 0.4 percentage points. In this regard, it is competing with discount supermarkets with its 'Aldi price Match' strategy as well as catering to customers who are trading up to premium products during the Christmas period, primarily with its ‘</w:t>
      </w:r>
      <w:r w:rsidRPr="00FB71C6">
        <w:rPr>
          <w:i/>
          <w:iCs/>
        </w:rPr>
        <w:t>Taste the Difference’</w:t>
      </w:r>
      <w:r>
        <w:t xml:space="preserve"> range (</w:t>
      </w:r>
      <w:r w:rsidRPr="00FB71C6">
        <w:t>Sutcliffe</w:t>
      </w:r>
      <w:r>
        <w:t xml:space="preserve">, 2023). It is also targeting its Big Four rivals like Tesco with its Nectar Prices Scheme which directly targets Tesco's Clubcard prices and covers 6,000 of Sainsbury's products. Additionally, it has also focused on innovation by introducing nearly 300 new products, with most being in its Taste the Difference range; before the Christmas period to attract customers looking for premium options (Caterlyst, 2023). Overall, it is evident that the company has implemented effective business strategies to compete in the UK supermarket segment with its rivals. </w:t>
      </w:r>
      <w:r>
        <w:br w:type="page"/>
      </w:r>
    </w:p>
    <w:p w14:paraId="34F006F8" w14:textId="77777777" w:rsidR="00EE0B40" w:rsidRDefault="001C1F5F" w:rsidP="00707E49">
      <w:pPr>
        <w:pStyle w:val="Heading1"/>
        <w:spacing w:before="120" w:after="120"/>
      </w:pPr>
      <w:bookmarkStart w:id="4" w:name="_Toc152867878"/>
      <w:r>
        <w:lastRenderedPageBreak/>
        <w:t>Evaluate with evidence how the selected company has tried to become more competitive while taking into consideration sustainability and the environment.</w:t>
      </w:r>
      <w:bookmarkEnd w:id="4"/>
    </w:p>
    <w:p w14:paraId="77482472" w14:textId="77777777" w:rsidR="0041790A" w:rsidRDefault="001C1F5F" w:rsidP="00707E49">
      <w:pPr>
        <w:spacing w:before="120" w:after="120"/>
      </w:pPr>
      <w:r>
        <w:t xml:space="preserve">Apart from competing for market share, it is also important for the business to emphasize sustainability and the environment, as it is an area where there is increasing consumer focus. Studies find that many consumers (33%) would likely opt for businesses which they find more sustainable compared to those who are not (Unilever, 2017). In light of this, </w:t>
      </w:r>
      <w:r w:rsidR="00E13E56">
        <w:t xml:space="preserve">it is also an area where businesses compete to gain consumer preference. The Big Four supermarkets have also made substantial investments in this area to improve their sustainability practices. For instance, Asda has in place initiatives to remove plastic from its packaging and offer clothing products made from recycled plastic. Morrisons, similarly, have committed to making all their packaging recyclable by 2025. Tesco has in place a similar initiative and has indoor plastic bottle recycling machines and avocado packaging. All in all, most of Sainsbury's competitors have several sustainability initiatives in place. </w:t>
      </w:r>
    </w:p>
    <w:p w14:paraId="25AB1247" w14:textId="77777777" w:rsidR="00B21173" w:rsidRPr="00CE5918" w:rsidRDefault="001C1F5F" w:rsidP="00707E49">
      <w:pPr>
        <w:spacing w:before="120" w:after="120"/>
        <w:rPr>
          <w:lang w:val="en-IN"/>
        </w:rPr>
      </w:pPr>
      <w:r>
        <w:t>In this regard, Sainsbury’s has its ‘Plan for Better’ strategy which tackles environmental and social challenges. In this regard, the company focuses on three areas of commitment in regard to its Planning for Better strategy. This includes ‘Better for you’, ‘Better for the planet’, and ‘Better for everyone’. In regard to the ‘Better for you’ commitment, the company is focusing on healthy and sustainable diets, to which end, the company has achieved an 85% healthy target</w:t>
      </w:r>
      <w:r w:rsidR="0041790A">
        <w:t xml:space="preserve"> (Sainsbury’s, 2022)</w:t>
      </w:r>
      <w:r>
        <w:t>. On the other hand, in regard to its ‘Better for the planet’ commitment, there are several objectives that the company has focused on. This includes:</w:t>
      </w:r>
    </w:p>
    <w:p w14:paraId="2EE8FC65" w14:textId="77777777" w:rsidR="00B21173" w:rsidRDefault="001C1F5F" w:rsidP="00707E49">
      <w:pPr>
        <w:numPr>
          <w:ilvl w:val="0"/>
          <w:numId w:val="1"/>
        </w:numPr>
        <w:spacing w:before="120" w:after="120"/>
      </w:pPr>
      <w:r>
        <w:t>Reduction in carbon emissions –</w:t>
      </w:r>
      <w:r w:rsidR="005F75BB">
        <w:t xml:space="preserve"> </w:t>
      </w:r>
      <w:r w:rsidR="0041790A">
        <w:t>R</w:t>
      </w:r>
      <w:r w:rsidR="005F75BB">
        <w:t>educing emissions by 30% by 2030</w:t>
      </w:r>
      <w:r w:rsidR="0041790A">
        <w:t>.</w:t>
      </w:r>
    </w:p>
    <w:p w14:paraId="3B2776EC" w14:textId="77777777" w:rsidR="00B21173" w:rsidRDefault="001C1F5F" w:rsidP="00707E49">
      <w:pPr>
        <w:numPr>
          <w:ilvl w:val="0"/>
          <w:numId w:val="1"/>
        </w:numPr>
        <w:spacing w:before="120" w:after="120"/>
      </w:pPr>
      <w:r>
        <w:t>Reduction in food waste</w:t>
      </w:r>
      <w:r w:rsidR="005F75BB">
        <w:t xml:space="preserve"> – </w:t>
      </w:r>
      <w:r w:rsidR="0041790A">
        <w:t>R</w:t>
      </w:r>
      <w:r w:rsidR="005F75BB">
        <w:t>educing food waste by 50% by 2030</w:t>
      </w:r>
      <w:r w:rsidR="0041790A">
        <w:t>.</w:t>
      </w:r>
    </w:p>
    <w:p w14:paraId="740A1978" w14:textId="77777777" w:rsidR="00B21173" w:rsidRDefault="001C1F5F" w:rsidP="00707E49">
      <w:pPr>
        <w:numPr>
          <w:ilvl w:val="0"/>
          <w:numId w:val="1"/>
        </w:numPr>
        <w:spacing w:before="120" w:after="120"/>
      </w:pPr>
      <w:r>
        <w:t>Reduction in packaging waste</w:t>
      </w:r>
      <w:r w:rsidR="005F75BB">
        <w:t xml:space="preserve"> – </w:t>
      </w:r>
      <w:r w:rsidR="0041790A">
        <w:t>R</w:t>
      </w:r>
      <w:r w:rsidR="005F75BB">
        <w:t>educing own-brand plastic packaging by 50% by 2025</w:t>
      </w:r>
      <w:r w:rsidR="0041790A">
        <w:t>.</w:t>
      </w:r>
    </w:p>
    <w:p w14:paraId="427FF359" w14:textId="77777777" w:rsidR="00B21173" w:rsidRDefault="001C1F5F" w:rsidP="00707E49">
      <w:pPr>
        <w:numPr>
          <w:ilvl w:val="0"/>
          <w:numId w:val="1"/>
        </w:numPr>
        <w:spacing w:before="120" w:after="120"/>
      </w:pPr>
      <w:r>
        <w:t>Increasing recycling</w:t>
      </w:r>
      <w:r w:rsidR="005F75BB">
        <w:t xml:space="preserve"> – </w:t>
      </w:r>
      <w:r w:rsidR="0041790A">
        <w:t>E</w:t>
      </w:r>
      <w:r w:rsidR="005F75BB">
        <w:t>xpansion of circular economy across its supply chain</w:t>
      </w:r>
      <w:r w:rsidR="0041790A">
        <w:t>.</w:t>
      </w:r>
    </w:p>
    <w:p w14:paraId="41A786C2" w14:textId="77777777" w:rsidR="00B21173" w:rsidRDefault="001C1F5F" w:rsidP="00707E49">
      <w:pPr>
        <w:numPr>
          <w:ilvl w:val="0"/>
          <w:numId w:val="1"/>
        </w:numPr>
        <w:spacing w:before="120" w:after="120"/>
      </w:pPr>
      <w:r>
        <w:t>Sustainable sourcing and biodiversity</w:t>
      </w:r>
      <w:r w:rsidR="005F75BB">
        <w:t xml:space="preserve"> – </w:t>
      </w:r>
      <w:r w:rsidR="0041790A">
        <w:t>E</w:t>
      </w:r>
      <w:r w:rsidR="005F75BB">
        <w:t>nsuring sourcing with integrity and ensuring a net positive impact of its operations on biodiversity</w:t>
      </w:r>
      <w:r w:rsidR="0041790A">
        <w:t>.</w:t>
      </w:r>
    </w:p>
    <w:p w14:paraId="52E989C1" w14:textId="77777777" w:rsidR="00B21173" w:rsidRDefault="001C1F5F" w:rsidP="00707E49">
      <w:pPr>
        <w:numPr>
          <w:ilvl w:val="0"/>
          <w:numId w:val="1"/>
        </w:numPr>
        <w:spacing w:before="120" w:after="120"/>
      </w:pPr>
      <w:r>
        <w:t>Minimising water usage</w:t>
      </w:r>
      <w:r w:rsidR="005F75BB">
        <w:t xml:space="preserve"> – reducing the use of water in its operations and becoming water-neutral by 2040</w:t>
      </w:r>
      <w:r w:rsidR="0041790A">
        <w:t xml:space="preserve"> (Sainsbury’s, 2022).</w:t>
      </w:r>
    </w:p>
    <w:p w14:paraId="6456A3AD" w14:textId="77777777" w:rsidR="00CE5918" w:rsidRDefault="001C1F5F" w:rsidP="00707E49">
      <w:pPr>
        <w:spacing w:before="120" w:after="120"/>
      </w:pPr>
      <w:r>
        <w:lastRenderedPageBreak/>
        <w:t>Lastly, focusing on the ‘Better for everyone’ commitment by the company, there are several objectives which it has established, which include:</w:t>
      </w:r>
    </w:p>
    <w:p w14:paraId="6AD219A2" w14:textId="77777777" w:rsidR="00CE5918" w:rsidRDefault="001C1F5F" w:rsidP="00707E49">
      <w:pPr>
        <w:numPr>
          <w:ilvl w:val="0"/>
          <w:numId w:val="2"/>
        </w:numPr>
        <w:spacing w:before="120" w:after="120"/>
      </w:pPr>
      <w:r>
        <w:t xml:space="preserve">Championing of human rights – This involves commitment to championing human rights </w:t>
      </w:r>
    </w:p>
    <w:p w14:paraId="192E4A60" w14:textId="77777777" w:rsidR="00CE5918" w:rsidRDefault="001C1F5F" w:rsidP="00707E49">
      <w:pPr>
        <w:numPr>
          <w:ilvl w:val="0"/>
          <w:numId w:val="2"/>
        </w:numPr>
        <w:spacing w:before="120" w:after="120"/>
      </w:pPr>
      <w:r>
        <w:t xml:space="preserve">Community and partnerships – Addressing issues like food poverty and improving how everyone eats. </w:t>
      </w:r>
    </w:p>
    <w:p w14:paraId="1FE7F55B" w14:textId="77777777" w:rsidR="00CE5918" w:rsidRDefault="001C1F5F" w:rsidP="00707E49">
      <w:pPr>
        <w:numPr>
          <w:ilvl w:val="0"/>
          <w:numId w:val="2"/>
        </w:numPr>
        <w:spacing w:before="120" w:after="120"/>
      </w:pPr>
      <w:r>
        <w:t xml:space="preserve">An inclusive place to work and shop – Making commitments to achieving targets of diverse representation in leadership by 2024. </w:t>
      </w:r>
    </w:p>
    <w:p w14:paraId="20BC6B8B" w14:textId="77777777" w:rsidR="00CE5918" w:rsidRDefault="001C1F5F" w:rsidP="00707E49">
      <w:pPr>
        <w:numPr>
          <w:ilvl w:val="0"/>
          <w:numId w:val="2"/>
        </w:numPr>
        <w:spacing w:before="120" w:after="120"/>
      </w:pPr>
      <w:r>
        <w:t xml:space="preserve">Skills and opportunities for all – </w:t>
      </w:r>
      <w:r w:rsidR="0041790A">
        <w:t>P</w:t>
      </w:r>
      <w:r>
        <w:t xml:space="preserve">roviding apprenticeship programs for employees to </w:t>
      </w:r>
      <w:r w:rsidR="0041790A">
        <w:t>support their</w:t>
      </w:r>
      <w:r>
        <w:t xml:space="preserve"> career development.</w:t>
      </w:r>
    </w:p>
    <w:p w14:paraId="777671E9" w14:textId="77777777" w:rsidR="00CE5918" w:rsidRDefault="001C1F5F" w:rsidP="00707E49">
      <w:pPr>
        <w:numPr>
          <w:ilvl w:val="0"/>
          <w:numId w:val="2"/>
        </w:numPr>
        <w:spacing w:before="120" w:after="120"/>
      </w:pPr>
      <w:r>
        <w:t xml:space="preserve">Animal health and welfare </w:t>
      </w:r>
      <w:r w:rsidR="0041790A">
        <w:t>–</w:t>
      </w:r>
      <w:r>
        <w:t xml:space="preserve"> </w:t>
      </w:r>
      <w:r w:rsidR="0041790A">
        <w:t xml:space="preserve">Improving animal health and welfare (Sainsbury’s, 2022). </w:t>
      </w:r>
    </w:p>
    <w:p w14:paraId="15FCDD40" w14:textId="77777777" w:rsidR="00707E49" w:rsidRPr="0048528F" w:rsidRDefault="001C1F5F" w:rsidP="0048528F">
      <w:pPr>
        <w:spacing w:before="120" w:after="120"/>
      </w:pPr>
      <w:r>
        <w:t>Overall, these</w:t>
      </w:r>
      <w:r w:rsidR="0041790A">
        <w:t xml:space="preserve"> sustainability strategies by the business allow it to be in a competitive position in regard to sustainability and environmental efforts and initiatives among rival businesses. </w:t>
      </w:r>
      <w:r w:rsidR="00E13E56">
        <w:t xml:space="preserve">It is evident that the company has many initiatives, with some having achieved greater progress than others in their initiatives. As such, assessing a front-runner is difficult, but surely, it can be said that the company has made extensive efforts to be competitive in regard to sustainability and the environment. </w:t>
      </w:r>
      <w:r>
        <w:br w:type="page"/>
      </w:r>
    </w:p>
    <w:p w14:paraId="20C09F6B" w14:textId="77777777" w:rsidR="00EE0B40" w:rsidRDefault="001C1F5F" w:rsidP="00707E49">
      <w:pPr>
        <w:pStyle w:val="Heading1"/>
        <w:spacing w:before="120" w:after="120"/>
      </w:pPr>
      <w:bookmarkStart w:id="5" w:name="_Toc152867879"/>
      <w:r>
        <w:lastRenderedPageBreak/>
        <w:t>Evaluate the choices available for the company’s strategic direction in the future.</w:t>
      </w:r>
      <w:bookmarkEnd w:id="5"/>
    </w:p>
    <w:p w14:paraId="18B08412" w14:textId="77777777" w:rsidR="00E13E56" w:rsidRDefault="001C1F5F" w:rsidP="00707E49">
      <w:pPr>
        <w:spacing w:before="120" w:after="120"/>
      </w:pPr>
      <w:r>
        <w:t xml:space="preserve">Taking from the above discussion, it is evident that the company is in a good place in terms of market position and business performance. However, ensuring sustained success requires adapting to the changing business environment. In this regard, there are number of strategic directions that the company can choose from, based on the Ansoff matrix. The Ansoff matrix is a strategic framework that provides four standard strategic direction choices to help businesses grow, which are focused on product and market strategies. This includes market penetration, market development, product development, and diversification. </w:t>
      </w:r>
    </w:p>
    <w:p w14:paraId="46C762DB" w14:textId="77777777" w:rsidR="007110D7" w:rsidRDefault="001C1F5F" w:rsidP="00707E49">
      <w:pPr>
        <w:keepNext/>
        <w:spacing w:before="120" w:after="120"/>
        <w:jc w:val="center"/>
      </w:pPr>
      <w:r>
        <w:rPr>
          <w:noProof/>
          <w:lang w:eastAsia="en-GB"/>
        </w:rPr>
        <w:drawing>
          <wp:inline distT="0" distB="0" distL="0" distR="0" wp14:anchorId="7D1F9781" wp14:editId="40042C18">
            <wp:extent cx="4674844" cy="2629535"/>
            <wp:effectExtent l="0" t="0" r="0" b="0"/>
            <wp:docPr id="2115508907" name="Picture 1"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508907" name="Picture 1" descr="Ansoff Matrix"/>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4677701" cy="2631142"/>
                    </a:xfrm>
                    <a:prstGeom prst="rect">
                      <a:avLst/>
                    </a:prstGeom>
                    <a:noFill/>
                    <a:ln>
                      <a:noFill/>
                    </a:ln>
                  </pic:spPr>
                </pic:pic>
              </a:graphicData>
            </a:graphic>
          </wp:inline>
        </w:drawing>
      </w:r>
    </w:p>
    <w:p w14:paraId="6A284DDD" w14:textId="77777777" w:rsidR="007110D7" w:rsidRDefault="001C1F5F" w:rsidP="00707E49">
      <w:pPr>
        <w:pStyle w:val="Caption"/>
        <w:spacing w:before="120" w:after="120" w:line="360" w:lineRule="auto"/>
        <w:jc w:val="center"/>
        <w:rPr>
          <w:b/>
          <w:bCs/>
          <w:i w:val="0"/>
          <w:iCs w:val="0"/>
          <w:color w:val="auto"/>
          <w:sz w:val="24"/>
          <w:szCs w:val="24"/>
        </w:rPr>
      </w:pPr>
      <w:r w:rsidRPr="007110D7">
        <w:rPr>
          <w:b/>
          <w:bCs/>
          <w:i w:val="0"/>
          <w:iCs w:val="0"/>
          <w:color w:val="auto"/>
          <w:sz w:val="24"/>
          <w:szCs w:val="24"/>
        </w:rPr>
        <w:t xml:space="preserve">Figure </w:t>
      </w:r>
      <w:r w:rsidRPr="007110D7">
        <w:rPr>
          <w:b/>
          <w:bCs/>
          <w:i w:val="0"/>
          <w:iCs w:val="0"/>
          <w:color w:val="auto"/>
          <w:sz w:val="24"/>
          <w:szCs w:val="24"/>
        </w:rPr>
        <w:fldChar w:fldCharType="begin"/>
      </w:r>
      <w:r w:rsidRPr="007110D7">
        <w:rPr>
          <w:b/>
          <w:bCs/>
          <w:i w:val="0"/>
          <w:iCs w:val="0"/>
          <w:color w:val="auto"/>
          <w:sz w:val="24"/>
          <w:szCs w:val="24"/>
        </w:rPr>
        <w:instrText xml:space="preserve"> SEQ Figure \* ARABIC </w:instrText>
      </w:r>
      <w:r w:rsidRPr="007110D7">
        <w:rPr>
          <w:b/>
          <w:bCs/>
          <w:i w:val="0"/>
          <w:iCs w:val="0"/>
          <w:color w:val="auto"/>
          <w:sz w:val="24"/>
          <w:szCs w:val="24"/>
        </w:rPr>
        <w:fldChar w:fldCharType="separate"/>
      </w:r>
      <w:r w:rsidRPr="007110D7">
        <w:rPr>
          <w:b/>
          <w:bCs/>
          <w:i w:val="0"/>
          <w:iCs w:val="0"/>
          <w:noProof/>
          <w:color w:val="auto"/>
          <w:sz w:val="24"/>
          <w:szCs w:val="24"/>
        </w:rPr>
        <w:t>4</w:t>
      </w:r>
      <w:r w:rsidRPr="007110D7">
        <w:rPr>
          <w:b/>
          <w:bCs/>
          <w:i w:val="0"/>
          <w:iCs w:val="0"/>
          <w:color w:val="auto"/>
          <w:sz w:val="24"/>
          <w:szCs w:val="24"/>
        </w:rPr>
        <w:fldChar w:fldCharType="end"/>
      </w:r>
      <w:r w:rsidRPr="007110D7">
        <w:rPr>
          <w:b/>
          <w:bCs/>
          <w:i w:val="0"/>
          <w:iCs w:val="0"/>
          <w:color w:val="auto"/>
          <w:sz w:val="24"/>
          <w:szCs w:val="24"/>
        </w:rPr>
        <w:t>: Ansoff Matrix</w:t>
      </w:r>
    </w:p>
    <w:p w14:paraId="273FFD1D" w14:textId="77777777" w:rsidR="007110D7" w:rsidRDefault="001C1F5F" w:rsidP="00707E49">
      <w:pPr>
        <w:spacing w:before="120" w:after="120"/>
        <w:jc w:val="center"/>
      </w:pPr>
      <w:r>
        <w:t>(Source: Nasrudin, 2023)</w:t>
      </w:r>
    </w:p>
    <w:p w14:paraId="5CDE159A" w14:textId="77777777" w:rsidR="007110D7" w:rsidRDefault="001C1F5F" w:rsidP="00707E49">
      <w:pPr>
        <w:spacing w:before="120" w:after="120"/>
      </w:pPr>
      <w:r w:rsidRPr="007110D7">
        <w:rPr>
          <w:b/>
          <w:bCs/>
          <w:i/>
          <w:iCs/>
        </w:rPr>
        <w:t>Market penetration</w:t>
      </w:r>
      <w:r>
        <w:t xml:space="preserve"> – is the least risky and involves using knowledge and experience in the market along with innovative strategies to increase the share of existing products in the existing market. </w:t>
      </w:r>
    </w:p>
    <w:p w14:paraId="4EEFAD81" w14:textId="77777777" w:rsidR="007110D7" w:rsidRDefault="001C1F5F" w:rsidP="00707E49">
      <w:pPr>
        <w:spacing w:before="120" w:after="120"/>
      </w:pPr>
      <w:r w:rsidRPr="007110D7">
        <w:rPr>
          <w:b/>
          <w:bCs/>
          <w:i/>
          <w:iCs/>
        </w:rPr>
        <w:t>Market development</w:t>
      </w:r>
      <w:r>
        <w:t xml:space="preserve"> – entails greater risk and involves entering a new market, for instance, a foreign market or another region, or targeting a different segment with existing products. </w:t>
      </w:r>
    </w:p>
    <w:p w14:paraId="5BE011AB" w14:textId="77777777" w:rsidR="007110D7" w:rsidRDefault="001C1F5F" w:rsidP="00707E49">
      <w:pPr>
        <w:spacing w:before="120" w:after="120"/>
      </w:pPr>
      <w:r w:rsidRPr="007110D7">
        <w:rPr>
          <w:b/>
          <w:bCs/>
          <w:i/>
          <w:iCs/>
        </w:rPr>
        <w:t>Product development</w:t>
      </w:r>
      <w:r>
        <w:t xml:space="preserve"> </w:t>
      </w:r>
      <w:r w:rsidR="000E2600">
        <w:t xml:space="preserve">– involves a company's launching new products, which can be a variant of an existing product or a completely new product, which means there is the risk of acceptance from existing consumers. </w:t>
      </w:r>
    </w:p>
    <w:p w14:paraId="3E12A4DD" w14:textId="77777777" w:rsidR="007110D7" w:rsidRDefault="001C1F5F" w:rsidP="00707E49">
      <w:pPr>
        <w:spacing w:before="120" w:after="120"/>
      </w:pPr>
      <w:r w:rsidRPr="000E2600">
        <w:rPr>
          <w:b/>
          <w:bCs/>
          <w:i/>
          <w:iCs/>
        </w:rPr>
        <w:t>Diversification</w:t>
      </w:r>
      <w:r>
        <w:t xml:space="preserve"> – is the riskiest strategy, as it means developing a new product for a new market or target segment, which can be two types, namely synergistic diversification and c</w:t>
      </w:r>
      <w:r w:rsidRPr="000E2600">
        <w:t xml:space="preserve">onglomerate </w:t>
      </w:r>
      <w:r w:rsidRPr="000E2600">
        <w:lastRenderedPageBreak/>
        <w:t>diversification</w:t>
      </w:r>
      <w:r>
        <w:t xml:space="preserve">. The former strategy makes use of existing knowledge, while conglomerate diversification involves entering into entirely new markets (Nasrudin, 2023.). </w:t>
      </w:r>
    </w:p>
    <w:p w14:paraId="6C4B80A8" w14:textId="77777777" w:rsidR="000E2600" w:rsidRDefault="001C1F5F" w:rsidP="00707E49">
      <w:pPr>
        <w:spacing w:before="120" w:after="120"/>
      </w:pPr>
      <w:r>
        <w:t xml:space="preserve">Considering the company's current market and strategy, the best option for the company would be to adopt a market development or diversification strategy. Compared to the other Big Four supermarkets, Sainsbury's does not have any operations outside of the UK. In this regard, the company should consider expanding its business to some European markets, which would allow it to access a wider consumer base and increase sales. On the other hand, it can also consider diversifying, by introducing new products in its portfolio in new markets. In this regard, synergistic diversification is more likely to align with its business. An option in this regard is to relaunch its network operator business which the company ceased some years ago. It will allow for catering to a larger market and become more competitive. </w:t>
      </w:r>
    </w:p>
    <w:p w14:paraId="2793AD16" w14:textId="77777777" w:rsidR="006D6736" w:rsidRDefault="001C1F5F" w:rsidP="00707E49">
      <w:pPr>
        <w:spacing w:before="120" w:after="120"/>
      </w:pPr>
      <w:r>
        <w:t xml:space="preserve">In regard to further </w:t>
      </w:r>
      <w:r w:rsidRPr="0048528F">
        <w:rPr>
          <w:b/>
          <w:i/>
        </w:rPr>
        <w:t>sustainability practices</w:t>
      </w:r>
      <w:r>
        <w:t xml:space="preserve"> that can help improve the company's sustainability proposition and develop a competitive advantage</w:t>
      </w:r>
      <w:r w:rsidR="0085058C">
        <w:t>, below are some recommendations:</w:t>
      </w:r>
    </w:p>
    <w:p w14:paraId="6763E8CD" w14:textId="77777777" w:rsidR="0085058C" w:rsidRDefault="001C1F5F" w:rsidP="00707E49">
      <w:pPr>
        <w:numPr>
          <w:ilvl w:val="0"/>
          <w:numId w:val="3"/>
        </w:numPr>
        <w:spacing w:before="120" w:after="120"/>
      </w:pPr>
      <w:r>
        <w:t>Engaging in social responsibility and voluntary activities</w:t>
      </w:r>
    </w:p>
    <w:p w14:paraId="7EE6E912" w14:textId="77777777" w:rsidR="0085058C" w:rsidRDefault="001C1F5F" w:rsidP="00707E49">
      <w:pPr>
        <w:numPr>
          <w:ilvl w:val="0"/>
          <w:numId w:val="3"/>
        </w:numPr>
        <w:spacing w:before="120" w:after="120"/>
      </w:pPr>
      <w:r>
        <w:t>Furthering employee well-being practices</w:t>
      </w:r>
    </w:p>
    <w:p w14:paraId="7B884741" w14:textId="77777777" w:rsidR="00707E49" w:rsidRPr="0048528F" w:rsidRDefault="001C1F5F" w:rsidP="0048528F">
      <w:pPr>
        <w:numPr>
          <w:ilvl w:val="0"/>
          <w:numId w:val="3"/>
        </w:numPr>
        <w:spacing w:before="120" w:after="120"/>
      </w:pPr>
      <w:r>
        <w:t>Leveraging strategic partnerships with charities and non-government organisations to make impactful changes (Idhola, 2023)</w:t>
      </w:r>
      <w:r>
        <w:br w:type="page"/>
      </w:r>
    </w:p>
    <w:p w14:paraId="36228239" w14:textId="77777777" w:rsidR="00EE0B40" w:rsidRDefault="001C1F5F" w:rsidP="00707E49">
      <w:pPr>
        <w:pStyle w:val="Heading1"/>
        <w:spacing w:before="120" w:after="120"/>
      </w:pPr>
      <w:bookmarkStart w:id="6" w:name="_Toc152867880"/>
      <w:r>
        <w:lastRenderedPageBreak/>
        <w:t>Conclusion</w:t>
      </w:r>
      <w:bookmarkEnd w:id="6"/>
    </w:p>
    <w:p w14:paraId="64EA970D" w14:textId="77777777" w:rsidR="0085058C" w:rsidRPr="0048528F" w:rsidRDefault="001C1F5F" w:rsidP="0048528F">
      <w:pPr>
        <w:spacing w:before="120" w:after="120"/>
      </w:pPr>
      <w:r>
        <w:t xml:space="preserve">Overall, the above discussion provides a comprehensive strategic review of Sainsbury's strategic choices and performance. This included a discussion of its current strategies and their implementation in its operations. Also, the resources and capabilities of the business have been discussed in regard to their alignment with its strategy. Its competitive strategy both in regard to market performance and sustainability has been discussed as well, alongside recommendations for future strategic direction and improved sustainability performance.  </w:t>
      </w:r>
      <w:r>
        <w:br w:type="page"/>
      </w:r>
    </w:p>
    <w:p w14:paraId="16B1BF77" w14:textId="77777777" w:rsidR="00990EE1" w:rsidRDefault="001C1F5F" w:rsidP="00707E49">
      <w:pPr>
        <w:pStyle w:val="Heading1"/>
        <w:spacing w:before="120" w:after="120"/>
      </w:pPr>
      <w:bookmarkStart w:id="7" w:name="_Toc152867881"/>
      <w:r>
        <w:lastRenderedPageBreak/>
        <w:t>Reference List</w:t>
      </w:r>
      <w:bookmarkEnd w:id="7"/>
    </w:p>
    <w:p w14:paraId="3C0B07BB" w14:textId="77777777" w:rsidR="0048528F" w:rsidRPr="00990EE1" w:rsidRDefault="0048528F" w:rsidP="00707E49">
      <w:pPr>
        <w:spacing w:before="120" w:after="120"/>
      </w:pPr>
      <w:r w:rsidRPr="009613B1">
        <w:t xml:space="preserve">British Business Bank </w:t>
      </w:r>
      <w:r>
        <w:t>(2023)</w:t>
      </w:r>
      <w:r>
        <w:rPr>
          <w:i/>
          <w:iCs/>
        </w:rPr>
        <w:t xml:space="preserve"> </w:t>
      </w:r>
      <w:r w:rsidRPr="009613B1">
        <w:rPr>
          <w:i/>
          <w:iCs/>
        </w:rPr>
        <w:t>How your business can tackle the cost of living</w:t>
      </w:r>
      <w:r>
        <w:t xml:space="preserve">. Available at: </w:t>
      </w:r>
      <w:r w:rsidRPr="009613B1">
        <w:t xml:space="preserve">https://www.british-business-bank.co.uk/finance-hub/how-businesses-can-tackle-the-cost-of-living/ </w:t>
      </w:r>
      <w:r>
        <w:t>(Accessed: 6 December 2023).</w:t>
      </w:r>
    </w:p>
    <w:p w14:paraId="0E346010" w14:textId="77777777" w:rsidR="0048528F" w:rsidRPr="00990EE1" w:rsidRDefault="0048528F" w:rsidP="00707E49">
      <w:pPr>
        <w:spacing w:before="120" w:after="120"/>
      </w:pPr>
      <w:r w:rsidRPr="007A6CA6">
        <w:t>Carroll</w:t>
      </w:r>
      <w:r>
        <w:t>, N. (2023)</w:t>
      </w:r>
      <w:r>
        <w:rPr>
          <w:i/>
          <w:iCs/>
        </w:rPr>
        <w:t xml:space="preserve"> </w:t>
      </w:r>
      <w:r w:rsidRPr="007A6CA6">
        <w:rPr>
          <w:i/>
          <w:iCs/>
        </w:rPr>
        <w:t>Sainsbury’s staves off competition from discounters with ‘record’ Christmas sales</w:t>
      </w:r>
      <w:r>
        <w:t xml:space="preserve">. Available at: </w:t>
      </w:r>
      <w:r w:rsidRPr="007A6CA6">
        <w:t xml:space="preserve">https://www.marketingweek.com/sainsburys-staves-off-competition-discounters-christmas/ </w:t>
      </w:r>
      <w:r>
        <w:t>(Accessed: 6 December 2023).</w:t>
      </w:r>
    </w:p>
    <w:p w14:paraId="0A55F219" w14:textId="77777777" w:rsidR="0048528F" w:rsidRPr="00990EE1" w:rsidRDefault="0048528F" w:rsidP="00707E49">
      <w:pPr>
        <w:spacing w:before="120" w:after="120"/>
      </w:pPr>
      <w:r>
        <w:t>Caterlyst (2023)</w:t>
      </w:r>
      <w:r>
        <w:rPr>
          <w:i/>
          <w:iCs/>
        </w:rPr>
        <w:t xml:space="preserve"> </w:t>
      </w:r>
      <w:r w:rsidRPr="00FB71C6">
        <w:rPr>
          <w:i/>
          <w:iCs/>
        </w:rPr>
        <w:t>Sainsbury’s winning back market share from Lidl and Aldi ‘for the first time</w:t>
      </w:r>
      <w:r>
        <w:rPr>
          <w:i/>
          <w:iCs/>
        </w:rPr>
        <w:t xml:space="preserve">’. </w:t>
      </w:r>
      <w:r>
        <w:t xml:space="preserve">Available at: </w:t>
      </w:r>
      <w:r w:rsidRPr="00FB71C6">
        <w:t xml:space="preserve">https://www.caterlyst.com/Caterlyst3/Insight/Insight.aspx?n=37035#sthash.5k0WRGl8.dpuf </w:t>
      </w:r>
      <w:r>
        <w:t>(Accessed: 6 December 2023).</w:t>
      </w:r>
    </w:p>
    <w:p w14:paraId="1E3569F9" w14:textId="77777777" w:rsidR="0048528F" w:rsidRPr="00990EE1" w:rsidRDefault="0048528F" w:rsidP="00707E49">
      <w:pPr>
        <w:spacing w:before="120" w:after="120"/>
      </w:pPr>
      <w:r>
        <w:t>Forbes (2023)</w:t>
      </w:r>
      <w:r>
        <w:rPr>
          <w:i/>
          <w:iCs/>
        </w:rPr>
        <w:t xml:space="preserve"> </w:t>
      </w:r>
      <w:r w:rsidRPr="00990EE1">
        <w:rPr>
          <w:i/>
          <w:iCs/>
        </w:rPr>
        <w:t>J Sainsbury</w:t>
      </w:r>
      <w:r>
        <w:t xml:space="preserve">. Available at: </w:t>
      </w:r>
      <w:r w:rsidRPr="00990EE1">
        <w:t xml:space="preserve">https://www.forbes.com/companies/j-sainsbury/?sh=1a0e5f2622d8 </w:t>
      </w:r>
      <w:r>
        <w:t>(Accessed: 6 December 2023).</w:t>
      </w:r>
    </w:p>
    <w:p w14:paraId="022F347A" w14:textId="77777777" w:rsidR="0048528F" w:rsidRDefault="0048528F" w:rsidP="00707E49">
      <w:pPr>
        <w:spacing w:before="120" w:after="120"/>
      </w:pPr>
      <w:r>
        <w:t xml:space="preserve">Francis-Devine, B., Harari, D., Keep. M., Bolton, P., Barton, C. and Carthew, H. (2023) </w:t>
      </w:r>
      <w:r w:rsidRPr="00D22BDE">
        <w:rPr>
          <w:i/>
          <w:iCs/>
        </w:rPr>
        <w:t>Rising cost of living in the UK</w:t>
      </w:r>
      <w:r>
        <w:t xml:space="preserve">. Available at: </w:t>
      </w:r>
      <w:r w:rsidRPr="00D22BDE">
        <w:t xml:space="preserve">https://commonslibrary.parliament.uk/research-briefings/cbp-9428/ </w:t>
      </w:r>
      <w:r>
        <w:t>(Accessed: 6 December 2023).</w:t>
      </w:r>
      <w:r w:rsidRPr="0085058C">
        <w:t xml:space="preserve"> </w:t>
      </w:r>
    </w:p>
    <w:p w14:paraId="67FCD694" w14:textId="77777777" w:rsidR="0048528F" w:rsidRDefault="0048528F" w:rsidP="00707E49">
      <w:pPr>
        <w:spacing w:before="120" w:after="120"/>
      </w:pPr>
      <w:r>
        <w:t xml:space="preserve">HSBC UK (2020) </w:t>
      </w:r>
      <w:r w:rsidRPr="00DF5752">
        <w:rPr>
          <w:i/>
          <w:iCs/>
        </w:rPr>
        <w:t>UK firms expect focus on sustainability to deliver growth</w:t>
      </w:r>
      <w:r>
        <w:t xml:space="preserve">. Available at: </w:t>
      </w:r>
      <w:r w:rsidRPr="00DF5752">
        <w:t xml:space="preserve">https://www.about.hsbc.co.uk/news-and-media/uk-firms-expect-focus-on-sustainability-to-deliver-growth </w:t>
      </w:r>
      <w:r>
        <w:t>(Accessed: 6 December 2023).</w:t>
      </w:r>
      <w:r w:rsidRPr="0085058C">
        <w:t xml:space="preserve"> </w:t>
      </w:r>
    </w:p>
    <w:p w14:paraId="69C0D6B0" w14:textId="77777777" w:rsidR="0048528F" w:rsidRDefault="0048528F" w:rsidP="00707E49">
      <w:pPr>
        <w:spacing w:before="120" w:after="120"/>
      </w:pPr>
      <w:r>
        <w:t>Idhola, I. (2023)</w:t>
      </w:r>
      <w:r>
        <w:rPr>
          <w:i/>
          <w:iCs/>
        </w:rPr>
        <w:t xml:space="preserve"> </w:t>
      </w:r>
      <w:r w:rsidRPr="0085058C">
        <w:rPr>
          <w:i/>
          <w:iCs/>
        </w:rPr>
        <w:t>Top Strategies for Achieving Sustainable Business Growth</w:t>
      </w:r>
      <w:r>
        <w:t xml:space="preserve">. Available at: </w:t>
      </w:r>
      <w:r w:rsidRPr="0085058C">
        <w:t xml:space="preserve">https://www.linkedin.com/pulse/top-strategies-achieving-sustainable-business-growth-isaac-adhola </w:t>
      </w:r>
      <w:r>
        <w:t>(Accessed: 6 December 2023).</w:t>
      </w:r>
    </w:p>
    <w:p w14:paraId="25F91680" w14:textId="77777777" w:rsidR="0048528F" w:rsidRPr="00990EE1" w:rsidRDefault="0048528F" w:rsidP="00707E49">
      <w:pPr>
        <w:spacing w:before="120" w:after="120"/>
      </w:pPr>
      <w:r>
        <w:t>Insights;Gate (2023)</w:t>
      </w:r>
      <w:r>
        <w:rPr>
          <w:i/>
          <w:iCs/>
        </w:rPr>
        <w:t xml:space="preserve"> </w:t>
      </w:r>
      <w:r w:rsidRPr="004C4B20">
        <w:rPr>
          <w:i/>
          <w:iCs/>
        </w:rPr>
        <w:t>J Sainsbury Patents – Key Insights and Stats</w:t>
      </w:r>
      <w:r>
        <w:t xml:space="preserve">. Available at: </w:t>
      </w:r>
      <w:r w:rsidRPr="004C4B20">
        <w:t xml:space="preserve">https://insights.greyb.com/j-sainsbury-patents/#:~:text=J%20Sainsbury%20has%20a%20total%20of%2037%20patents%20globally.,patents%2C%204%20patents%20are%20active. </w:t>
      </w:r>
      <w:r>
        <w:t>(Accessed: 6 December 2023).</w:t>
      </w:r>
    </w:p>
    <w:p w14:paraId="5FE0E9F1" w14:textId="77777777" w:rsidR="0048528F" w:rsidRPr="00990EE1" w:rsidRDefault="0048528F" w:rsidP="00707E49">
      <w:pPr>
        <w:spacing w:before="120" w:after="120"/>
      </w:pPr>
      <w:r>
        <w:t>Macrotrends (2023)</w:t>
      </w:r>
      <w:r>
        <w:rPr>
          <w:i/>
          <w:iCs/>
        </w:rPr>
        <w:t xml:space="preserve"> </w:t>
      </w:r>
      <w:r w:rsidRPr="004C4B20">
        <w:rPr>
          <w:i/>
          <w:iCs/>
        </w:rPr>
        <w:t>J Sainsbury Goodwill and Intangible Assets 2010-2023 | JSAIY</w:t>
      </w:r>
      <w:r>
        <w:t xml:space="preserve">. Available at: </w:t>
      </w:r>
      <w:r w:rsidRPr="004C4B20">
        <w:t xml:space="preserve">https://www.macrotrends.net/stocks/charts/JSAIY/j-sainsbury/goodwill-intangible-assets-total </w:t>
      </w:r>
      <w:r>
        <w:t>(Accessed: 6 December 2023).</w:t>
      </w:r>
    </w:p>
    <w:p w14:paraId="527B9A4A" w14:textId="77777777" w:rsidR="0048528F" w:rsidRPr="00990EE1" w:rsidRDefault="0048528F" w:rsidP="00707E49">
      <w:pPr>
        <w:spacing w:before="120" w:after="120"/>
      </w:pPr>
      <w:r w:rsidRPr="00125AFB">
        <w:lastRenderedPageBreak/>
        <w:t>McKevitt</w:t>
      </w:r>
      <w:r>
        <w:t>, F. (2022)</w:t>
      </w:r>
      <w:r>
        <w:rPr>
          <w:i/>
          <w:iCs/>
        </w:rPr>
        <w:t xml:space="preserve"> </w:t>
      </w:r>
      <w:r w:rsidRPr="00125AFB">
        <w:rPr>
          <w:i/>
          <w:iCs/>
        </w:rPr>
        <w:t>Big four line-up changes as UK grocery price inflation accelerates again</w:t>
      </w:r>
      <w:r>
        <w:t xml:space="preserve">. Available at: </w:t>
      </w:r>
      <w:r w:rsidRPr="00125AFB">
        <w:t xml:space="preserve">https://www.kantar.com/uki/inspiration/fmcg/2022-wp-big-four-line-up-changes-as-grocery-price-inflation-accelerates-again </w:t>
      </w:r>
      <w:r>
        <w:t>(Accessed: 6 December 2023).</w:t>
      </w:r>
    </w:p>
    <w:p w14:paraId="6ADAFD9E" w14:textId="77777777" w:rsidR="0048528F" w:rsidRPr="00990EE1" w:rsidRDefault="0048528F" w:rsidP="00707E49">
      <w:pPr>
        <w:spacing w:before="120" w:after="120"/>
      </w:pPr>
      <w:r>
        <w:t>Nasrudin, A. (2023)</w:t>
      </w:r>
      <w:r>
        <w:rPr>
          <w:i/>
          <w:iCs/>
        </w:rPr>
        <w:t xml:space="preserve"> </w:t>
      </w:r>
      <w:r w:rsidRPr="007110D7">
        <w:rPr>
          <w:i/>
          <w:iCs/>
        </w:rPr>
        <w:t>Ansoff Matrix: Importance, Four Strategies</w:t>
      </w:r>
      <w:r>
        <w:t xml:space="preserve">. Available at: </w:t>
      </w:r>
      <w:r w:rsidRPr="007110D7">
        <w:t xml:space="preserve">https://penpoin.com/ansoff-matrix/ </w:t>
      </w:r>
      <w:r>
        <w:t>(Accessed: 6 December 2023).</w:t>
      </w:r>
    </w:p>
    <w:p w14:paraId="6E409673" w14:textId="77777777" w:rsidR="0048528F" w:rsidRPr="00990EE1" w:rsidRDefault="0048528F" w:rsidP="00707E49">
      <w:pPr>
        <w:spacing w:before="120" w:after="120"/>
      </w:pPr>
      <w:r w:rsidRPr="00990EE1">
        <w:t xml:space="preserve">nibusinessinfo.co.uk </w:t>
      </w:r>
      <w:r>
        <w:t>(2023)</w:t>
      </w:r>
      <w:r>
        <w:rPr>
          <w:i/>
          <w:iCs/>
        </w:rPr>
        <w:t xml:space="preserve"> </w:t>
      </w:r>
      <w:r w:rsidRPr="00990EE1">
        <w:rPr>
          <w:i/>
          <w:iCs/>
        </w:rPr>
        <w:t>Measure performance and set targets</w:t>
      </w:r>
      <w:r>
        <w:t xml:space="preserve">. Available at: </w:t>
      </w:r>
      <w:r w:rsidRPr="00990EE1">
        <w:t xml:space="preserve">https://www.nibusinessinfo.co.uk/content/advantages-reviewing-business-progress-and-target-setting#:~:text=Benefits%20of%20strategic%20business%20reviews,it%20since%20you%20started%20trading </w:t>
      </w:r>
      <w:r>
        <w:t>(Accessed: 6 December 2023).</w:t>
      </w:r>
    </w:p>
    <w:p w14:paraId="3ED8A3F3" w14:textId="77777777" w:rsidR="0048528F" w:rsidRDefault="0048528F" w:rsidP="00707E49">
      <w:pPr>
        <w:spacing w:before="120" w:after="120"/>
      </w:pPr>
      <w:r>
        <w:t xml:space="preserve">ONS (2022) </w:t>
      </w:r>
      <w:r w:rsidRPr="00D22BDE">
        <w:rPr>
          <w:i/>
          <w:iCs/>
        </w:rPr>
        <w:t>How our spending has changed since the end of coronavirus (COVID-19) restrictions</w:t>
      </w:r>
      <w:r>
        <w:t xml:space="preserve">. Available at: </w:t>
      </w:r>
      <w:r w:rsidRPr="00D22BDE">
        <w:t xml:space="preserve">https://www.ons.gov.uk/businessindustryandtrade/retailindustry/articles/howourspendinghaschangedsincetheendofcoronaviruscovid19restrictions/2022-07-11 </w:t>
      </w:r>
      <w:r>
        <w:t>(Accessed: 6 December 2023).</w:t>
      </w:r>
      <w:r w:rsidRPr="0085058C">
        <w:t xml:space="preserve"> </w:t>
      </w:r>
    </w:p>
    <w:p w14:paraId="181689F4" w14:textId="77777777" w:rsidR="0048528F" w:rsidRPr="00990EE1" w:rsidRDefault="0048528F" w:rsidP="00707E49">
      <w:pPr>
        <w:spacing w:before="120" w:after="120"/>
      </w:pPr>
      <w:r>
        <w:t>Sainsbury’s (2022)</w:t>
      </w:r>
      <w:r>
        <w:rPr>
          <w:i/>
          <w:iCs/>
        </w:rPr>
        <w:t xml:space="preserve"> </w:t>
      </w:r>
      <w:r w:rsidRPr="00990EE1">
        <w:rPr>
          <w:i/>
          <w:iCs/>
        </w:rPr>
        <w:t>Annual Report and Financial Statements 2022</w:t>
      </w:r>
      <w:r>
        <w:t xml:space="preserve">. Available at: </w:t>
      </w:r>
      <w:r w:rsidRPr="00990EE1">
        <w:t xml:space="preserve">https://www.about.sainsburys.co.uk/~/media/Files/S/Sainsburys/documents/reports-and-presentations/annual-reports/sainsburys-ar2022.pdf </w:t>
      </w:r>
      <w:r>
        <w:t>(Accessed: 6 December 2023).</w:t>
      </w:r>
    </w:p>
    <w:p w14:paraId="33B725F7" w14:textId="77777777" w:rsidR="0048528F" w:rsidRPr="0041790A" w:rsidRDefault="0048528F" w:rsidP="00707E49">
      <w:pPr>
        <w:spacing w:before="120" w:after="120"/>
        <w:rPr>
          <w:i/>
          <w:iCs/>
        </w:rPr>
      </w:pPr>
      <w:r>
        <w:t>Sainsbury’s (2022)</w:t>
      </w:r>
      <w:r>
        <w:rPr>
          <w:i/>
          <w:iCs/>
        </w:rPr>
        <w:t xml:space="preserve"> </w:t>
      </w:r>
      <w:r w:rsidRPr="0041790A">
        <w:rPr>
          <w:i/>
          <w:iCs/>
        </w:rPr>
        <w:t>Sainsbury’s</w:t>
      </w:r>
      <w:r>
        <w:rPr>
          <w:i/>
          <w:iCs/>
        </w:rPr>
        <w:t xml:space="preserve"> </w:t>
      </w:r>
      <w:r w:rsidRPr="0041790A">
        <w:rPr>
          <w:i/>
          <w:iCs/>
        </w:rPr>
        <w:t>Plan for Better</w:t>
      </w:r>
      <w:r>
        <w:rPr>
          <w:i/>
          <w:iCs/>
        </w:rPr>
        <w:t xml:space="preserve">: </w:t>
      </w:r>
      <w:r w:rsidRPr="0041790A">
        <w:rPr>
          <w:i/>
          <w:iCs/>
        </w:rPr>
        <w:t>2021/22 sustainability update</w:t>
      </w:r>
      <w:r>
        <w:t xml:space="preserve">. Available at: </w:t>
      </w:r>
      <w:r w:rsidRPr="0041790A">
        <w:t xml:space="preserve">https://about.sainsburys.co.uk/~/media/Files/S/Sainsburys/CRS%20Policies%20and%20Reports/Sainsburys%20Plan%20for%20Better%202021-22%20Sustainability%20Update/Sainsburys%20Plan%20for%20Better%202021-22%20Sustainability%20Update.pdf </w:t>
      </w:r>
      <w:r>
        <w:t>(Accessed: 6 December 2023).</w:t>
      </w:r>
    </w:p>
    <w:p w14:paraId="143843C8" w14:textId="77777777" w:rsidR="0048528F" w:rsidRPr="00990EE1" w:rsidRDefault="0048528F" w:rsidP="00707E49">
      <w:pPr>
        <w:spacing w:before="120" w:after="120"/>
      </w:pPr>
      <w:r w:rsidRPr="00E62815">
        <w:t>Sainsbury's</w:t>
      </w:r>
      <w:r>
        <w:t xml:space="preserve"> (2023)</w:t>
      </w:r>
      <w:r>
        <w:rPr>
          <w:i/>
          <w:iCs/>
        </w:rPr>
        <w:t xml:space="preserve"> </w:t>
      </w:r>
      <w:r w:rsidRPr="00E62815">
        <w:rPr>
          <w:i/>
          <w:iCs/>
        </w:rPr>
        <w:t>Our business strategy</w:t>
      </w:r>
      <w:r>
        <w:t xml:space="preserve">. Available at: </w:t>
      </w:r>
      <w:r w:rsidRPr="00E62815">
        <w:t xml:space="preserve">https://www.about.sainsburys.co.uk/about-us/our-business-strategy#:~:text=Our%20focus%20on%20quality%2C%20provenance,come%20to%20the%20right%20place. </w:t>
      </w:r>
      <w:r>
        <w:t>(Accessed: 6 December 2023).</w:t>
      </w:r>
    </w:p>
    <w:p w14:paraId="4D8D1B55" w14:textId="77777777" w:rsidR="0048528F" w:rsidRPr="00990EE1" w:rsidRDefault="0048528F" w:rsidP="00707E49">
      <w:pPr>
        <w:spacing w:before="120" w:after="120"/>
      </w:pPr>
      <w:r>
        <w:t>Statista (2023a)</w:t>
      </w:r>
      <w:r>
        <w:rPr>
          <w:i/>
          <w:iCs/>
        </w:rPr>
        <w:t xml:space="preserve"> </w:t>
      </w:r>
      <w:r w:rsidRPr="00990EE1">
        <w:rPr>
          <w:i/>
          <w:iCs/>
        </w:rPr>
        <w:t>Sainsbury's store numbers in the United Kingdom (UK) 2009-2023, by store type</w:t>
      </w:r>
      <w:r>
        <w:t xml:space="preserve">. Available at: </w:t>
      </w:r>
      <w:r w:rsidRPr="00990EE1">
        <w:t xml:space="preserve">https://www.statista.com/statistics/386475/sainsburys-store-numbers-by-convenience-and-supermarket-united-kingdom-uk/ </w:t>
      </w:r>
      <w:r>
        <w:t>(Accessed: 6 December 2023).</w:t>
      </w:r>
    </w:p>
    <w:p w14:paraId="395E7740" w14:textId="77777777" w:rsidR="0048528F" w:rsidRPr="00990EE1" w:rsidRDefault="0048528F" w:rsidP="00707E49">
      <w:pPr>
        <w:spacing w:before="120" w:after="120"/>
      </w:pPr>
      <w:r>
        <w:lastRenderedPageBreak/>
        <w:t>Statista (2023b)</w:t>
      </w:r>
      <w:r>
        <w:rPr>
          <w:i/>
          <w:iCs/>
        </w:rPr>
        <w:t xml:space="preserve"> </w:t>
      </w:r>
      <w:r w:rsidRPr="009F360A">
        <w:rPr>
          <w:i/>
          <w:iCs/>
        </w:rPr>
        <w:t>Sainsbury's brand value 2018-2022</w:t>
      </w:r>
      <w:r>
        <w:t xml:space="preserve">. Available at: </w:t>
      </w:r>
      <w:r w:rsidRPr="009F360A">
        <w:t xml:space="preserve">https://www.statista.com/statistics/1337783/sainsbury-s-brand-value/ </w:t>
      </w:r>
      <w:r>
        <w:t>(Accessed: 6 December 2023).</w:t>
      </w:r>
    </w:p>
    <w:p w14:paraId="7811B740" w14:textId="77777777" w:rsidR="0048528F" w:rsidRDefault="0048528F" w:rsidP="00707E49">
      <w:pPr>
        <w:spacing w:before="120" w:after="120"/>
      </w:pPr>
      <w:r>
        <w:t>Statista (2023c)</w:t>
      </w:r>
      <w:r>
        <w:rPr>
          <w:i/>
          <w:iCs/>
        </w:rPr>
        <w:t xml:space="preserve"> </w:t>
      </w:r>
      <w:r w:rsidRPr="009F360A">
        <w:rPr>
          <w:i/>
          <w:iCs/>
        </w:rPr>
        <w:t>Sainsbury's brand profile in the UK 2022</w:t>
      </w:r>
      <w:r>
        <w:t xml:space="preserve">. Available at: </w:t>
      </w:r>
      <w:r w:rsidRPr="009F360A">
        <w:t xml:space="preserve">https://www.statista.com/forecasts/1304374/sainsbury-s-online-grocery-delivery-brand-profile-in-the-united-kingdom </w:t>
      </w:r>
      <w:r>
        <w:t>(Accessed: 6 December 2023).</w:t>
      </w:r>
    </w:p>
    <w:p w14:paraId="5AB00CC2" w14:textId="77777777" w:rsidR="0048528F" w:rsidRDefault="0048528F" w:rsidP="00707E49">
      <w:pPr>
        <w:spacing w:before="120" w:after="120"/>
      </w:pPr>
      <w:r>
        <w:t xml:space="preserve">Statista (2023d) </w:t>
      </w:r>
      <w:r w:rsidRPr="00DF4701">
        <w:rPr>
          <w:i/>
          <w:iCs/>
        </w:rPr>
        <w:t>Grocery market share in Great Britain 2017-2023</w:t>
      </w:r>
      <w:r>
        <w:t xml:space="preserve">. Available at: </w:t>
      </w:r>
      <w:r w:rsidRPr="00DF4701">
        <w:t xml:space="preserve">https://www.statista.com/statistics/280208/grocery-market-share-in-the-united-kingdom-uk/ </w:t>
      </w:r>
      <w:r>
        <w:t>(Accessed: 6 December 2023).</w:t>
      </w:r>
    </w:p>
    <w:p w14:paraId="2EE647B8" w14:textId="77777777" w:rsidR="0048528F" w:rsidRPr="00990EE1" w:rsidRDefault="0048528F" w:rsidP="00707E49">
      <w:pPr>
        <w:spacing w:before="120" w:after="120"/>
      </w:pPr>
      <w:r w:rsidRPr="00FB71C6">
        <w:t>Sutcliffe</w:t>
      </w:r>
      <w:r>
        <w:t>, C. (2023)</w:t>
      </w:r>
      <w:r>
        <w:rPr>
          <w:i/>
          <w:iCs/>
        </w:rPr>
        <w:t xml:space="preserve"> </w:t>
      </w:r>
      <w:r w:rsidRPr="00FB71C6">
        <w:rPr>
          <w:i/>
          <w:iCs/>
        </w:rPr>
        <w:t>Sainsbury’s dual focus on premium product and price powers its largest market share gain in a decade</w:t>
      </w:r>
      <w:r>
        <w:t xml:space="preserve">. Available at: </w:t>
      </w:r>
      <w:r w:rsidRPr="00FB71C6">
        <w:t xml:space="preserve">https://www.marketingweek.com/sainsburys-market-share-november/ </w:t>
      </w:r>
      <w:r>
        <w:t>(Accessed: 6 December 2023).</w:t>
      </w:r>
    </w:p>
    <w:p w14:paraId="535A1E22" w14:textId="77777777" w:rsidR="0048528F" w:rsidRDefault="0048528F" w:rsidP="00707E49">
      <w:pPr>
        <w:spacing w:before="120" w:after="120"/>
      </w:pPr>
      <w:r>
        <w:t xml:space="preserve">The Global Economy (2023) </w:t>
      </w:r>
      <w:r w:rsidRPr="00D22BDE">
        <w:rPr>
          <w:i/>
          <w:iCs/>
        </w:rPr>
        <w:t>United Kingdom: Political stability</w:t>
      </w:r>
      <w:r>
        <w:t xml:space="preserve">. Available at: </w:t>
      </w:r>
      <w:r w:rsidRPr="00D22BDE">
        <w:t xml:space="preserve">https://www.theglobaleconomy.com/United-Kingdom/wb_political_stability/ </w:t>
      </w:r>
      <w:r>
        <w:t>(Accessed: 6 December 2023).</w:t>
      </w:r>
    </w:p>
    <w:p w14:paraId="4342D259" w14:textId="77777777" w:rsidR="0048528F" w:rsidRDefault="0048528F" w:rsidP="00707E49">
      <w:pPr>
        <w:spacing w:before="120" w:after="120"/>
      </w:pPr>
      <w:r>
        <w:t xml:space="preserve">The Telegraph (2018) The future of tech and media. Available at: </w:t>
      </w:r>
      <w:r w:rsidRPr="00DF5752">
        <w:t xml:space="preserve">https://www.telegraph.co.uk/business/tips-for-the-future/future-of-tech/ </w:t>
      </w:r>
      <w:r>
        <w:t>(Accessed: 6 December 2023).</w:t>
      </w:r>
      <w:r w:rsidRPr="0085058C">
        <w:t xml:space="preserve"> </w:t>
      </w:r>
    </w:p>
    <w:p w14:paraId="758C6B8F" w14:textId="77777777" w:rsidR="0048528F" w:rsidRDefault="0048528F" w:rsidP="00707E49">
      <w:pPr>
        <w:spacing w:before="120" w:after="120"/>
      </w:pPr>
      <w:r>
        <w:t xml:space="preserve">Transparency.org (2023) </w:t>
      </w:r>
      <w:r w:rsidRPr="00D22BDE">
        <w:rPr>
          <w:i/>
          <w:iCs/>
        </w:rPr>
        <w:t>United Kingdom</w:t>
      </w:r>
      <w:r>
        <w:t xml:space="preserve">. Available at: </w:t>
      </w:r>
      <w:r w:rsidRPr="00D22BDE">
        <w:t xml:space="preserve">https://www.transparency.org/en/countries/united-kingdom </w:t>
      </w:r>
      <w:r>
        <w:t>(Accessed: 6 December 2023).</w:t>
      </w:r>
      <w:r w:rsidRPr="0085058C">
        <w:t xml:space="preserve"> </w:t>
      </w:r>
    </w:p>
    <w:p w14:paraId="270734E0" w14:textId="77777777" w:rsidR="0048528F" w:rsidRPr="0048528F" w:rsidRDefault="0048528F" w:rsidP="0048528F">
      <w:pPr>
        <w:spacing w:before="120" w:after="120"/>
      </w:pPr>
      <w:r>
        <w:t>Unilever (2017)</w:t>
      </w:r>
      <w:r>
        <w:rPr>
          <w:i/>
          <w:iCs/>
        </w:rPr>
        <w:t xml:space="preserve"> </w:t>
      </w:r>
      <w:r w:rsidRPr="0041790A">
        <w:rPr>
          <w:i/>
          <w:iCs/>
        </w:rPr>
        <w:t>Report shows a third of consumers prefer sustainable brands</w:t>
      </w:r>
      <w:r>
        <w:t xml:space="preserve">. Available at: </w:t>
      </w:r>
      <w:r w:rsidRPr="0041790A">
        <w:t xml:space="preserve">https://www.unilever.com/news/press-and-media/press-releases/2017/report-shows-a-third-of-consumers-prefer-sustainable-brands/#:~:text=London%2C%20UK%20%E2%80%93%20A%20new%20international,in%2Dstore%20and%20at%20home. </w:t>
      </w:r>
      <w:r>
        <w:t>(Accessed: 6 December 2023).</w:t>
      </w:r>
      <w:r>
        <w:br w:type="page"/>
      </w:r>
    </w:p>
    <w:p w14:paraId="5A844CD1" w14:textId="77777777" w:rsidR="0085058C" w:rsidRDefault="001C1F5F" w:rsidP="00707E49">
      <w:pPr>
        <w:pStyle w:val="Heading1"/>
        <w:spacing w:before="120" w:after="120"/>
      </w:pPr>
      <w:bookmarkStart w:id="8" w:name="_Toc152867882"/>
      <w:r>
        <w:lastRenderedPageBreak/>
        <w:t>Appendix</w:t>
      </w:r>
      <w:bookmarkEnd w:id="8"/>
    </w:p>
    <w:p w14:paraId="2083C6CB" w14:textId="77777777" w:rsidR="0085058C" w:rsidRDefault="001C1F5F" w:rsidP="00707E49">
      <w:pPr>
        <w:pStyle w:val="Heading2"/>
        <w:spacing w:before="120" w:after="120"/>
      </w:pPr>
      <w:bookmarkStart w:id="9" w:name="_Toc152867883"/>
      <w:r>
        <w:t>Appendix A – PESTEL analysis</w:t>
      </w:r>
      <w:bookmarkEnd w:id="9"/>
    </w:p>
    <w:tbl>
      <w:tblPr>
        <w:tblStyle w:val="TableGrid"/>
        <w:tblW w:w="0" w:type="auto"/>
        <w:tblLook w:val="04A0" w:firstRow="1" w:lastRow="0" w:firstColumn="1" w:lastColumn="0" w:noHBand="0" w:noVBand="1"/>
      </w:tblPr>
      <w:tblGrid>
        <w:gridCol w:w="4508"/>
        <w:gridCol w:w="4508"/>
      </w:tblGrid>
      <w:tr w:rsidR="00162AB4" w14:paraId="187D2FCC" w14:textId="77777777" w:rsidTr="0085058C">
        <w:tc>
          <w:tcPr>
            <w:tcW w:w="4508" w:type="dxa"/>
          </w:tcPr>
          <w:p w14:paraId="7A6E1D8E" w14:textId="77777777" w:rsidR="0085058C" w:rsidRPr="0085058C" w:rsidRDefault="001C1F5F" w:rsidP="00707E49">
            <w:pPr>
              <w:spacing w:before="120" w:after="120"/>
              <w:jc w:val="center"/>
              <w:rPr>
                <w:b/>
                <w:bCs/>
              </w:rPr>
            </w:pPr>
            <w:r w:rsidRPr="0085058C">
              <w:rPr>
                <w:b/>
                <w:bCs/>
              </w:rPr>
              <w:t>Factors</w:t>
            </w:r>
          </w:p>
        </w:tc>
        <w:tc>
          <w:tcPr>
            <w:tcW w:w="4508" w:type="dxa"/>
          </w:tcPr>
          <w:p w14:paraId="6D70B92F" w14:textId="77777777" w:rsidR="0085058C" w:rsidRPr="0085058C" w:rsidRDefault="001C1F5F" w:rsidP="00707E49">
            <w:pPr>
              <w:spacing w:before="120" w:after="120"/>
              <w:jc w:val="center"/>
              <w:rPr>
                <w:b/>
                <w:bCs/>
              </w:rPr>
            </w:pPr>
            <w:r w:rsidRPr="0085058C">
              <w:rPr>
                <w:b/>
                <w:bCs/>
              </w:rPr>
              <w:t>Description</w:t>
            </w:r>
          </w:p>
        </w:tc>
      </w:tr>
      <w:tr w:rsidR="00162AB4" w14:paraId="28E594B0" w14:textId="77777777" w:rsidTr="0085058C">
        <w:tc>
          <w:tcPr>
            <w:tcW w:w="4508" w:type="dxa"/>
          </w:tcPr>
          <w:p w14:paraId="159F51FF" w14:textId="77777777" w:rsidR="0085058C" w:rsidRDefault="001C1F5F" w:rsidP="00707E49">
            <w:pPr>
              <w:spacing w:before="120" w:after="120"/>
            </w:pPr>
            <w:r>
              <w:t xml:space="preserve">Political </w:t>
            </w:r>
          </w:p>
        </w:tc>
        <w:tc>
          <w:tcPr>
            <w:tcW w:w="4508" w:type="dxa"/>
          </w:tcPr>
          <w:p w14:paraId="1C194F8C" w14:textId="77777777" w:rsidR="0085058C" w:rsidRDefault="001C1F5F" w:rsidP="00707E49">
            <w:pPr>
              <w:numPr>
                <w:ilvl w:val="0"/>
                <w:numId w:val="4"/>
              </w:numPr>
              <w:spacing w:before="120" w:after="120"/>
              <w:ind w:left="484"/>
            </w:pPr>
            <w:r>
              <w:t>Political stability – 0.48 (The Global Economy, 2023)</w:t>
            </w:r>
          </w:p>
          <w:p w14:paraId="120D7246" w14:textId="77777777" w:rsidR="00D22BDE" w:rsidRDefault="001C1F5F" w:rsidP="00707E49">
            <w:pPr>
              <w:numPr>
                <w:ilvl w:val="0"/>
                <w:numId w:val="4"/>
              </w:numPr>
              <w:spacing w:before="120" w:after="120"/>
              <w:ind w:left="484"/>
            </w:pPr>
            <w:r>
              <w:t>Corruption Perceptions Index – 73/100 (Transparency.org, 2023)</w:t>
            </w:r>
          </w:p>
        </w:tc>
      </w:tr>
      <w:tr w:rsidR="00162AB4" w14:paraId="10370C8E" w14:textId="77777777" w:rsidTr="0085058C">
        <w:tc>
          <w:tcPr>
            <w:tcW w:w="4508" w:type="dxa"/>
          </w:tcPr>
          <w:p w14:paraId="0A85F2B1" w14:textId="77777777" w:rsidR="0085058C" w:rsidRDefault="001C1F5F" w:rsidP="00707E49">
            <w:pPr>
              <w:spacing w:before="120" w:after="120"/>
            </w:pPr>
            <w:r>
              <w:t>Economic</w:t>
            </w:r>
          </w:p>
        </w:tc>
        <w:tc>
          <w:tcPr>
            <w:tcW w:w="4508" w:type="dxa"/>
          </w:tcPr>
          <w:p w14:paraId="4FBC201B" w14:textId="77777777" w:rsidR="0085058C" w:rsidRDefault="001C1F5F" w:rsidP="00707E49">
            <w:pPr>
              <w:numPr>
                <w:ilvl w:val="0"/>
                <w:numId w:val="5"/>
              </w:numPr>
              <w:spacing w:before="120" w:after="120"/>
              <w:ind w:left="484"/>
            </w:pPr>
            <w:r>
              <w:t>Inflation (Consumer Prices Index) – 4.6% in October 2023</w:t>
            </w:r>
          </w:p>
          <w:p w14:paraId="7F28814C" w14:textId="77777777" w:rsidR="00D22BDE" w:rsidRDefault="001C1F5F" w:rsidP="00707E49">
            <w:pPr>
              <w:numPr>
                <w:ilvl w:val="0"/>
                <w:numId w:val="5"/>
              </w:numPr>
              <w:spacing w:before="120" w:after="120"/>
              <w:ind w:left="484"/>
            </w:pPr>
            <w:r>
              <w:t xml:space="preserve">Soaring energy, fuel, and food prices </w:t>
            </w:r>
          </w:p>
          <w:p w14:paraId="4FF54A7A" w14:textId="77777777" w:rsidR="00D22BDE" w:rsidRDefault="001C1F5F" w:rsidP="00707E49">
            <w:pPr>
              <w:numPr>
                <w:ilvl w:val="0"/>
                <w:numId w:val="5"/>
              </w:numPr>
              <w:spacing w:before="120" w:after="120"/>
              <w:ind w:left="484"/>
            </w:pPr>
            <w:r>
              <w:t xml:space="preserve">Rising cost of living (Francis-Devine </w:t>
            </w:r>
            <w:r w:rsidRPr="00D22BDE">
              <w:rPr>
                <w:i/>
                <w:iCs/>
              </w:rPr>
              <w:t>et al</w:t>
            </w:r>
            <w:r>
              <w:t>., 2023)</w:t>
            </w:r>
          </w:p>
        </w:tc>
      </w:tr>
      <w:tr w:rsidR="00162AB4" w14:paraId="57E96C7F" w14:textId="77777777" w:rsidTr="0085058C">
        <w:tc>
          <w:tcPr>
            <w:tcW w:w="4508" w:type="dxa"/>
          </w:tcPr>
          <w:p w14:paraId="2AE95C15" w14:textId="77777777" w:rsidR="0085058C" w:rsidRDefault="001C1F5F" w:rsidP="00707E49">
            <w:pPr>
              <w:spacing w:before="120" w:after="120"/>
            </w:pPr>
            <w:r>
              <w:t>Social</w:t>
            </w:r>
          </w:p>
        </w:tc>
        <w:tc>
          <w:tcPr>
            <w:tcW w:w="4508" w:type="dxa"/>
          </w:tcPr>
          <w:p w14:paraId="557E69D2" w14:textId="77777777" w:rsidR="0085058C" w:rsidRDefault="001C1F5F" w:rsidP="00707E49">
            <w:pPr>
              <w:numPr>
                <w:ilvl w:val="0"/>
                <w:numId w:val="6"/>
              </w:numPr>
              <w:spacing w:before="120" w:after="120"/>
              <w:ind w:left="484"/>
            </w:pPr>
            <w:r>
              <w:t>Consumer behaviour shifting to online shopping</w:t>
            </w:r>
          </w:p>
          <w:p w14:paraId="6DAE6F1C" w14:textId="77777777" w:rsidR="00D22BDE" w:rsidRDefault="001C1F5F" w:rsidP="00707E49">
            <w:pPr>
              <w:numPr>
                <w:ilvl w:val="0"/>
                <w:numId w:val="6"/>
              </w:numPr>
              <w:spacing w:before="120" w:after="120"/>
              <w:ind w:left="484"/>
            </w:pPr>
            <w:r>
              <w:t>Focus on suitability</w:t>
            </w:r>
          </w:p>
        </w:tc>
      </w:tr>
      <w:tr w:rsidR="00162AB4" w14:paraId="2158D3C5" w14:textId="77777777" w:rsidTr="0085058C">
        <w:tc>
          <w:tcPr>
            <w:tcW w:w="4508" w:type="dxa"/>
          </w:tcPr>
          <w:p w14:paraId="30F4308F" w14:textId="77777777" w:rsidR="0085058C" w:rsidRDefault="001C1F5F" w:rsidP="00707E49">
            <w:pPr>
              <w:spacing w:before="120" w:after="120"/>
            </w:pPr>
            <w:r>
              <w:t xml:space="preserve">Technological </w:t>
            </w:r>
          </w:p>
        </w:tc>
        <w:tc>
          <w:tcPr>
            <w:tcW w:w="4508" w:type="dxa"/>
          </w:tcPr>
          <w:p w14:paraId="22F7B16C" w14:textId="77777777" w:rsidR="0085058C" w:rsidRDefault="001C1F5F" w:rsidP="00707E49">
            <w:pPr>
              <w:numPr>
                <w:ilvl w:val="0"/>
                <w:numId w:val="7"/>
              </w:numPr>
              <w:spacing w:before="120" w:after="120"/>
              <w:ind w:left="484"/>
            </w:pPr>
            <w:r>
              <w:t>Digital transformation in business</w:t>
            </w:r>
          </w:p>
          <w:p w14:paraId="135E3D0D" w14:textId="77777777" w:rsidR="00D22BDE" w:rsidRDefault="001C1F5F" w:rsidP="00707E49">
            <w:pPr>
              <w:numPr>
                <w:ilvl w:val="0"/>
                <w:numId w:val="7"/>
              </w:numPr>
              <w:spacing w:before="120" w:after="120"/>
              <w:ind w:left="484"/>
            </w:pPr>
            <w:r>
              <w:t>Use of artificial intelligence (AI), big data analytics, augmented, and so on for improving consumer personalisation and experience (</w:t>
            </w:r>
            <w:r w:rsidR="00DF5752">
              <w:t>The Telegraph, 2018</w:t>
            </w:r>
            <w:r>
              <w:t>).</w:t>
            </w:r>
          </w:p>
        </w:tc>
      </w:tr>
      <w:tr w:rsidR="00162AB4" w14:paraId="53013BF7" w14:textId="77777777" w:rsidTr="0085058C">
        <w:tc>
          <w:tcPr>
            <w:tcW w:w="4508" w:type="dxa"/>
          </w:tcPr>
          <w:p w14:paraId="67C1014F" w14:textId="77777777" w:rsidR="0085058C" w:rsidRDefault="001C1F5F" w:rsidP="00707E49">
            <w:pPr>
              <w:spacing w:before="120" w:after="120"/>
            </w:pPr>
            <w:r>
              <w:t>Environmental</w:t>
            </w:r>
          </w:p>
        </w:tc>
        <w:tc>
          <w:tcPr>
            <w:tcW w:w="4508" w:type="dxa"/>
          </w:tcPr>
          <w:p w14:paraId="725C1E3F" w14:textId="77777777" w:rsidR="0085058C" w:rsidRDefault="001C1F5F" w:rsidP="00707E49">
            <w:pPr>
              <w:numPr>
                <w:ilvl w:val="0"/>
                <w:numId w:val="8"/>
              </w:numPr>
              <w:spacing w:before="120" w:after="120"/>
              <w:ind w:left="484"/>
            </w:pPr>
            <w:r>
              <w:t>Increasing stakeholder focus on sustainability and impact on business activity on environment (HSBC UK, 2020)</w:t>
            </w:r>
          </w:p>
        </w:tc>
      </w:tr>
      <w:tr w:rsidR="00162AB4" w14:paraId="218FE78A" w14:textId="77777777" w:rsidTr="0085058C">
        <w:tc>
          <w:tcPr>
            <w:tcW w:w="4508" w:type="dxa"/>
          </w:tcPr>
          <w:p w14:paraId="71664DEA" w14:textId="77777777" w:rsidR="0085058C" w:rsidRDefault="001C1F5F" w:rsidP="00707E49">
            <w:pPr>
              <w:spacing w:before="120" w:after="120"/>
            </w:pPr>
            <w:r>
              <w:t xml:space="preserve">Legal </w:t>
            </w:r>
          </w:p>
        </w:tc>
        <w:tc>
          <w:tcPr>
            <w:tcW w:w="4508" w:type="dxa"/>
          </w:tcPr>
          <w:p w14:paraId="7CC80C61" w14:textId="77777777" w:rsidR="0085058C" w:rsidRDefault="001C1F5F" w:rsidP="00707E49">
            <w:pPr>
              <w:numPr>
                <w:ilvl w:val="0"/>
                <w:numId w:val="8"/>
              </w:numPr>
              <w:spacing w:before="120" w:after="120"/>
              <w:ind w:left="484"/>
            </w:pPr>
            <w:r>
              <w:t>Compliance with tax and employment law in the UK</w:t>
            </w:r>
          </w:p>
        </w:tc>
      </w:tr>
    </w:tbl>
    <w:p w14:paraId="28B26E2E" w14:textId="77777777" w:rsidR="0085058C" w:rsidRDefault="001C1F5F" w:rsidP="00707E49">
      <w:pPr>
        <w:pStyle w:val="Heading2"/>
        <w:spacing w:before="120" w:after="120"/>
      </w:pPr>
      <w:bookmarkStart w:id="10" w:name="_Toc152867884"/>
      <w:r>
        <w:lastRenderedPageBreak/>
        <w:t>Appendix B – SWOT analysis</w:t>
      </w:r>
      <w:bookmarkEnd w:id="10"/>
    </w:p>
    <w:tbl>
      <w:tblPr>
        <w:tblStyle w:val="TableGrid"/>
        <w:tblW w:w="0" w:type="auto"/>
        <w:tblLook w:val="04A0" w:firstRow="1" w:lastRow="0" w:firstColumn="1" w:lastColumn="0" w:noHBand="0" w:noVBand="1"/>
      </w:tblPr>
      <w:tblGrid>
        <w:gridCol w:w="4508"/>
        <w:gridCol w:w="4508"/>
      </w:tblGrid>
      <w:tr w:rsidR="00162AB4" w14:paraId="27A2F57D" w14:textId="77777777" w:rsidTr="00DF5752">
        <w:tc>
          <w:tcPr>
            <w:tcW w:w="4508" w:type="dxa"/>
          </w:tcPr>
          <w:p w14:paraId="60399467" w14:textId="77777777" w:rsidR="00DF5752" w:rsidRPr="00DF5752" w:rsidRDefault="001C1F5F" w:rsidP="00707E49">
            <w:pPr>
              <w:spacing w:before="120" w:after="120"/>
              <w:jc w:val="center"/>
              <w:rPr>
                <w:b/>
                <w:bCs/>
              </w:rPr>
            </w:pPr>
            <w:r w:rsidRPr="00DF5752">
              <w:rPr>
                <w:b/>
                <w:bCs/>
              </w:rPr>
              <w:t>Strengths</w:t>
            </w:r>
          </w:p>
        </w:tc>
        <w:tc>
          <w:tcPr>
            <w:tcW w:w="4508" w:type="dxa"/>
          </w:tcPr>
          <w:p w14:paraId="1BFF2E61" w14:textId="77777777" w:rsidR="00DF5752" w:rsidRPr="00DF5752" w:rsidRDefault="001C1F5F" w:rsidP="00707E49">
            <w:pPr>
              <w:spacing w:before="120" w:after="120"/>
              <w:jc w:val="center"/>
              <w:rPr>
                <w:b/>
                <w:bCs/>
              </w:rPr>
            </w:pPr>
            <w:r w:rsidRPr="00DF5752">
              <w:rPr>
                <w:b/>
                <w:bCs/>
              </w:rPr>
              <w:t>Weaknesses</w:t>
            </w:r>
          </w:p>
        </w:tc>
      </w:tr>
      <w:tr w:rsidR="00162AB4" w14:paraId="685C0808" w14:textId="77777777" w:rsidTr="00DF5752">
        <w:trPr>
          <w:trHeight w:val="2812"/>
        </w:trPr>
        <w:tc>
          <w:tcPr>
            <w:tcW w:w="4508" w:type="dxa"/>
          </w:tcPr>
          <w:p w14:paraId="31B0835E" w14:textId="77777777" w:rsidR="00DF5752" w:rsidRDefault="001C1F5F" w:rsidP="00707E49">
            <w:pPr>
              <w:numPr>
                <w:ilvl w:val="0"/>
                <w:numId w:val="8"/>
              </w:numPr>
              <w:spacing w:before="120" w:after="120"/>
              <w:ind w:left="447"/>
            </w:pPr>
            <w:r>
              <w:t>An extensive business network (Statista, 2023a)</w:t>
            </w:r>
          </w:p>
          <w:p w14:paraId="5BAC8783" w14:textId="77777777" w:rsidR="00DF5752" w:rsidRDefault="001C1F5F" w:rsidP="00707E49">
            <w:pPr>
              <w:numPr>
                <w:ilvl w:val="0"/>
                <w:numId w:val="8"/>
              </w:numPr>
              <w:spacing w:before="120" w:after="120"/>
              <w:ind w:left="447"/>
            </w:pPr>
            <w:r>
              <w:t>Huge employee base (Sainsbury’s, 2022)</w:t>
            </w:r>
          </w:p>
          <w:p w14:paraId="04D788AE" w14:textId="77777777" w:rsidR="00DF5752" w:rsidRDefault="001C1F5F" w:rsidP="00707E49">
            <w:pPr>
              <w:numPr>
                <w:ilvl w:val="0"/>
                <w:numId w:val="8"/>
              </w:numPr>
              <w:spacing w:before="120" w:after="120"/>
              <w:ind w:left="447"/>
            </w:pPr>
            <w:r>
              <w:t>Great finances and assets (Sainsbury’s, 2022)</w:t>
            </w:r>
          </w:p>
          <w:p w14:paraId="5BA337C0" w14:textId="77777777" w:rsidR="00DF5752" w:rsidRDefault="001C1F5F" w:rsidP="00707E49">
            <w:pPr>
              <w:numPr>
                <w:ilvl w:val="0"/>
                <w:numId w:val="8"/>
              </w:numPr>
              <w:spacing w:before="120" w:after="120"/>
              <w:ind w:left="447"/>
            </w:pPr>
            <w:r>
              <w:t>High brand awareness (</w:t>
            </w:r>
            <w:r w:rsidR="00DF4701">
              <w:t>Statista, 2023c</w:t>
            </w:r>
            <w:r>
              <w:t>)</w:t>
            </w:r>
          </w:p>
          <w:p w14:paraId="1F9EB7F7" w14:textId="77777777" w:rsidR="00DF5752" w:rsidRDefault="00DF5752" w:rsidP="00707E49">
            <w:pPr>
              <w:spacing w:before="120" w:after="120"/>
              <w:ind w:left="447"/>
            </w:pPr>
          </w:p>
        </w:tc>
        <w:tc>
          <w:tcPr>
            <w:tcW w:w="4508" w:type="dxa"/>
          </w:tcPr>
          <w:p w14:paraId="270431D5" w14:textId="77777777" w:rsidR="00DF5752" w:rsidRDefault="001C1F5F" w:rsidP="00707E49">
            <w:pPr>
              <w:numPr>
                <w:ilvl w:val="0"/>
                <w:numId w:val="8"/>
              </w:numPr>
              <w:spacing w:before="120" w:after="120"/>
              <w:ind w:left="447"/>
            </w:pPr>
            <w:r>
              <w:t>No presence outside of UK</w:t>
            </w:r>
          </w:p>
          <w:p w14:paraId="66F88D92" w14:textId="77777777" w:rsidR="00DF5752" w:rsidRDefault="001C1F5F" w:rsidP="00707E49">
            <w:pPr>
              <w:numPr>
                <w:ilvl w:val="0"/>
                <w:numId w:val="8"/>
              </w:numPr>
              <w:spacing w:before="120" w:after="120"/>
              <w:ind w:left="447"/>
            </w:pPr>
            <w:r>
              <w:t>Lack of distinct price identity</w:t>
            </w:r>
          </w:p>
        </w:tc>
      </w:tr>
      <w:tr w:rsidR="00162AB4" w14:paraId="3C240D8A" w14:textId="77777777" w:rsidTr="00DF5752">
        <w:tc>
          <w:tcPr>
            <w:tcW w:w="4508" w:type="dxa"/>
          </w:tcPr>
          <w:p w14:paraId="2DAD0D9F" w14:textId="77777777" w:rsidR="00DF5752" w:rsidRPr="00DF5752" w:rsidRDefault="001C1F5F" w:rsidP="00707E49">
            <w:pPr>
              <w:spacing w:before="120" w:after="120"/>
              <w:ind w:left="447"/>
              <w:jc w:val="center"/>
              <w:rPr>
                <w:b/>
                <w:bCs/>
              </w:rPr>
            </w:pPr>
            <w:r w:rsidRPr="00DF5752">
              <w:rPr>
                <w:b/>
                <w:bCs/>
              </w:rPr>
              <w:t>Opportunities</w:t>
            </w:r>
          </w:p>
        </w:tc>
        <w:tc>
          <w:tcPr>
            <w:tcW w:w="4508" w:type="dxa"/>
          </w:tcPr>
          <w:p w14:paraId="62F06A1F" w14:textId="77777777" w:rsidR="00DF5752" w:rsidRPr="00DF5752" w:rsidRDefault="001C1F5F" w:rsidP="00707E49">
            <w:pPr>
              <w:spacing w:before="120" w:after="120"/>
              <w:ind w:left="447"/>
              <w:jc w:val="center"/>
              <w:rPr>
                <w:b/>
                <w:bCs/>
              </w:rPr>
            </w:pPr>
            <w:r w:rsidRPr="00DF5752">
              <w:rPr>
                <w:b/>
                <w:bCs/>
              </w:rPr>
              <w:t>Threats</w:t>
            </w:r>
          </w:p>
        </w:tc>
      </w:tr>
      <w:tr w:rsidR="00162AB4" w14:paraId="42BFB135" w14:textId="77777777" w:rsidTr="00DF5752">
        <w:trPr>
          <w:trHeight w:val="2956"/>
        </w:trPr>
        <w:tc>
          <w:tcPr>
            <w:tcW w:w="4508" w:type="dxa"/>
          </w:tcPr>
          <w:p w14:paraId="4E283EA6" w14:textId="77777777" w:rsidR="00DF5752" w:rsidRDefault="001C1F5F" w:rsidP="00707E49">
            <w:pPr>
              <w:numPr>
                <w:ilvl w:val="0"/>
                <w:numId w:val="10"/>
              </w:numPr>
              <w:spacing w:before="120" w:after="120"/>
              <w:ind w:left="447"/>
            </w:pPr>
            <w:r>
              <w:t>Number of potential foreign markets to expand</w:t>
            </w:r>
          </w:p>
          <w:p w14:paraId="78F84623" w14:textId="77777777" w:rsidR="00DF5752" w:rsidRDefault="001C1F5F" w:rsidP="00707E49">
            <w:pPr>
              <w:numPr>
                <w:ilvl w:val="0"/>
                <w:numId w:val="10"/>
              </w:numPr>
              <w:spacing w:before="120" w:after="120"/>
              <w:ind w:left="447"/>
            </w:pPr>
            <w:r>
              <w:t>Huge online opportunities</w:t>
            </w:r>
          </w:p>
        </w:tc>
        <w:tc>
          <w:tcPr>
            <w:tcW w:w="4508" w:type="dxa"/>
          </w:tcPr>
          <w:p w14:paraId="67A792C4" w14:textId="77777777" w:rsidR="00DF5752" w:rsidRDefault="001C1F5F" w:rsidP="00707E49">
            <w:pPr>
              <w:numPr>
                <w:ilvl w:val="0"/>
                <w:numId w:val="9"/>
              </w:numPr>
              <w:spacing w:before="120" w:after="120"/>
              <w:ind w:left="447"/>
            </w:pPr>
            <w:r>
              <w:t xml:space="preserve">Threat of competition </w:t>
            </w:r>
          </w:p>
          <w:p w14:paraId="22B65254" w14:textId="77777777" w:rsidR="00DF5752" w:rsidRDefault="001C1F5F" w:rsidP="00707E49">
            <w:pPr>
              <w:numPr>
                <w:ilvl w:val="0"/>
                <w:numId w:val="9"/>
              </w:numPr>
              <w:spacing w:before="120" w:after="120"/>
              <w:ind w:left="447"/>
            </w:pPr>
            <w:r>
              <w:t>Threat of new entrants in the business</w:t>
            </w:r>
          </w:p>
          <w:p w14:paraId="47813449" w14:textId="77777777" w:rsidR="00DF5752" w:rsidRDefault="001C1F5F" w:rsidP="00707E49">
            <w:pPr>
              <w:numPr>
                <w:ilvl w:val="0"/>
                <w:numId w:val="9"/>
              </w:numPr>
              <w:spacing w:before="120" w:after="120"/>
              <w:ind w:left="447"/>
            </w:pPr>
            <w:r>
              <w:t>Inflation</w:t>
            </w:r>
          </w:p>
        </w:tc>
      </w:tr>
    </w:tbl>
    <w:p w14:paraId="4EFE0C2E" w14:textId="77777777" w:rsidR="00DF5752" w:rsidRPr="00DF5752" w:rsidRDefault="00DF5752" w:rsidP="00707E49">
      <w:pPr>
        <w:spacing w:before="120" w:after="120"/>
      </w:pPr>
    </w:p>
    <w:p w14:paraId="032616F5" w14:textId="77777777" w:rsidR="00DF5752" w:rsidRPr="00DF5752" w:rsidRDefault="00DF5752" w:rsidP="00707E49">
      <w:pPr>
        <w:spacing w:before="120" w:after="120"/>
      </w:pPr>
    </w:p>
    <w:p w14:paraId="674B6B1A" w14:textId="77777777" w:rsidR="00DF5752" w:rsidRDefault="001C1F5F" w:rsidP="00707E49">
      <w:pPr>
        <w:spacing w:before="120" w:after="120"/>
        <w:jc w:val="left"/>
        <w:rPr>
          <w:rFonts w:eastAsiaTheme="majorEastAsia" w:cstheme="majorBidi"/>
          <w:b/>
          <w:szCs w:val="26"/>
        </w:rPr>
      </w:pPr>
      <w:r>
        <w:br w:type="page"/>
      </w:r>
    </w:p>
    <w:p w14:paraId="5358A3D5" w14:textId="77777777" w:rsidR="0085058C" w:rsidRDefault="001C1F5F" w:rsidP="00707E49">
      <w:pPr>
        <w:pStyle w:val="Heading2"/>
        <w:spacing w:before="120" w:after="120"/>
      </w:pPr>
      <w:bookmarkStart w:id="11" w:name="_Toc152867885"/>
      <w:r>
        <w:lastRenderedPageBreak/>
        <w:t>Appendix C</w:t>
      </w:r>
      <w:r w:rsidR="00DF5752">
        <w:t xml:space="preserve"> – Porter’s Five Forces Analysis</w:t>
      </w:r>
      <w:bookmarkEnd w:id="11"/>
    </w:p>
    <w:p w14:paraId="0A91F5A1" w14:textId="77777777" w:rsidR="00DF5752" w:rsidRDefault="001C1F5F" w:rsidP="00707E49">
      <w:pPr>
        <w:spacing w:before="120" w:after="120"/>
      </w:pPr>
      <w:r w:rsidRPr="00DF4701">
        <w:rPr>
          <w:b/>
          <w:bCs/>
          <w:i/>
          <w:iCs/>
        </w:rPr>
        <w:t>Threat of competition</w:t>
      </w:r>
      <w:r>
        <w:t xml:space="preserve"> – There are a number of competitors in the UK supermarket segment</w:t>
      </w:r>
      <w:r w:rsidR="00DF4701">
        <w:t xml:space="preserve">, with Sainsbury's biggest competitors being the other members of the 'Big Four' – Tesco, Asda, and Morrisons, alongside discount supermarkets Aldi and Lidl (Statista, 2023d). hence, the threat of competition is </w:t>
      </w:r>
      <w:r w:rsidR="00DF4701" w:rsidRPr="00DF4701">
        <w:rPr>
          <w:b/>
          <w:bCs/>
          <w:i/>
          <w:iCs/>
        </w:rPr>
        <w:t>high</w:t>
      </w:r>
      <w:r w:rsidR="00DF4701">
        <w:t xml:space="preserve">. </w:t>
      </w:r>
    </w:p>
    <w:p w14:paraId="1C88CD66" w14:textId="77777777" w:rsidR="00DF5752" w:rsidRDefault="001C1F5F" w:rsidP="00707E49">
      <w:pPr>
        <w:spacing w:before="120" w:after="120"/>
      </w:pPr>
      <w:r w:rsidRPr="00DF4701">
        <w:rPr>
          <w:b/>
          <w:bCs/>
          <w:i/>
          <w:iCs/>
        </w:rPr>
        <w:t>The threat of new entrants</w:t>
      </w:r>
      <w:r>
        <w:t xml:space="preserve"> – </w:t>
      </w:r>
      <w:r w:rsidR="00DF4701">
        <w:t xml:space="preserve">The UK retail sector has a very low barrier to entry and there is great demand as well, which makes the threat of new entrants </w:t>
      </w:r>
      <w:r w:rsidR="00DF4701" w:rsidRPr="00DF4701">
        <w:rPr>
          <w:b/>
          <w:bCs/>
          <w:i/>
          <w:iCs/>
        </w:rPr>
        <w:t>high</w:t>
      </w:r>
      <w:r w:rsidR="00DF4701">
        <w:t>.</w:t>
      </w:r>
    </w:p>
    <w:p w14:paraId="473C8677" w14:textId="77777777" w:rsidR="00DF5752" w:rsidRDefault="001C1F5F" w:rsidP="00707E49">
      <w:pPr>
        <w:spacing w:before="120" w:after="120"/>
      </w:pPr>
      <w:r w:rsidRPr="00DF4701">
        <w:rPr>
          <w:b/>
          <w:bCs/>
          <w:i/>
          <w:iCs/>
        </w:rPr>
        <w:t>Threat of substitutes</w:t>
      </w:r>
      <w:r>
        <w:t xml:space="preserve"> – </w:t>
      </w:r>
      <w:r w:rsidR="00DF4701">
        <w:t xml:space="preserve">Because of innovation and competition, the threat of substitutes is high. </w:t>
      </w:r>
    </w:p>
    <w:p w14:paraId="77FF56D9" w14:textId="77777777" w:rsidR="00DF5752" w:rsidRDefault="001C1F5F" w:rsidP="00707E49">
      <w:pPr>
        <w:spacing w:before="120" w:after="120"/>
      </w:pPr>
      <w:r w:rsidRPr="00DF4701">
        <w:rPr>
          <w:b/>
          <w:bCs/>
          <w:i/>
          <w:iCs/>
        </w:rPr>
        <w:t>Bargaining power of consumers</w:t>
      </w:r>
      <w:r>
        <w:t xml:space="preserve"> – </w:t>
      </w:r>
      <w:r w:rsidR="00DF4701">
        <w:t xml:space="preserve">With a number of options available to customers, the bargaining power of consumers is </w:t>
      </w:r>
      <w:r w:rsidR="00DF4701" w:rsidRPr="00DF4701">
        <w:rPr>
          <w:b/>
          <w:bCs/>
          <w:i/>
          <w:iCs/>
        </w:rPr>
        <w:t>high</w:t>
      </w:r>
      <w:r w:rsidR="00DF4701">
        <w:t xml:space="preserve">. </w:t>
      </w:r>
    </w:p>
    <w:p w14:paraId="19B3B7F3" w14:textId="77777777" w:rsidR="00DF5752" w:rsidRPr="00DF5752" w:rsidRDefault="001C1F5F" w:rsidP="00707E49">
      <w:pPr>
        <w:spacing w:before="120" w:after="120"/>
      </w:pPr>
      <w:r w:rsidRPr="00DF4701">
        <w:rPr>
          <w:b/>
          <w:bCs/>
          <w:i/>
          <w:iCs/>
        </w:rPr>
        <w:t>Bargaining power of suppliers</w:t>
      </w:r>
      <w:r>
        <w:t xml:space="preserve"> – </w:t>
      </w:r>
      <w:r w:rsidR="00DF4701">
        <w:t xml:space="preserve">The number of suppliers, in the UK and outside makes the bargaining power of suppliers </w:t>
      </w:r>
      <w:r w:rsidR="00DF4701" w:rsidRPr="00DF4701">
        <w:rPr>
          <w:b/>
          <w:bCs/>
          <w:i/>
          <w:iCs/>
        </w:rPr>
        <w:t>low</w:t>
      </w:r>
      <w:r w:rsidR="00DF4701">
        <w:t xml:space="preserve">. </w:t>
      </w:r>
    </w:p>
    <w:sectPr w:rsidR="00DF5752" w:rsidRPr="00DF5752" w:rsidSect="00EE0B40">
      <w:headerReference w:type="default"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DA7AD" w14:textId="77777777" w:rsidR="001C1F5F" w:rsidRDefault="001C1F5F">
      <w:pPr>
        <w:spacing w:after="0" w:line="240" w:lineRule="auto"/>
      </w:pPr>
      <w:r>
        <w:separator/>
      </w:r>
    </w:p>
  </w:endnote>
  <w:endnote w:type="continuationSeparator" w:id="0">
    <w:p w14:paraId="206D43F9" w14:textId="77777777" w:rsidR="001C1F5F" w:rsidRDefault="001C1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8102873"/>
      <w:docPartObj>
        <w:docPartGallery w:val="Page Numbers (Bottom of Page)"/>
        <w:docPartUnique/>
      </w:docPartObj>
    </w:sdtPr>
    <w:sdtEndPr>
      <w:rPr>
        <w:noProof/>
      </w:rPr>
    </w:sdtEndPr>
    <w:sdtContent>
      <w:p w14:paraId="72E702D4" w14:textId="77777777" w:rsidR="00EE0B40" w:rsidRDefault="001C1F5F">
        <w:pPr>
          <w:pStyle w:val="Footer"/>
          <w:jc w:val="right"/>
        </w:pPr>
        <w:r>
          <w:fldChar w:fldCharType="begin"/>
        </w:r>
        <w:r>
          <w:instrText xml:space="preserve"> PAGE   \* MERGEFORMAT </w:instrText>
        </w:r>
        <w:r>
          <w:fldChar w:fldCharType="separate"/>
        </w:r>
        <w:r w:rsidR="003D3A10">
          <w:rPr>
            <w:noProof/>
          </w:rPr>
          <w:t>20</w:t>
        </w:r>
        <w:r>
          <w:rPr>
            <w:noProof/>
          </w:rPr>
          <w:fldChar w:fldCharType="end"/>
        </w:r>
      </w:p>
    </w:sdtContent>
  </w:sdt>
  <w:p w14:paraId="23647EFF" w14:textId="77777777" w:rsidR="00EE0B40" w:rsidRDefault="00EE0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BAAC3" w14:textId="77777777" w:rsidR="001C1F5F" w:rsidRDefault="001C1F5F">
      <w:pPr>
        <w:spacing w:after="0" w:line="240" w:lineRule="auto"/>
      </w:pPr>
      <w:r>
        <w:separator/>
      </w:r>
    </w:p>
  </w:footnote>
  <w:footnote w:type="continuationSeparator" w:id="0">
    <w:p w14:paraId="5D082D2A" w14:textId="77777777" w:rsidR="001C1F5F" w:rsidRDefault="001C1F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5E79DC" w14:textId="77777777" w:rsidR="00EE0B40" w:rsidRDefault="001C1F5F">
    <w:pPr>
      <w:pStyle w:val="Header"/>
    </w:pPr>
    <w:r>
      <w:rPr>
        <w:noProof/>
        <w:sz w:val="20"/>
        <w:lang w:eastAsia="en-GB"/>
      </w:rPr>
      <w:drawing>
        <wp:inline distT="0" distB="0" distL="0" distR="0" wp14:anchorId="7BCA8715" wp14:editId="23AD2D50">
          <wp:extent cx="1190625" cy="393283"/>
          <wp:effectExtent l="0" t="0" r="0" b="6985"/>
          <wp:docPr id="1813719179" name="Picture 181371917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719179" name="image1.png"/>
                  <pic:cNvPicPr/>
                </pic:nvPicPr>
                <pic:blipFill>
                  <a:blip r:embed="rId1" cstate="print"/>
                  <a:stretch>
                    <a:fillRect/>
                  </a:stretch>
                </pic:blipFill>
                <pic:spPr>
                  <a:xfrm>
                    <a:off x="0" y="0"/>
                    <a:ext cx="1205146" cy="398080"/>
                  </a:xfrm>
                  <a:prstGeom prst="rect">
                    <a:avLst/>
                  </a:prstGeom>
                </pic:spPr>
              </pic:pic>
            </a:graphicData>
          </a:graphic>
        </wp:inline>
      </w:drawing>
    </w:r>
  </w:p>
  <w:p w14:paraId="2B759B01" w14:textId="77777777" w:rsidR="00EE0B40" w:rsidRDefault="00EE0B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20D15"/>
    <w:multiLevelType w:val="hybridMultilevel"/>
    <w:tmpl w:val="62D26A26"/>
    <w:lvl w:ilvl="0" w:tplc="05D89C78">
      <w:start w:val="1"/>
      <w:numFmt w:val="bullet"/>
      <w:lvlText w:val=""/>
      <w:lvlJc w:val="left"/>
      <w:pPr>
        <w:ind w:left="720" w:hanging="360"/>
      </w:pPr>
      <w:rPr>
        <w:rFonts w:ascii="Symbol" w:hAnsi="Symbol" w:hint="default"/>
      </w:rPr>
    </w:lvl>
    <w:lvl w:ilvl="1" w:tplc="2A401E70" w:tentative="1">
      <w:start w:val="1"/>
      <w:numFmt w:val="bullet"/>
      <w:lvlText w:val="o"/>
      <w:lvlJc w:val="left"/>
      <w:pPr>
        <w:ind w:left="1440" w:hanging="360"/>
      </w:pPr>
      <w:rPr>
        <w:rFonts w:ascii="Courier New" w:hAnsi="Courier New" w:cs="Courier New" w:hint="default"/>
      </w:rPr>
    </w:lvl>
    <w:lvl w:ilvl="2" w:tplc="FE80150A" w:tentative="1">
      <w:start w:val="1"/>
      <w:numFmt w:val="bullet"/>
      <w:lvlText w:val=""/>
      <w:lvlJc w:val="left"/>
      <w:pPr>
        <w:ind w:left="2160" w:hanging="360"/>
      </w:pPr>
      <w:rPr>
        <w:rFonts w:ascii="Wingdings" w:hAnsi="Wingdings" w:hint="default"/>
      </w:rPr>
    </w:lvl>
    <w:lvl w:ilvl="3" w:tplc="9764695E" w:tentative="1">
      <w:start w:val="1"/>
      <w:numFmt w:val="bullet"/>
      <w:lvlText w:val=""/>
      <w:lvlJc w:val="left"/>
      <w:pPr>
        <w:ind w:left="2880" w:hanging="360"/>
      </w:pPr>
      <w:rPr>
        <w:rFonts w:ascii="Symbol" w:hAnsi="Symbol" w:hint="default"/>
      </w:rPr>
    </w:lvl>
    <w:lvl w:ilvl="4" w:tplc="A784F616" w:tentative="1">
      <w:start w:val="1"/>
      <w:numFmt w:val="bullet"/>
      <w:lvlText w:val="o"/>
      <w:lvlJc w:val="left"/>
      <w:pPr>
        <w:ind w:left="3600" w:hanging="360"/>
      </w:pPr>
      <w:rPr>
        <w:rFonts w:ascii="Courier New" w:hAnsi="Courier New" w:cs="Courier New" w:hint="default"/>
      </w:rPr>
    </w:lvl>
    <w:lvl w:ilvl="5" w:tplc="48ECFA6A" w:tentative="1">
      <w:start w:val="1"/>
      <w:numFmt w:val="bullet"/>
      <w:lvlText w:val=""/>
      <w:lvlJc w:val="left"/>
      <w:pPr>
        <w:ind w:left="4320" w:hanging="360"/>
      </w:pPr>
      <w:rPr>
        <w:rFonts w:ascii="Wingdings" w:hAnsi="Wingdings" w:hint="default"/>
      </w:rPr>
    </w:lvl>
    <w:lvl w:ilvl="6" w:tplc="74B6DC56" w:tentative="1">
      <w:start w:val="1"/>
      <w:numFmt w:val="bullet"/>
      <w:lvlText w:val=""/>
      <w:lvlJc w:val="left"/>
      <w:pPr>
        <w:ind w:left="5040" w:hanging="360"/>
      </w:pPr>
      <w:rPr>
        <w:rFonts w:ascii="Symbol" w:hAnsi="Symbol" w:hint="default"/>
      </w:rPr>
    </w:lvl>
    <w:lvl w:ilvl="7" w:tplc="4F84D088" w:tentative="1">
      <w:start w:val="1"/>
      <w:numFmt w:val="bullet"/>
      <w:lvlText w:val="o"/>
      <w:lvlJc w:val="left"/>
      <w:pPr>
        <w:ind w:left="5760" w:hanging="360"/>
      </w:pPr>
      <w:rPr>
        <w:rFonts w:ascii="Courier New" w:hAnsi="Courier New" w:cs="Courier New" w:hint="default"/>
      </w:rPr>
    </w:lvl>
    <w:lvl w:ilvl="8" w:tplc="6EEA6144" w:tentative="1">
      <w:start w:val="1"/>
      <w:numFmt w:val="bullet"/>
      <w:lvlText w:val=""/>
      <w:lvlJc w:val="left"/>
      <w:pPr>
        <w:ind w:left="6480" w:hanging="360"/>
      </w:pPr>
      <w:rPr>
        <w:rFonts w:ascii="Wingdings" w:hAnsi="Wingdings" w:hint="default"/>
      </w:rPr>
    </w:lvl>
  </w:abstractNum>
  <w:abstractNum w:abstractNumId="1" w15:restartNumberingAfterBreak="0">
    <w:nsid w:val="1A903C22"/>
    <w:multiLevelType w:val="hybridMultilevel"/>
    <w:tmpl w:val="6F742B22"/>
    <w:lvl w:ilvl="0" w:tplc="A9C2EE22">
      <w:start w:val="1"/>
      <w:numFmt w:val="bullet"/>
      <w:lvlText w:val=""/>
      <w:lvlJc w:val="left"/>
      <w:pPr>
        <w:ind w:left="720" w:hanging="360"/>
      </w:pPr>
      <w:rPr>
        <w:rFonts w:ascii="Symbol" w:hAnsi="Symbol" w:hint="default"/>
      </w:rPr>
    </w:lvl>
    <w:lvl w:ilvl="1" w:tplc="3EE2D09E" w:tentative="1">
      <w:start w:val="1"/>
      <w:numFmt w:val="bullet"/>
      <w:lvlText w:val="o"/>
      <w:lvlJc w:val="left"/>
      <w:pPr>
        <w:ind w:left="1440" w:hanging="360"/>
      </w:pPr>
      <w:rPr>
        <w:rFonts w:ascii="Courier New" w:hAnsi="Courier New" w:cs="Courier New" w:hint="default"/>
      </w:rPr>
    </w:lvl>
    <w:lvl w:ilvl="2" w:tplc="F53A65C4" w:tentative="1">
      <w:start w:val="1"/>
      <w:numFmt w:val="bullet"/>
      <w:lvlText w:val=""/>
      <w:lvlJc w:val="left"/>
      <w:pPr>
        <w:ind w:left="2160" w:hanging="360"/>
      </w:pPr>
      <w:rPr>
        <w:rFonts w:ascii="Wingdings" w:hAnsi="Wingdings" w:hint="default"/>
      </w:rPr>
    </w:lvl>
    <w:lvl w:ilvl="3" w:tplc="80A01F80" w:tentative="1">
      <w:start w:val="1"/>
      <w:numFmt w:val="bullet"/>
      <w:lvlText w:val=""/>
      <w:lvlJc w:val="left"/>
      <w:pPr>
        <w:ind w:left="2880" w:hanging="360"/>
      </w:pPr>
      <w:rPr>
        <w:rFonts w:ascii="Symbol" w:hAnsi="Symbol" w:hint="default"/>
      </w:rPr>
    </w:lvl>
    <w:lvl w:ilvl="4" w:tplc="BEF8BB6A" w:tentative="1">
      <w:start w:val="1"/>
      <w:numFmt w:val="bullet"/>
      <w:lvlText w:val="o"/>
      <w:lvlJc w:val="left"/>
      <w:pPr>
        <w:ind w:left="3600" w:hanging="360"/>
      </w:pPr>
      <w:rPr>
        <w:rFonts w:ascii="Courier New" w:hAnsi="Courier New" w:cs="Courier New" w:hint="default"/>
      </w:rPr>
    </w:lvl>
    <w:lvl w:ilvl="5" w:tplc="40AC5364" w:tentative="1">
      <w:start w:val="1"/>
      <w:numFmt w:val="bullet"/>
      <w:lvlText w:val=""/>
      <w:lvlJc w:val="left"/>
      <w:pPr>
        <w:ind w:left="4320" w:hanging="360"/>
      </w:pPr>
      <w:rPr>
        <w:rFonts w:ascii="Wingdings" w:hAnsi="Wingdings" w:hint="default"/>
      </w:rPr>
    </w:lvl>
    <w:lvl w:ilvl="6" w:tplc="8D988D50" w:tentative="1">
      <w:start w:val="1"/>
      <w:numFmt w:val="bullet"/>
      <w:lvlText w:val=""/>
      <w:lvlJc w:val="left"/>
      <w:pPr>
        <w:ind w:left="5040" w:hanging="360"/>
      </w:pPr>
      <w:rPr>
        <w:rFonts w:ascii="Symbol" w:hAnsi="Symbol" w:hint="default"/>
      </w:rPr>
    </w:lvl>
    <w:lvl w:ilvl="7" w:tplc="C714DF16" w:tentative="1">
      <w:start w:val="1"/>
      <w:numFmt w:val="bullet"/>
      <w:lvlText w:val="o"/>
      <w:lvlJc w:val="left"/>
      <w:pPr>
        <w:ind w:left="5760" w:hanging="360"/>
      </w:pPr>
      <w:rPr>
        <w:rFonts w:ascii="Courier New" w:hAnsi="Courier New" w:cs="Courier New" w:hint="default"/>
      </w:rPr>
    </w:lvl>
    <w:lvl w:ilvl="8" w:tplc="11100BCE" w:tentative="1">
      <w:start w:val="1"/>
      <w:numFmt w:val="bullet"/>
      <w:lvlText w:val=""/>
      <w:lvlJc w:val="left"/>
      <w:pPr>
        <w:ind w:left="6480" w:hanging="360"/>
      </w:pPr>
      <w:rPr>
        <w:rFonts w:ascii="Wingdings" w:hAnsi="Wingdings" w:hint="default"/>
      </w:rPr>
    </w:lvl>
  </w:abstractNum>
  <w:abstractNum w:abstractNumId="2" w15:restartNumberingAfterBreak="0">
    <w:nsid w:val="1B4E4071"/>
    <w:multiLevelType w:val="hybridMultilevel"/>
    <w:tmpl w:val="F42243A6"/>
    <w:lvl w:ilvl="0" w:tplc="BEA8C218">
      <w:start w:val="1"/>
      <w:numFmt w:val="bullet"/>
      <w:lvlText w:val=""/>
      <w:lvlJc w:val="left"/>
      <w:pPr>
        <w:ind w:left="720" w:hanging="360"/>
      </w:pPr>
      <w:rPr>
        <w:rFonts w:ascii="Symbol" w:hAnsi="Symbol" w:hint="default"/>
      </w:rPr>
    </w:lvl>
    <w:lvl w:ilvl="1" w:tplc="99B67B6C" w:tentative="1">
      <w:start w:val="1"/>
      <w:numFmt w:val="bullet"/>
      <w:lvlText w:val="o"/>
      <w:lvlJc w:val="left"/>
      <w:pPr>
        <w:ind w:left="1440" w:hanging="360"/>
      </w:pPr>
      <w:rPr>
        <w:rFonts w:ascii="Courier New" w:hAnsi="Courier New" w:cs="Courier New" w:hint="default"/>
      </w:rPr>
    </w:lvl>
    <w:lvl w:ilvl="2" w:tplc="7F36D2C6" w:tentative="1">
      <w:start w:val="1"/>
      <w:numFmt w:val="bullet"/>
      <w:lvlText w:val=""/>
      <w:lvlJc w:val="left"/>
      <w:pPr>
        <w:ind w:left="2160" w:hanging="360"/>
      </w:pPr>
      <w:rPr>
        <w:rFonts w:ascii="Wingdings" w:hAnsi="Wingdings" w:hint="default"/>
      </w:rPr>
    </w:lvl>
    <w:lvl w:ilvl="3" w:tplc="ABD8EEAA" w:tentative="1">
      <w:start w:val="1"/>
      <w:numFmt w:val="bullet"/>
      <w:lvlText w:val=""/>
      <w:lvlJc w:val="left"/>
      <w:pPr>
        <w:ind w:left="2880" w:hanging="360"/>
      </w:pPr>
      <w:rPr>
        <w:rFonts w:ascii="Symbol" w:hAnsi="Symbol" w:hint="default"/>
      </w:rPr>
    </w:lvl>
    <w:lvl w:ilvl="4" w:tplc="A2867B74" w:tentative="1">
      <w:start w:val="1"/>
      <w:numFmt w:val="bullet"/>
      <w:lvlText w:val="o"/>
      <w:lvlJc w:val="left"/>
      <w:pPr>
        <w:ind w:left="3600" w:hanging="360"/>
      </w:pPr>
      <w:rPr>
        <w:rFonts w:ascii="Courier New" w:hAnsi="Courier New" w:cs="Courier New" w:hint="default"/>
      </w:rPr>
    </w:lvl>
    <w:lvl w:ilvl="5" w:tplc="AD54223A" w:tentative="1">
      <w:start w:val="1"/>
      <w:numFmt w:val="bullet"/>
      <w:lvlText w:val=""/>
      <w:lvlJc w:val="left"/>
      <w:pPr>
        <w:ind w:left="4320" w:hanging="360"/>
      </w:pPr>
      <w:rPr>
        <w:rFonts w:ascii="Wingdings" w:hAnsi="Wingdings" w:hint="default"/>
      </w:rPr>
    </w:lvl>
    <w:lvl w:ilvl="6" w:tplc="5C521BFA" w:tentative="1">
      <w:start w:val="1"/>
      <w:numFmt w:val="bullet"/>
      <w:lvlText w:val=""/>
      <w:lvlJc w:val="left"/>
      <w:pPr>
        <w:ind w:left="5040" w:hanging="360"/>
      </w:pPr>
      <w:rPr>
        <w:rFonts w:ascii="Symbol" w:hAnsi="Symbol" w:hint="default"/>
      </w:rPr>
    </w:lvl>
    <w:lvl w:ilvl="7" w:tplc="A7D4FC56" w:tentative="1">
      <w:start w:val="1"/>
      <w:numFmt w:val="bullet"/>
      <w:lvlText w:val="o"/>
      <w:lvlJc w:val="left"/>
      <w:pPr>
        <w:ind w:left="5760" w:hanging="360"/>
      </w:pPr>
      <w:rPr>
        <w:rFonts w:ascii="Courier New" w:hAnsi="Courier New" w:cs="Courier New" w:hint="default"/>
      </w:rPr>
    </w:lvl>
    <w:lvl w:ilvl="8" w:tplc="01C2B4E4" w:tentative="1">
      <w:start w:val="1"/>
      <w:numFmt w:val="bullet"/>
      <w:lvlText w:val=""/>
      <w:lvlJc w:val="left"/>
      <w:pPr>
        <w:ind w:left="6480" w:hanging="360"/>
      </w:pPr>
      <w:rPr>
        <w:rFonts w:ascii="Wingdings" w:hAnsi="Wingdings" w:hint="default"/>
      </w:rPr>
    </w:lvl>
  </w:abstractNum>
  <w:abstractNum w:abstractNumId="3" w15:restartNumberingAfterBreak="0">
    <w:nsid w:val="1C687DF5"/>
    <w:multiLevelType w:val="hybridMultilevel"/>
    <w:tmpl w:val="D7DA3D68"/>
    <w:lvl w:ilvl="0" w:tplc="ABCC1F06">
      <w:start w:val="1"/>
      <w:numFmt w:val="bullet"/>
      <w:lvlText w:val=""/>
      <w:lvlJc w:val="left"/>
      <w:pPr>
        <w:ind w:left="720" w:hanging="360"/>
      </w:pPr>
      <w:rPr>
        <w:rFonts w:ascii="Symbol" w:hAnsi="Symbol" w:hint="default"/>
      </w:rPr>
    </w:lvl>
    <w:lvl w:ilvl="1" w:tplc="732AA0F6" w:tentative="1">
      <w:start w:val="1"/>
      <w:numFmt w:val="bullet"/>
      <w:lvlText w:val="o"/>
      <w:lvlJc w:val="left"/>
      <w:pPr>
        <w:ind w:left="1440" w:hanging="360"/>
      </w:pPr>
      <w:rPr>
        <w:rFonts w:ascii="Courier New" w:hAnsi="Courier New" w:cs="Courier New" w:hint="default"/>
      </w:rPr>
    </w:lvl>
    <w:lvl w:ilvl="2" w:tplc="86D2CD88" w:tentative="1">
      <w:start w:val="1"/>
      <w:numFmt w:val="bullet"/>
      <w:lvlText w:val=""/>
      <w:lvlJc w:val="left"/>
      <w:pPr>
        <w:ind w:left="2160" w:hanging="360"/>
      </w:pPr>
      <w:rPr>
        <w:rFonts w:ascii="Wingdings" w:hAnsi="Wingdings" w:hint="default"/>
      </w:rPr>
    </w:lvl>
    <w:lvl w:ilvl="3" w:tplc="74229962" w:tentative="1">
      <w:start w:val="1"/>
      <w:numFmt w:val="bullet"/>
      <w:lvlText w:val=""/>
      <w:lvlJc w:val="left"/>
      <w:pPr>
        <w:ind w:left="2880" w:hanging="360"/>
      </w:pPr>
      <w:rPr>
        <w:rFonts w:ascii="Symbol" w:hAnsi="Symbol" w:hint="default"/>
      </w:rPr>
    </w:lvl>
    <w:lvl w:ilvl="4" w:tplc="EB7452AC" w:tentative="1">
      <w:start w:val="1"/>
      <w:numFmt w:val="bullet"/>
      <w:lvlText w:val="o"/>
      <w:lvlJc w:val="left"/>
      <w:pPr>
        <w:ind w:left="3600" w:hanging="360"/>
      </w:pPr>
      <w:rPr>
        <w:rFonts w:ascii="Courier New" w:hAnsi="Courier New" w:cs="Courier New" w:hint="default"/>
      </w:rPr>
    </w:lvl>
    <w:lvl w:ilvl="5" w:tplc="E2B6EEFE" w:tentative="1">
      <w:start w:val="1"/>
      <w:numFmt w:val="bullet"/>
      <w:lvlText w:val=""/>
      <w:lvlJc w:val="left"/>
      <w:pPr>
        <w:ind w:left="4320" w:hanging="360"/>
      </w:pPr>
      <w:rPr>
        <w:rFonts w:ascii="Wingdings" w:hAnsi="Wingdings" w:hint="default"/>
      </w:rPr>
    </w:lvl>
    <w:lvl w:ilvl="6" w:tplc="0B9846DA" w:tentative="1">
      <w:start w:val="1"/>
      <w:numFmt w:val="bullet"/>
      <w:lvlText w:val=""/>
      <w:lvlJc w:val="left"/>
      <w:pPr>
        <w:ind w:left="5040" w:hanging="360"/>
      </w:pPr>
      <w:rPr>
        <w:rFonts w:ascii="Symbol" w:hAnsi="Symbol" w:hint="default"/>
      </w:rPr>
    </w:lvl>
    <w:lvl w:ilvl="7" w:tplc="900A5ECE" w:tentative="1">
      <w:start w:val="1"/>
      <w:numFmt w:val="bullet"/>
      <w:lvlText w:val="o"/>
      <w:lvlJc w:val="left"/>
      <w:pPr>
        <w:ind w:left="5760" w:hanging="360"/>
      </w:pPr>
      <w:rPr>
        <w:rFonts w:ascii="Courier New" w:hAnsi="Courier New" w:cs="Courier New" w:hint="default"/>
      </w:rPr>
    </w:lvl>
    <w:lvl w:ilvl="8" w:tplc="80D2657C" w:tentative="1">
      <w:start w:val="1"/>
      <w:numFmt w:val="bullet"/>
      <w:lvlText w:val=""/>
      <w:lvlJc w:val="left"/>
      <w:pPr>
        <w:ind w:left="6480" w:hanging="360"/>
      </w:pPr>
      <w:rPr>
        <w:rFonts w:ascii="Wingdings" w:hAnsi="Wingdings" w:hint="default"/>
      </w:rPr>
    </w:lvl>
  </w:abstractNum>
  <w:abstractNum w:abstractNumId="4" w15:restartNumberingAfterBreak="0">
    <w:nsid w:val="2B5D49A1"/>
    <w:multiLevelType w:val="hybridMultilevel"/>
    <w:tmpl w:val="C866A464"/>
    <w:lvl w:ilvl="0" w:tplc="5CBC0884">
      <w:start w:val="1"/>
      <w:numFmt w:val="bullet"/>
      <w:lvlText w:val=""/>
      <w:lvlJc w:val="left"/>
      <w:pPr>
        <w:ind w:left="720" w:hanging="360"/>
      </w:pPr>
      <w:rPr>
        <w:rFonts w:ascii="Symbol" w:hAnsi="Symbol" w:hint="default"/>
      </w:rPr>
    </w:lvl>
    <w:lvl w:ilvl="1" w:tplc="1AE2BF60" w:tentative="1">
      <w:start w:val="1"/>
      <w:numFmt w:val="bullet"/>
      <w:lvlText w:val="o"/>
      <w:lvlJc w:val="left"/>
      <w:pPr>
        <w:ind w:left="1440" w:hanging="360"/>
      </w:pPr>
      <w:rPr>
        <w:rFonts w:ascii="Courier New" w:hAnsi="Courier New" w:cs="Courier New" w:hint="default"/>
      </w:rPr>
    </w:lvl>
    <w:lvl w:ilvl="2" w:tplc="37263ECE" w:tentative="1">
      <w:start w:val="1"/>
      <w:numFmt w:val="bullet"/>
      <w:lvlText w:val=""/>
      <w:lvlJc w:val="left"/>
      <w:pPr>
        <w:ind w:left="2160" w:hanging="360"/>
      </w:pPr>
      <w:rPr>
        <w:rFonts w:ascii="Wingdings" w:hAnsi="Wingdings" w:hint="default"/>
      </w:rPr>
    </w:lvl>
    <w:lvl w:ilvl="3" w:tplc="F9721534" w:tentative="1">
      <w:start w:val="1"/>
      <w:numFmt w:val="bullet"/>
      <w:lvlText w:val=""/>
      <w:lvlJc w:val="left"/>
      <w:pPr>
        <w:ind w:left="2880" w:hanging="360"/>
      </w:pPr>
      <w:rPr>
        <w:rFonts w:ascii="Symbol" w:hAnsi="Symbol" w:hint="default"/>
      </w:rPr>
    </w:lvl>
    <w:lvl w:ilvl="4" w:tplc="C5D886CC" w:tentative="1">
      <w:start w:val="1"/>
      <w:numFmt w:val="bullet"/>
      <w:lvlText w:val="o"/>
      <w:lvlJc w:val="left"/>
      <w:pPr>
        <w:ind w:left="3600" w:hanging="360"/>
      </w:pPr>
      <w:rPr>
        <w:rFonts w:ascii="Courier New" w:hAnsi="Courier New" w:cs="Courier New" w:hint="default"/>
      </w:rPr>
    </w:lvl>
    <w:lvl w:ilvl="5" w:tplc="A2F29E68" w:tentative="1">
      <w:start w:val="1"/>
      <w:numFmt w:val="bullet"/>
      <w:lvlText w:val=""/>
      <w:lvlJc w:val="left"/>
      <w:pPr>
        <w:ind w:left="4320" w:hanging="360"/>
      </w:pPr>
      <w:rPr>
        <w:rFonts w:ascii="Wingdings" w:hAnsi="Wingdings" w:hint="default"/>
      </w:rPr>
    </w:lvl>
    <w:lvl w:ilvl="6" w:tplc="9C866310" w:tentative="1">
      <w:start w:val="1"/>
      <w:numFmt w:val="bullet"/>
      <w:lvlText w:val=""/>
      <w:lvlJc w:val="left"/>
      <w:pPr>
        <w:ind w:left="5040" w:hanging="360"/>
      </w:pPr>
      <w:rPr>
        <w:rFonts w:ascii="Symbol" w:hAnsi="Symbol" w:hint="default"/>
      </w:rPr>
    </w:lvl>
    <w:lvl w:ilvl="7" w:tplc="C03E9A9C" w:tentative="1">
      <w:start w:val="1"/>
      <w:numFmt w:val="bullet"/>
      <w:lvlText w:val="o"/>
      <w:lvlJc w:val="left"/>
      <w:pPr>
        <w:ind w:left="5760" w:hanging="360"/>
      </w:pPr>
      <w:rPr>
        <w:rFonts w:ascii="Courier New" w:hAnsi="Courier New" w:cs="Courier New" w:hint="default"/>
      </w:rPr>
    </w:lvl>
    <w:lvl w:ilvl="8" w:tplc="F1620234" w:tentative="1">
      <w:start w:val="1"/>
      <w:numFmt w:val="bullet"/>
      <w:lvlText w:val=""/>
      <w:lvlJc w:val="left"/>
      <w:pPr>
        <w:ind w:left="6480" w:hanging="360"/>
      </w:pPr>
      <w:rPr>
        <w:rFonts w:ascii="Wingdings" w:hAnsi="Wingdings" w:hint="default"/>
      </w:rPr>
    </w:lvl>
  </w:abstractNum>
  <w:abstractNum w:abstractNumId="5" w15:restartNumberingAfterBreak="0">
    <w:nsid w:val="2FE23D6E"/>
    <w:multiLevelType w:val="hybridMultilevel"/>
    <w:tmpl w:val="BCD0FF50"/>
    <w:lvl w:ilvl="0" w:tplc="B658D0D0">
      <w:start w:val="1"/>
      <w:numFmt w:val="bullet"/>
      <w:lvlText w:val=""/>
      <w:lvlJc w:val="left"/>
      <w:pPr>
        <w:ind w:left="720" w:hanging="360"/>
      </w:pPr>
      <w:rPr>
        <w:rFonts w:ascii="Symbol" w:hAnsi="Symbol" w:hint="default"/>
      </w:rPr>
    </w:lvl>
    <w:lvl w:ilvl="1" w:tplc="597C72A4" w:tentative="1">
      <w:start w:val="1"/>
      <w:numFmt w:val="bullet"/>
      <w:lvlText w:val="o"/>
      <w:lvlJc w:val="left"/>
      <w:pPr>
        <w:ind w:left="1440" w:hanging="360"/>
      </w:pPr>
      <w:rPr>
        <w:rFonts w:ascii="Courier New" w:hAnsi="Courier New" w:cs="Courier New" w:hint="default"/>
      </w:rPr>
    </w:lvl>
    <w:lvl w:ilvl="2" w:tplc="7736ED24" w:tentative="1">
      <w:start w:val="1"/>
      <w:numFmt w:val="bullet"/>
      <w:lvlText w:val=""/>
      <w:lvlJc w:val="left"/>
      <w:pPr>
        <w:ind w:left="2160" w:hanging="360"/>
      </w:pPr>
      <w:rPr>
        <w:rFonts w:ascii="Wingdings" w:hAnsi="Wingdings" w:hint="default"/>
      </w:rPr>
    </w:lvl>
    <w:lvl w:ilvl="3" w:tplc="255A66C8" w:tentative="1">
      <w:start w:val="1"/>
      <w:numFmt w:val="bullet"/>
      <w:lvlText w:val=""/>
      <w:lvlJc w:val="left"/>
      <w:pPr>
        <w:ind w:left="2880" w:hanging="360"/>
      </w:pPr>
      <w:rPr>
        <w:rFonts w:ascii="Symbol" w:hAnsi="Symbol" w:hint="default"/>
      </w:rPr>
    </w:lvl>
    <w:lvl w:ilvl="4" w:tplc="737021C4" w:tentative="1">
      <w:start w:val="1"/>
      <w:numFmt w:val="bullet"/>
      <w:lvlText w:val="o"/>
      <w:lvlJc w:val="left"/>
      <w:pPr>
        <w:ind w:left="3600" w:hanging="360"/>
      </w:pPr>
      <w:rPr>
        <w:rFonts w:ascii="Courier New" w:hAnsi="Courier New" w:cs="Courier New" w:hint="default"/>
      </w:rPr>
    </w:lvl>
    <w:lvl w:ilvl="5" w:tplc="B31A6DE4" w:tentative="1">
      <w:start w:val="1"/>
      <w:numFmt w:val="bullet"/>
      <w:lvlText w:val=""/>
      <w:lvlJc w:val="left"/>
      <w:pPr>
        <w:ind w:left="4320" w:hanging="360"/>
      </w:pPr>
      <w:rPr>
        <w:rFonts w:ascii="Wingdings" w:hAnsi="Wingdings" w:hint="default"/>
      </w:rPr>
    </w:lvl>
    <w:lvl w:ilvl="6" w:tplc="4B989E46" w:tentative="1">
      <w:start w:val="1"/>
      <w:numFmt w:val="bullet"/>
      <w:lvlText w:val=""/>
      <w:lvlJc w:val="left"/>
      <w:pPr>
        <w:ind w:left="5040" w:hanging="360"/>
      </w:pPr>
      <w:rPr>
        <w:rFonts w:ascii="Symbol" w:hAnsi="Symbol" w:hint="default"/>
      </w:rPr>
    </w:lvl>
    <w:lvl w:ilvl="7" w:tplc="75FE0130" w:tentative="1">
      <w:start w:val="1"/>
      <w:numFmt w:val="bullet"/>
      <w:lvlText w:val="o"/>
      <w:lvlJc w:val="left"/>
      <w:pPr>
        <w:ind w:left="5760" w:hanging="360"/>
      </w:pPr>
      <w:rPr>
        <w:rFonts w:ascii="Courier New" w:hAnsi="Courier New" w:cs="Courier New" w:hint="default"/>
      </w:rPr>
    </w:lvl>
    <w:lvl w:ilvl="8" w:tplc="ED66246A" w:tentative="1">
      <w:start w:val="1"/>
      <w:numFmt w:val="bullet"/>
      <w:lvlText w:val=""/>
      <w:lvlJc w:val="left"/>
      <w:pPr>
        <w:ind w:left="6480" w:hanging="360"/>
      </w:pPr>
      <w:rPr>
        <w:rFonts w:ascii="Wingdings" w:hAnsi="Wingdings" w:hint="default"/>
      </w:rPr>
    </w:lvl>
  </w:abstractNum>
  <w:abstractNum w:abstractNumId="6" w15:restartNumberingAfterBreak="0">
    <w:nsid w:val="5B8376F8"/>
    <w:multiLevelType w:val="hybridMultilevel"/>
    <w:tmpl w:val="8F4E1176"/>
    <w:lvl w:ilvl="0" w:tplc="DB109466">
      <w:start w:val="1"/>
      <w:numFmt w:val="bullet"/>
      <w:lvlText w:val=""/>
      <w:lvlJc w:val="left"/>
      <w:pPr>
        <w:ind w:left="720" w:hanging="360"/>
      </w:pPr>
      <w:rPr>
        <w:rFonts w:ascii="Symbol" w:hAnsi="Symbol" w:hint="default"/>
      </w:rPr>
    </w:lvl>
    <w:lvl w:ilvl="1" w:tplc="A7CCB346" w:tentative="1">
      <w:start w:val="1"/>
      <w:numFmt w:val="bullet"/>
      <w:lvlText w:val="o"/>
      <w:lvlJc w:val="left"/>
      <w:pPr>
        <w:ind w:left="1440" w:hanging="360"/>
      </w:pPr>
      <w:rPr>
        <w:rFonts w:ascii="Courier New" w:hAnsi="Courier New" w:cs="Courier New" w:hint="default"/>
      </w:rPr>
    </w:lvl>
    <w:lvl w:ilvl="2" w:tplc="FF922EFC" w:tentative="1">
      <w:start w:val="1"/>
      <w:numFmt w:val="bullet"/>
      <w:lvlText w:val=""/>
      <w:lvlJc w:val="left"/>
      <w:pPr>
        <w:ind w:left="2160" w:hanging="360"/>
      </w:pPr>
      <w:rPr>
        <w:rFonts w:ascii="Wingdings" w:hAnsi="Wingdings" w:hint="default"/>
      </w:rPr>
    </w:lvl>
    <w:lvl w:ilvl="3" w:tplc="0518A5F0" w:tentative="1">
      <w:start w:val="1"/>
      <w:numFmt w:val="bullet"/>
      <w:lvlText w:val=""/>
      <w:lvlJc w:val="left"/>
      <w:pPr>
        <w:ind w:left="2880" w:hanging="360"/>
      </w:pPr>
      <w:rPr>
        <w:rFonts w:ascii="Symbol" w:hAnsi="Symbol" w:hint="default"/>
      </w:rPr>
    </w:lvl>
    <w:lvl w:ilvl="4" w:tplc="58EE228A" w:tentative="1">
      <w:start w:val="1"/>
      <w:numFmt w:val="bullet"/>
      <w:lvlText w:val="o"/>
      <w:lvlJc w:val="left"/>
      <w:pPr>
        <w:ind w:left="3600" w:hanging="360"/>
      </w:pPr>
      <w:rPr>
        <w:rFonts w:ascii="Courier New" w:hAnsi="Courier New" w:cs="Courier New" w:hint="default"/>
      </w:rPr>
    </w:lvl>
    <w:lvl w:ilvl="5" w:tplc="8878E5E2" w:tentative="1">
      <w:start w:val="1"/>
      <w:numFmt w:val="bullet"/>
      <w:lvlText w:val=""/>
      <w:lvlJc w:val="left"/>
      <w:pPr>
        <w:ind w:left="4320" w:hanging="360"/>
      </w:pPr>
      <w:rPr>
        <w:rFonts w:ascii="Wingdings" w:hAnsi="Wingdings" w:hint="default"/>
      </w:rPr>
    </w:lvl>
    <w:lvl w:ilvl="6" w:tplc="C1347786" w:tentative="1">
      <w:start w:val="1"/>
      <w:numFmt w:val="bullet"/>
      <w:lvlText w:val=""/>
      <w:lvlJc w:val="left"/>
      <w:pPr>
        <w:ind w:left="5040" w:hanging="360"/>
      </w:pPr>
      <w:rPr>
        <w:rFonts w:ascii="Symbol" w:hAnsi="Symbol" w:hint="default"/>
      </w:rPr>
    </w:lvl>
    <w:lvl w:ilvl="7" w:tplc="AA4EEC50" w:tentative="1">
      <w:start w:val="1"/>
      <w:numFmt w:val="bullet"/>
      <w:lvlText w:val="o"/>
      <w:lvlJc w:val="left"/>
      <w:pPr>
        <w:ind w:left="5760" w:hanging="360"/>
      </w:pPr>
      <w:rPr>
        <w:rFonts w:ascii="Courier New" w:hAnsi="Courier New" w:cs="Courier New" w:hint="default"/>
      </w:rPr>
    </w:lvl>
    <w:lvl w:ilvl="8" w:tplc="704217AC" w:tentative="1">
      <w:start w:val="1"/>
      <w:numFmt w:val="bullet"/>
      <w:lvlText w:val=""/>
      <w:lvlJc w:val="left"/>
      <w:pPr>
        <w:ind w:left="6480" w:hanging="360"/>
      </w:pPr>
      <w:rPr>
        <w:rFonts w:ascii="Wingdings" w:hAnsi="Wingdings" w:hint="default"/>
      </w:rPr>
    </w:lvl>
  </w:abstractNum>
  <w:abstractNum w:abstractNumId="7" w15:restartNumberingAfterBreak="0">
    <w:nsid w:val="64A549BB"/>
    <w:multiLevelType w:val="hybridMultilevel"/>
    <w:tmpl w:val="9E78FC96"/>
    <w:lvl w:ilvl="0" w:tplc="C2BE95AE">
      <w:start w:val="1"/>
      <w:numFmt w:val="bullet"/>
      <w:lvlText w:val=""/>
      <w:lvlJc w:val="left"/>
      <w:pPr>
        <w:ind w:left="720" w:hanging="360"/>
      </w:pPr>
      <w:rPr>
        <w:rFonts w:ascii="Symbol" w:hAnsi="Symbol" w:hint="default"/>
      </w:rPr>
    </w:lvl>
    <w:lvl w:ilvl="1" w:tplc="A0508856" w:tentative="1">
      <w:start w:val="1"/>
      <w:numFmt w:val="bullet"/>
      <w:lvlText w:val="o"/>
      <w:lvlJc w:val="left"/>
      <w:pPr>
        <w:ind w:left="1440" w:hanging="360"/>
      </w:pPr>
      <w:rPr>
        <w:rFonts w:ascii="Courier New" w:hAnsi="Courier New" w:cs="Courier New" w:hint="default"/>
      </w:rPr>
    </w:lvl>
    <w:lvl w:ilvl="2" w:tplc="CB24D346" w:tentative="1">
      <w:start w:val="1"/>
      <w:numFmt w:val="bullet"/>
      <w:lvlText w:val=""/>
      <w:lvlJc w:val="left"/>
      <w:pPr>
        <w:ind w:left="2160" w:hanging="360"/>
      </w:pPr>
      <w:rPr>
        <w:rFonts w:ascii="Wingdings" w:hAnsi="Wingdings" w:hint="default"/>
      </w:rPr>
    </w:lvl>
    <w:lvl w:ilvl="3" w:tplc="CE844CFA" w:tentative="1">
      <w:start w:val="1"/>
      <w:numFmt w:val="bullet"/>
      <w:lvlText w:val=""/>
      <w:lvlJc w:val="left"/>
      <w:pPr>
        <w:ind w:left="2880" w:hanging="360"/>
      </w:pPr>
      <w:rPr>
        <w:rFonts w:ascii="Symbol" w:hAnsi="Symbol" w:hint="default"/>
      </w:rPr>
    </w:lvl>
    <w:lvl w:ilvl="4" w:tplc="8D48A252" w:tentative="1">
      <w:start w:val="1"/>
      <w:numFmt w:val="bullet"/>
      <w:lvlText w:val="o"/>
      <w:lvlJc w:val="left"/>
      <w:pPr>
        <w:ind w:left="3600" w:hanging="360"/>
      </w:pPr>
      <w:rPr>
        <w:rFonts w:ascii="Courier New" w:hAnsi="Courier New" w:cs="Courier New" w:hint="default"/>
      </w:rPr>
    </w:lvl>
    <w:lvl w:ilvl="5" w:tplc="8CEE1EBA" w:tentative="1">
      <w:start w:val="1"/>
      <w:numFmt w:val="bullet"/>
      <w:lvlText w:val=""/>
      <w:lvlJc w:val="left"/>
      <w:pPr>
        <w:ind w:left="4320" w:hanging="360"/>
      </w:pPr>
      <w:rPr>
        <w:rFonts w:ascii="Wingdings" w:hAnsi="Wingdings" w:hint="default"/>
      </w:rPr>
    </w:lvl>
    <w:lvl w:ilvl="6" w:tplc="503A1074" w:tentative="1">
      <w:start w:val="1"/>
      <w:numFmt w:val="bullet"/>
      <w:lvlText w:val=""/>
      <w:lvlJc w:val="left"/>
      <w:pPr>
        <w:ind w:left="5040" w:hanging="360"/>
      </w:pPr>
      <w:rPr>
        <w:rFonts w:ascii="Symbol" w:hAnsi="Symbol" w:hint="default"/>
      </w:rPr>
    </w:lvl>
    <w:lvl w:ilvl="7" w:tplc="B2CA7B04" w:tentative="1">
      <w:start w:val="1"/>
      <w:numFmt w:val="bullet"/>
      <w:lvlText w:val="o"/>
      <w:lvlJc w:val="left"/>
      <w:pPr>
        <w:ind w:left="5760" w:hanging="360"/>
      </w:pPr>
      <w:rPr>
        <w:rFonts w:ascii="Courier New" w:hAnsi="Courier New" w:cs="Courier New" w:hint="default"/>
      </w:rPr>
    </w:lvl>
    <w:lvl w:ilvl="8" w:tplc="E760E852" w:tentative="1">
      <w:start w:val="1"/>
      <w:numFmt w:val="bullet"/>
      <w:lvlText w:val=""/>
      <w:lvlJc w:val="left"/>
      <w:pPr>
        <w:ind w:left="6480" w:hanging="360"/>
      </w:pPr>
      <w:rPr>
        <w:rFonts w:ascii="Wingdings" w:hAnsi="Wingdings" w:hint="default"/>
      </w:rPr>
    </w:lvl>
  </w:abstractNum>
  <w:abstractNum w:abstractNumId="8" w15:restartNumberingAfterBreak="0">
    <w:nsid w:val="6C9849E7"/>
    <w:multiLevelType w:val="hybridMultilevel"/>
    <w:tmpl w:val="E3E686F6"/>
    <w:lvl w:ilvl="0" w:tplc="25A0EE70">
      <w:start w:val="1"/>
      <w:numFmt w:val="bullet"/>
      <w:lvlText w:val=""/>
      <w:lvlJc w:val="left"/>
      <w:pPr>
        <w:ind w:left="720" w:hanging="360"/>
      </w:pPr>
      <w:rPr>
        <w:rFonts w:ascii="Symbol" w:hAnsi="Symbol" w:hint="default"/>
      </w:rPr>
    </w:lvl>
    <w:lvl w:ilvl="1" w:tplc="EAFA30C2" w:tentative="1">
      <w:start w:val="1"/>
      <w:numFmt w:val="bullet"/>
      <w:lvlText w:val="o"/>
      <w:lvlJc w:val="left"/>
      <w:pPr>
        <w:ind w:left="1440" w:hanging="360"/>
      </w:pPr>
      <w:rPr>
        <w:rFonts w:ascii="Courier New" w:hAnsi="Courier New" w:cs="Courier New" w:hint="default"/>
      </w:rPr>
    </w:lvl>
    <w:lvl w:ilvl="2" w:tplc="C8AE5F60" w:tentative="1">
      <w:start w:val="1"/>
      <w:numFmt w:val="bullet"/>
      <w:lvlText w:val=""/>
      <w:lvlJc w:val="left"/>
      <w:pPr>
        <w:ind w:left="2160" w:hanging="360"/>
      </w:pPr>
      <w:rPr>
        <w:rFonts w:ascii="Wingdings" w:hAnsi="Wingdings" w:hint="default"/>
      </w:rPr>
    </w:lvl>
    <w:lvl w:ilvl="3" w:tplc="5DFE56C6" w:tentative="1">
      <w:start w:val="1"/>
      <w:numFmt w:val="bullet"/>
      <w:lvlText w:val=""/>
      <w:lvlJc w:val="left"/>
      <w:pPr>
        <w:ind w:left="2880" w:hanging="360"/>
      </w:pPr>
      <w:rPr>
        <w:rFonts w:ascii="Symbol" w:hAnsi="Symbol" w:hint="default"/>
      </w:rPr>
    </w:lvl>
    <w:lvl w:ilvl="4" w:tplc="742083B0" w:tentative="1">
      <w:start w:val="1"/>
      <w:numFmt w:val="bullet"/>
      <w:lvlText w:val="o"/>
      <w:lvlJc w:val="left"/>
      <w:pPr>
        <w:ind w:left="3600" w:hanging="360"/>
      </w:pPr>
      <w:rPr>
        <w:rFonts w:ascii="Courier New" w:hAnsi="Courier New" w:cs="Courier New" w:hint="default"/>
      </w:rPr>
    </w:lvl>
    <w:lvl w:ilvl="5" w:tplc="9754E512" w:tentative="1">
      <w:start w:val="1"/>
      <w:numFmt w:val="bullet"/>
      <w:lvlText w:val=""/>
      <w:lvlJc w:val="left"/>
      <w:pPr>
        <w:ind w:left="4320" w:hanging="360"/>
      </w:pPr>
      <w:rPr>
        <w:rFonts w:ascii="Wingdings" w:hAnsi="Wingdings" w:hint="default"/>
      </w:rPr>
    </w:lvl>
    <w:lvl w:ilvl="6" w:tplc="7E7487BA" w:tentative="1">
      <w:start w:val="1"/>
      <w:numFmt w:val="bullet"/>
      <w:lvlText w:val=""/>
      <w:lvlJc w:val="left"/>
      <w:pPr>
        <w:ind w:left="5040" w:hanging="360"/>
      </w:pPr>
      <w:rPr>
        <w:rFonts w:ascii="Symbol" w:hAnsi="Symbol" w:hint="default"/>
      </w:rPr>
    </w:lvl>
    <w:lvl w:ilvl="7" w:tplc="8EDCF1F8" w:tentative="1">
      <w:start w:val="1"/>
      <w:numFmt w:val="bullet"/>
      <w:lvlText w:val="o"/>
      <w:lvlJc w:val="left"/>
      <w:pPr>
        <w:ind w:left="5760" w:hanging="360"/>
      </w:pPr>
      <w:rPr>
        <w:rFonts w:ascii="Courier New" w:hAnsi="Courier New" w:cs="Courier New" w:hint="default"/>
      </w:rPr>
    </w:lvl>
    <w:lvl w:ilvl="8" w:tplc="4E56C3A8" w:tentative="1">
      <w:start w:val="1"/>
      <w:numFmt w:val="bullet"/>
      <w:lvlText w:val=""/>
      <w:lvlJc w:val="left"/>
      <w:pPr>
        <w:ind w:left="6480" w:hanging="360"/>
      </w:pPr>
      <w:rPr>
        <w:rFonts w:ascii="Wingdings" w:hAnsi="Wingdings" w:hint="default"/>
      </w:rPr>
    </w:lvl>
  </w:abstractNum>
  <w:abstractNum w:abstractNumId="9" w15:restartNumberingAfterBreak="0">
    <w:nsid w:val="75EB080E"/>
    <w:multiLevelType w:val="hybridMultilevel"/>
    <w:tmpl w:val="66DA5918"/>
    <w:lvl w:ilvl="0" w:tplc="DA40862A">
      <w:start w:val="1"/>
      <w:numFmt w:val="bullet"/>
      <w:lvlText w:val=""/>
      <w:lvlJc w:val="left"/>
      <w:pPr>
        <w:ind w:left="720" w:hanging="360"/>
      </w:pPr>
      <w:rPr>
        <w:rFonts w:ascii="Symbol" w:hAnsi="Symbol" w:hint="default"/>
      </w:rPr>
    </w:lvl>
    <w:lvl w:ilvl="1" w:tplc="A25046DA" w:tentative="1">
      <w:start w:val="1"/>
      <w:numFmt w:val="bullet"/>
      <w:lvlText w:val="o"/>
      <w:lvlJc w:val="left"/>
      <w:pPr>
        <w:ind w:left="1440" w:hanging="360"/>
      </w:pPr>
      <w:rPr>
        <w:rFonts w:ascii="Courier New" w:hAnsi="Courier New" w:cs="Courier New" w:hint="default"/>
      </w:rPr>
    </w:lvl>
    <w:lvl w:ilvl="2" w:tplc="9D8C71D2" w:tentative="1">
      <w:start w:val="1"/>
      <w:numFmt w:val="bullet"/>
      <w:lvlText w:val=""/>
      <w:lvlJc w:val="left"/>
      <w:pPr>
        <w:ind w:left="2160" w:hanging="360"/>
      </w:pPr>
      <w:rPr>
        <w:rFonts w:ascii="Wingdings" w:hAnsi="Wingdings" w:hint="default"/>
      </w:rPr>
    </w:lvl>
    <w:lvl w:ilvl="3" w:tplc="E4982CF2" w:tentative="1">
      <w:start w:val="1"/>
      <w:numFmt w:val="bullet"/>
      <w:lvlText w:val=""/>
      <w:lvlJc w:val="left"/>
      <w:pPr>
        <w:ind w:left="2880" w:hanging="360"/>
      </w:pPr>
      <w:rPr>
        <w:rFonts w:ascii="Symbol" w:hAnsi="Symbol" w:hint="default"/>
      </w:rPr>
    </w:lvl>
    <w:lvl w:ilvl="4" w:tplc="CE6A508E" w:tentative="1">
      <w:start w:val="1"/>
      <w:numFmt w:val="bullet"/>
      <w:lvlText w:val="o"/>
      <w:lvlJc w:val="left"/>
      <w:pPr>
        <w:ind w:left="3600" w:hanging="360"/>
      </w:pPr>
      <w:rPr>
        <w:rFonts w:ascii="Courier New" w:hAnsi="Courier New" w:cs="Courier New" w:hint="default"/>
      </w:rPr>
    </w:lvl>
    <w:lvl w:ilvl="5" w:tplc="C8F27684" w:tentative="1">
      <w:start w:val="1"/>
      <w:numFmt w:val="bullet"/>
      <w:lvlText w:val=""/>
      <w:lvlJc w:val="left"/>
      <w:pPr>
        <w:ind w:left="4320" w:hanging="360"/>
      </w:pPr>
      <w:rPr>
        <w:rFonts w:ascii="Wingdings" w:hAnsi="Wingdings" w:hint="default"/>
      </w:rPr>
    </w:lvl>
    <w:lvl w:ilvl="6" w:tplc="1878FDE6" w:tentative="1">
      <w:start w:val="1"/>
      <w:numFmt w:val="bullet"/>
      <w:lvlText w:val=""/>
      <w:lvlJc w:val="left"/>
      <w:pPr>
        <w:ind w:left="5040" w:hanging="360"/>
      </w:pPr>
      <w:rPr>
        <w:rFonts w:ascii="Symbol" w:hAnsi="Symbol" w:hint="default"/>
      </w:rPr>
    </w:lvl>
    <w:lvl w:ilvl="7" w:tplc="0C882650" w:tentative="1">
      <w:start w:val="1"/>
      <w:numFmt w:val="bullet"/>
      <w:lvlText w:val="o"/>
      <w:lvlJc w:val="left"/>
      <w:pPr>
        <w:ind w:left="5760" w:hanging="360"/>
      </w:pPr>
      <w:rPr>
        <w:rFonts w:ascii="Courier New" w:hAnsi="Courier New" w:cs="Courier New" w:hint="default"/>
      </w:rPr>
    </w:lvl>
    <w:lvl w:ilvl="8" w:tplc="466E5278" w:tentative="1">
      <w:start w:val="1"/>
      <w:numFmt w:val="bullet"/>
      <w:lvlText w:val=""/>
      <w:lvlJc w:val="left"/>
      <w:pPr>
        <w:ind w:left="6480" w:hanging="360"/>
      </w:pPr>
      <w:rPr>
        <w:rFonts w:ascii="Wingdings" w:hAnsi="Wingdings" w:hint="default"/>
      </w:rPr>
    </w:lvl>
  </w:abstractNum>
  <w:num w:numId="1" w16cid:durableId="1893542824">
    <w:abstractNumId w:val="7"/>
  </w:num>
  <w:num w:numId="2" w16cid:durableId="694425428">
    <w:abstractNumId w:val="8"/>
  </w:num>
  <w:num w:numId="3" w16cid:durableId="1617565266">
    <w:abstractNumId w:val="1"/>
  </w:num>
  <w:num w:numId="4" w16cid:durableId="1047220060">
    <w:abstractNumId w:val="9"/>
  </w:num>
  <w:num w:numId="5" w16cid:durableId="241839343">
    <w:abstractNumId w:val="3"/>
  </w:num>
  <w:num w:numId="6" w16cid:durableId="736048560">
    <w:abstractNumId w:val="6"/>
  </w:num>
  <w:num w:numId="7" w16cid:durableId="969938494">
    <w:abstractNumId w:val="2"/>
  </w:num>
  <w:num w:numId="8" w16cid:durableId="1358970825">
    <w:abstractNumId w:val="0"/>
  </w:num>
  <w:num w:numId="9" w16cid:durableId="1104493130">
    <w:abstractNumId w:val="4"/>
  </w:num>
  <w:num w:numId="10" w16cid:durableId="17012816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0B40"/>
    <w:rsid w:val="00011BB3"/>
    <w:rsid w:val="00055616"/>
    <w:rsid w:val="000E2600"/>
    <w:rsid w:val="000E76E3"/>
    <w:rsid w:val="00125AFB"/>
    <w:rsid w:val="00162AB4"/>
    <w:rsid w:val="001C1F5F"/>
    <w:rsid w:val="00262020"/>
    <w:rsid w:val="002B56B5"/>
    <w:rsid w:val="00356B25"/>
    <w:rsid w:val="003D3A10"/>
    <w:rsid w:val="0040105B"/>
    <w:rsid w:val="0040122C"/>
    <w:rsid w:val="0041790A"/>
    <w:rsid w:val="0048528F"/>
    <w:rsid w:val="004A388A"/>
    <w:rsid w:val="004C4B20"/>
    <w:rsid w:val="005F75BB"/>
    <w:rsid w:val="006153B5"/>
    <w:rsid w:val="006673CF"/>
    <w:rsid w:val="006850DA"/>
    <w:rsid w:val="006D6736"/>
    <w:rsid w:val="00707E49"/>
    <w:rsid w:val="007110D7"/>
    <w:rsid w:val="007A6CA6"/>
    <w:rsid w:val="007B46C9"/>
    <w:rsid w:val="0085058C"/>
    <w:rsid w:val="00881111"/>
    <w:rsid w:val="008D671F"/>
    <w:rsid w:val="008F0308"/>
    <w:rsid w:val="009354F4"/>
    <w:rsid w:val="009369DE"/>
    <w:rsid w:val="00941DED"/>
    <w:rsid w:val="009613B1"/>
    <w:rsid w:val="00990EE1"/>
    <w:rsid w:val="009968C8"/>
    <w:rsid w:val="009F360A"/>
    <w:rsid w:val="00A02A4E"/>
    <w:rsid w:val="00A9141D"/>
    <w:rsid w:val="00B21173"/>
    <w:rsid w:val="00B24535"/>
    <w:rsid w:val="00B443A7"/>
    <w:rsid w:val="00B80A8F"/>
    <w:rsid w:val="00C25E7A"/>
    <w:rsid w:val="00C5317E"/>
    <w:rsid w:val="00CE5918"/>
    <w:rsid w:val="00D22BDE"/>
    <w:rsid w:val="00D545B7"/>
    <w:rsid w:val="00D64E20"/>
    <w:rsid w:val="00D70CCA"/>
    <w:rsid w:val="00DF4701"/>
    <w:rsid w:val="00DF5752"/>
    <w:rsid w:val="00E13E56"/>
    <w:rsid w:val="00E62815"/>
    <w:rsid w:val="00EE0B40"/>
    <w:rsid w:val="00FB7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AB441"/>
  <w15:chartTrackingRefBased/>
  <w15:docId w15:val="{D52315E5-5893-4D4E-ABCF-D6A042AD9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B2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A388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5058C"/>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4C4B2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64E20"/>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D64E20"/>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4A388A"/>
    <w:rPr>
      <w:rFonts w:ascii="Times New Roman" w:eastAsiaTheme="majorEastAsia" w:hAnsi="Times New Roman" w:cstheme="majorBidi"/>
      <w:b/>
      <w:sz w:val="24"/>
      <w:szCs w:val="32"/>
    </w:rPr>
  </w:style>
  <w:style w:type="paragraph" w:customStyle="1" w:styleId="TableParagraph">
    <w:name w:val="Table Paragraph"/>
    <w:basedOn w:val="Normal"/>
    <w:uiPriority w:val="1"/>
    <w:qFormat/>
    <w:rsid w:val="00EE0B40"/>
    <w:pPr>
      <w:widowControl w:val="0"/>
      <w:autoSpaceDE w:val="0"/>
      <w:autoSpaceDN w:val="0"/>
      <w:spacing w:after="0" w:line="240" w:lineRule="auto"/>
      <w:ind w:left="107"/>
    </w:pPr>
    <w:rPr>
      <w:rFonts w:ascii="Arial MT" w:eastAsia="Arial MT" w:hAnsi="Arial MT" w:cs="Arial MT"/>
      <w:kern w:val="0"/>
      <w:lang w:val="en-US"/>
      <w14:ligatures w14:val="none"/>
    </w:rPr>
  </w:style>
  <w:style w:type="paragraph" w:styleId="Header">
    <w:name w:val="header"/>
    <w:basedOn w:val="Normal"/>
    <w:link w:val="HeaderChar"/>
    <w:uiPriority w:val="99"/>
    <w:unhideWhenUsed/>
    <w:rsid w:val="00EE0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B40"/>
    <w:rPr>
      <w:rFonts w:ascii="Times New Roman" w:hAnsi="Times New Roman"/>
      <w:sz w:val="24"/>
    </w:rPr>
  </w:style>
  <w:style w:type="paragraph" w:styleId="Footer">
    <w:name w:val="footer"/>
    <w:basedOn w:val="Normal"/>
    <w:link w:val="FooterChar"/>
    <w:uiPriority w:val="99"/>
    <w:unhideWhenUsed/>
    <w:rsid w:val="00EE0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B40"/>
    <w:rPr>
      <w:rFonts w:ascii="Times New Roman" w:hAnsi="Times New Roman"/>
      <w:sz w:val="24"/>
    </w:rPr>
  </w:style>
  <w:style w:type="paragraph" w:styleId="TOCHeading">
    <w:name w:val="TOC Heading"/>
    <w:basedOn w:val="Heading1"/>
    <w:next w:val="Normal"/>
    <w:uiPriority w:val="39"/>
    <w:unhideWhenUsed/>
    <w:qFormat/>
    <w:rsid w:val="00EE0B40"/>
    <w:pPr>
      <w:spacing w:line="259" w:lineRule="auto"/>
      <w:jc w:val="left"/>
      <w:outlineLvl w:val="9"/>
    </w:pPr>
    <w:rPr>
      <w:rFonts w:asciiTheme="majorHAnsi" w:hAnsiTheme="majorHAnsi"/>
      <w:b w:val="0"/>
      <w:color w:val="2F5496" w:themeColor="accent1" w:themeShade="BF"/>
      <w:kern w:val="0"/>
      <w:sz w:val="32"/>
      <w:lang w:val="en-US"/>
      <w14:ligatures w14:val="none"/>
    </w:rPr>
  </w:style>
  <w:style w:type="character" w:customStyle="1" w:styleId="Heading2Char">
    <w:name w:val="Heading 2 Char"/>
    <w:basedOn w:val="DefaultParagraphFont"/>
    <w:link w:val="Heading2"/>
    <w:uiPriority w:val="9"/>
    <w:rsid w:val="0085058C"/>
    <w:rPr>
      <w:rFonts w:ascii="Times New Roman" w:eastAsiaTheme="majorEastAsia" w:hAnsi="Times New Roman" w:cstheme="majorBidi"/>
      <w:b/>
      <w:sz w:val="24"/>
      <w:szCs w:val="26"/>
    </w:rPr>
  </w:style>
  <w:style w:type="paragraph" w:styleId="Caption">
    <w:name w:val="caption"/>
    <w:basedOn w:val="Normal"/>
    <w:next w:val="Normal"/>
    <w:uiPriority w:val="35"/>
    <w:unhideWhenUsed/>
    <w:qFormat/>
    <w:rsid w:val="009F360A"/>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4C4B20"/>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4012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5058C"/>
    <w:pPr>
      <w:spacing w:after="100"/>
    </w:pPr>
  </w:style>
  <w:style w:type="character" w:styleId="Hyperlink">
    <w:name w:val="Hyperlink"/>
    <w:basedOn w:val="DefaultParagraphFont"/>
    <w:uiPriority w:val="99"/>
    <w:unhideWhenUsed/>
    <w:rsid w:val="0085058C"/>
    <w:rPr>
      <w:color w:val="0563C1" w:themeColor="hyperlink"/>
      <w:u w:val="single"/>
    </w:rPr>
  </w:style>
  <w:style w:type="paragraph" w:styleId="TOC2">
    <w:name w:val="toc 2"/>
    <w:basedOn w:val="Normal"/>
    <w:next w:val="Normal"/>
    <w:autoRedefine/>
    <w:uiPriority w:val="39"/>
    <w:unhideWhenUsed/>
    <w:rsid w:val="00DF470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88BE6F-20A3-49D8-998B-6CADDFAA2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4168</Words>
  <Characters>23763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Dobrinka Vasileva</dc:creator>
  <cp:lastModifiedBy>Dobrinka Vasileva</cp:lastModifiedBy>
  <cp:revision>2</cp:revision>
  <dcterms:created xsi:type="dcterms:W3CDTF">2023-12-19T13:48:00Z</dcterms:created>
  <dcterms:modified xsi:type="dcterms:W3CDTF">2023-12-19T13:48:00Z</dcterms:modified>
</cp:coreProperties>
</file>