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A9BE6F" w14:textId="72392235" w:rsidR="006F0201" w:rsidRPr="006F0201" w:rsidRDefault="006F0201" w:rsidP="006F0201">
      <w:pPr>
        <w:rPr>
          <w:lang w:val="en"/>
        </w:rPr>
      </w:pPr>
      <w:r w:rsidRPr="006F0201">
        <w:rPr>
          <w:lang w:val="en"/>
        </w:rPr>
        <w:drawing>
          <wp:inline distT="0" distB="0" distL="0" distR="0" wp14:anchorId="745CD023" wp14:editId="709932A2">
            <wp:extent cx="2385060" cy="952500"/>
            <wp:effectExtent l="0" t="0" r="0" b="0"/>
            <wp:docPr id="2130119974" name="Picture 2"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logo | Discover Dylan Thoma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85060" cy="952500"/>
                    </a:xfrm>
                    <a:prstGeom prst="rect">
                      <a:avLst/>
                    </a:prstGeom>
                    <a:noFill/>
                    <a:ln>
                      <a:noFill/>
                    </a:ln>
                  </pic:spPr>
                </pic:pic>
              </a:graphicData>
            </a:graphic>
          </wp:inline>
        </w:drawing>
      </w:r>
    </w:p>
    <w:p w14:paraId="35FB7B92" w14:textId="77777777" w:rsidR="006F0201" w:rsidRPr="006F0201" w:rsidRDefault="006F0201" w:rsidP="006F0201">
      <w:pPr>
        <w:rPr>
          <w:b/>
          <w:bCs/>
          <w:i/>
          <w:iCs/>
          <w:lang w:val="en"/>
        </w:rPr>
      </w:pPr>
    </w:p>
    <w:p w14:paraId="0BC06250" w14:textId="77777777" w:rsidR="006F0201" w:rsidRPr="006F0201" w:rsidRDefault="006F0201" w:rsidP="006F0201">
      <w:pPr>
        <w:rPr>
          <w:b/>
          <w:bCs/>
          <w:i/>
          <w:iCs/>
          <w:lang w:val="en"/>
        </w:rPr>
      </w:pPr>
    </w:p>
    <w:p w14:paraId="6E885B78" w14:textId="77777777" w:rsidR="006F0201" w:rsidRPr="006F0201" w:rsidRDefault="006F0201" w:rsidP="006F0201">
      <w:pPr>
        <w:rPr>
          <w:b/>
          <w:bCs/>
          <w:i/>
          <w:iCs/>
          <w:lang w:val="en"/>
        </w:rPr>
      </w:pPr>
    </w:p>
    <w:p w14:paraId="002A0495" w14:textId="77777777" w:rsidR="006F0201" w:rsidRPr="006F0201" w:rsidRDefault="006F0201" w:rsidP="006F0201">
      <w:pPr>
        <w:spacing w:line="276" w:lineRule="auto"/>
        <w:jc w:val="left"/>
        <w:rPr>
          <w:sz w:val="28"/>
          <w:szCs w:val="28"/>
          <w:lang w:val="en"/>
        </w:rPr>
      </w:pPr>
      <w:proofErr w:type="spellStart"/>
      <w:r w:rsidRPr="006F0201">
        <w:rPr>
          <w:b/>
          <w:bCs/>
          <w:sz w:val="28"/>
          <w:szCs w:val="28"/>
          <w:lang w:val="en"/>
        </w:rPr>
        <w:t>Programme</w:t>
      </w:r>
      <w:proofErr w:type="spellEnd"/>
      <w:r w:rsidRPr="006F0201">
        <w:rPr>
          <w:b/>
          <w:bCs/>
          <w:sz w:val="28"/>
          <w:szCs w:val="28"/>
          <w:lang w:val="en"/>
        </w:rPr>
        <w:t xml:space="preserve">: </w:t>
      </w:r>
      <w:r w:rsidRPr="006F0201">
        <w:rPr>
          <w:sz w:val="28"/>
          <w:szCs w:val="28"/>
          <w:lang w:val="en"/>
        </w:rPr>
        <w:t>Master of Business Administration</w:t>
      </w:r>
    </w:p>
    <w:p w14:paraId="66FE7083" w14:textId="77777777" w:rsidR="006F0201" w:rsidRPr="006F0201" w:rsidRDefault="006F0201" w:rsidP="006F0201">
      <w:pPr>
        <w:spacing w:line="276" w:lineRule="auto"/>
        <w:jc w:val="left"/>
        <w:rPr>
          <w:sz w:val="28"/>
          <w:szCs w:val="28"/>
          <w:lang w:val="en"/>
        </w:rPr>
      </w:pPr>
      <w:r w:rsidRPr="006F0201">
        <w:rPr>
          <w:b/>
          <w:bCs/>
          <w:sz w:val="28"/>
          <w:szCs w:val="28"/>
          <w:lang w:val="en"/>
        </w:rPr>
        <w:t>Module:</w:t>
      </w:r>
      <w:r w:rsidRPr="006F0201">
        <w:rPr>
          <w:sz w:val="28"/>
          <w:szCs w:val="28"/>
          <w:lang w:val="en"/>
        </w:rPr>
        <w:t xml:space="preserve"> Dissertation (LCMB7035)</w:t>
      </w:r>
    </w:p>
    <w:p w14:paraId="4A2F4E1F" w14:textId="77777777" w:rsidR="006F0201" w:rsidRPr="006F0201" w:rsidRDefault="006F0201" w:rsidP="006F0201">
      <w:pPr>
        <w:spacing w:line="276" w:lineRule="auto"/>
        <w:jc w:val="left"/>
        <w:rPr>
          <w:sz w:val="28"/>
          <w:szCs w:val="28"/>
          <w:lang w:val="en"/>
        </w:rPr>
      </w:pPr>
      <w:r w:rsidRPr="006F0201">
        <w:rPr>
          <w:b/>
          <w:bCs/>
          <w:sz w:val="28"/>
          <w:szCs w:val="28"/>
          <w:lang w:val="en"/>
        </w:rPr>
        <w:t>Lecturer:</w:t>
      </w:r>
      <w:r w:rsidRPr="006F0201">
        <w:rPr>
          <w:sz w:val="28"/>
          <w:szCs w:val="28"/>
          <w:lang w:val="en"/>
        </w:rPr>
        <w:t xml:space="preserve"> Masud Ibrahim</w:t>
      </w:r>
    </w:p>
    <w:p w14:paraId="13D4DF25" w14:textId="77777777" w:rsidR="006F0201" w:rsidRPr="006F0201" w:rsidRDefault="006F0201" w:rsidP="006F0201">
      <w:pPr>
        <w:spacing w:line="276" w:lineRule="auto"/>
        <w:jc w:val="left"/>
        <w:rPr>
          <w:b/>
          <w:bCs/>
          <w:sz w:val="28"/>
          <w:szCs w:val="28"/>
          <w:lang w:val="en"/>
        </w:rPr>
      </w:pPr>
    </w:p>
    <w:p w14:paraId="688146C9" w14:textId="63E7DB30" w:rsidR="006F0201" w:rsidRPr="006F0201" w:rsidRDefault="006F0201" w:rsidP="006F0201">
      <w:pPr>
        <w:spacing w:line="276" w:lineRule="auto"/>
        <w:jc w:val="left"/>
        <w:rPr>
          <w:b/>
          <w:bCs/>
          <w:sz w:val="28"/>
          <w:szCs w:val="28"/>
          <w:lang w:val="en"/>
        </w:rPr>
      </w:pPr>
      <w:r w:rsidRPr="006F0201">
        <w:rPr>
          <w:b/>
          <w:bCs/>
          <w:sz w:val="28"/>
          <w:szCs w:val="28"/>
          <w:lang w:val="en"/>
        </w:rPr>
        <w:t xml:space="preserve">Student Name: </w:t>
      </w:r>
      <w:r w:rsidRPr="006F0201">
        <w:rPr>
          <w:sz w:val="28"/>
          <w:szCs w:val="28"/>
          <w:lang w:val="en"/>
        </w:rPr>
        <w:t xml:space="preserve">Lokesh </w:t>
      </w:r>
      <w:r w:rsidRPr="006F0201">
        <w:rPr>
          <w:sz w:val="28"/>
          <w:szCs w:val="28"/>
          <w:lang w:val="en"/>
        </w:rPr>
        <w:t>Kumar</w:t>
      </w:r>
    </w:p>
    <w:p w14:paraId="42857DA3" w14:textId="6371FAE8" w:rsidR="006F0201" w:rsidRPr="006F0201" w:rsidRDefault="006F0201" w:rsidP="006F0201">
      <w:pPr>
        <w:spacing w:line="276" w:lineRule="auto"/>
        <w:jc w:val="left"/>
        <w:rPr>
          <w:b/>
          <w:bCs/>
          <w:sz w:val="28"/>
          <w:szCs w:val="28"/>
          <w:lang w:val="en"/>
        </w:rPr>
      </w:pPr>
      <w:r w:rsidRPr="006F0201">
        <w:rPr>
          <w:b/>
          <w:bCs/>
          <w:sz w:val="28"/>
          <w:szCs w:val="28"/>
          <w:lang w:val="en"/>
        </w:rPr>
        <w:t xml:space="preserve">Student Number: </w:t>
      </w:r>
      <w:r w:rsidRPr="006F0201">
        <w:rPr>
          <w:sz w:val="28"/>
          <w:szCs w:val="28"/>
          <w:lang w:val="en"/>
        </w:rPr>
        <w:t>2418064</w:t>
      </w:r>
    </w:p>
    <w:p w14:paraId="5DC710BB" w14:textId="77777777" w:rsidR="006F0201" w:rsidRPr="006F0201" w:rsidRDefault="006F0201" w:rsidP="006F0201">
      <w:pPr>
        <w:spacing w:line="276" w:lineRule="auto"/>
        <w:jc w:val="left"/>
        <w:rPr>
          <w:rFonts w:cs="Arial"/>
          <w:b/>
          <w:bCs/>
          <w:sz w:val="28"/>
          <w:szCs w:val="28"/>
        </w:rPr>
      </w:pPr>
      <w:r w:rsidRPr="006F0201">
        <w:rPr>
          <w:b/>
          <w:bCs/>
          <w:sz w:val="28"/>
          <w:szCs w:val="28"/>
          <w:lang w:val="en"/>
        </w:rPr>
        <w:t>Proposed Title:</w:t>
      </w:r>
      <w:r w:rsidRPr="006F0201">
        <w:rPr>
          <w:i/>
          <w:iCs/>
          <w:sz w:val="28"/>
          <w:szCs w:val="28"/>
          <w:lang w:val="en"/>
        </w:rPr>
        <w:t xml:space="preserve"> </w:t>
      </w:r>
      <w:r w:rsidRPr="006F0201">
        <w:rPr>
          <w:rFonts w:cs="Arial"/>
          <w:sz w:val="28"/>
          <w:szCs w:val="28"/>
        </w:rPr>
        <w:t xml:space="preserve">Generation Z in the Workplace: A Systematic Review of Motivations, Challenges, and </w:t>
      </w:r>
      <w:proofErr w:type="spellStart"/>
      <w:r w:rsidRPr="006F0201">
        <w:rPr>
          <w:rFonts w:cs="Arial"/>
          <w:sz w:val="28"/>
          <w:szCs w:val="28"/>
        </w:rPr>
        <w:t>Organisational</w:t>
      </w:r>
      <w:proofErr w:type="spellEnd"/>
      <w:r w:rsidRPr="006F0201">
        <w:rPr>
          <w:rFonts w:cs="Arial"/>
          <w:sz w:val="28"/>
          <w:szCs w:val="28"/>
        </w:rPr>
        <w:t xml:space="preserve"> Policy Approaches</w:t>
      </w:r>
    </w:p>
    <w:p w14:paraId="1631B048" w14:textId="38D9ACB4" w:rsidR="006F0201" w:rsidRPr="006F0201" w:rsidRDefault="006F0201" w:rsidP="006F0201">
      <w:pPr>
        <w:spacing w:line="276" w:lineRule="auto"/>
        <w:jc w:val="left"/>
        <w:rPr>
          <w:i/>
          <w:iCs/>
          <w:sz w:val="28"/>
          <w:szCs w:val="28"/>
        </w:rPr>
      </w:pPr>
    </w:p>
    <w:p w14:paraId="0B447A60" w14:textId="77777777" w:rsidR="006F0201" w:rsidRPr="006F0201" w:rsidRDefault="006F0201" w:rsidP="006F0201">
      <w:pPr>
        <w:spacing w:line="276" w:lineRule="auto"/>
        <w:jc w:val="left"/>
        <w:rPr>
          <w:b/>
          <w:bCs/>
          <w:sz w:val="28"/>
          <w:szCs w:val="28"/>
          <w:lang w:val="en"/>
        </w:rPr>
      </w:pPr>
    </w:p>
    <w:p w14:paraId="5D175B89" w14:textId="52DC1611" w:rsidR="006F0201" w:rsidRPr="006F0201" w:rsidRDefault="006F0201" w:rsidP="006F0201">
      <w:pPr>
        <w:spacing w:line="276" w:lineRule="auto"/>
        <w:jc w:val="left"/>
        <w:rPr>
          <w:b/>
          <w:bCs/>
          <w:sz w:val="28"/>
          <w:szCs w:val="28"/>
          <w:lang w:val="en"/>
        </w:rPr>
      </w:pPr>
      <w:r w:rsidRPr="006F0201">
        <w:rPr>
          <w:b/>
          <w:bCs/>
          <w:sz w:val="28"/>
          <w:szCs w:val="28"/>
          <w:lang w:val="en"/>
        </w:rPr>
        <w:t xml:space="preserve">Word Count: </w:t>
      </w:r>
      <w:r w:rsidR="00BA6B5C" w:rsidRPr="00BA6B5C">
        <w:rPr>
          <w:sz w:val="28"/>
          <w:szCs w:val="28"/>
          <w:lang w:val="en"/>
        </w:rPr>
        <w:t>2578</w:t>
      </w:r>
    </w:p>
    <w:p w14:paraId="641F8C7B" w14:textId="77777777" w:rsidR="006F0201" w:rsidRPr="006F0201" w:rsidRDefault="006F0201" w:rsidP="006F0201">
      <w:pPr>
        <w:spacing w:line="276" w:lineRule="auto"/>
        <w:jc w:val="left"/>
        <w:rPr>
          <w:b/>
          <w:bCs/>
          <w:sz w:val="28"/>
          <w:szCs w:val="28"/>
          <w:lang w:val="en"/>
        </w:rPr>
      </w:pPr>
      <w:r w:rsidRPr="006F0201">
        <w:rPr>
          <w:b/>
          <w:bCs/>
          <w:sz w:val="28"/>
          <w:szCs w:val="28"/>
          <w:lang w:val="en"/>
        </w:rPr>
        <w:t xml:space="preserve">Submission Date: </w:t>
      </w:r>
      <w:r w:rsidRPr="006F0201">
        <w:rPr>
          <w:sz w:val="28"/>
          <w:szCs w:val="28"/>
          <w:lang w:val="en"/>
        </w:rPr>
        <w:t>10</w:t>
      </w:r>
      <w:r w:rsidRPr="006F0201">
        <w:rPr>
          <w:sz w:val="28"/>
          <w:szCs w:val="28"/>
          <w:vertAlign w:val="superscript"/>
          <w:lang w:val="en"/>
        </w:rPr>
        <w:t>th</w:t>
      </w:r>
      <w:r w:rsidRPr="006F0201">
        <w:rPr>
          <w:sz w:val="28"/>
          <w:szCs w:val="28"/>
          <w:lang w:val="en"/>
        </w:rPr>
        <w:t xml:space="preserve"> October 2025</w:t>
      </w:r>
    </w:p>
    <w:p w14:paraId="68EEA63C" w14:textId="77777777" w:rsidR="007E52FA" w:rsidRPr="006F0201" w:rsidRDefault="007E52FA" w:rsidP="00C03D28">
      <w:pPr>
        <w:rPr>
          <w:lang w:val="en"/>
        </w:rPr>
      </w:pPr>
    </w:p>
    <w:p w14:paraId="49401BDA" w14:textId="77777777" w:rsidR="007E52FA" w:rsidRDefault="007E52FA">
      <w:pPr>
        <w:spacing w:line="278" w:lineRule="auto"/>
        <w:jc w:val="left"/>
        <w:rPr>
          <w:rFonts w:cs="Arial"/>
          <w:b/>
          <w:bCs/>
          <w:sz w:val="40"/>
          <w:szCs w:val="40"/>
        </w:rPr>
      </w:pPr>
      <w:r>
        <w:rPr>
          <w:rFonts w:cs="Arial"/>
          <w:b/>
          <w:bCs/>
          <w:sz w:val="40"/>
          <w:szCs w:val="40"/>
        </w:rPr>
        <w:br w:type="page"/>
      </w:r>
    </w:p>
    <w:sdt>
      <w:sdtPr>
        <w:rPr>
          <w:rFonts w:ascii="Arial" w:eastAsiaTheme="minorEastAsia" w:hAnsi="Arial" w:cstheme="minorBidi"/>
          <w:color w:val="auto"/>
          <w:kern w:val="2"/>
          <w:sz w:val="24"/>
          <w:szCs w:val="24"/>
          <w:lang w:eastAsia="zh-CN"/>
          <w14:ligatures w14:val="standardContextual"/>
        </w:rPr>
        <w:id w:val="-879158891"/>
        <w:docPartObj>
          <w:docPartGallery w:val="Table of Contents"/>
          <w:docPartUnique/>
        </w:docPartObj>
      </w:sdtPr>
      <w:sdtEndPr>
        <w:rPr>
          <w:b/>
          <w:bCs/>
          <w:noProof/>
        </w:rPr>
      </w:sdtEndPr>
      <w:sdtContent>
        <w:p w14:paraId="4B8B1BF7" w14:textId="1D87DEE3" w:rsidR="007E52FA" w:rsidRDefault="007E52FA">
          <w:pPr>
            <w:pStyle w:val="TOCHeading"/>
          </w:pPr>
          <w:r>
            <w:t>Table of Contents</w:t>
          </w:r>
        </w:p>
        <w:p w14:paraId="59E9157A" w14:textId="60AF3E68" w:rsidR="00BA6B5C" w:rsidRDefault="007E52FA">
          <w:pPr>
            <w:pStyle w:val="TOC1"/>
            <w:tabs>
              <w:tab w:val="right" w:leader="dot" w:pos="9016"/>
            </w:tabs>
            <w:rPr>
              <w:rFonts w:asciiTheme="minorHAnsi" w:hAnsiTheme="minorHAnsi"/>
              <w:noProof/>
              <w:szCs w:val="30"/>
              <w:lang w:bidi="bn-IN"/>
            </w:rPr>
          </w:pPr>
          <w:r>
            <w:fldChar w:fldCharType="begin"/>
          </w:r>
          <w:r>
            <w:instrText xml:space="preserve"> TOC \o "1-3" \h \z \u </w:instrText>
          </w:r>
          <w:r>
            <w:fldChar w:fldCharType="separate"/>
          </w:r>
          <w:hyperlink w:anchor="_Toc210953514" w:history="1">
            <w:r w:rsidR="00BA6B5C" w:rsidRPr="001C4EB9">
              <w:rPr>
                <w:rStyle w:val="Hyperlink"/>
                <w:noProof/>
              </w:rPr>
              <w:t>1. Introduction</w:t>
            </w:r>
            <w:r w:rsidR="00BA6B5C">
              <w:rPr>
                <w:noProof/>
                <w:webHidden/>
              </w:rPr>
              <w:tab/>
            </w:r>
            <w:r w:rsidR="00BA6B5C">
              <w:rPr>
                <w:noProof/>
                <w:webHidden/>
              </w:rPr>
              <w:fldChar w:fldCharType="begin"/>
            </w:r>
            <w:r w:rsidR="00BA6B5C">
              <w:rPr>
                <w:noProof/>
                <w:webHidden/>
              </w:rPr>
              <w:instrText xml:space="preserve"> PAGEREF _Toc210953514 \h </w:instrText>
            </w:r>
            <w:r w:rsidR="00BA6B5C">
              <w:rPr>
                <w:noProof/>
                <w:webHidden/>
              </w:rPr>
            </w:r>
            <w:r w:rsidR="00BA6B5C">
              <w:rPr>
                <w:noProof/>
                <w:webHidden/>
              </w:rPr>
              <w:fldChar w:fldCharType="separate"/>
            </w:r>
            <w:r w:rsidR="00BA6B5C">
              <w:rPr>
                <w:noProof/>
                <w:webHidden/>
              </w:rPr>
              <w:t>3</w:t>
            </w:r>
            <w:r w:rsidR="00BA6B5C">
              <w:rPr>
                <w:noProof/>
                <w:webHidden/>
              </w:rPr>
              <w:fldChar w:fldCharType="end"/>
            </w:r>
          </w:hyperlink>
        </w:p>
        <w:p w14:paraId="5DE9C7A7" w14:textId="3DA91463" w:rsidR="00BA6B5C" w:rsidRDefault="00BA6B5C">
          <w:pPr>
            <w:pStyle w:val="TOC2"/>
            <w:tabs>
              <w:tab w:val="right" w:leader="dot" w:pos="9016"/>
            </w:tabs>
            <w:rPr>
              <w:rFonts w:asciiTheme="minorHAnsi" w:hAnsiTheme="minorHAnsi"/>
              <w:noProof/>
              <w:szCs w:val="30"/>
              <w:lang w:bidi="bn-IN"/>
            </w:rPr>
          </w:pPr>
          <w:hyperlink w:anchor="_Toc210953515" w:history="1">
            <w:r w:rsidRPr="001C4EB9">
              <w:rPr>
                <w:rStyle w:val="Hyperlink"/>
                <w:noProof/>
              </w:rPr>
              <w:t>1.1 Research Background</w:t>
            </w:r>
            <w:r>
              <w:rPr>
                <w:noProof/>
                <w:webHidden/>
              </w:rPr>
              <w:tab/>
            </w:r>
            <w:r>
              <w:rPr>
                <w:noProof/>
                <w:webHidden/>
              </w:rPr>
              <w:fldChar w:fldCharType="begin"/>
            </w:r>
            <w:r>
              <w:rPr>
                <w:noProof/>
                <w:webHidden/>
              </w:rPr>
              <w:instrText xml:space="preserve"> PAGEREF _Toc210953515 \h </w:instrText>
            </w:r>
            <w:r>
              <w:rPr>
                <w:noProof/>
                <w:webHidden/>
              </w:rPr>
            </w:r>
            <w:r>
              <w:rPr>
                <w:noProof/>
                <w:webHidden/>
              </w:rPr>
              <w:fldChar w:fldCharType="separate"/>
            </w:r>
            <w:r>
              <w:rPr>
                <w:noProof/>
                <w:webHidden/>
              </w:rPr>
              <w:t>3</w:t>
            </w:r>
            <w:r>
              <w:rPr>
                <w:noProof/>
                <w:webHidden/>
              </w:rPr>
              <w:fldChar w:fldCharType="end"/>
            </w:r>
          </w:hyperlink>
        </w:p>
        <w:p w14:paraId="6C9D45CE" w14:textId="365D7E2D" w:rsidR="00BA6B5C" w:rsidRDefault="00BA6B5C">
          <w:pPr>
            <w:pStyle w:val="TOC2"/>
            <w:tabs>
              <w:tab w:val="right" w:leader="dot" w:pos="9016"/>
            </w:tabs>
            <w:rPr>
              <w:rFonts w:asciiTheme="minorHAnsi" w:hAnsiTheme="minorHAnsi"/>
              <w:noProof/>
              <w:szCs w:val="30"/>
              <w:lang w:bidi="bn-IN"/>
            </w:rPr>
          </w:pPr>
          <w:hyperlink w:anchor="_Toc210953516" w:history="1">
            <w:r w:rsidRPr="001C4EB9">
              <w:rPr>
                <w:rStyle w:val="Hyperlink"/>
                <w:noProof/>
              </w:rPr>
              <w:t>1.2 Rationale of the Research</w:t>
            </w:r>
            <w:r>
              <w:rPr>
                <w:noProof/>
                <w:webHidden/>
              </w:rPr>
              <w:tab/>
            </w:r>
            <w:r>
              <w:rPr>
                <w:noProof/>
                <w:webHidden/>
              </w:rPr>
              <w:fldChar w:fldCharType="begin"/>
            </w:r>
            <w:r>
              <w:rPr>
                <w:noProof/>
                <w:webHidden/>
              </w:rPr>
              <w:instrText xml:space="preserve"> PAGEREF _Toc210953516 \h </w:instrText>
            </w:r>
            <w:r>
              <w:rPr>
                <w:noProof/>
                <w:webHidden/>
              </w:rPr>
            </w:r>
            <w:r>
              <w:rPr>
                <w:noProof/>
                <w:webHidden/>
              </w:rPr>
              <w:fldChar w:fldCharType="separate"/>
            </w:r>
            <w:r>
              <w:rPr>
                <w:noProof/>
                <w:webHidden/>
              </w:rPr>
              <w:t>4</w:t>
            </w:r>
            <w:r>
              <w:rPr>
                <w:noProof/>
                <w:webHidden/>
              </w:rPr>
              <w:fldChar w:fldCharType="end"/>
            </w:r>
          </w:hyperlink>
        </w:p>
        <w:p w14:paraId="688BDE81" w14:textId="11CE4200" w:rsidR="00BA6B5C" w:rsidRDefault="00BA6B5C">
          <w:pPr>
            <w:pStyle w:val="TOC1"/>
            <w:tabs>
              <w:tab w:val="right" w:leader="dot" w:pos="9016"/>
            </w:tabs>
            <w:rPr>
              <w:rFonts w:asciiTheme="minorHAnsi" w:hAnsiTheme="minorHAnsi"/>
              <w:noProof/>
              <w:szCs w:val="30"/>
              <w:lang w:bidi="bn-IN"/>
            </w:rPr>
          </w:pPr>
          <w:hyperlink w:anchor="_Toc210953517" w:history="1">
            <w:r w:rsidRPr="001C4EB9">
              <w:rPr>
                <w:rStyle w:val="Hyperlink"/>
                <w:noProof/>
              </w:rPr>
              <w:t>2. Literature Review</w:t>
            </w:r>
            <w:r>
              <w:rPr>
                <w:noProof/>
                <w:webHidden/>
              </w:rPr>
              <w:tab/>
            </w:r>
            <w:r>
              <w:rPr>
                <w:noProof/>
                <w:webHidden/>
              </w:rPr>
              <w:fldChar w:fldCharType="begin"/>
            </w:r>
            <w:r>
              <w:rPr>
                <w:noProof/>
                <w:webHidden/>
              </w:rPr>
              <w:instrText xml:space="preserve"> PAGEREF _Toc210953517 \h </w:instrText>
            </w:r>
            <w:r>
              <w:rPr>
                <w:noProof/>
                <w:webHidden/>
              </w:rPr>
            </w:r>
            <w:r>
              <w:rPr>
                <w:noProof/>
                <w:webHidden/>
              </w:rPr>
              <w:fldChar w:fldCharType="separate"/>
            </w:r>
            <w:r>
              <w:rPr>
                <w:noProof/>
                <w:webHidden/>
              </w:rPr>
              <w:t>5</w:t>
            </w:r>
            <w:r>
              <w:rPr>
                <w:noProof/>
                <w:webHidden/>
              </w:rPr>
              <w:fldChar w:fldCharType="end"/>
            </w:r>
          </w:hyperlink>
        </w:p>
        <w:p w14:paraId="58E3DFA4" w14:textId="516FCDB0" w:rsidR="00BA6B5C" w:rsidRDefault="00BA6B5C">
          <w:pPr>
            <w:pStyle w:val="TOC2"/>
            <w:tabs>
              <w:tab w:val="right" w:leader="dot" w:pos="9016"/>
            </w:tabs>
            <w:rPr>
              <w:rFonts w:asciiTheme="minorHAnsi" w:hAnsiTheme="minorHAnsi"/>
              <w:noProof/>
              <w:szCs w:val="30"/>
              <w:lang w:bidi="bn-IN"/>
            </w:rPr>
          </w:pPr>
          <w:hyperlink w:anchor="_Toc210953518" w:history="1">
            <w:r w:rsidRPr="001C4EB9">
              <w:rPr>
                <w:rStyle w:val="Hyperlink"/>
                <w:noProof/>
              </w:rPr>
              <w:t>2.1 Definitions of Key Concepts</w:t>
            </w:r>
            <w:r>
              <w:rPr>
                <w:noProof/>
                <w:webHidden/>
              </w:rPr>
              <w:tab/>
            </w:r>
            <w:r>
              <w:rPr>
                <w:noProof/>
                <w:webHidden/>
              </w:rPr>
              <w:fldChar w:fldCharType="begin"/>
            </w:r>
            <w:r>
              <w:rPr>
                <w:noProof/>
                <w:webHidden/>
              </w:rPr>
              <w:instrText xml:space="preserve"> PAGEREF _Toc210953518 \h </w:instrText>
            </w:r>
            <w:r>
              <w:rPr>
                <w:noProof/>
                <w:webHidden/>
              </w:rPr>
            </w:r>
            <w:r>
              <w:rPr>
                <w:noProof/>
                <w:webHidden/>
              </w:rPr>
              <w:fldChar w:fldCharType="separate"/>
            </w:r>
            <w:r>
              <w:rPr>
                <w:noProof/>
                <w:webHidden/>
              </w:rPr>
              <w:t>5</w:t>
            </w:r>
            <w:r>
              <w:rPr>
                <w:noProof/>
                <w:webHidden/>
              </w:rPr>
              <w:fldChar w:fldCharType="end"/>
            </w:r>
          </w:hyperlink>
        </w:p>
        <w:p w14:paraId="39077C2E" w14:textId="3C5CC74C" w:rsidR="00BA6B5C" w:rsidRDefault="00BA6B5C">
          <w:pPr>
            <w:pStyle w:val="TOC2"/>
            <w:tabs>
              <w:tab w:val="right" w:leader="dot" w:pos="9016"/>
            </w:tabs>
            <w:rPr>
              <w:rFonts w:asciiTheme="minorHAnsi" w:hAnsiTheme="minorHAnsi"/>
              <w:noProof/>
              <w:szCs w:val="30"/>
              <w:lang w:bidi="bn-IN"/>
            </w:rPr>
          </w:pPr>
          <w:hyperlink w:anchor="_Toc210953519" w:history="1">
            <w:r w:rsidRPr="001C4EB9">
              <w:rPr>
                <w:rStyle w:val="Hyperlink"/>
                <w:noProof/>
              </w:rPr>
              <w:t>2.2 Theoretical Framework</w:t>
            </w:r>
            <w:r>
              <w:rPr>
                <w:noProof/>
                <w:webHidden/>
              </w:rPr>
              <w:tab/>
            </w:r>
            <w:r>
              <w:rPr>
                <w:noProof/>
                <w:webHidden/>
              </w:rPr>
              <w:fldChar w:fldCharType="begin"/>
            </w:r>
            <w:r>
              <w:rPr>
                <w:noProof/>
                <w:webHidden/>
              </w:rPr>
              <w:instrText xml:space="preserve"> PAGEREF _Toc210953519 \h </w:instrText>
            </w:r>
            <w:r>
              <w:rPr>
                <w:noProof/>
                <w:webHidden/>
              </w:rPr>
            </w:r>
            <w:r>
              <w:rPr>
                <w:noProof/>
                <w:webHidden/>
              </w:rPr>
              <w:fldChar w:fldCharType="separate"/>
            </w:r>
            <w:r>
              <w:rPr>
                <w:noProof/>
                <w:webHidden/>
              </w:rPr>
              <w:t>5</w:t>
            </w:r>
            <w:r>
              <w:rPr>
                <w:noProof/>
                <w:webHidden/>
              </w:rPr>
              <w:fldChar w:fldCharType="end"/>
            </w:r>
          </w:hyperlink>
        </w:p>
        <w:p w14:paraId="6F33D63C" w14:textId="67FCDE1D" w:rsidR="00BA6B5C" w:rsidRDefault="00BA6B5C">
          <w:pPr>
            <w:pStyle w:val="TOC2"/>
            <w:tabs>
              <w:tab w:val="right" w:leader="dot" w:pos="9016"/>
            </w:tabs>
            <w:rPr>
              <w:rFonts w:asciiTheme="minorHAnsi" w:hAnsiTheme="minorHAnsi"/>
              <w:noProof/>
              <w:szCs w:val="30"/>
              <w:lang w:bidi="bn-IN"/>
            </w:rPr>
          </w:pPr>
          <w:hyperlink w:anchor="_Toc210953520" w:history="1">
            <w:r w:rsidRPr="001C4EB9">
              <w:rPr>
                <w:rStyle w:val="Hyperlink"/>
                <w:noProof/>
              </w:rPr>
              <w:t>2.3 Key Findings from Existing Research</w:t>
            </w:r>
            <w:r>
              <w:rPr>
                <w:noProof/>
                <w:webHidden/>
              </w:rPr>
              <w:tab/>
            </w:r>
            <w:r>
              <w:rPr>
                <w:noProof/>
                <w:webHidden/>
              </w:rPr>
              <w:fldChar w:fldCharType="begin"/>
            </w:r>
            <w:r>
              <w:rPr>
                <w:noProof/>
                <w:webHidden/>
              </w:rPr>
              <w:instrText xml:space="preserve"> PAGEREF _Toc210953520 \h </w:instrText>
            </w:r>
            <w:r>
              <w:rPr>
                <w:noProof/>
                <w:webHidden/>
              </w:rPr>
            </w:r>
            <w:r>
              <w:rPr>
                <w:noProof/>
                <w:webHidden/>
              </w:rPr>
              <w:fldChar w:fldCharType="separate"/>
            </w:r>
            <w:r>
              <w:rPr>
                <w:noProof/>
                <w:webHidden/>
              </w:rPr>
              <w:t>6</w:t>
            </w:r>
            <w:r>
              <w:rPr>
                <w:noProof/>
                <w:webHidden/>
              </w:rPr>
              <w:fldChar w:fldCharType="end"/>
            </w:r>
          </w:hyperlink>
        </w:p>
        <w:p w14:paraId="32AEC0B9" w14:textId="7647C042" w:rsidR="00BA6B5C" w:rsidRDefault="00BA6B5C">
          <w:pPr>
            <w:pStyle w:val="TOC3"/>
            <w:tabs>
              <w:tab w:val="right" w:leader="dot" w:pos="9016"/>
            </w:tabs>
            <w:rPr>
              <w:rFonts w:asciiTheme="minorHAnsi" w:hAnsiTheme="minorHAnsi"/>
              <w:noProof/>
              <w:szCs w:val="30"/>
              <w:lang w:bidi="bn-IN"/>
            </w:rPr>
          </w:pPr>
          <w:hyperlink w:anchor="_Toc210953521" w:history="1">
            <w:r w:rsidRPr="001C4EB9">
              <w:rPr>
                <w:rStyle w:val="Hyperlink"/>
                <w:noProof/>
              </w:rPr>
              <w:t>2.3.1 Workplace Motivations and Values</w:t>
            </w:r>
            <w:r>
              <w:rPr>
                <w:noProof/>
                <w:webHidden/>
              </w:rPr>
              <w:tab/>
            </w:r>
            <w:r>
              <w:rPr>
                <w:noProof/>
                <w:webHidden/>
              </w:rPr>
              <w:fldChar w:fldCharType="begin"/>
            </w:r>
            <w:r>
              <w:rPr>
                <w:noProof/>
                <w:webHidden/>
              </w:rPr>
              <w:instrText xml:space="preserve"> PAGEREF _Toc210953521 \h </w:instrText>
            </w:r>
            <w:r>
              <w:rPr>
                <w:noProof/>
                <w:webHidden/>
              </w:rPr>
            </w:r>
            <w:r>
              <w:rPr>
                <w:noProof/>
                <w:webHidden/>
              </w:rPr>
              <w:fldChar w:fldCharType="separate"/>
            </w:r>
            <w:r>
              <w:rPr>
                <w:noProof/>
                <w:webHidden/>
              </w:rPr>
              <w:t>6</w:t>
            </w:r>
            <w:r>
              <w:rPr>
                <w:noProof/>
                <w:webHidden/>
              </w:rPr>
              <w:fldChar w:fldCharType="end"/>
            </w:r>
          </w:hyperlink>
        </w:p>
        <w:p w14:paraId="752435AC" w14:textId="6E1618AE" w:rsidR="00BA6B5C" w:rsidRDefault="00BA6B5C">
          <w:pPr>
            <w:pStyle w:val="TOC3"/>
            <w:tabs>
              <w:tab w:val="right" w:leader="dot" w:pos="9016"/>
            </w:tabs>
            <w:rPr>
              <w:rFonts w:asciiTheme="minorHAnsi" w:hAnsiTheme="minorHAnsi"/>
              <w:noProof/>
              <w:szCs w:val="30"/>
              <w:lang w:bidi="bn-IN"/>
            </w:rPr>
          </w:pPr>
          <w:hyperlink w:anchor="_Toc210953522" w:history="1">
            <w:r w:rsidRPr="001C4EB9">
              <w:rPr>
                <w:rStyle w:val="Hyperlink"/>
                <w:noProof/>
              </w:rPr>
              <w:t>2.3.2 Challenges and Barriers</w:t>
            </w:r>
            <w:r>
              <w:rPr>
                <w:noProof/>
                <w:webHidden/>
              </w:rPr>
              <w:tab/>
            </w:r>
            <w:r>
              <w:rPr>
                <w:noProof/>
                <w:webHidden/>
              </w:rPr>
              <w:fldChar w:fldCharType="begin"/>
            </w:r>
            <w:r>
              <w:rPr>
                <w:noProof/>
                <w:webHidden/>
              </w:rPr>
              <w:instrText xml:space="preserve"> PAGEREF _Toc210953522 \h </w:instrText>
            </w:r>
            <w:r>
              <w:rPr>
                <w:noProof/>
                <w:webHidden/>
              </w:rPr>
            </w:r>
            <w:r>
              <w:rPr>
                <w:noProof/>
                <w:webHidden/>
              </w:rPr>
              <w:fldChar w:fldCharType="separate"/>
            </w:r>
            <w:r>
              <w:rPr>
                <w:noProof/>
                <w:webHidden/>
              </w:rPr>
              <w:t>7</w:t>
            </w:r>
            <w:r>
              <w:rPr>
                <w:noProof/>
                <w:webHidden/>
              </w:rPr>
              <w:fldChar w:fldCharType="end"/>
            </w:r>
          </w:hyperlink>
        </w:p>
        <w:p w14:paraId="092BF7BB" w14:textId="6C1D5415" w:rsidR="00BA6B5C" w:rsidRDefault="00BA6B5C">
          <w:pPr>
            <w:pStyle w:val="TOC3"/>
            <w:tabs>
              <w:tab w:val="right" w:leader="dot" w:pos="9016"/>
            </w:tabs>
            <w:rPr>
              <w:rFonts w:asciiTheme="minorHAnsi" w:hAnsiTheme="minorHAnsi"/>
              <w:noProof/>
              <w:szCs w:val="30"/>
              <w:lang w:bidi="bn-IN"/>
            </w:rPr>
          </w:pPr>
          <w:hyperlink w:anchor="_Toc210953523" w:history="1">
            <w:r w:rsidRPr="001C4EB9">
              <w:rPr>
                <w:rStyle w:val="Hyperlink"/>
                <w:noProof/>
              </w:rPr>
              <w:t>2.3.3 Organisational Policies and Practises</w:t>
            </w:r>
            <w:r>
              <w:rPr>
                <w:noProof/>
                <w:webHidden/>
              </w:rPr>
              <w:tab/>
            </w:r>
            <w:r>
              <w:rPr>
                <w:noProof/>
                <w:webHidden/>
              </w:rPr>
              <w:fldChar w:fldCharType="begin"/>
            </w:r>
            <w:r>
              <w:rPr>
                <w:noProof/>
                <w:webHidden/>
              </w:rPr>
              <w:instrText xml:space="preserve"> PAGEREF _Toc210953523 \h </w:instrText>
            </w:r>
            <w:r>
              <w:rPr>
                <w:noProof/>
                <w:webHidden/>
              </w:rPr>
            </w:r>
            <w:r>
              <w:rPr>
                <w:noProof/>
                <w:webHidden/>
              </w:rPr>
              <w:fldChar w:fldCharType="separate"/>
            </w:r>
            <w:r>
              <w:rPr>
                <w:noProof/>
                <w:webHidden/>
              </w:rPr>
              <w:t>8</w:t>
            </w:r>
            <w:r>
              <w:rPr>
                <w:noProof/>
                <w:webHidden/>
              </w:rPr>
              <w:fldChar w:fldCharType="end"/>
            </w:r>
          </w:hyperlink>
        </w:p>
        <w:p w14:paraId="76CB784D" w14:textId="0A14D368" w:rsidR="00BA6B5C" w:rsidRDefault="00BA6B5C">
          <w:pPr>
            <w:pStyle w:val="TOC3"/>
            <w:tabs>
              <w:tab w:val="right" w:leader="dot" w:pos="9016"/>
            </w:tabs>
            <w:rPr>
              <w:rFonts w:asciiTheme="minorHAnsi" w:hAnsiTheme="minorHAnsi"/>
              <w:noProof/>
              <w:szCs w:val="30"/>
              <w:lang w:bidi="bn-IN"/>
            </w:rPr>
          </w:pPr>
          <w:hyperlink w:anchor="_Toc210953524" w:history="1">
            <w:r w:rsidRPr="001C4EB9">
              <w:rPr>
                <w:rStyle w:val="Hyperlink"/>
                <w:noProof/>
              </w:rPr>
              <w:t>2.3.4 Research Gap</w:t>
            </w:r>
            <w:r>
              <w:rPr>
                <w:noProof/>
                <w:webHidden/>
              </w:rPr>
              <w:tab/>
            </w:r>
            <w:r>
              <w:rPr>
                <w:noProof/>
                <w:webHidden/>
              </w:rPr>
              <w:fldChar w:fldCharType="begin"/>
            </w:r>
            <w:r>
              <w:rPr>
                <w:noProof/>
                <w:webHidden/>
              </w:rPr>
              <w:instrText xml:space="preserve"> PAGEREF _Toc210953524 \h </w:instrText>
            </w:r>
            <w:r>
              <w:rPr>
                <w:noProof/>
                <w:webHidden/>
              </w:rPr>
            </w:r>
            <w:r>
              <w:rPr>
                <w:noProof/>
                <w:webHidden/>
              </w:rPr>
              <w:fldChar w:fldCharType="separate"/>
            </w:r>
            <w:r>
              <w:rPr>
                <w:noProof/>
                <w:webHidden/>
              </w:rPr>
              <w:t>9</w:t>
            </w:r>
            <w:r>
              <w:rPr>
                <w:noProof/>
                <w:webHidden/>
              </w:rPr>
              <w:fldChar w:fldCharType="end"/>
            </w:r>
          </w:hyperlink>
        </w:p>
        <w:p w14:paraId="76D32B17" w14:textId="5C401D93" w:rsidR="00BA6B5C" w:rsidRDefault="00BA6B5C">
          <w:pPr>
            <w:pStyle w:val="TOC1"/>
            <w:tabs>
              <w:tab w:val="right" w:leader="dot" w:pos="9016"/>
            </w:tabs>
            <w:rPr>
              <w:rFonts w:asciiTheme="minorHAnsi" w:hAnsiTheme="minorHAnsi"/>
              <w:noProof/>
              <w:szCs w:val="30"/>
              <w:lang w:bidi="bn-IN"/>
            </w:rPr>
          </w:pPr>
          <w:hyperlink w:anchor="_Toc210953525" w:history="1">
            <w:r w:rsidRPr="001C4EB9">
              <w:rPr>
                <w:rStyle w:val="Hyperlink"/>
                <w:noProof/>
              </w:rPr>
              <w:t>3. Research Methodology</w:t>
            </w:r>
            <w:r>
              <w:rPr>
                <w:noProof/>
                <w:webHidden/>
              </w:rPr>
              <w:tab/>
            </w:r>
            <w:r>
              <w:rPr>
                <w:noProof/>
                <w:webHidden/>
              </w:rPr>
              <w:fldChar w:fldCharType="begin"/>
            </w:r>
            <w:r>
              <w:rPr>
                <w:noProof/>
                <w:webHidden/>
              </w:rPr>
              <w:instrText xml:space="preserve"> PAGEREF _Toc210953525 \h </w:instrText>
            </w:r>
            <w:r>
              <w:rPr>
                <w:noProof/>
                <w:webHidden/>
              </w:rPr>
            </w:r>
            <w:r>
              <w:rPr>
                <w:noProof/>
                <w:webHidden/>
              </w:rPr>
              <w:fldChar w:fldCharType="separate"/>
            </w:r>
            <w:r>
              <w:rPr>
                <w:noProof/>
                <w:webHidden/>
              </w:rPr>
              <w:t>10</w:t>
            </w:r>
            <w:r>
              <w:rPr>
                <w:noProof/>
                <w:webHidden/>
              </w:rPr>
              <w:fldChar w:fldCharType="end"/>
            </w:r>
          </w:hyperlink>
        </w:p>
        <w:p w14:paraId="1E28FAC8" w14:textId="0A1B8762" w:rsidR="00BA6B5C" w:rsidRDefault="00BA6B5C">
          <w:pPr>
            <w:pStyle w:val="TOC2"/>
            <w:tabs>
              <w:tab w:val="right" w:leader="dot" w:pos="9016"/>
            </w:tabs>
            <w:rPr>
              <w:rFonts w:asciiTheme="minorHAnsi" w:hAnsiTheme="minorHAnsi"/>
              <w:noProof/>
              <w:szCs w:val="30"/>
              <w:lang w:bidi="bn-IN"/>
            </w:rPr>
          </w:pPr>
          <w:hyperlink w:anchor="_Toc210953526" w:history="1">
            <w:r w:rsidRPr="001C4EB9">
              <w:rPr>
                <w:rStyle w:val="Hyperlink"/>
                <w:noProof/>
              </w:rPr>
              <w:t>3.1 Research Design</w:t>
            </w:r>
            <w:r>
              <w:rPr>
                <w:noProof/>
                <w:webHidden/>
              </w:rPr>
              <w:tab/>
            </w:r>
            <w:r>
              <w:rPr>
                <w:noProof/>
                <w:webHidden/>
              </w:rPr>
              <w:fldChar w:fldCharType="begin"/>
            </w:r>
            <w:r>
              <w:rPr>
                <w:noProof/>
                <w:webHidden/>
              </w:rPr>
              <w:instrText xml:space="preserve"> PAGEREF _Toc210953526 \h </w:instrText>
            </w:r>
            <w:r>
              <w:rPr>
                <w:noProof/>
                <w:webHidden/>
              </w:rPr>
            </w:r>
            <w:r>
              <w:rPr>
                <w:noProof/>
                <w:webHidden/>
              </w:rPr>
              <w:fldChar w:fldCharType="separate"/>
            </w:r>
            <w:r>
              <w:rPr>
                <w:noProof/>
                <w:webHidden/>
              </w:rPr>
              <w:t>10</w:t>
            </w:r>
            <w:r>
              <w:rPr>
                <w:noProof/>
                <w:webHidden/>
              </w:rPr>
              <w:fldChar w:fldCharType="end"/>
            </w:r>
          </w:hyperlink>
        </w:p>
        <w:p w14:paraId="25299403" w14:textId="7DC68069" w:rsidR="00BA6B5C" w:rsidRDefault="00BA6B5C">
          <w:pPr>
            <w:pStyle w:val="TOC2"/>
            <w:tabs>
              <w:tab w:val="right" w:leader="dot" w:pos="9016"/>
            </w:tabs>
            <w:rPr>
              <w:rFonts w:asciiTheme="minorHAnsi" w:hAnsiTheme="minorHAnsi"/>
              <w:noProof/>
              <w:szCs w:val="30"/>
              <w:lang w:bidi="bn-IN"/>
            </w:rPr>
          </w:pPr>
          <w:hyperlink w:anchor="_Toc210953527" w:history="1">
            <w:r w:rsidRPr="001C4EB9">
              <w:rPr>
                <w:rStyle w:val="Hyperlink"/>
                <w:noProof/>
              </w:rPr>
              <w:t>3.2 Databases and Search Strategy</w:t>
            </w:r>
            <w:r>
              <w:rPr>
                <w:noProof/>
                <w:webHidden/>
              </w:rPr>
              <w:tab/>
            </w:r>
            <w:r>
              <w:rPr>
                <w:noProof/>
                <w:webHidden/>
              </w:rPr>
              <w:fldChar w:fldCharType="begin"/>
            </w:r>
            <w:r>
              <w:rPr>
                <w:noProof/>
                <w:webHidden/>
              </w:rPr>
              <w:instrText xml:space="preserve"> PAGEREF _Toc210953527 \h </w:instrText>
            </w:r>
            <w:r>
              <w:rPr>
                <w:noProof/>
                <w:webHidden/>
              </w:rPr>
            </w:r>
            <w:r>
              <w:rPr>
                <w:noProof/>
                <w:webHidden/>
              </w:rPr>
              <w:fldChar w:fldCharType="separate"/>
            </w:r>
            <w:r>
              <w:rPr>
                <w:noProof/>
                <w:webHidden/>
              </w:rPr>
              <w:t>10</w:t>
            </w:r>
            <w:r>
              <w:rPr>
                <w:noProof/>
                <w:webHidden/>
              </w:rPr>
              <w:fldChar w:fldCharType="end"/>
            </w:r>
          </w:hyperlink>
        </w:p>
        <w:p w14:paraId="47200A43" w14:textId="06AA4A0D" w:rsidR="00BA6B5C" w:rsidRDefault="00BA6B5C">
          <w:pPr>
            <w:pStyle w:val="TOC2"/>
            <w:tabs>
              <w:tab w:val="right" w:leader="dot" w:pos="9016"/>
            </w:tabs>
            <w:rPr>
              <w:rFonts w:asciiTheme="minorHAnsi" w:hAnsiTheme="minorHAnsi"/>
              <w:noProof/>
              <w:szCs w:val="30"/>
              <w:lang w:bidi="bn-IN"/>
            </w:rPr>
          </w:pPr>
          <w:hyperlink w:anchor="_Toc210953528" w:history="1">
            <w:r w:rsidRPr="001C4EB9">
              <w:rPr>
                <w:rStyle w:val="Hyperlink"/>
                <w:noProof/>
              </w:rPr>
              <w:t>3.3 Eligibility Criteria</w:t>
            </w:r>
            <w:r>
              <w:rPr>
                <w:noProof/>
                <w:webHidden/>
              </w:rPr>
              <w:tab/>
            </w:r>
            <w:r>
              <w:rPr>
                <w:noProof/>
                <w:webHidden/>
              </w:rPr>
              <w:fldChar w:fldCharType="begin"/>
            </w:r>
            <w:r>
              <w:rPr>
                <w:noProof/>
                <w:webHidden/>
              </w:rPr>
              <w:instrText xml:space="preserve"> PAGEREF _Toc210953528 \h </w:instrText>
            </w:r>
            <w:r>
              <w:rPr>
                <w:noProof/>
                <w:webHidden/>
              </w:rPr>
            </w:r>
            <w:r>
              <w:rPr>
                <w:noProof/>
                <w:webHidden/>
              </w:rPr>
              <w:fldChar w:fldCharType="separate"/>
            </w:r>
            <w:r>
              <w:rPr>
                <w:noProof/>
                <w:webHidden/>
              </w:rPr>
              <w:t>11</w:t>
            </w:r>
            <w:r>
              <w:rPr>
                <w:noProof/>
                <w:webHidden/>
              </w:rPr>
              <w:fldChar w:fldCharType="end"/>
            </w:r>
          </w:hyperlink>
        </w:p>
        <w:p w14:paraId="333677A5" w14:textId="44C010F4" w:rsidR="00BA6B5C" w:rsidRDefault="00BA6B5C">
          <w:pPr>
            <w:pStyle w:val="TOC2"/>
            <w:tabs>
              <w:tab w:val="right" w:leader="dot" w:pos="9016"/>
            </w:tabs>
            <w:rPr>
              <w:rFonts w:asciiTheme="minorHAnsi" w:hAnsiTheme="minorHAnsi"/>
              <w:noProof/>
              <w:szCs w:val="30"/>
              <w:lang w:bidi="bn-IN"/>
            </w:rPr>
          </w:pPr>
          <w:hyperlink w:anchor="_Toc210953529" w:history="1">
            <w:r w:rsidRPr="001C4EB9">
              <w:rPr>
                <w:rStyle w:val="Hyperlink"/>
                <w:noProof/>
              </w:rPr>
              <w:t>3.4 Article Selection, Data Extraction, and Quality Appraisal</w:t>
            </w:r>
            <w:r>
              <w:rPr>
                <w:noProof/>
                <w:webHidden/>
              </w:rPr>
              <w:tab/>
            </w:r>
            <w:r>
              <w:rPr>
                <w:noProof/>
                <w:webHidden/>
              </w:rPr>
              <w:fldChar w:fldCharType="begin"/>
            </w:r>
            <w:r>
              <w:rPr>
                <w:noProof/>
                <w:webHidden/>
              </w:rPr>
              <w:instrText xml:space="preserve"> PAGEREF _Toc210953529 \h </w:instrText>
            </w:r>
            <w:r>
              <w:rPr>
                <w:noProof/>
                <w:webHidden/>
              </w:rPr>
            </w:r>
            <w:r>
              <w:rPr>
                <w:noProof/>
                <w:webHidden/>
              </w:rPr>
              <w:fldChar w:fldCharType="separate"/>
            </w:r>
            <w:r>
              <w:rPr>
                <w:noProof/>
                <w:webHidden/>
              </w:rPr>
              <w:t>11</w:t>
            </w:r>
            <w:r>
              <w:rPr>
                <w:noProof/>
                <w:webHidden/>
              </w:rPr>
              <w:fldChar w:fldCharType="end"/>
            </w:r>
          </w:hyperlink>
        </w:p>
        <w:p w14:paraId="4B98BD79" w14:textId="05EA4F33" w:rsidR="00BA6B5C" w:rsidRDefault="00BA6B5C">
          <w:pPr>
            <w:pStyle w:val="TOC2"/>
            <w:tabs>
              <w:tab w:val="right" w:leader="dot" w:pos="9016"/>
            </w:tabs>
            <w:rPr>
              <w:rFonts w:asciiTheme="minorHAnsi" w:hAnsiTheme="minorHAnsi"/>
              <w:noProof/>
              <w:szCs w:val="30"/>
              <w:lang w:bidi="bn-IN"/>
            </w:rPr>
          </w:pPr>
          <w:hyperlink w:anchor="_Toc210953530" w:history="1">
            <w:r w:rsidRPr="001C4EB9">
              <w:rPr>
                <w:rStyle w:val="Hyperlink"/>
                <w:noProof/>
              </w:rPr>
              <w:t>3.5 Data Synthesis, Ethical Considerations, and Limitations</w:t>
            </w:r>
            <w:r>
              <w:rPr>
                <w:noProof/>
                <w:webHidden/>
              </w:rPr>
              <w:tab/>
            </w:r>
            <w:r>
              <w:rPr>
                <w:noProof/>
                <w:webHidden/>
              </w:rPr>
              <w:fldChar w:fldCharType="begin"/>
            </w:r>
            <w:r>
              <w:rPr>
                <w:noProof/>
                <w:webHidden/>
              </w:rPr>
              <w:instrText xml:space="preserve"> PAGEREF _Toc210953530 \h </w:instrText>
            </w:r>
            <w:r>
              <w:rPr>
                <w:noProof/>
                <w:webHidden/>
              </w:rPr>
            </w:r>
            <w:r>
              <w:rPr>
                <w:noProof/>
                <w:webHidden/>
              </w:rPr>
              <w:fldChar w:fldCharType="separate"/>
            </w:r>
            <w:r>
              <w:rPr>
                <w:noProof/>
                <w:webHidden/>
              </w:rPr>
              <w:t>11</w:t>
            </w:r>
            <w:r>
              <w:rPr>
                <w:noProof/>
                <w:webHidden/>
              </w:rPr>
              <w:fldChar w:fldCharType="end"/>
            </w:r>
          </w:hyperlink>
        </w:p>
        <w:p w14:paraId="3DA99E34" w14:textId="08789ACA" w:rsidR="00BA6B5C" w:rsidRDefault="00BA6B5C">
          <w:pPr>
            <w:pStyle w:val="TOC2"/>
            <w:tabs>
              <w:tab w:val="right" w:leader="dot" w:pos="9016"/>
            </w:tabs>
            <w:rPr>
              <w:rFonts w:asciiTheme="minorHAnsi" w:hAnsiTheme="minorHAnsi"/>
              <w:noProof/>
              <w:szCs w:val="30"/>
              <w:lang w:bidi="bn-IN"/>
            </w:rPr>
          </w:pPr>
          <w:hyperlink w:anchor="_Toc210953531" w:history="1">
            <w:r w:rsidRPr="001C4EB9">
              <w:rPr>
                <w:rStyle w:val="Hyperlink"/>
                <w:noProof/>
              </w:rPr>
              <w:t>3.6 Research Timeline</w:t>
            </w:r>
            <w:r>
              <w:rPr>
                <w:noProof/>
                <w:webHidden/>
              </w:rPr>
              <w:tab/>
            </w:r>
            <w:r>
              <w:rPr>
                <w:noProof/>
                <w:webHidden/>
              </w:rPr>
              <w:fldChar w:fldCharType="begin"/>
            </w:r>
            <w:r>
              <w:rPr>
                <w:noProof/>
                <w:webHidden/>
              </w:rPr>
              <w:instrText xml:space="preserve"> PAGEREF _Toc210953531 \h </w:instrText>
            </w:r>
            <w:r>
              <w:rPr>
                <w:noProof/>
                <w:webHidden/>
              </w:rPr>
            </w:r>
            <w:r>
              <w:rPr>
                <w:noProof/>
                <w:webHidden/>
              </w:rPr>
              <w:fldChar w:fldCharType="separate"/>
            </w:r>
            <w:r>
              <w:rPr>
                <w:noProof/>
                <w:webHidden/>
              </w:rPr>
              <w:t>12</w:t>
            </w:r>
            <w:r>
              <w:rPr>
                <w:noProof/>
                <w:webHidden/>
              </w:rPr>
              <w:fldChar w:fldCharType="end"/>
            </w:r>
          </w:hyperlink>
        </w:p>
        <w:p w14:paraId="2F27032A" w14:textId="719524BD" w:rsidR="00BA6B5C" w:rsidRDefault="00BA6B5C">
          <w:pPr>
            <w:pStyle w:val="TOC1"/>
            <w:tabs>
              <w:tab w:val="right" w:leader="dot" w:pos="9016"/>
            </w:tabs>
            <w:rPr>
              <w:rFonts w:asciiTheme="minorHAnsi" w:hAnsiTheme="minorHAnsi"/>
              <w:noProof/>
              <w:szCs w:val="30"/>
              <w:lang w:bidi="bn-IN"/>
            </w:rPr>
          </w:pPr>
          <w:hyperlink w:anchor="_Toc210953532" w:history="1">
            <w:r w:rsidRPr="001C4EB9">
              <w:rPr>
                <w:rStyle w:val="Hyperlink"/>
                <w:noProof/>
              </w:rPr>
              <w:t>References</w:t>
            </w:r>
            <w:r>
              <w:rPr>
                <w:noProof/>
                <w:webHidden/>
              </w:rPr>
              <w:tab/>
            </w:r>
            <w:r>
              <w:rPr>
                <w:noProof/>
                <w:webHidden/>
              </w:rPr>
              <w:fldChar w:fldCharType="begin"/>
            </w:r>
            <w:r>
              <w:rPr>
                <w:noProof/>
                <w:webHidden/>
              </w:rPr>
              <w:instrText xml:space="preserve"> PAGEREF _Toc210953532 \h </w:instrText>
            </w:r>
            <w:r>
              <w:rPr>
                <w:noProof/>
                <w:webHidden/>
              </w:rPr>
            </w:r>
            <w:r>
              <w:rPr>
                <w:noProof/>
                <w:webHidden/>
              </w:rPr>
              <w:fldChar w:fldCharType="separate"/>
            </w:r>
            <w:r>
              <w:rPr>
                <w:noProof/>
                <w:webHidden/>
              </w:rPr>
              <w:t>13</w:t>
            </w:r>
            <w:r>
              <w:rPr>
                <w:noProof/>
                <w:webHidden/>
              </w:rPr>
              <w:fldChar w:fldCharType="end"/>
            </w:r>
          </w:hyperlink>
        </w:p>
        <w:p w14:paraId="32BCACA6" w14:textId="06B126AC" w:rsidR="007E52FA" w:rsidRDefault="007E52FA">
          <w:r>
            <w:rPr>
              <w:b/>
              <w:bCs/>
              <w:noProof/>
            </w:rPr>
            <w:fldChar w:fldCharType="end"/>
          </w:r>
        </w:p>
      </w:sdtContent>
    </w:sdt>
    <w:p w14:paraId="2B6BDA04" w14:textId="77777777" w:rsidR="00867482" w:rsidRPr="00867482" w:rsidRDefault="00867482" w:rsidP="007E52FA">
      <w:pPr>
        <w:jc w:val="left"/>
        <w:rPr>
          <w:rFonts w:cs="Arial"/>
          <w:b/>
          <w:bCs/>
          <w:sz w:val="40"/>
          <w:szCs w:val="40"/>
        </w:rPr>
      </w:pPr>
    </w:p>
    <w:p w14:paraId="67035AFC" w14:textId="77777777" w:rsidR="00867482" w:rsidRDefault="00867482">
      <w:pPr>
        <w:rPr>
          <w:rFonts w:cs="Arial"/>
          <w:b/>
          <w:bCs/>
        </w:rPr>
      </w:pPr>
      <w:r>
        <w:rPr>
          <w:rFonts w:cs="Arial"/>
          <w:b/>
          <w:bCs/>
        </w:rPr>
        <w:br w:type="page"/>
      </w:r>
    </w:p>
    <w:p w14:paraId="39D09CFF" w14:textId="77777777" w:rsidR="00867482" w:rsidRPr="00867482" w:rsidRDefault="00867482" w:rsidP="007E52FA">
      <w:pPr>
        <w:pStyle w:val="Heading1"/>
      </w:pPr>
      <w:bookmarkStart w:id="0" w:name="_Toc210953514"/>
      <w:r w:rsidRPr="00867482">
        <w:lastRenderedPageBreak/>
        <w:t>1. Introduction</w:t>
      </w:r>
      <w:bookmarkEnd w:id="0"/>
    </w:p>
    <w:p w14:paraId="1323AB3F" w14:textId="77777777" w:rsidR="00867482" w:rsidRPr="00867482" w:rsidRDefault="00867482" w:rsidP="007E52FA">
      <w:pPr>
        <w:pStyle w:val="Heading2"/>
      </w:pPr>
      <w:bookmarkStart w:id="1" w:name="_Toc210953515"/>
      <w:r w:rsidRPr="00867482">
        <w:t>1.1 Research Background</w:t>
      </w:r>
      <w:bookmarkEnd w:id="1"/>
    </w:p>
    <w:p w14:paraId="3B1D2B59" w14:textId="2DCBBB88" w:rsidR="00867482" w:rsidRPr="00867482" w:rsidRDefault="00C03D28" w:rsidP="00867482">
      <w:r w:rsidRPr="00C03D28">
        <w:t xml:space="preserve">Generation Z (born between 1995 and 2010) is rapidly transforming </w:t>
      </w:r>
      <w:proofErr w:type="spellStart"/>
      <w:r w:rsidRPr="00C03D28">
        <w:t>organisational</w:t>
      </w:r>
      <w:proofErr w:type="spellEnd"/>
      <w:r w:rsidRPr="00C03D28">
        <w:t xml:space="preserve"> structures and workplace expectations, with forecasts suggesting they will comprise nearly one-third of the global workforce by 2030 (Francis &amp; Hoefel, 2018; Deloitte, 2023). </w:t>
      </w:r>
      <w:proofErr w:type="spellStart"/>
      <w:r w:rsidR="00CF7B4F" w:rsidRPr="00CF7B4F">
        <w:t>Characterised</w:t>
      </w:r>
      <w:proofErr w:type="spellEnd"/>
      <w:r w:rsidR="00CF7B4F" w:rsidRPr="00CF7B4F">
        <w:t xml:space="preserve"> by digital literacy, exposure to socio-economic insecurity, and the demand to be inclusive, adaptable, and have meaningful work, this generation poses not only challenges but also opportunities to </w:t>
      </w:r>
      <w:proofErr w:type="spellStart"/>
      <w:r w:rsidR="00CF7B4F" w:rsidRPr="00CF7B4F">
        <w:t>organisations</w:t>
      </w:r>
      <w:proofErr w:type="spellEnd"/>
      <w:r w:rsidR="00CF7B4F" w:rsidRPr="00CF7B4F">
        <w:t xml:space="preserve"> that are going through </w:t>
      </w:r>
      <w:proofErr w:type="spellStart"/>
      <w:r w:rsidR="00CF7B4F" w:rsidRPr="00CF7B4F">
        <w:t>globalisation</w:t>
      </w:r>
      <w:proofErr w:type="spellEnd"/>
      <w:r w:rsidR="00CF7B4F" w:rsidRPr="00CF7B4F">
        <w:t xml:space="preserve"> and technological transformation (Dimock, 2019; Ozkan and Solmaz, 2015). It has been found that Generation Z places emphasis on career development, meaningful work, and fair </w:t>
      </w:r>
      <w:proofErr w:type="spellStart"/>
      <w:r w:rsidR="00CF7B4F" w:rsidRPr="00CF7B4F">
        <w:t>organisational</w:t>
      </w:r>
      <w:proofErr w:type="spellEnd"/>
      <w:r w:rsidR="00CF7B4F" w:rsidRPr="00CF7B4F">
        <w:t xml:space="preserve"> cultures (Cilliers, 2017; Wiedmer, 2015), is flexible, autonomous, and integrates technology into the work-life balance (Schroth, 2019; Twenge, 2010). However, the barriers they usually experience include workplace integration, which includes stereotypes, inexperience, job insecurity-related stress (Schroth, 2019; Deloitte, 2021). These dynamics are crucial to be addressed because the proportion of employees who intend to leave their jobs in the next two years is close to 40 percent in case of the failure to meet their expectations, and this is a threat to retention in the workplace (Deloitte, 2023; Myers and </w:t>
      </w:r>
      <w:proofErr w:type="spellStart"/>
      <w:r w:rsidR="00CF7B4F" w:rsidRPr="00CF7B4F">
        <w:t>Sadaghiani</w:t>
      </w:r>
      <w:proofErr w:type="spellEnd"/>
      <w:r w:rsidR="00CF7B4F" w:rsidRPr="00CF7B4F">
        <w:t>, 2010).</w:t>
      </w:r>
      <w:r w:rsidRPr="00C03D28">
        <w:t xml:space="preserve"> However, </w:t>
      </w:r>
      <w:proofErr w:type="spellStart"/>
      <w:r w:rsidRPr="00C03D28">
        <w:t>organisations</w:t>
      </w:r>
      <w:proofErr w:type="spellEnd"/>
      <w:r w:rsidRPr="00C03D28">
        <w:t xml:space="preserve"> that effectively engage this generation can leverage their technological proficiency, entrepreneurial mindset, and innovation-oriented approach for competitive advantage (Seemiller &amp; Grace, 2017).</w:t>
      </w:r>
    </w:p>
    <w:p w14:paraId="6914C56E" w14:textId="4713EA6E" w:rsidR="00C03D28" w:rsidRDefault="00867482" w:rsidP="00867482">
      <w:r w:rsidRPr="00867482">
        <w:t xml:space="preserve">Academic research on Generation Z in the workplace is growing but remains fragmented. Studies exist across psychology, human resource management, and sociology, yet there is little consolidation of findings into a coherent understanding of motivations, challenges, and policy responses (Chicca &amp; Shellenbarger, 2018; </w:t>
      </w:r>
      <w:proofErr w:type="spellStart"/>
      <w:r w:rsidRPr="00867482">
        <w:t>Putriastuti</w:t>
      </w:r>
      <w:proofErr w:type="spellEnd"/>
      <w:r w:rsidRPr="00867482">
        <w:t xml:space="preserve"> &amp; Stasi, 2019). A systematic review of the literature can therefore provide valuable synthesis, identify recurring themes, and highlight research gaps, particularly regarding effective </w:t>
      </w:r>
      <w:proofErr w:type="spellStart"/>
      <w:r w:rsidRPr="00867482">
        <w:t>organisational</w:t>
      </w:r>
      <w:proofErr w:type="spellEnd"/>
      <w:r w:rsidRPr="00867482">
        <w:t xml:space="preserve"> policies and practices.</w:t>
      </w:r>
    </w:p>
    <w:p w14:paraId="1FBD9543" w14:textId="677FE906" w:rsidR="00867482" w:rsidRPr="00867482" w:rsidRDefault="00C03D28" w:rsidP="00C03D28">
      <w:pPr>
        <w:spacing w:line="278" w:lineRule="auto"/>
        <w:jc w:val="left"/>
      </w:pPr>
      <w:r>
        <w:br w:type="page"/>
      </w:r>
    </w:p>
    <w:p w14:paraId="5CE6ED78" w14:textId="77777777" w:rsidR="00867482" w:rsidRPr="00867482" w:rsidRDefault="00867482" w:rsidP="00BA6B5C">
      <w:pPr>
        <w:pStyle w:val="Heading3"/>
      </w:pPr>
      <w:r w:rsidRPr="00867482">
        <w:lastRenderedPageBreak/>
        <w:t>1.1.1 Research Aim</w:t>
      </w:r>
    </w:p>
    <w:p w14:paraId="2230ECA3" w14:textId="77777777" w:rsidR="00867482" w:rsidRPr="00867482" w:rsidRDefault="00867482" w:rsidP="00867482">
      <w:r w:rsidRPr="00867482">
        <w:t xml:space="preserve">The primary aim of this research is to systematically examine Generation Z’s motivations, challenges, and experiences in the workplace and to </w:t>
      </w:r>
      <w:proofErr w:type="spellStart"/>
      <w:r w:rsidRPr="00867482">
        <w:t>synthesise</w:t>
      </w:r>
      <w:proofErr w:type="spellEnd"/>
      <w:r w:rsidRPr="00867482">
        <w:t xml:space="preserve"> </w:t>
      </w:r>
      <w:proofErr w:type="spellStart"/>
      <w:r w:rsidRPr="00867482">
        <w:t>organisational</w:t>
      </w:r>
      <w:proofErr w:type="spellEnd"/>
      <w:r w:rsidRPr="00867482">
        <w:t xml:space="preserve"> policy approaches that support their effective engagement.</w:t>
      </w:r>
    </w:p>
    <w:p w14:paraId="49F2ED19" w14:textId="77777777" w:rsidR="00867482" w:rsidRPr="00867482" w:rsidRDefault="00867482" w:rsidP="00BA6B5C">
      <w:pPr>
        <w:pStyle w:val="Heading3"/>
      </w:pPr>
      <w:r w:rsidRPr="00867482">
        <w:t>1.1.2 Research Questions</w:t>
      </w:r>
    </w:p>
    <w:p w14:paraId="077EC7A7" w14:textId="77777777" w:rsidR="00867482" w:rsidRPr="00867482" w:rsidRDefault="00867482" w:rsidP="007E52FA">
      <w:pPr>
        <w:pStyle w:val="ListParagraph"/>
        <w:numPr>
          <w:ilvl w:val="0"/>
          <w:numId w:val="9"/>
        </w:numPr>
      </w:pPr>
      <w:r w:rsidRPr="00867482">
        <w:t>What are the key motivations and work-related values of Generation Z as they enter the workforce?</w:t>
      </w:r>
    </w:p>
    <w:p w14:paraId="25BE16E7" w14:textId="77777777" w:rsidR="00867482" w:rsidRPr="00867482" w:rsidRDefault="00867482" w:rsidP="007E52FA">
      <w:pPr>
        <w:pStyle w:val="ListParagraph"/>
        <w:numPr>
          <w:ilvl w:val="0"/>
          <w:numId w:val="9"/>
        </w:numPr>
      </w:pPr>
      <w:r w:rsidRPr="00867482">
        <w:t xml:space="preserve">What challenges and barriers do Generation Z employees encounter in </w:t>
      </w:r>
      <w:proofErr w:type="spellStart"/>
      <w:r w:rsidRPr="00867482">
        <w:t>organisational</w:t>
      </w:r>
      <w:proofErr w:type="spellEnd"/>
      <w:r w:rsidRPr="00867482">
        <w:t xml:space="preserve"> settings?</w:t>
      </w:r>
    </w:p>
    <w:p w14:paraId="08816F77" w14:textId="77777777" w:rsidR="00867482" w:rsidRPr="00867482" w:rsidRDefault="00867482" w:rsidP="007E52FA">
      <w:pPr>
        <w:pStyle w:val="ListParagraph"/>
        <w:numPr>
          <w:ilvl w:val="0"/>
          <w:numId w:val="9"/>
        </w:numPr>
      </w:pPr>
      <w:r w:rsidRPr="00867482">
        <w:t xml:space="preserve">What </w:t>
      </w:r>
      <w:proofErr w:type="spellStart"/>
      <w:r w:rsidRPr="00867482">
        <w:t>organisational</w:t>
      </w:r>
      <w:proofErr w:type="spellEnd"/>
      <w:r w:rsidRPr="00867482">
        <w:t xml:space="preserve"> policies or practices have been recommended in the literature to support and engage Generation Z effectively?</w:t>
      </w:r>
    </w:p>
    <w:p w14:paraId="689DF002" w14:textId="77777777" w:rsidR="00867482" w:rsidRPr="00867482" w:rsidRDefault="00867482" w:rsidP="00BA6B5C">
      <w:pPr>
        <w:pStyle w:val="Heading3"/>
      </w:pPr>
      <w:r w:rsidRPr="00867482">
        <w:t>1.1.3 Research Objectives</w:t>
      </w:r>
    </w:p>
    <w:p w14:paraId="0E0D7D62" w14:textId="77777777" w:rsidR="00867482" w:rsidRPr="00867482" w:rsidRDefault="00867482" w:rsidP="007E52FA">
      <w:pPr>
        <w:pStyle w:val="ListParagraph"/>
        <w:numPr>
          <w:ilvl w:val="0"/>
          <w:numId w:val="8"/>
        </w:numPr>
      </w:pPr>
      <w:r w:rsidRPr="00867482">
        <w:t>To identify and analyse the key motivations, values, and expectations of Generation Z in the workplace.</w:t>
      </w:r>
    </w:p>
    <w:p w14:paraId="368FC75C" w14:textId="77777777" w:rsidR="00867482" w:rsidRPr="00867482" w:rsidRDefault="00867482" w:rsidP="007E52FA">
      <w:pPr>
        <w:pStyle w:val="ListParagraph"/>
        <w:numPr>
          <w:ilvl w:val="0"/>
          <w:numId w:val="8"/>
        </w:numPr>
      </w:pPr>
      <w:r w:rsidRPr="00867482">
        <w:t xml:space="preserve">To examine the challenges and barriers Generation Z faces as they enter </w:t>
      </w:r>
      <w:proofErr w:type="spellStart"/>
      <w:r w:rsidRPr="00867482">
        <w:t>organisational</w:t>
      </w:r>
      <w:proofErr w:type="spellEnd"/>
      <w:r w:rsidRPr="00867482">
        <w:t xml:space="preserve"> settings.</w:t>
      </w:r>
    </w:p>
    <w:p w14:paraId="44DFD516" w14:textId="77777777" w:rsidR="00867482" w:rsidRPr="00867482" w:rsidRDefault="00867482" w:rsidP="007E52FA">
      <w:pPr>
        <w:pStyle w:val="ListParagraph"/>
        <w:numPr>
          <w:ilvl w:val="0"/>
          <w:numId w:val="8"/>
        </w:numPr>
      </w:pPr>
      <w:r w:rsidRPr="00867482">
        <w:t xml:space="preserve">To review and </w:t>
      </w:r>
      <w:proofErr w:type="spellStart"/>
      <w:r w:rsidRPr="00867482">
        <w:t>synthesise</w:t>
      </w:r>
      <w:proofErr w:type="spellEnd"/>
      <w:r w:rsidRPr="00867482">
        <w:t xml:space="preserve"> recommendations from existing literature regarding </w:t>
      </w:r>
      <w:proofErr w:type="spellStart"/>
      <w:r w:rsidRPr="00867482">
        <w:t>organisational</w:t>
      </w:r>
      <w:proofErr w:type="spellEnd"/>
      <w:r w:rsidRPr="00867482">
        <w:t xml:space="preserve"> policies and practices that effectively support and engage Generation Z employees.</w:t>
      </w:r>
    </w:p>
    <w:p w14:paraId="59FE7D77" w14:textId="77777777" w:rsidR="00867482" w:rsidRPr="00867482" w:rsidRDefault="00867482" w:rsidP="007E52FA">
      <w:pPr>
        <w:pStyle w:val="Heading2"/>
      </w:pPr>
      <w:bookmarkStart w:id="2" w:name="_Toc210953516"/>
      <w:r w:rsidRPr="00867482">
        <w:t>1.2 Rationale of the Research</w:t>
      </w:r>
      <w:bookmarkEnd w:id="2"/>
    </w:p>
    <w:p w14:paraId="01F6EC79" w14:textId="7BE61569" w:rsidR="00867482" w:rsidRPr="00867482" w:rsidRDefault="00C03D28" w:rsidP="00867482">
      <w:r w:rsidRPr="00C03D28">
        <w:t xml:space="preserve">The rationale for this study stems from Generation Z’s growing influence on the future of work and the need for </w:t>
      </w:r>
      <w:proofErr w:type="spellStart"/>
      <w:r w:rsidRPr="00C03D28">
        <w:t>organisations</w:t>
      </w:r>
      <w:proofErr w:type="spellEnd"/>
      <w:r w:rsidRPr="00C03D28">
        <w:t xml:space="preserve"> to adapt policies accordingly. Existing research offers mixed insights</w:t>
      </w:r>
      <w:r>
        <w:t xml:space="preserve">, </w:t>
      </w:r>
      <w:r w:rsidRPr="00C03D28">
        <w:t xml:space="preserve">while some highlight Gen Z’s technological competence and entrepreneurial mindset (Seemiller &amp; Grace, 2017), others note challenges such as weak interpersonal skills, unrealistic expectations, and high turnover intentions (Schroth, 2019; </w:t>
      </w:r>
      <w:proofErr w:type="spellStart"/>
      <w:r w:rsidRPr="00C03D28">
        <w:t>Putriastuti</w:t>
      </w:r>
      <w:proofErr w:type="spellEnd"/>
      <w:r w:rsidRPr="00C03D28">
        <w:t xml:space="preserve"> &amp; Stasi, 2019). These issues risk disengagement, productivity loss, and reputational damage if unaddressed. A systematic review is thus warranted to consolidate fragmented evidence, </w:t>
      </w:r>
      <w:proofErr w:type="spellStart"/>
      <w:r w:rsidRPr="00C03D28">
        <w:t>synthesise</w:t>
      </w:r>
      <w:proofErr w:type="spellEnd"/>
      <w:r w:rsidRPr="00C03D28">
        <w:t xml:space="preserve"> </w:t>
      </w:r>
      <w:proofErr w:type="spellStart"/>
      <w:r w:rsidRPr="00C03D28">
        <w:t>organisational</w:t>
      </w:r>
      <w:proofErr w:type="spellEnd"/>
      <w:r w:rsidRPr="00C03D28">
        <w:t xml:space="preserve"> strategies, and inform evidence-based policymaking. This study contributes by deepening theoretical understanding of Gen Z’s workplace motivations and challenges, offering </w:t>
      </w:r>
      <w:r w:rsidRPr="00C03D28">
        <w:lastRenderedPageBreak/>
        <w:t>practical guidance for talent retention, and identifying research gaps including cross-cultural and longitudinal perspectives.</w:t>
      </w:r>
    </w:p>
    <w:p w14:paraId="78DA890A" w14:textId="77777777" w:rsidR="00867482" w:rsidRPr="00867482" w:rsidRDefault="00867482" w:rsidP="007E52FA">
      <w:pPr>
        <w:pStyle w:val="Heading1"/>
      </w:pPr>
      <w:bookmarkStart w:id="3" w:name="_Toc210953517"/>
      <w:r w:rsidRPr="00867482">
        <w:t xml:space="preserve">2. </w:t>
      </w:r>
      <w:r w:rsidRPr="007E52FA">
        <w:t>Literature</w:t>
      </w:r>
      <w:r w:rsidRPr="00867482">
        <w:t xml:space="preserve"> Review</w:t>
      </w:r>
      <w:bookmarkEnd w:id="3"/>
    </w:p>
    <w:p w14:paraId="72C82F7B" w14:textId="77777777" w:rsidR="00867482" w:rsidRDefault="00867482" w:rsidP="007E52FA">
      <w:pPr>
        <w:pStyle w:val="Heading2"/>
      </w:pPr>
      <w:bookmarkStart w:id="4" w:name="_Toc210953518"/>
      <w:r w:rsidRPr="00867482">
        <w:t>2.1 Definitions of Key Concepts</w:t>
      </w:r>
      <w:bookmarkEnd w:id="4"/>
    </w:p>
    <w:p w14:paraId="40EEBD59" w14:textId="77777777" w:rsidR="00867482" w:rsidRPr="00867482" w:rsidRDefault="00867482" w:rsidP="00867482">
      <w:r w:rsidRPr="00C03D28">
        <w:rPr>
          <w:b/>
          <w:bCs/>
        </w:rPr>
        <w:t>Generation Z:</w:t>
      </w:r>
      <w:r w:rsidRPr="00867482">
        <w:t xml:space="preserve"> Generation Z, born roughly between 1995 and 2010, is </w:t>
      </w:r>
      <w:proofErr w:type="spellStart"/>
      <w:r w:rsidRPr="00867482">
        <w:t>characterised</w:t>
      </w:r>
      <w:proofErr w:type="spellEnd"/>
      <w:r w:rsidRPr="00867482">
        <w:t xml:space="preserve"> by digital fluency, social awareness, and distinct workplace expectations shaped by </w:t>
      </w:r>
      <w:proofErr w:type="spellStart"/>
      <w:r w:rsidRPr="00867482">
        <w:t>globalisation</w:t>
      </w:r>
      <w:proofErr w:type="spellEnd"/>
      <w:r w:rsidRPr="00867482">
        <w:t>, economic crises, and diversity awareness (Dimock, 2019; Francis &amp; Hoefel, 2018; Ozkan &amp; Solmaz, 2015; Seemiller &amp; Grace, 2017; Cilliers, 2017; Wiedmer, 2015).</w:t>
      </w:r>
    </w:p>
    <w:p w14:paraId="21E2DB32" w14:textId="77777777" w:rsidR="00867482" w:rsidRPr="00867482" w:rsidRDefault="00867482" w:rsidP="00867482">
      <w:r w:rsidRPr="00C03D28">
        <w:rPr>
          <w:b/>
          <w:bCs/>
        </w:rPr>
        <w:t>Workplace Motivations:</w:t>
      </w:r>
      <w:r w:rsidRPr="00867482">
        <w:t xml:space="preserve"> Generation Z </w:t>
      </w:r>
      <w:proofErr w:type="spellStart"/>
      <w:r w:rsidRPr="00867482">
        <w:t>prioritises</w:t>
      </w:r>
      <w:proofErr w:type="spellEnd"/>
      <w:r w:rsidRPr="00867482">
        <w:t xml:space="preserve"> meaningful work, personal development, flexibility, well-being, and technological integration over traditional extrinsic rewards such as salary (Twenge, 2010; </w:t>
      </w:r>
      <w:proofErr w:type="spellStart"/>
      <w:r w:rsidRPr="00867482">
        <w:t>Putriastuti</w:t>
      </w:r>
      <w:proofErr w:type="spellEnd"/>
      <w:r w:rsidRPr="00867482">
        <w:t xml:space="preserve"> &amp; Stasi, 2019; Chicca &amp; Shellenbarger, 2018; Deloitte, 2023; Schroth, 2019).</w:t>
      </w:r>
    </w:p>
    <w:p w14:paraId="16FFDB2B" w14:textId="77777777" w:rsidR="00867482" w:rsidRPr="00867482" w:rsidRDefault="00867482" w:rsidP="00867482">
      <w:r w:rsidRPr="00C03D28">
        <w:rPr>
          <w:b/>
          <w:bCs/>
        </w:rPr>
        <w:t>Workplace Challenges:</w:t>
      </w:r>
      <w:r w:rsidRPr="00867482">
        <w:t xml:space="preserve"> Generation Z faces challenges including limited experience, generational stereotypes, mental health pressures, and intergenerational communication differences that can hinder workplace integration (Myers &amp; </w:t>
      </w:r>
      <w:proofErr w:type="spellStart"/>
      <w:r w:rsidRPr="00867482">
        <w:t>Sadaghiani</w:t>
      </w:r>
      <w:proofErr w:type="spellEnd"/>
      <w:r w:rsidRPr="00867482">
        <w:t>, 2010; Schroth, 2019; Deloitte, 2021; Seemiller &amp; Grace, 2017; Cilliers, 2017).</w:t>
      </w:r>
    </w:p>
    <w:p w14:paraId="13F5EAC8" w14:textId="20C4C0AE" w:rsidR="00867482" w:rsidRPr="00867482" w:rsidRDefault="00867482" w:rsidP="00867482">
      <w:proofErr w:type="spellStart"/>
      <w:r w:rsidRPr="00C03D28">
        <w:rPr>
          <w:b/>
          <w:bCs/>
        </w:rPr>
        <w:t>Organisational</w:t>
      </w:r>
      <w:proofErr w:type="spellEnd"/>
      <w:r w:rsidRPr="00C03D28">
        <w:rPr>
          <w:b/>
          <w:bCs/>
        </w:rPr>
        <w:t xml:space="preserve"> Policies and Practices:</w:t>
      </w:r>
      <w:r w:rsidRPr="00867482">
        <w:t xml:space="preserve"> Effective </w:t>
      </w:r>
      <w:proofErr w:type="spellStart"/>
      <w:r w:rsidRPr="00867482">
        <w:t>organisational</w:t>
      </w:r>
      <w:proofErr w:type="spellEnd"/>
      <w:r w:rsidRPr="00867482">
        <w:t xml:space="preserve"> policies for Generation Z focus on flexibility, mentorship, diversity, mental health support, digital integration, and alignment with ethical and sustainable practices (Schroth, 2019; </w:t>
      </w:r>
      <w:proofErr w:type="spellStart"/>
      <w:r w:rsidRPr="00867482">
        <w:t>Putriastuti</w:t>
      </w:r>
      <w:proofErr w:type="spellEnd"/>
      <w:r w:rsidRPr="00867482">
        <w:t xml:space="preserve"> &amp; Stasi, 2019; Francis &amp; Hoefel, 2018; Chicca &amp; Shellenbarger, 2018; Wiedmer, 2015).</w:t>
      </w:r>
    </w:p>
    <w:p w14:paraId="1010FA2D" w14:textId="77777777" w:rsidR="00867482" w:rsidRDefault="00867482" w:rsidP="007E52FA">
      <w:pPr>
        <w:pStyle w:val="Heading2"/>
      </w:pPr>
      <w:bookmarkStart w:id="5" w:name="_Toc210953519"/>
      <w:r w:rsidRPr="00867482">
        <w:t>2.2 Theoretical Framework</w:t>
      </w:r>
      <w:bookmarkEnd w:id="5"/>
    </w:p>
    <w:p w14:paraId="3EFAE242" w14:textId="77777777" w:rsidR="00CF7B4F" w:rsidRDefault="00CF7B4F" w:rsidP="00CF7B4F">
      <w:r>
        <w:t xml:space="preserve">This paper focuses on the work-related motivations, issues, and experiences of Generation Z by applying the theories in a variety of different ways, as there is no single theory available that can fully describe their nature. The Two-Factor Theory of Herzberg </w:t>
      </w:r>
      <w:proofErr w:type="spellStart"/>
      <w:r>
        <w:t>emphasises</w:t>
      </w:r>
      <w:proofErr w:type="spellEnd"/>
      <w:r>
        <w:t xml:space="preserve"> the dual significance of intrinsic motivation, including significant work and self-development, and extrinsic hygiene factors, including salary and employment (Herzberg, 1959; </w:t>
      </w:r>
      <w:proofErr w:type="spellStart"/>
      <w:r>
        <w:t>Putriastuti</w:t>
      </w:r>
      <w:proofErr w:type="spellEnd"/>
      <w:r>
        <w:t xml:space="preserve"> and Stasi, 2019; Wiedmer, 2015; Twenge, 2010). Self-Determination Theory focuses on the fulfilment of autonomy, competence, </w:t>
      </w:r>
      <w:r>
        <w:lastRenderedPageBreak/>
        <w:t xml:space="preserve">and relatedness needs, and it demonstrates that supportive, flexible, and skill-developing conditions boost motivation and retention (Deci and Ryan, 1985; Chicca and Shellenbarger, 2018; Deloitte, 2023). The value of digital fluency, inclusivity, and social responsibility make up the core of Gen Z, as the values of Gen Z can be placed within the realm of collective historical and cultural experience, which is distinct to the previous generations (Mannheim, 1952; Ryder, 1965; Francis and Hoefel, 2018; Schroth, 2019). The expectations that Gen Z has in terms of transparent communication, career development, and ethical </w:t>
      </w:r>
      <w:proofErr w:type="spellStart"/>
      <w:r>
        <w:t>organisational</w:t>
      </w:r>
      <w:proofErr w:type="spellEnd"/>
      <w:r>
        <w:t xml:space="preserve"> </w:t>
      </w:r>
      <w:proofErr w:type="spellStart"/>
      <w:r>
        <w:t>practises</w:t>
      </w:r>
      <w:proofErr w:type="spellEnd"/>
      <w:r>
        <w:t xml:space="preserve"> are also </w:t>
      </w:r>
      <w:proofErr w:type="spellStart"/>
      <w:r>
        <w:t>emphasised</w:t>
      </w:r>
      <w:proofErr w:type="spellEnd"/>
      <w:r>
        <w:t xml:space="preserve"> by the Psychological Contract Theory, and the lack of it in the case of breach leads to dissatisfaction and turnover (Rousseau, 1995; Seemiller and Grace, 2017; Deloitte, 2021; Schroth, 2019). By incorporating these structures, the individual motivation and </w:t>
      </w:r>
      <w:proofErr w:type="spellStart"/>
      <w:r>
        <w:t>organisational</w:t>
      </w:r>
      <w:proofErr w:type="spellEnd"/>
      <w:r>
        <w:t xml:space="preserve"> approach have a holistic background of understanding how to engage and retain this unique generation group.</w:t>
      </w:r>
    </w:p>
    <w:p w14:paraId="39C6E587" w14:textId="77777777" w:rsidR="00CF7B4F" w:rsidRDefault="00CF7B4F" w:rsidP="00BA6B5C">
      <w:pPr>
        <w:pStyle w:val="Heading2"/>
      </w:pPr>
      <w:bookmarkStart w:id="6" w:name="_Toc210953520"/>
      <w:r>
        <w:t>2.3 Key Findings from Existing Research</w:t>
      </w:r>
      <w:bookmarkEnd w:id="6"/>
    </w:p>
    <w:p w14:paraId="6E8DFEF6" w14:textId="77777777" w:rsidR="00CF7B4F" w:rsidRDefault="00CF7B4F" w:rsidP="00BA6B5C">
      <w:pPr>
        <w:pStyle w:val="Heading3"/>
        <w:spacing w:before="0"/>
      </w:pPr>
      <w:bookmarkStart w:id="7" w:name="_Toc210953521"/>
      <w:r>
        <w:t>2.3.1 Workplace Motivations and Values</w:t>
      </w:r>
      <w:bookmarkEnd w:id="7"/>
    </w:p>
    <w:p w14:paraId="587B0FCA" w14:textId="77777777" w:rsidR="00CF7B4F" w:rsidRDefault="00CF7B4F" w:rsidP="00CF7B4F">
      <w:r>
        <w:t>One of the similarities in the studies conducted is that Generation Z values meaningful work and alignment with personal values. In a global survey conducted by Deloitte (2023), it was established that out of all employees who belong to Gen Z, more than forty percent would contemplate quitting a company that fails to address their ethical, social, or environmental issues. This implies that value congruence is becoming more central to value congruence. Also, Gaidhani, Arora and Sharma (2019) noted that Gen Z is strongly driven by the possibility to work on purposeful projects and by socially responsible employers.</w:t>
      </w:r>
    </w:p>
    <w:p w14:paraId="04198BEF" w14:textId="77777777" w:rsidR="00CF7B4F" w:rsidRDefault="00CF7B4F" w:rsidP="00CF7B4F">
      <w:r>
        <w:t xml:space="preserve">Opportunities of career development and skill growth are also major motivators. </w:t>
      </w:r>
      <w:proofErr w:type="spellStart"/>
      <w:r>
        <w:t>Iorgulescu</w:t>
      </w:r>
      <w:proofErr w:type="spellEnd"/>
      <w:r>
        <w:t xml:space="preserve"> (2016) claims that although a little older study, Gen Z focuses on the rapid advancement and constant learning, unlike Millennials, who preferred to remain in one position. More recent data supports this trend: </w:t>
      </w:r>
      <w:proofErr w:type="spellStart"/>
      <w:r>
        <w:t>Sidorcuka</w:t>
      </w:r>
      <w:proofErr w:type="spellEnd"/>
      <w:r>
        <w:t xml:space="preserve"> and </w:t>
      </w:r>
      <w:proofErr w:type="spellStart"/>
      <w:r>
        <w:t>Chesnovicka</w:t>
      </w:r>
      <w:proofErr w:type="spellEnd"/>
      <w:r>
        <w:t xml:space="preserve"> (2019) have discovered that career development </w:t>
      </w:r>
      <w:proofErr w:type="spellStart"/>
      <w:r>
        <w:t>programmes</w:t>
      </w:r>
      <w:proofErr w:type="spellEnd"/>
      <w:r>
        <w:t xml:space="preserve"> and mentorship opportunities are among the highest workplace priorities of Gen Z employees. The focus on career development is consistent with the results of Seemiller and Grace (2017) who note that Gen Z would like employers with effective training opportunities and potential upskilling.</w:t>
      </w:r>
    </w:p>
    <w:p w14:paraId="6319F13E" w14:textId="77777777" w:rsidR="00CF7B4F" w:rsidRDefault="00CF7B4F" w:rsidP="00CF7B4F">
      <w:r>
        <w:lastRenderedPageBreak/>
        <w:t xml:space="preserve">Another important motivational factor is work-life balance. Ozkan and Solmaz (2019) demonstrated that Gen Z workers tend to prioritise flexibility over monetary remuneration, preferring models of hybrid or remote work that can combine individual and job-related obligations. Schroth (2019) also </w:t>
      </w:r>
      <w:proofErr w:type="spellStart"/>
      <w:r>
        <w:t>emphasised</w:t>
      </w:r>
      <w:proofErr w:type="spellEnd"/>
      <w:r>
        <w:t xml:space="preserve"> that Gen Z </w:t>
      </w:r>
      <w:proofErr w:type="spellStart"/>
      <w:r>
        <w:t>favours</w:t>
      </w:r>
      <w:proofErr w:type="spellEnd"/>
      <w:r>
        <w:t xml:space="preserve"> freedom and being able to work across time, which indicates that strict work models can be detrimental to engagement. This can be explained by more recent findings by Deloitte (2021), which demonstrated that flexible work structure is still among the most potent job satisfaction predictors among Gen Z.</w:t>
      </w:r>
    </w:p>
    <w:p w14:paraId="7548B1CF" w14:textId="77777777" w:rsidR="00CF7B4F" w:rsidRDefault="00CF7B4F" w:rsidP="00CF7B4F">
      <w:r>
        <w:t xml:space="preserve">Lastly, technological integration is a significant motivator. Gen Z also anticipates the smooth operation of digital tools, artificial intelligence, and a collaborative platform in the workplace (Scholz, 2021). They view technology not as a support as older cohorts but as part and parcel of work processes. This aspect of digital fluency inspires and defines the anticipations towards </w:t>
      </w:r>
      <w:proofErr w:type="spellStart"/>
      <w:r>
        <w:t>organisational</w:t>
      </w:r>
      <w:proofErr w:type="spellEnd"/>
      <w:r>
        <w:t xml:space="preserve"> innovation.</w:t>
      </w:r>
    </w:p>
    <w:p w14:paraId="00DA4DAF" w14:textId="77777777" w:rsidR="00CF7B4F" w:rsidRDefault="00CF7B4F" w:rsidP="00BA6B5C">
      <w:pPr>
        <w:pStyle w:val="Heading3"/>
      </w:pPr>
      <w:bookmarkStart w:id="8" w:name="_Toc210953522"/>
      <w:r>
        <w:t>2.3.2 Challenges and Barriers</w:t>
      </w:r>
      <w:bookmarkEnd w:id="8"/>
    </w:p>
    <w:p w14:paraId="51E2F33D" w14:textId="77777777" w:rsidR="00CF7B4F" w:rsidRDefault="00CF7B4F" w:rsidP="00CF7B4F">
      <w:r>
        <w:t xml:space="preserve">Alongside these </w:t>
      </w:r>
      <w:proofErr w:type="spellStart"/>
      <w:r>
        <w:t>favourable</w:t>
      </w:r>
      <w:proofErr w:type="spellEnd"/>
      <w:r>
        <w:t xml:space="preserve"> features, Generation Z can also face some difficulties in the work environments. Limited professional experience is one of the most commonly mentioned problems. According to </w:t>
      </w:r>
      <w:proofErr w:type="spellStart"/>
      <w:r>
        <w:t>Putriastuti</w:t>
      </w:r>
      <w:proofErr w:type="spellEnd"/>
      <w:r>
        <w:t xml:space="preserve"> and Stasi (2019), the young Gen Z employees tend to have difficulties with adapting to </w:t>
      </w:r>
      <w:proofErr w:type="spellStart"/>
      <w:r>
        <w:t>organisational</w:t>
      </w:r>
      <w:proofErr w:type="spellEnd"/>
      <w:r>
        <w:t xml:space="preserve"> structures, performance standards, and workplace culture. Such inexperience may lead to stereotyping of older coworkers who may think that Gen Z is weaker or less ready to work in the profession (Schroth, 2019).</w:t>
      </w:r>
    </w:p>
    <w:p w14:paraId="0A9A3BA3" w14:textId="205B1FDE" w:rsidR="00CF7B4F" w:rsidRDefault="00CF7B4F" w:rsidP="00CF7B4F">
      <w:r>
        <w:t xml:space="preserve">The other important challenge is associated with mental health and well-being. Deloitte (2023) found out that approximately 50 percent of Gen Z staff members describe being affected by stress and burnout, with monetary insecurity, and workload strain as the primary factors. The socio-economic </w:t>
      </w:r>
      <w:proofErr w:type="spellStart"/>
      <w:r>
        <w:t>unpredictabilities</w:t>
      </w:r>
      <w:proofErr w:type="spellEnd"/>
      <w:r>
        <w:t xml:space="preserve"> experienced during their early years, such as the COVID-19 pandemic, climate issues, and unstable labour markets worsen mental health problems (Singh and Dangmei, 2018; Brooks </w:t>
      </w:r>
      <w:r w:rsidR="00BA6B5C" w:rsidRPr="00BA6B5C">
        <w:rPr>
          <w:i/>
          <w:iCs/>
        </w:rPr>
        <w:t>et al</w:t>
      </w:r>
      <w:r>
        <w:t>., 2020). Companies that do not deal with these problems are likely to lose engagement and experience turnover among Gen Z employees.</w:t>
      </w:r>
    </w:p>
    <w:p w14:paraId="59EE9E4D" w14:textId="77777777" w:rsidR="00CF7B4F" w:rsidRDefault="00CF7B4F" w:rsidP="00CF7B4F">
      <w:r>
        <w:t xml:space="preserve">There is also a challenge of intergenerational conflict. Studies by Cilliers (2017) and established by </w:t>
      </w:r>
      <w:proofErr w:type="spellStart"/>
      <w:r>
        <w:t>Sidorcuka</w:t>
      </w:r>
      <w:proofErr w:type="spellEnd"/>
      <w:r>
        <w:t xml:space="preserve"> and </w:t>
      </w:r>
      <w:proofErr w:type="spellStart"/>
      <w:r>
        <w:t>Chesnovicka</w:t>
      </w:r>
      <w:proofErr w:type="spellEnd"/>
      <w:r>
        <w:t xml:space="preserve"> (2019) show that a digital communication style of Gen Z may cause misunderstandings with older colleagues who appreciate </w:t>
      </w:r>
      <w:r>
        <w:lastRenderedPageBreak/>
        <w:t>face-to-face communication. Moreover, assumptions about Gen Z as a group of job hoppers or entitled people can cause bias in the hiring and performance appraisal (Chicca &amp; Shellenbarger, 2018). These stereotypes cannot be left unchecked because they can obstruct teamwork and unity within an organisation.</w:t>
      </w:r>
    </w:p>
    <w:p w14:paraId="323BD1C1" w14:textId="77777777" w:rsidR="00CF7B4F" w:rsidRDefault="00CF7B4F" w:rsidP="00CF7B4F">
      <w:r>
        <w:t xml:space="preserve">Lastly, high turnover intentions are also a significant </w:t>
      </w:r>
      <w:proofErr w:type="spellStart"/>
      <w:r>
        <w:t>organisational</w:t>
      </w:r>
      <w:proofErr w:type="spellEnd"/>
      <w:r>
        <w:t xml:space="preserve"> challenge. Several reports, such as those of Deloitte (2021; 2023), indicate that Gen Z workers are more ready than other generations to quit jobs at a rapid pace when their expectations are not fulfilled. This ends up </w:t>
      </w:r>
      <w:proofErr w:type="spellStart"/>
      <w:r>
        <w:t>destabilising</w:t>
      </w:r>
      <w:proofErr w:type="spellEnd"/>
      <w:r>
        <w:t xml:space="preserve"> the employers who worry about retention, succession planning and associated costs in terms of recruitment as well as training.</w:t>
      </w:r>
    </w:p>
    <w:p w14:paraId="3BEAB487" w14:textId="77777777" w:rsidR="00CF7B4F" w:rsidRDefault="00CF7B4F" w:rsidP="00BA6B5C">
      <w:pPr>
        <w:pStyle w:val="Heading3"/>
      </w:pPr>
      <w:bookmarkStart w:id="9" w:name="_Toc210953523"/>
      <w:r>
        <w:t xml:space="preserve">2.3.3 </w:t>
      </w:r>
      <w:proofErr w:type="spellStart"/>
      <w:r>
        <w:t>Organisational</w:t>
      </w:r>
      <w:proofErr w:type="spellEnd"/>
      <w:r>
        <w:t xml:space="preserve"> Policies and </w:t>
      </w:r>
      <w:proofErr w:type="spellStart"/>
      <w:r>
        <w:t>Practises</w:t>
      </w:r>
      <w:bookmarkEnd w:id="9"/>
      <w:proofErr w:type="spellEnd"/>
    </w:p>
    <w:p w14:paraId="361C6999" w14:textId="77777777" w:rsidR="00CF7B4F" w:rsidRDefault="00CF7B4F" w:rsidP="00CF7B4F">
      <w:r>
        <w:t xml:space="preserve">Another aspect that the literature can point to in terms of assisting the successful incorporation of Generation Z in the workplace is various </w:t>
      </w:r>
      <w:proofErr w:type="spellStart"/>
      <w:r>
        <w:t>organisational</w:t>
      </w:r>
      <w:proofErr w:type="spellEnd"/>
      <w:r>
        <w:t xml:space="preserve"> policies and </w:t>
      </w:r>
      <w:proofErr w:type="spellStart"/>
      <w:r>
        <w:t>practises</w:t>
      </w:r>
      <w:proofErr w:type="spellEnd"/>
      <w:r>
        <w:t>. The development of flexible work policies is one of the main approaches. It has been noted that remote and hybrid work models are effective in facilitating engagement and retention (Ozkan and Solmaz, 2019; Deloitte, 2023). Flexibility is also something that employers will find hard to embrace and keep Gen Z talent when competing against others.</w:t>
      </w:r>
    </w:p>
    <w:p w14:paraId="7B0BE227" w14:textId="77777777" w:rsidR="00CF7B4F" w:rsidRDefault="00CF7B4F" w:rsidP="00CF7B4F">
      <w:r>
        <w:t xml:space="preserve">Another important recommendation is mentorship and career development </w:t>
      </w:r>
      <w:proofErr w:type="spellStart"/>
      <w:r>
        <w:t>programmes</w:t>
      </w:r>
      <w:proofErr w:type="spellEnd"/>
      <w:r>
        <w:t xml:space="preserve">. According to </w:t>
      </w:r>
      <w:proofErr w:type="spellStart"/>
      <w:r>
        <w:t>Sidorcuka</w:t>
      </w:r>
      <w:proofErr w:type="spellEnd"/>
      <w:r>
        <w:t xml:space="preserve"> and </w:t>
      </w:r>
      <w:proofErr w:type="spellStart"/>
      <w:r>
        <w:t>Chesnovicka</w:t>
      </w:r>
      <w:proofErr w:type="spellEnd"/>
      <w:r>
        <w:t xml:space="preserve"> (2019), structured mentoring helps Gen Z employees to gain professional confidence and orient in </w:t>
      </w:r>
      <w:proofErr w:type="spellStart"/>
      <w:r>
        <w:t>organisational</w:t>
      </w:r>
      <w:proofErr w:type="spellEnd"/>
      <w:r>
        <w:t xml:space="preserve"> culture. Likewise, Singh and </w:t>
      </w:r>
      <w:proofErr w:type="spellStart"/>
      <w:r>
        <w:t>Dangmei</w:t>
      </w:r>
      <w:proofErr w:type="spellEnd"/>
      <w:r>
        <w:t xml:space="preserve"> (2018) indicated that the increased attrition rates in the initial stages are lowered through </w:t>
      </w:r>
      <w:proofErr w:type="spellStart"/>
      <w:r>
        <w:t>customised</w:t>
      </w:r>
      <w:proofErr w:type="spellEnd"/>
      <w:r>
        <w:t xml:space="preserve"> onboarding process by alleviating the differences between expectations and reality.</w:t>
      </w:r>
    </w:p>
    <w:p w14:paraId="11EFEEA1" w14:textId="77777777" w:rsidR="00CF7B4F" w:rsidRDefault="00CF7B4F" w:rsidP="00CF7B4F">
      <w:r>
        <w:t xml:space="preserve">Equity, diversity and inclusion (DEI) policies are also critical. Research indicates that Gen Z workers demand </w:t>
      </w:r>
      <w:proofErr w:type="spellStart"/>
      <w:r>
        <w:t>organisations</w:t>
      </w:r>
      <w:proofErr w:type="spellEnd"/>
      <w:r>
        <w:t xml:space="preserve"> to be vocal about their inclusivity and fairness in their hiring, promotions, and </w:t>
      </w:r>
      <w:proofErr w:type="spellStart"/>
      <w:r>
        <w:t>organisational</w:t>
      </w:r>
      <w:proofErr w:type="spellEnd"/>
      <w:r>
        <w:t xml:space="preserve"> culture (Francis and Hoefel, 2018; Deloitte, 2021). Lack of sound DEI plans puts </w:t>
      </w:r>
      <w:proofErr w:type="spellStart"/>
      <w:r>
        <w:t>organisations</w:t>
      </w:r>
      <w:proofErr w:type="spellEnd"/>
      <w:r>
        <w:t xml:space="preserve"> at risk of being negatively </w:t>
      </w:r>
      <w:proofErr w:type="spellStart"/>
      <w:r>
        <w:t>publicised</w:t>
      </w:r>
      <w:proofErr w:type="spellEnd"/>
      <w:r>
        <w:t xml:space="preserve"> and struggling to keep socially minded employees.</w:t>
      </w:r>
    </w:p>
    <w:p w14:paraId="3CA23EBA" w14:textId="20A07725" w:rsidR="00CF7B4F" w:rsidRDefault="00CF7B4F" w:rsidP="00CF7B4F">
      <w:r>
        <w:t xml:space="preserve">Moreover, mental health and well-being initiatives are considered more and more necessary. According to Brooks </w:t>
      </w:r>
      <w:r w:rsidR="00BA6B5C" w:rsidRPr="00BA6B5C">
        <w:rPr>
          <w:i/>
          <w:iCs/>
        </w:rPr>
        <w:t>et al</w:t>
      </w:r>
      <w:r>
        <w:t xml:space="preserve">. (2020), Generation Z dependability on policies that facilitate stress management, access to counselling, and the ability to work </w:t>
      </w:r>
      <w:r>
        <w:lastRenderedPageBreak/>
        <w:t xml:space="preserve">independently are essential. This is reflected in the results of Deloitte (2023) revealing that younger workers value employers who are keen on well-being </w:t>
      </w:r>
      <w:proofErr w:type="spellStart"/>
      <w:r>
        <w:t>programmes</w:t>
      </w:r>
      <w:proofErr w:type="spellEnd"/>
      <w:r>
        <w:t>.</w:t>
      </w:r>
    </w:p>
    <w:p w14:paraId="374D2DCD" w14:textId="77777777" w:rsidR="00CF7B4F" w:rsidRDefault="00CF7B4F" w:rsidP="00CF7B4F">
      <w:r>
        <w:t xml:space="preserve">Last but not least is the digital innovation policies. According to Scholz (2021), Gen Z anticipates the future of technology which is not only in the work tools; the latest technology is expected to be applied in the </w:t>
      </w:r>
      <w:proofErr w:type="spellStart"/>
      <w:r>
        <w:t>organisational</w:t>
      </w:r>
      <w:proofErr w:type="spellEnd"/>
      <w:r>
        <w:t xml:space="preserve"> processes of recruitment, performance management, and learning. Brands that are digital-first are better placed to capture and retain this generation.</w:t>
      </w:r>
    </w:p>
    <w:p w14:paraId="26E2EF36" w14:textId="77777777" w:rsidR="00CF7B4F" w:rsidRDefault="00CF7B4F" w:rsidP="00BA6B5C">
      <w:pPr>
        <w:pStyle w:val="Heading3"/>
      </w:pPr>
      <w:bookmarkStart w:id="10" w:name="_Toc210953524"/>
      <w:r>
        <w:t>2.3.4 Research Gap</w:t>
      </w:r>
      <w:bookmarkEnd w:id="10"/>
    </w:p>
    <w:p w14:paraId="11E33894" w14:textId="18259C2E" w:rsidR="00C03D28" w:rsidRDefault="00CF7B4F" w:rsidP="00CF7B4F">
      <w:r>
        <w:t xml:space="preserve">Although there is an increasing body of research on the motivations, challenges, and </w:t>
      </w:r>
      <w:proofErr w:type="spellStart"/>
      <w:r>
        <w:t>organisational</w:t>
      </w:r>
      <w:proofErr w:type="spellEnd"/>
      <w:r>
        <w:t xml:space="preserve"> expectations of Generation Z, there are still a number of gaps. Available research is helpful in understanding the quest of Gen Z towards meaningful work, degree of flexibility, and incorporation of technology (Gaidhani </w:t>
      </w:r>
      <w:r w:rsidR="00BA6B5C" w:rsidRPr="00BA6B5C">
        <w:rPr>
          <w:i/>
          <w:iCs/>
        </w:rPr>
        <w:t>et al</w:t>
      </w:r>
      <w:r>
        <w:t>., 2019; Ozkan and Solmaz, 2019; Scholz, 2021), the challenges that they encounter in terms of inexperience, mental health, and intergenerational conflict (</w:t>
      </w:r>
      <w:proofErr w:type="spellStart"/>
      <w:r>
        <w:t>Putriastuti</w:t>
      </w:r>
      <w:proofErr w:type="spellEnd"/>
      <w:r>
        <w:t xml:space="preserve"> and Stasi, 2019; Brooks </w:t>
      </w:r>
      <w:r w:rsidR="00BA6B5C" w:rsidRPr="00BA6B5C">
        <w:rPr>
          <w:i/>
          <w:iCs/>
        </w:rPr>
        <w:t>et al</w:t>
      </w:r>
      <w:r>
        <w:t xml:space="preserve">., 2020; Cilliers, 2017). Nevertheless, these motivations and barriers are poorly </w:t>
      </w:r>
      <w:proofErr w:type="spellStart"/>
      <w:r>
        <w:t>synthesised</w:t>
      </w:r>
      <w:proofErr w:type="spellEnd"/>
      <w:r>
        <w:t xml:space="preserve"> using evidence that is still in bits to form a coherent relationship between the two and certain </w:t>
      </w:r>
      <w:proofErr w:type="spellStart"/>
      <w:r>
        <w:t>organisational</w:t>
      </w:r>
      <w:proofErr w:type="spellEnd"/>
      <w:r>
        <w:t xml:space="preserve"> policies and results. Little research has thoroughly assessed the success of suggested </w:t>
      </w:r>
      <w:proofErr w:type="spellStart"/>
      <w:r>
        <w:t>practise</w:t>
      </w:r>
      <w:proofErr w:type="spellEnd"/>
      <w:r>
        <w:t xml:space="preserve">, including flexible work arrangements, mentorship, DEI efforts and mental health </w:t>
      </w:r>
      <w:proofErr w:type="spellStart"/>
      <w:r>
        <w:t>programmes</w:t>
      </w:r>
      <w:proofErr w:type="spellEnd"/>
      <w:r>
        <w:t>, in increasing Gen Z engagement and retention (</w:t>
      </w:r>
      <w:proofErr w:type="spellStart"/>
      <w:r>
        <w:t>Sidorcuka</w:t>
      </w:r>
      <w:proofErr w:type="spellEnd"/>
      <w:r>
        <w:t xml:space="preserve"> and </w:t>
      </w:r>
      <w:proofErr w:type="spellStart"/>
      <w:r>
        <w:t>Chesnovicka</w:t>
      </w:r>
      <w:proofErr w:type="spellEnd"/>
      <w:r>
        <w:t>, 2019; Deloitte, 2023). Additionally, cross-cultural and longitudinal studies are limited to limit knowledge about the dynamic changes across situations and time.</w:t>
      </w:r>
    </w:p>
    <w:p w14:paraId="2FFF6A20" w14:textId="2A0C246D" w:rsidR="00C03D28" w:rsidRPr="00C03D28" w:rsidRDefault="00C03D28" w:rsidP="00C03D28">
      <w:pPr>
        <w:spacing w:line="278" w:lineRule="auto"/>
        <w:jc w:val="left"/>
      </w:pPr>
      <w:r>
        <w:br w:type="page"/>
      </w:r>
    </w:p>
    <w:p w14:paraId="01A7ACBC" w14:textId="28031E11" w:rsidR="00867482" w:rsidRPr="007E52FA" w:rsidRDefault="007E52FA" w:rsidP="007E52FA">
      <w:pPr>
        <w:pStyle w:val="Heading1"/>
        <w:rPr>
          <w:rFonts w:cstheme="minorBidi"/>
        </w:rPr>
      </w:pPr>
      <w:bookmarkStart w:id="11" w:name="_Toc210953525"/>
      <w:r>
        <w:lastRenderedPageBreak/>
        <w:t xml:space="preserve">3. </w:t>
      </w:r>
      <w:r w:rsidR="00867482" w:rsidRPr="007E52FA">
        <w:t>Research Methodology</w:t>
      </w:r>
      <w:bookmarkEnd w:id="11"/>
    </w:p>
    <w:p w14:paraId="2E3E8FB6" w14:textId="4656F87B" w:rsidR="007E52FA" w:rsidRPr="007E52FA" w:rsidRDefault="007E52FA" w:rsidP="007E52FA">
      <w:pPr>
        <w:pStyle w:val="Heading2"/>
      </w:pPr>
      <w:bookmarkStart w:id="12" w:name="_Toc210953526"/>
      <w:r>
        <w:t xml:space="preserve">3.1 </w:t>
      </w:r>
      <w:r w:rsidRPr="007E52FA">
        <w:t>Research Design</w:t>
      </w:r>
      <w:bookmarkEnd w:id="12"/>
    </w:p>
    <w:p w14:paraId="605E1AD9" w14:textId="613DCAF8" w:rsidR="007E52FA" w:rsidRPr="007E52FA" w:rsidRDefault="00BA6B5C" w:rsidP="007E52FA">
      <w:r w:rsidRPr="00BA6B5C">
        <w:t xml:space="preserve">The proposed study will be conducted in the framework of a systematic review, which will </w:t>
      </w:r>
      <w:proofErr w:type="spellStart"/>
      <w:r w:rsidRPr="00BA6B5C">
        <w:t>summarise</w:t>
      </w:r>
      <w:proofErr w:type="spellEnd"/>
      <w:r w:rsidRPr="00BA6B5C">
        <w:t xml:space="preserve"> the available literature on the workplace experience and motivation of Generation Z, challenges, and </w:t>
      </w:r>
      <w:proofErr w:type="spellStart"/>
      <w:r w:rsidRPr="00BA6B5C">
        <w:t>organisational</w:t>
      </w:r>
      <w:proofErr w:type="spellEnd"/>
      <w:r w:rsidRPr="00BA6B5C">
        <w:t xml:space="preserve"> policies. Based on the PRISMA framework, the review is conducted in a transparent and replicable manner in terms of identification, screening, inclusion, and reporting of studies (Moher </w:t>
      </w:r>
      <w:r w:rsidRPr="00BA6B5C">
        <w:rPr>
          <w:i/>
          <w:iCs/>
        </w:rPr>
        <w:t>et al</w:t>
      </w:r>
      <w:r w:rsidRPr="00BA6B5C">
        <w:t xml:space="preserve">., 2009; Page </w:t>
      </w:r>
      <w:r w:rsidRPr="00BA6B5C">
        <w:rPr>
          <w:i/>
          <w:iCs/>
        </w:rPr>
        <w:t>et al</w:t>
      </w:r>
      <w:r w:rsidRPr="00BA6B5C">
        <w:t>., 2021). The research is based on the interpretivist philosophy which acknowledges that workplace experiences are context-dependent and socially constructed</w:t>
      </w:r>
      <w:r w:rsidR="007E52FA" w:rsidRPr="007E52FA">
        <w:t xml:space="preserve"> (Saunders, Lewis &amp; Thornhill, 2019). An inductive approach is employed to generate insights from existing literature, consistent with the exploratory and integrative purpose of a systematic review (Thomas, 2006; Kitchenham, 2004).</w:t>
      </w:r>
    </w:p>
    <w:p w14:paraId="613F43EE" w14:textId="7498C13D" w:rsidR="007E52FA" w:rsidRPr="007E52FA" w:rsidRDefault="007E52FA" w:rsidP="007E52FA">
      <w:pPr>
        <w:pStyle w:val="Heading2"/>
      </w:pPr>
      <w:bookmarkStart w:id="13" w:name="_Toc210953527"/>
      <w:r>
        <w:t xml:space="preserve">3.2 </w:t>
      </w:r>
      <w:r w:rsidRPr="007E52FA">
        <w:t>Databases and Search Strategy</w:t>
      </w:r>
      <w:bookmarkEnd w:id="13"/>
    </w:p>
    <w:p w14:paraId="1538F04B" w14:textId="22E91650" w:rsidR="007E52FA" w:rsidRDefault="007E52FA" w:rsidP="007E52FA">
      <w:r w:rsidRPr="007E52FA">
        <w:t xml:space="preserve">Literature will be identified through Scopus, Web of Science, Google Scholar, and the UWTSD library catalogue. These sources offer broad coverage of peer-reviewed and grey literature relevant to </w:t>
      </w:r>
      <w:proofErr w:type="spellStart"/>
      <w:r w:rsidRPr="007E52FA">
        <w:t>organisational</w:t>
      </w:r>
      <w:proofErr w:type="spellEnd"/>
      <w:r w:rsidRPr="007E52FA">
        <w:t xml:space="preserve"> behaviour, human resource management, and generational studies. Search terms will combine keywords such as “Generation Z,” “workplace,” “motivations,” “challenges,” and “</w:t>
      </w:r>
      <w:proofErr w:type="spellStart"/>
      <w:r w:rsidRPr="007E52FA">
        <w:t>organisational</w:t>
      </w:r>
      <w:proofErr w:type="spellEnd"/>
      <w:r w:rsidRPr="007E52FA">
        <w:t xml:space="preserve"> policies” using Boolean operators (AND, OR). Searches will be limited to English-language publications from 2010 to 2025, </w:t>
      </w:r>
      <w:proofErr w:type="spellStart"/>
      <w:r w:rsidRPr="007E52FA">
        <w:t>prioritising</w:t>
      </w:r>
      <w:proofErr w:type="spellEnd"/>
      <w:r w:rsidRPr="007E52FA">
        <w:t xml:space="preserve"> studies from 2019 onward to ensure contemporary relevance.</w:t>
      </w:r>
    </w:p>
    <w:p w14:paraId="0E77BF0D" w14:textId="77DF1602" w:rsidR="007E52FA" w:rsidRPr="007E52FA" w:rsidRDefault="007E52FA" w:rsidP="007E52FA">
      <w:pPr>
        <w:spacing w:line="278" w:lineRule="auto"/>
        <w:jc w:val="left"/>
      </w:pPr>
      <w:r>
        <w:br w:type="page"/>
      </w:r>
    </w:p>
    <w:p w14:paraId="5B05CFCE" w14:textId="742FA135" w:rsidR="00867482" w:rsidRDefault="007E52FA" w:rsidP="007E52FA">
      <w:pPr>
        <w:pStyle w:val="Heading2"/>
      </w:pPr>
      <w:bookmarkStart w:id="14" w:name="_Toc210953528"/>
      <w:r>
        <w:lastRenderedPageBreak/>
        <w:t>3.3 Eligibility Criteria</w:t>
      </w:r>
      <w:bookmarkEnd w:id="14"/>
    </w:p>
    <w:tbl>
      <w:tblPr>
        <w:tblStyle w:val="TableGridLight"/>
        <w:tblW w:w="0" w:type="auto"/>
        <w:tblLook w:val="04A0" w:firstRow="1" w:lastRow="0" w:firstColumn="1" w:lastColumn="0" w:noHBand="0" w:noVBand="1"/>
      </w:tblPr>
      <w:tblGrid>
        <w:gridCol w:w="1395"/>
        <w:gridCol w:w="3754"/>
        <w:gridCol w:w="3867"/>
      </w:tblGrid>
      <w:tr w:rsidR="007E52FA" w:rsidRPr="007E52FA" w14:paraId="3D0483DE" w14:textId="77777777" w:rsidTr="007E52FA">
        <w:tc>
          <w:tcPr>
            <w:tcW w:w="0" w:type="auto"/>
            <w:vAlign w:val="center"/>
            <w:hideMark/>
          </w:tcPr>
          <w:p w14:paraId="5898EE0E" w14:textId="77777777" w:rsidR="007E52FA" w:rsidRPr="007E52FA" w:rsidRDefault="007E52FA" w:rsidP="007E52FA">
            <w:pPr>
              <w:spacing w:after="160" w:line="278" w:lineRule="auto"/>
              <w:jc w:val="left"/>
              <w:rPr>
                <w:rFonts w:cs="Arial"/>
                <w:b/>
                <w:bCs/>
              </w:rPr>
            </w:pPr>
            <w:r w:rsidRPr="007E52FA">
              <w:rPr>
                <w:rFonts w:cs="Arial"/>
                <w:b/>
                <w:bCs/>
              </w:rPr>
              <w:t>Criteria Type</w:t>
            </w:r>
          </w:p>
        </w:tc>
        <w:tc>
          <w:tcPr>
            <w:tcW w:w="0" w:type="auto"/>
            <w:vAlign w:val="center"/>
            <w:hideMark/>
          </w:tcPr>
          <w:p w14:paraId="7DF16E77" w14:textId="77777777" w:rsidR="007E52FA" w:rsidRPr="007E52FA" w:rsidRDefault="007E52FA" w:rsidP="007E52FA">
            <w:pPr>
              <w:spacing w:after="160" w:line="278" w:lineRule="auto"/>
              <w:jc w:val="left"/>
              <w:rPr>
                <w:rFonts w:cs="Arial"/>
                <w:b/>
                <w:bCs/>
              </w:rPr>
            </w:pPr>
            <w:r w:rsidRPr="007E52FA">
              <w:rPr>
                <w:rFonts w:cs="Arial"/>
                <w:b/>
                <w:bCs/>
              </w:rPr>
              <w:t>Inclusion Criteria</w:t>
            </w:r>
          </w:p>
        </w:tc>
        <w:tc>
          <w:tcPr>
            <w:tcW w:w="0" w:type="auto"/>
            <w:vAlign w:val="center"/>
            <w:hideMark/>
          </w:tcPr>
          <w:p w14:paraId="3227D433" w14:textId="77777777" w:rsidR="007E52FA" w:rsidRPr="007E52FA" w:rsidRDefault="007E52FA" w:rsidP="007E52FA">
            <w:pPr>
              <w:spacing w:after="160" w:line="278" w:lineRule="auto"/>
              <w:jc w:val="left"/>
              <w:rPr>
                <w:rFonts w:cs="Arial"/>
                <w:b/>
                <w:bCs/>
              </w:rPr>
            </w:pPr>
            <w:r w:rsidRPr="007E52FA">
              <w:rPr>
                <w:rFonts w:cs="Arial"/>
                <w:b/>
                <w:bCs/>
              </w:rPr>
              <w:t>Exclusion Criteria</w:t>
            </w:r>
          </w:p>
        </w:tc>
      </w:tr>
      <w:tr w:rsidR="007E52FA" w:rsidRPr="007E52FA" w14:paraId="10CA42B2" w14:textId="77777777" w:rsidTr="007E52FA">
        <w:tc>
          <w:tcPr>
            <w:tcW w:w="0" w:type="auto"/>
            <w:vAlign w:val="center"/>
            <w:hideMark/>
          </w:tcPr>
          <w:p w14:paraId="71439F3B" w14:textId="77777777" w:rsidR="007E52FA" w:rsidRPr="007E52FA" w:rsidRDefault="007E52FA" w:rsidP="007E52FA">
            <w:pPr>
              <w:spacing w:after="160" w:line="278" w:lineRule="auto"/>
              <w:jc w:val="left"/>
              <w:rPr>
                <w:rFonts w:cs="Arial"/>
              </w:rPr>
            </w:pPr>
            <w:r w:rsidRPr="007E52FA">
              <w:rPr>
                <w:rFonts w:cs="Arial"/>
              </w:rPr>
              <w:t>Context</w:t>
            </w:r>
          </w:p>
        </w:tc>
        <w:tc>
          <w:tcPr>
            <w:tcW w:w="0" w:type="auto"/>
            <w:vAlign w:val="center"/>
            <w:hideMark/>
          </w:tcPr>
          <w:p w14:paraId="4A40947E" w14:textId="77777777" w:rsidR="007E52FA" w:rsidRPr="007E52FA" w:rsidRDefault="007E52FA" w:rsidP="007E52FA">
            <w:pPr>
              <w:spacing w:after="160" w:line="278" w:lineRule="auto"/>
              <w:jc w:val="left"/>
              <w:rPr>
                <w:rFonts w:cs="Arial"/>
              </w:rPr>
            </w:pPr>
            <w:r w:rsidRPr="007E52FA">
              <w:rPr>
                <w:rFonts w:cs="Arial"/>
              </w:rPr>
              <w:t xml:space="preserve">Studies on Generation Z in workplace or </w:t>
            </w:r>
            <w:proofErr w:type="spellStart"/>
            <w:r w:rsidRPr="007E52FA">
              <w:rPr>
                <w:rFonts w:cs="Arial"/>
              </w:rPr>
              <w:t>organisational</w:t>
            </w:r>
            <w:proofErr w:type="spellEnd"/>
            <w:r w:rsidRPr="007E52FA">
              <w:rPr>
                <w:rFonts w:cs="Arial"/>
              </w:rPr>
              <w:t xml:space="preserve"> settings</w:t>
            </w:r>
          </w:p>
        </w:tc>
        <w:tc>
          <w:tcPr>
            <w:tcW w:w="0" w:type="auto"/>
            <w:vAlign w:val="center"/>
            <w:hideMark/>
          </w:tcPr>
          <w:p w14:paraId="2A8D7B91" w14:textId="77777777" w:rsidR="007E52FA" w:rsidRPr="007E52FA" w:rsidRDefault="007E52FA" w:rsidP="007E52FA">
            <w:pPr>
              <w:spacing w:after="160" w:line="278" w:lineRule="auto"/>
              <w:jc w:val="left"/>
              <w:rPr>
                <w:rFonts w:cs="Arial"/>
              </w:rPr>
            </w:pPr>
            <w:r w:rsidRPr="007E52FA">
              <w:rPr>
                <w:rFonts w:cs="Arial"/>
              </w:rPr>
              <w:t>Studies focusing solely on students or educational contexts</w:t>
            </w:r>
          </w:p>
        </w:tc>
      </w:tr>
      <w:tr w:rsidR="007E52FA" w:rsidRPr="007E52FA" w14:paraId="00364869" w14:textId="77777777" w:rsidTr="007E52FA">
        <w:tc>
          <w:tcPr>
            <w:tcW w:w="0" w:type="auto"/>
            <w:vAlign w:val="center"/>
            <w:hideMark/>
          </w:tcPr>
          <w:p w14:paraId="3A6D520C" w14:textId="77777777" w:rsidR="007E52FA" w:rsidRPr="007E52FA" w:rsidRDefault="007E52FA" w:rsidP="007E52FA">
            <w:pPr>
              <w:spacing w:after="160" w:line="278" w:lineRule="auto"/>
              <w:jc w:val="left"/>
              <w:rPr>
                <w:rFonts w:cs="Arial"/>
              </w:rPr>
            </w:pPr>
            <w:r w:rsidRPr="007E52FA">
              <w:rPr>
                <w:rFonts w:cs="Arial"/>
              </w:rPr>
              <w:t>Content</w:t>
            </w:r>
          </w:p>
        </w:tc>
        <w:tc>
          <w:tcPr>
            <w:tcW w:w="0" w:type="auto"/>
            <w:vAlign w:val="center"/>
            <w:hideMark/>
          </w:tcPr>
          <w:p w14:paraId="0EF176B8" w14:textId="77777777" w:rsidR="007E52FA" w:rsidRPr="007E52FA" w:rsidRDefault="007E52FA" w:rsidP="007E52FA">
            <w:pPr>
              <w:spacing w:after="160" w:line="278" w:lineRule="auto"/>
              <w:jc w:val="left"/>
              <w:rPr>
                <w:rFonts w:cs="Arial"/>
              </w:rPr>
            </w:pPr>
            <w:r w:rsidRPr="007E52FA">
              <w:rPr>
                <w:rFonts w:cs="Arial"/>
              </w:rPr>
              <w:t xml:space="preserve">Studies addressing workplace motivations, challenges, or </w:t>
            </w:r>
            <w:proofErr w:type="spellStart"/>
            <w:r w:rsidRPr="007E52FA">
              <w:rPr>
                <w:rFonts w:cs="Arial"/>
              </w:rPr>
              <w:t>organisational</w:t>
            </w:r>
            <w:proofErr w:type="spellEnd"/>
            <w:r w:rsidRPr="007E52FA">
              <w:rPr>
                <w:rFonts w:cs="Arial"/>
              </w:rPr>
              <w:t xml:space="preserve"> policies</w:t>
            </w:r>
          </w:p>
        </w:tc>
        <w:tc>
          <w:tcPr>
            <w:tcW w:w="0" w:type="auto"/>
            <w:vAlign w:val="center"/>
            <w:hideMark/>
          </w:tcPr>
          <w:p w14:paraId="60643AF2" w14:textId="77777777" w:rsidR="007E52FA" w:rsidRPr="007E52FA" w:rsidRDefault="007E52FA" w:rsidP="007E52FA">
            <w:pPr>
              <w:spacing w:after="160" w:line="278" w:lineRule="auto"/>
              <w:jc w:val="left"/>
              <w:rPr>
                <w:rFonts w:cs="Arial"/>
              </w:rPr>
            </w:pPr>
            <w:r w:rsidRPr="007E52FA">
              <w:rPr>
                <w:rFonts w:cs="Arial"/>
              </w:rPr>
              <w:t>Generational theory without application to workplace outcomes</w:t>
            </w:r>
          </w:p>
        </w:tc>
      </w:tr>
      <w:tr w:rsidR="007E52FA" w:rsidRPr="007E52FA" w14:paraId="1144A1D6" w14:textId="77777777" w:rsidTr="007E52FA">
        <w:tc>
          <w:tcPr>
            <w:tcW w:w="0" w:type="auto"/>
            <w:vAlign w:val="center"/>
            <w:hideMark/>
          </w:tcPr>
          <w:p w14:paraId="3D84863D" w14:textId="77777777" w:rsidR="007E52FA" w:rsidRPr="007E52FA" w:rsidRDefault="007E52FA" w:rsidP="007E52FA">
            <w:pPr>
              <w:spacing w:after="160" w:line="278" w:lineRule="auto"/>
              <w:jc w:val="left"/>
              <w:rPr>
                <w:rFonts w:cs="Arial"/>
              </w:rPr>
            </w:pPr>
            <w:r w:rsidRPr="007E52FA">
              <w:rPr>
                <w:rFonts w:cs="Arial"/>
              </w:rPr>
              <w:t>Study Type</w:t>
            </w:r>
          </w:p>
        </w:tc>
        <w:tc>
          <w:tcPr>
            <w:tcW w:w="0" w:type="auto"/>
            <w:vAlign w:val="center"/>
            <w:hideMark/>
          </w:tcPr>
          <w:p w14:paraId="201E9E71" w14:textId="77777777" w:rsidR="007E52FA" w:rsidRPr="007E52FA" w:rsidRDefault="007E52FA" w:rsidP="007E52FA">
            <w:pPr>
              <w:spacing w:after="160" w:line="278" w:lineRule="auto"/>
              <w:jc w:val="left"/>
              <w:rPr>
                <w:rFonts w:cs="Arial"/>
              </w:rPr>
            </w:pPr>
            <w:r w:rsidRPr="007E52FA">
              <w:rPr>
                <w:rFonts w:cs="Arial"/>
              </w:rPr>
              <w:t>Peer-reviewed journal articles, conference papers, or reputable reports</w:t>
            </w:r>
          </w:p>
        </w:tc>
        <w:tc>
          <w:tcPr>
            <w:tcW w:w="0" w:type="auto"/>
            <w:vAlign w:val="center"/>
            <w:hideMark/>
          </w:tcPr>
          <w:p w14:paraId="51B11377" w14:textId="77777777" w:rsidR="007E52FA" w:rsidRPr="007E52FA" w:rsidRDefault="007E52FA" w:rsidP="007E52FA">
            <w:pPr>
              <w:spacing w:after="160" w:line="278" w:lineRule="auto"/>
              <w:jc w:val="left"/>
              <w:rPr>
                <w:rFonts w:cs="Arial"/>
              </w:rPr>
            </w:pPr>
            <w:r w:rsidRPr="007E52FA">
              <w:rPr>
                <w:rFonts w:cs="Arial"/>
              </w:rPr>
              <w:t>Non-peer-reviewed sources, blogs, or opinion pieces</w:t>
            </w:r>
          </w:p>
        </w:tc>
      </w:tr>
      <w:tr w:rsidR="007E52FA" w:rsidRPr="007E52FA" w14:paraId="5D982666" w14:textId="77777777" w:rsidTr="007E52FA">
        <w:tc>
          <w:tcPr>
            <w:tcW w:w="0" w:type="auto"/>
            <w:vAlign w:val="center"/>
            <w:hideMark/>
          </w:tcPr>
          <w:p w14:paraId="11014DE9" w14:textId="77777777" w:rsidR="007E52FA" w:rsidRPr="007E52FA" w:rsidRDefault="007E52FA" w:rsidP="007E52FA">
            <w:pPr>
              <w:spacing w:after="160" w:line="278" w:lineRule="auto"/>
              <w:jc w:val="left"/>
              <w:rPr>
                <w:rFonts w:cs="Arial"/>
              </w:rPr>
            </w:pPr>
            <w:r w:rsidRPr="007E52FA">
              <w:rPr>
                <w:rFonts w:cs="Arial"/>
              </w:rPr>
              <w:t>Language</w:t>
            </w:r>
          </w:p>
        </w:tc>
        <w:tc>
          <w:tcPr>
            <w:tcW w:w="0" w:type="auto"/>
            <w:vAlign w:val="center"/>
            <w:hideMark/>
          </w:tcPr>
          <w:p w14:paraId="7A169BD6" w14:textId="77777777" w:rsidR="007E52FA" w:rsidRPr="007E52FA" w:rsidRDefault="007E52FA" w:rsidP="007E52FA">
            <w:pPr>
              <w:spacing w:after="160" w:line="278" w:lineRule="auto"/>
              <w:jc w:val="left"/>
              <w:rPr>
                <w:rFonts w:cs="Arial"/>
              </w:rPr>
            </w:pPr>
            <w:r w:rsidRPr="007E52FA">
              <w:rPr>
                <w:rFonts w:cs="Arial"/>
              </w:rPr>
              <w:t>English-language publications</w:t>
            </w:r>
          </w:p>
        </w:tc>
        <w:tc>
          <w:tcPr>
            <w:tcW w:w="0" w:type="auto"/>
            <w:vAlign w:val="center"/>
            <w:hideMark/>
          </w:tcPr>
          <w:p w14:paraId="506569C9" w14:textId="77777777" w:rsidR="007E52FA" w:rsidRPr="007E52FA" w:rsidRDefault="007E52FA" w:rsidP="007E52FA">
            <w:pPr>
              <w:spacing w:after="160" w:line="278" w:lineRule="auto"/>
              <w:jc w:val="left"/>
              <w:rPr>
                <w:rFonts w:cs="Arial"/>
              </w:rPr>
            </w:pPr>
            <w:r w:rsidRPr="007E52FA">
              <w:rPr>
                <w:rFonts w:cs="Arial"/>
              </w:rPr>
              <w:t>Non-English sources</w:t>
            </w:r>
          </w:p>
        </w:tc>
      </w:tr>
      <w:tr w:rsidR="007E52FA" w:rsidRPr="007E52FA" w14:paraId="7AA81B5F" w14:textId="77777777" w:rsidTr="007E52FA">
        <w:tc>
          <w:tcPr>
            <w:tcW w:w="0" w:type="auto"/>
            <w:vAlign w:val="center"/>
            <w:hideMark/>
          </w:tcPr>
          <w:p w14:paraId="310603DA" w14:textId="77777777" w:rsidR="007E52FA" w:rsidRPr="007E52FA" w:rsidRDefault="007E52FA" w:rsidP="007E52FA">
            <w:pPr>
              <w:spacing w:after="160" w:line="278" w:lineRule="auto"/>
              <w:jc w:val="left"/>
              <w:rPr>
                <w:rFonts w:cs="Arial"/>
              </w:rPr>
            </w:pPr>
            <w:r w:rsidRPr="007E52FA">
              <w:rPr>
                <w:rFonts w:cs="Arial"/>
              </w:rPr>
              <w:t>Time Frame</w:t>
            </w:r>
          </w:p>
        </w:tc>
        <w:tc>
          <w:tcPr>
            <w:tcW w:w="0" w:type="auto"/>
            <w:vAlign w:val="center"/>
            <w:hideMark/>
          </w:tcPr>
          <w:p w14:paraId="4ECE9225" w14:textId="77777777" w:rsidR="007E52FA" w:rsidRPr="007E52FA" w:rsidRDefault="007E52FA" w:rsidP="007E52FA">
            <w:pPr>
              <w:spacing w:after="160" w:line="278" w:lineRule="auto"/>
              <w:jc w:val="left"/>
              <w:rPr>
                <w:rFonts w:cs="Arial"/>
              </w:rPr>
            </w:pPr>
            <w:r w:rsidRPr="007E52FA">
              <w:rPr>
                <w:rFonts w:cs="Arial"/>
              </w:rPr>
              <w:t>Published between 2010–2025</w:t>
            </w:r>
          </w:p>
        </w:tc>
        <w:tc>
          <w:tcPr>
            <w:tcW w:w="0" w:type="auto"/>
            <w:vAlign w:val="center"/>
            <w:hideMark/>
          </w:tcPr>
          <w:p w14:paraId="65C96803" w14:textId="77777777" w:rsidR="007E52FA" w:rsidRPr="007E52FA" w:rsidRDefault="007E52FA" w:rsidP="007E52FA">
            <w:pPr>
              <w:spacing w:after="160" w:line="278" w:lineRule="auto"/>
              <w:jc w:val="left"/>
              <w:rPr>
                <w:rFonts w:cs="Arial"/>
              </w:rPr>
            </w:pPr>
            <w:r w:rsidRPr="007E52FA">
              <w:rPr>
                <w:rFonts w:cs="Arial"/>
              </w:rPr>
              <w:t>Publications before 2010</w:t>
            </w:r>
          </w:p>
        </w:tc>
      </w:tr>
      <w:tr w:rsidR="007E52FA" w:rsidRPr="007E52FA" w14:paraId="02C180BD" w14:textId="77777777" w:rsidTr="007E52FA">
        <w:tc>
          <w:tcPr>
            <w:tcW w:w="0" w:type="auto"/>
            <w:vAlign w:val="center"/>
            <w:hideMark/>
          </w:tcPr>
          <w:p w14:paraId="1E2EF503" w14:textId="77777777" w:rsidR="007E52FA" w:rsidRPr="007E52FA" w:rsidRDefault="007E52FA" w:rsidP="007E52FA">
            <w:pPr>
              <w:spacing w:after="160" w:line="278" w:lineRule="auto"/>
              <w:jc w:val="left"/>
              <w:rPr>
                <w:rFonts w:cs="Arial"/>
              </w:rPr>
            </w:pPr>
            <w:r w:rsidRPr="007E52FA">
              <w:rPr>
                <w:rFonts w:cs="Arial"/>
              </w:rPr>
              <w:t>Design</w:t>
            </w:r>
          </w:p>
        </w:tc>
        <w:tc>
          <w:tcPr>
            <w:tcW w:w="0" w:type="auto"/>
            <w:vAlign w:val="center"/>
            <w:hideMark/>
          </w:tcPr>
          <w:p w14:paraId="0A7A4457" w14:textId="77777777" w:rsidR="007E52FA" w:rsidRPr="007E52FA" w:rsidRDefault="007E52FA" w:rsidP="007E52FA">
            <w:pPr>
              <w:spacing w:after="160" w:line="278" w:lineRule="auto"/>
              <w:jc w:val="left"/>
              <w:rPr>
                <w:rFonts w:cs="Arial"/>
              </w:rPr>
            </w:pPr>
            <w:r w:rsidRPr="007E52FA">
              <w:rPr>
                <w:rFonts w:cs="Arial"/>
              </w:rPr>
              <w:t>Quantitative, qualitative, or mixed-method studies providing relevant data</w:t>
            </w:r>
          </w:p>
        </w:tc>
        <w:tc>
          <w:tcPr>
            <w:tcW w:w="0" w:type="auto"/>
            <w:vAlign w:val="center"/>
            <w:hideMark/>
          </w:tcPr>
          <w:p w14:paraId="0F9C85B1" w14:textId="77777777" w:rsidR="007E52FA" w:rsidRPr="007E52FA" w:rsidRDefault="007E52FA" w:rsidP="007E52FA">
            <w:pPr>
              <w:spacing w:after="160" w:line="278" w:lineRule="auto"/>
              <w:jc w:val="left"/>
              <w:rPr>
                <w:rFonts w:cs="Arial"/>
              </w:rPr>
            </w:pPr>
            <w:r w:rsidRPr="007E52FA">
              <w:rPr>
                <w:rFonts w:cs="Arial"/>
              </w:rPr>
              <w:t>Studies lacking methodological clarity or empirical/theoretical insights</w:t>
            </w:r>
          </w:p>
        </w:tc>
      </w:tr>
    </w:tbl>
    <w:p w14:paraId="0D42F27C" w14:textId="2F3C5CB2" w:rsidR="007E52FA" w:rsidRDefault="007E52FA" w:rsidP="00C03D28">
      <w:pPr>
        <w:pStyle w:val="Heading2"/>
        <w:spacing w:before="120"/>
        <w:rPr>
          <w:b w:val="0"/>
        </w:rPr>
      </w:pPr>
      <w:bookmarkStart w:id="15" w:name="_Toc210953529"/>
      <w:r>
        <w:t xml:space="preserve">3.4 </w:t>
      </w:r>
      <w:r w:rsidRPr="007E52FA">
        <w:t>Article Selection, Data Extraction, and Quality Appraisal</w:t>
      </w:r>
      <w:bookmarkEnd w:id="15"/>
    </w:p>
    <w:p w14:paraId="4E160D28" w14:textId="3E7E45A7" w:rsidR="007E52FA" w:rsidRPr="007E52FA" w:rsidRDefault="007E52FA" w:rsidP="007E52FA">
      <w:r w:rsidRPr="007E52FA">
        <w:t xml:space="preserve">PRISMA will guide identification, screening, eligibility assessment, and final inclusion of studies. A structured data extraction table will document author, year, country/context, methodology, key findings, and limitations. Extracted data will be </w:t>
      </w:r>
      <w:proofErr w:type="spellStart"/>
      <w:r w:rsidRPr="007E52FA">
        <w:t>categorised</w:t>
      </w:r>
      <w:proofErr w:type="spellEnd"/>
      <w:r w:rsidRPr="007E52FA">
        <w:t xml:space="preserve"> into themes of motivations, challenges, and </w:t>
      </w:r>
      <w:proofErr w:type="spellStart"/>
      <w:r w:rsidRPr="007E52FA">
        <w:t>organisational</w:t>
      </w:r>
      <w:proofErr w:type="spellEnd"/>
      <w:r w:rsidRPr="007E52FA">
        <w:t xml:space="preserve"> responses. The methodological quality of included studies will be appraised using the Critical Appraisal Skills </w:t>
      </w:r>
      <w:proofErr w:type="spellStart"/>
      <w:r w:rsidRPr="007E52FA">
        <w:t>Programme</w:t>
      </w:r>
      <w:proofErr w:type="spellEnd"/>
      <w:r w:rsidRPr="007E52FA">
        <w:t xml:space="preserve"> (CASP) checklist (CASP, 2018), ensuring robust, reliable, and relevant evidence informs the synthesis.</w:t>
      </w:r>
    </w:p>
    <w:p w14:paraId="651A9FA6" w14:textId="30EE9890" w:rsidR="007E52FA" w:rsidRDefault="007E52FA" w:rsidP="007E52FA">
      <w:pPr>
        <w:pStyle w:val="Heading2"/>
      </w:pPr>
      <w:bookmarkStart w:id="16" w:name="_Toc210953530"/>
      <w:r>
        <w:t xml:space="preserve">3.5 </w:t>
      </w:r>
      <w:r w:rsidRPr="007E52FA">
        <w:t>Data Synthesis, Ethical Considerations, and Limitations</w:t>
      </w:r>
      <w:bookmarkEnd w:id="16"/>
    </w:p>
    <w:p w14:paraId="4211BEBC" w14:textId="3DCEF97B" w:rsidR="007E52FA" w:rsidRDefault="007E52FA" w:rsidP="007E52FA">
      <w:r w:rsidRPr="007E52FA">
        <w:t xml:space="preserve">A narrative thematic synthesis will integrate findings across qualitative and quantitative studies, identifying patterns, agreements, disagreements, and research gaps (Thomas &amp; Harden, 2008). Ethical standards will be maintained through accurate representation, proper attribution, and adherence to UWTSD Research Ethics &amp; Integrity Code of Practice (UWTSD, 2022). Potential limitations include Western-centric research bias, publication bias from database selection, and interpretive subjectivity inherent in </w:t>
      </w:r>
      <w:r w:rsidRPr="007E52FA">
        <w:lastRenderedPageBreak/>
        <w:t>narrative synthesis. These will be acknowledged and mitigated through transparent reporting and inclusion of studies from diverse geographic contexts.</w:t>
      </w:r>
    </w:p>
    <w:p w14:paraId="253BEC58" w14:textId="5F84A045" w:rsidR="007E52FA" w:rsidRDefault="007E52FA" w:rsidP="007E52FA">
      <w:pPr>
        <w:pStyle w:val="Heading2"/>
      </w:pPr>
      <w:bookmarkStart w:id="17" w:name="_Toc210953531"/>
      <w:r>
        <w:t>3.6 Research Timeline</w:t>
      </w:r>
      <w:bookmarkEnd w:id="17"/>
    </w:p>
    <w:p w14:paraId="7E596DA2" w14:textId="14929B9C" w:rsidR="00C03D28" w:rsidRPr="00C03D28" w:rsidRDefault="00C03D28" w:rsidP="00C03D28">
      <w:r w:rsidRPr="00C03D28">
        <w:drawing>
          <wp:inline distT="0" distB="0" distL="0" distR="0" wp14:anchorId="57686385" wp14:editId="5ABED9D4">
            <wp:extent cx="5829805" cy="5791702"/>
            <wp:effectExtent l="0" t="0" r="0" b="0"/>
            <wp:docPr id="1698780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780910" name=""/>
                    <pic:cNvPicPr/>
                  </pic:nvPicPr>
                  <pic:blipFill>
                    <a:blip r:embed="rId9"/>
                    <a:stretch>
                      <a:fillRect/>
                    </a:stretch>
                  </pic:blipFill>
                  <pic:spPr>
                    <a:xfrm>
                      <a:off x="0" y="0"/>
                      <a:ext cx="5829805" cy="5791702"/>
                    </a:xfrm>
                    <a:prstGeom prst="rect">
                      <a:avLst/>
                    </a:prstGeom>
                  </pic:spPr>
                </pic:pic>
              </a:graphicData>
            </a:graphic>
          </wp:inline>
        </w:drawing>
      </w:r>
    </w:p>
    <w:p w14:paraId="53609B7F" w14:textId="77777777" w:rsidR="00C03D28" w:rsidRDefault="00C03D28">
      <w:pPr>
        <w:spacing w:line="278" w:lineRule="auto"/>
        <w:jc w:val="left"/>
        <w:rPr>
          <w:rFonts w:eastAsiaTheme="majorEastAsia" w:cstheme="majorBidi"/>
          <w:b/>
          <w:color w:val="2F5496" w:themeColor="accent1" w:themeShade="BF"/>
          <w:sz w:val="36"/>
          <w:szCs w:val="40"/>
        </w:rPr>
      </w:pPr>
      <w:r>
        <w:br w:type="page"/>
      </w:r>
    </w:p>
    <w:p w14:paraId="13AA6F7B" w14:textId="4AF27ADF" w:rsidR="00867482" w:rsidRPr="007E52FA" w:rsidRDefault="00867482" w:rsidP="007E52FA">
      <w:pPr>
        <w:pStyle w:val="Heading1"/>
        <w:rPr>
          <w:rFonts w:cs="Arial"/>
        </w:rPr>
      </w:pPr>
      <w:bookmarkStart w:id="18" w:name="_Toc210953532"/>
      <w:r w:rsidRPr="00867482">
        <w:lastRenderedPageBreak/>
        <w:t>References</w:t>
      </w:r>
      <w:bookmarkEnd w:id="18"/>
    </w:p>
    <w:p w14:paraId="5F60813C" w14:textId="77777777" w:rsidR="00C03D28" w:rsidRPr="00C03D28" w:rsidRDefault="00C03D28" w:rsidP="00867482">
      <w:pPr>
        <w:spacing w:line="278" w:lineRule="auto"/>
        <w:jc w:val="left"/>
        <w:rPr>
          <w:rFonts w:cs="Arial"/>
          <w:color w:val="000000" w:themeColor="text1"/>
        </w:rPr>
      </w:pPr>
      <w:r w:rsidRPr="00C03D28">
        <w:rPr>
          <w:rFonts w:cs="Arial"/>
          <w:color w:val="000000" w:themeColor="text1"/>
        </w:rPr>
        <w:t xml:space="preserve">Brooks, S.K., Webster, R.K., Smith, L.E., Woodland, L., Wessely, S., Greenberg, N. and Rubin, G.J. (2020) ‘The psychological impact of quarantine and how to reduce it: rapid review of the evidence’, </w:t>
      </w:r>
      <w:r w:rsidRPr="00C03D28">
        <w:rPr>
          <w:rFonts w:cs="Arial"/>
          <w:i/>
          <w:iCs/>
          <w:color w:val="000000" w:themeColor="text1"/>
        </w:rPr>
        <w:t>The Lancet</w:t>
      </w:r>
      <w:r w:rsidRPr="00C03D28">
        <w:rPr>
          <w:rFonts w:cs="Arial"/>
          <w:color w:val="000000" w:themeColor="text1"/>
        </w:rPr>
        <w:t xml:space="preserve">, 395(10227), pp. 912–920. Available at: </w:t>
      </w:r>
      <w:hyperlink r:id="rId10" w:history="1">
        <w:r w:rsidRPr="00C03D28">
          <w:rPr>
            <w:rStyle w:val="Hyperlink"/>
            <w:rFonts w:cs="Arial"/>
            <w:color w:val="000000" w:themeColor="text1"/>
            <w:u w:val="none"/>
          </w:rPr>
          <w:t>https://doi.org/10.1016/S0140-6736(20)30460-8</w:t>
        </w:r>
      </w:hyperlink>
      <w:r w:rsidRPr="00C03D28">
        <w:rPr>
          <w:rFonts w:cs="Arial"/>
          <w:color w:val="000000" w:themeColor="text1"/>
        </w:rPr>
        <w:t>.</w:t>
      </w:r>
    </w:p>
    <w:p w14:paraId="144AB217" w14:textId="77777777" w:rsidR="00C03D28" w:rsidRPr="00C03D28" w:rsidRDefault="00C03D28" w:rsidP="00867482">
      <w:pPr>
        <w:spacing w:line="278" w:lineRule="auto"/>
        <w:jc w:val="left"/>
        <w:rPr>
          <w:rFonts w:cs="Arial"/>
          <w:color w:val="000000" w:themeColor="text1"/>
        </w:rPr>
      </w:pPr>
      <w:r w:rsidRPr="00C03D28">
        <w:rPr>
          <w:rFonts w:cs="Arial"/>
          <w:color w:val="000000" w:themeColor="text1"/>
        </w:rPr>
        <w:t xml:space="preserve">CASP (2018) </w:t>
      </w:r>
      <w:r w:rsidRPr="00C03D28">
        <w:rPr>
          <w:rFonts w:cs="Arial"/>
          <w:i/>
          <w:iCs/>
          <w:color w:val="000000" w:themeColor="text1"/>
        </w:rPr>
        <w:t>CASP Qualitative Checklist</w:t>
      </w:r>
      <w:r w:rsidRPr="00C03D28">
        <w:rPr>
          <w:rFonts w:cs="Arial"/>
          <w:color w:val="000000" w:themeColor="text1"/>
        </w:rPr>
        <w:t xml:space="preserve">. Available at: </w:t>
      </w:r>
      <w:hyperlink r:id="rId11" w:history="1">
        <w:r w:rsidRPr="00C03D28">
          <w:rPr>
            <w:rStyle w:val="Hyperlink"/>
            <w:rFonts w:cs="Arial"/>
            <w:color w:val="000000" w:themeColor="text1"/>
            <w:u w:val="none"/>
          </w:rPr>
          <w:t>https://casp-uk.net/casp-tools-checklists/</w:t>
        </w:r>
      </w:hyperlink>
      <w:r w:rsidRPr="00C03D28">
        <w:rPr>
          <w:rFonts w:cs="Arial"/>
          <w:color w:val="000000" w:themeColor="text1"/>
        </w:rPr>
        <w:t xml:space="preserve"> (Accessed: 5 October 2025).</w:t>
      </w:r>
    </w:p>
    <w:p w14:paraId="109EE749" w14:textId="77777777" w:rsidR="00C03D28" w:rsidRPr="00C03D28" w:rsidRDefault="00C03D28" w:rsidP="00867482">
      <w:pPr>
        <w:spacing w:line="278" w:lineRule="auto"/>
        <w:jc w:val="left"/>
        <w:rPr>
          <w:rFonts w:cs="Arial"/>
          <w:color w:val="000000" w:themeColor="text1"/>
        </w:rPr>
      </w:pPr>
      <w:r w:rsidRPr="00C03D28">
        <w:rPr>
          <w:rFonts w:cs="Arial"/>
          <w:color w:val="000000" w:themeColor="text1"/>
        </w:rPr>
        <w:t xml:space="preserve">Chicca, J. and Shellenbarger, T. (2018) ‘Generation Z: Approaches and teaching-learning practices for nursing professional development practitioners’, </w:t>
      </w:r>
      <w:r w:rsidRPr="00C03D28">
        <w:rPr>
          <w:rFonts w:cs="Arial"/>
          <w:i/>
          <w:iCs/>
          <w:color w:val="000000" w:themeColor="text1"/>
        </w:rPr>
        <w:t>Journal for Nurses in Professional Development</w:t>
      </w:r>
      <w:r w:rsidRPr="00C03D28">
        <w:rPr>
          <w:rFonts w:cs="Arial"/>
          <w:color w:val="000000" w:themeColor="text1"/>
        </w:rPr>
        <w:t xml:space="preserve">, 34(5), pp. 250–256. Available at: </w:t>
      </w:r>
      <w:hyperlink r:id="rId12" w:history="1">
        <w:r w:rsidRPr="00C03D28">
          <w:rPr>
            <w:rStyle w:val="Hyperlink"/>
            <w:rFonts w:cs="Arial"/>
            <w:color w:val="000000" w:themeColor="text1"/>
            <w:u w:val="none"/>
          </w:rPr>
          <w:t>https://doi.org/10.1097/NND.0000000000000471</w:t>
        </w:r>
      </w:hyperlink>
      <w:r w:rsidRPr="00C03D28">
        <w:rPr>
          <w:rFonts w:cs="Arial"/>
          <w:color w:val="000000" w:themeColor="text1"/>
        </w:rPr>
        <w:t>.</w:t>
      </w:r>
    </w:p>
    <w:p w14:paraId="3B1BA793" w14:textId="77777777" w:rsidR="00C03D28" w:rsidRPr="00C03D28" w:rsidRDefault="00C03D28" w:rsidP="00867482">
      <w:pPr>
        <w:spacing w:line="278" w:lineRule="auto"/>
        <w:jc w:val="left"/>
        <w:rPr>
          <w:rFonts w:cs="Arial"/>
          <w:color w:val="000000" w:themeColor="text1"/>
        </w:rPr>
      </w:pPr>
      <w:r w:rsidRPr="00C03D28">
        <w:rPr>
          <w:rFonts w:cs="Arial"/>
          <w:color w:val="000000" w:themeColor="text1"/>
        </w:rPr>
        <w:t xml:space="preserve">Cilliers, E.J. (2017) ‘The challenge of teaching Generation Z’, </w:t>
      </w:r>
      <w:r w:rsidRPr="00C03D28">
        <w:rPr>
          <w:rFonts w:cs="Arial"/>
          <w:i/>
          <w:iCs/>
          <w:color w:val="000000" w:themeColor="text1"/>
        </w:rPr>
        <w:t>People: International Journal of Social Sciences</w:t>
      </w:r>
      <w:r w:rsidRPr="00C03D28">
        <w:rPr>
          <w:rFonts w:cs="Arial"/>
          <w:color w:val="000000" w:themeColor="text1"/>
        </w:rPr>
        <w:t xml:space="preserve">, 3(1), pp. 188–198. Available at: </w:t>
      </w:r>
      <w:hyperlink r:id="rId13" w:history="1">
        <w:r w:rsidRPr="00C03D28">
          <w:rPr>
            <w:rStyle w:val="Hyperlink"/>
            <w:rFonts w:cs="Arial"/>
            <w:color w:val="000000" w:themeColor="text1"/>
            <w:u w:val="none"/>
          </w:rPr>
          <w:t>https://doi.org/10.20319/pijss.2017.31.188198</w:t>
        </w:r>
      </w:hyperlink>
      <w:r w:rsidRPr="00C03D28">
        <w:rPr>
          <w:rFonts w:cs="Arial"/>
          <w:color w:val="000000" w:themeColor="text1"/>
        </w:rPr>
        <w:t>.</w:t>
      </w:r>
    </w:p>
    <w:p w14:paraId="2EF873E4" w14:textId="77777777" w:rsidR="00C03D28" w:rsidRPr="00C03D28" w:rsidRDefault="00C03D28" w:rsidP="00867482">
      <w:pPr>
        <w:spacing w:line="278" w:lineRule="auto"/>
        <w:jc w:val="left"/>
        <w:rPr>
          <w:rFonts w:cs="Arial"/>
          <w:color w:val="000000" w:themeColor="text1"/>
        </w:rPr>
      </w:pPr>
      <w:r w:rsidRPr="00C03D28">
        <w:rPr>
          <w:rFonts w:cs="Arial"/>
          <w:color w:val="000000" w:themeColor="text1"/>
        </w:rPr>
        <w:t xml:space="preserve">Deci, E.L. and Ryan, R.M. (1985) </w:t>
      </w:r>
      <w:r w:rsidRPr="00C03D28">
        <w:rPr>
          <w:rFonts w:cs="Arial"/>
          <w:i/>
          <w:iCs/>
          <w:color w:val="000000" w:themeColor="text1"/>
        </w:rPr>
        <w:t>Intrinsic motivation and self-determination in human behavior</w:t>
      </w:r>
      <w:r w:rsidRPr="00C03D28">
        <w:rPr>
          <w:rFonts w:cs="Arial"/>
          <w:color w:val="000000" w:themeColor="text1"/>
        </w:rPr>
        <w:t>. New York: Springer.</w:t>
      </w:r>
    </w:p>
    <w:p w14:paraId="0C82C23B" w14:textId="77777777" w:rsidR="00C03D28" w:rsidRPr="00C03D28" w:rsidRDefault="00C03D28" w:rsidP="00867482">
      <w:pPr>
        <w:spacing w:line="278" w:lineRule="auto"/>
        <w:jc w:val="left"/>
        <w:rPr>
          <w:rFonts w:cs="Arial"/>
          <w:color w:val="000000" w:themeColor="text1"/>
        </w:rPr>
      </w:pPr>
      <w:r w:rsidRPr="00C03D28">
        <w:rPr>
          <w:rFonts w:cs="Arial"/>
          <w:color w:val="000000" w:themeColor="text1"/>
        </w:rPr>
        <w:t xml:space="preserve">Deloitte (2021) </w:t>
      </w:r>
      <w:r w:rsidRPr="00C03D28">
        <w:rPr>
          <w:rFonts w:cs="Arial"/>
          <w:i/>
          <w:iCs/>
          <w:color w:val="000000" w:themeColor="text1"/>
        </w:rPr>
        <w:t>2021 Deloitte Global Millennial and Gen Z Survey</w:t>
      </w:r>
      <w:r w:rsidRPr="00C03D28">
        <w:rPr>
          <w:rFonts w:cs="Arial"/>
          <w:color w:val="000000" w:themeColor="text1"/>
        </w:rPr>
        <w:t xml:space="preserve">. Deloitte. Available at: </w:t>
      </w:r>
      <w:hyperlink r:id="rId14" w:history="1">
        <w:r w:rsidRPr="00C03D28">
          <w:rPr>
            <w:rStyle w:val="Hyperlink"/>
            <w:rFonts w:cs="Arial"/>
            <w:color w:val="000000" w:themeColor="text1"/>
            <w:u w:val="none"/>
          </w:rPr>
          <w:t>https://www2.deloitte.com/global/en/pages/about-deloitte/articles/millennialsurvey.html</w:t>
        </w:r>
      </w:hyperlink>
      <w:r w:rsidRPr="00C03D28">
        <w:rPr>
          <w:rFonts w:cs="Arial"/>
          <w:color w:val="000000" w:themeColor="text1"/>
        </w:rPr>
        <w:t>.</w:t>
      </w:r>
    </w:p>
    <w:p w14:paraId="0F620117" w14:textId="77777777" w:rsidR="00C03D28" w:rsidRPr="00C03D28" w:rsidRDefault="00C03D28" w:rsidP="00867482">
      <w:pPr>
        <w:spacing w:line="278" w:lineRule="auto"/>
        <w:jc w:val="left"/>
        <w:rPr>
          <w:rFonts w:cs="Arial"/>
          <w:color w:val="000000" w:themeColor="text1"/>
        </w:rPr>
      </w:pPr>
      <w:r w:rsidRPr="00C03D28">
        <w:rPr>
          <w:rFonts w:cs="Arial"/>
          <w:color w:val="000000" w:themeColor="text1"/>
        </w:rPr>
        <w:t xml:space="preserve">Deloitte (2023) </w:t>
      </w:r>
      <w:r w:rsidRPr="00C03D28">
        <w:rPr>
          <w:rFonts w:cs="Arial"/>
          <w:i/>
          <w:iCs/>
          <w:color w:val="000000" w:themeColor="text1"/>
        </w:rPr>
        <w:t>2023 Deloitte Gen Z and Millennial Survey</w:t>
      </w:r>
      <w:r w:rsidRPr="00C03D28">
        <w:rPr>
          <w:rFonts w:cs="Arial"/>
          <w:color w:val="000000" w:themeColor="text1"/>
        </w:rPr>
        <w:t xml:space="preserve">. Deloitte. Available at: </w:t>
      </w:r>
      <w:hyperlink r:id="rId15" w:history="1">
        <w:r w:rsidRPr="00C03D28">
          <w:rPr>
            <w:rStyle w:val="Hyperlink"/>
            <w:rFonts w:cs="Arial"/>
            <w:color w:val="000000" w:themeColor="text1"/>
            <w:u w:val="none"/>
          </w:rPr>
          <w:t>https://www2.deloitte.com/global/en/pages/about-deloitte/articles/millennialsurvey.html</w:t>
        </w:r>
      </w:hyperlink>
      <w:r w:rsidRPr="00C03D28">
        <w:rPr>
          <w:rFonts w:cs="Arial"/>
          <w:color w:val="000000" w:themeColor="text1"/>
        </w:rPr>
        <w:t>.</w:t>
      </w:r>
    </w:p>
    <w:p w14:paraId="3DD096EA" w14:textId="77777777" w:rsidR="00C03D28" w:rsidRPr="00C03D28" w:rsidRDefault="00C03D28" w:rsidP="00867482">
      <w:pPr>
        <w:spacing w:line="278" w:lineRule="auto"/>
        <w:jc w:val="left"/>
        <w:rPr>
          <w:rFonts w:cs="Arial"/>
          <w:color w:val="000000" w:themeColor="text1"/>
        </w:rPr>
      </w:pPr>
      <w:r w:rsidRPr="00C03D28">
        <w:rPr>
          <w:rFonts w:cs="Arial"/>
          <w:color w:val="000000" w:themeColor="text1"/>
        </w:rPr>
        <w:t xml:space="preserve">Dimock, M. (2019) ‘Defining generations: Where Millennials end and Generation Z begins’, </w:t>
      </w:r>
      <w:r w:rsidRPr="00C03D28">
        <w:rPr>
          <w:rFonts w:cs="Arial"/>
          <w:i/>
          <w:iCs/>
          <w:color w:val="000000" w:themeColor="text1"/>
        </w:rPr>
        <w:t>Pew Research Center</w:t>
      </w:r>
      <w:r w:rsidRPr="00C03D28">
        <w:rPr>
          <w:rFonts w:cs="Arial"/>
          <w:color w:val="000000" w:themeColor="text1"/>
        </w:rPr>
        <w:t xml:space="preserve">. Available at: </w:t>
      </w:r>
      <w:hyperlink r:id="rId16" w:history="1">
        <w:r w:rsidRPr="00C03D28">
          <w:rPr>
            <w:rStyle w:val="Hyperlink"/>
            <w:rFonts w:cs="Arial"/>
            <w:color w:val="000000" w:themeColor="text1"/>
            <w:u w:val="none"/>
          </w:rPr>
          <w:t>https://www.pewresearch.org</w:t>
        </w:r>
      </w:hyperlink>
      <w:r w:rsidRPr="00C03D28">
        <w:rPr>
          <w:rFonts w:cs="Arial"/>
          <w:color w:val="000000" w:themeColor="text1"/>
        </w:rPr>
        <w:t>.</w:t>
      </w:r>
    </w:p>
    <w:p w14:paraId="063A5465" w14:textId="77777777" w:rsidR="00C03D28" w:rsidRPr="00C03D28" w:rsidRDefault="00C03D28" w:rsidP="00867482">
      <w:pPr>
        <w:spacing w:line="278" w:lineRule="auto"/>
        <w:jc w:val="left"/>
        <w:rPr>
          <w:rFonts w:cs="Arial"/>
          <w:color w:val="000000" w:themeColor="text1"/>
        </w:rPr>
      </w:pPr>
      <w:r w:rsidRPr="00C03D28">
        <w:rPr>
          <w:rFonts w:cs="Arial"/>
          <w:color w:val="000000" w:themeColor="text1"/>
        </w:rPr>
        <w:t xml:space="preserve">Francis, T. and Hoefel, F. (2018) ‘“True Gen”: Generation Z and its implications for companies’, </w:t>
      </w:r>
      <w:r w:rsidRPr="00C03D28">
        <w:rPr>
          <w:rFonts w:cs="Arial"/>
          <w:i/>
          <w:iCs/>
          <w:color w:val="000000" w:themeColor="text1"/>
        </w:rPr>
        <w:t>McKinsey &amp; Company</w:t>
      </w:r>
      <w:r w:rsidRPr="00C03D28">
        <w:rPr>
          <w:rFonts w:cs="Arial"/>
          <w:color w:val="000000" w:themeColor="text1"/>
        </w:rPr>
        <w:t xml:space="preserve">. Available at: </w:t>
      </w:r>
      <w:hyperlink r:id="rId17" w:history="1">
        <w:r w:rsidRPr="00C03D28">
          <w:rPr>
            <w:rStyle w:val="Hyperlink"/>
            <w:rFonts w:cs="Arial"/>
            <w:color w:val="000000" w:themeColor="text1"/>
            <w:u w:val="none"/>
          </w:rPr>
          <w:t>https://www.mckinsey.com</w:t>
        </w:r>
      </w:hyperlink>
      <w:r w:rsidRPr="00C03D28">
        <w:rPr>
          <w:rFonts w:cs="Arial"/>
          <w:color w:val="000000" w:themeColor="text1"/>
        </w:rPr>
        <w:t>.</w:t>
      </w:r>
    </w:p>
    <w:p w14:paraId="06C461D0" w14:textId="77777777" w:rsidR="00C03D28" w:rsidRPr="00C03D28" w:rsidRDefault="00C03D28" w:rsidP="00867482">
      <w:pPr>
        <w:spacing w:line="278" w:lineRule="auto"/>
        <w:jc w:val="left"/>
        <w:rPr>
          <w:rFonts w:cs="Arial"/>
          <w:color w:val="000000" w:themeColor="text1"/>
        </w:rPr>
      </w:pPr>
      <w:r w:rsidRPr="00C03D28">
        <w:rPr>
          <w:rFonts w:cs="Arial"/>
          <w:color w:val="000000" w:themeColor="text1"/>
        </w:rPr>
        <w:t xml:space="preserve">Gaidhani, S., Arora, L. and Sharma, B.K. (2019) ‘Understanding the attitude of Generation Z towards workplace’, </w:t>
      </w:r>
      <w:r w:rsidRPr="00C03D28">
        <w:rPr>
          <w:rFonts w:cs="Arial"/>
          <w:i/>
          <w:iCs/>
          <w:color w:val="000000" w:themeColor="text1"/>
        </w:rPr>
        <w:t>International Journal of Management, Technology and Engineering</w:t>
      </w:r>
      <w:r w:rsidRPr="00C03D28">
        <w:rPr>
          <w:rFonts w:cs="Arial"/>
          <w:color w:val="000000" w:themeColor="text1"/>
        </w:rPr>
        <w:t>, 9(1), pp. 2804–2812.</w:t>
      </w:r>
    </w:p>
    <w:p w14:paraId="36E9281A" w14:textId="77777777" w:rsidR="00C03D28" w:rsidRPr="00C03D28" w:rsidRDefault="00C03D28" w:rsidP="00867482">
      <w:pPr>
        <w:spacing w:line="278" w:lineRule="auto"/>
        <w:jc w:val="left"/>
        <w:rPr>
          <w:rFonts w:cs="Arial"/>
          <w:color w:val="000000" w:themeColor="text1"/>
        </w:rPr>
      </w:pPr>
      <w:r w:rsidRPr="00C03D28">
        <w:rPr>
          <w:rFonts w:cs="Arial"/>
          <w:color w:val="000000" w:themeColor="text1"/>
        </w:rPr>
        <w:t xml:space="preserve">Gough, D., Oliver, S. and Thomas, J. (2017) </w:t>
      </w:r>
      <w:r w:rsidRPr="00C03D28">
        <w:rPr>
          <w:rFonts w:cs="Arial"/>
          <w:i/>
          <w:iCs/>
          <w:color w:val="000000" w:themeColor="text1"/>
        </w:rPr>
        <w:t>An introduction to systematic reviews</w:t>
      </w:r>
      <w:r w:rsidRPr="00C03D28">
        <w:rPr>
          <w:rFonts w:cs="Arial"/>
          <w:color w:val="000000" w:themeColor="text1"/>
        </w:rPr>
        <w:t xml:space="preserve">. 2nd </w:t>
      </w:r>
      <w:proofErr w:type="spellStart"/>
      <w:r w:rsidRPr="00C03D28">
        <w:rPr>
          <w:rFonts w:cs="Arial"/>
          <w:color w:val="000000" w:themeColor="text1"/>
        </w:rPr>
        <w:t>edn</w:t>
      </w:r>
      <w:proofErr w:type="spellEnd"/>
      <w:r w:rsidRPr="00C03D28">
        <w:rPr>
          <w:rFonts w:cs="Arial"/>
          <w:color w:val="000000" w:themeColor="text1"/>
        </w:rPr>
        <w:t>. London: SAGE Publications.</w:t>
      </w:r>
    </w:p>
    <w:p w14:paraId="29B4487C" w14:textId="77777777" w:rsidR="00C03D28" w:rsidRPr="00C03D28" w:rsidRDefault="00C03D28" w:rsidP="00867482">
      <w:pPr>
        <w:spacing w:line="278" w:lineRule="auto"/>
        <w:jc w:val="left"/>
        <w:rPr>
          <w:rFonts w:cs="Arial"/>
          <w:color w:val="000000" w:themeColor="text1"/>
        </w:rPr>
      </w:pPr>
      <w:r w:rsidRPr="00C03D28">
        <w:rPr>
          <w:rFonts w:cs="Arial"/>
          <w:color w:val="000000" w:themeColor="text1"/>
        </w:rPr>
        <w:t xml:space="preserve">Herzberg, F. (1959) </w:t>
      </w:r>
      <w:r w:rsidRPr="00C03D28">
        <w:rPr>
          <w:rFonts w:cs="Arial"/>
          <w:i/>
          <w:iCs/>
          <w:color w:val="000000" w:themeColor="text1"/>
        </w:rPr>
        <w:t>The motivation to work</w:t>
      </w:r>
      <w:r w:rsidRPr="00C03D28">
        <w:rPr>
          <w:rFonts w:cs="Arial"/>
          <w:color w:val="000000" w:themeColor="text1"/>
        </w:rPr>
        <w:t>. New York: John Wiley &amp; Sons.</w:t>
      </w:r>
    </w:p>
    <w:p w14:paraId="044D8B20" w14:textId="77777777" w:rsidR="00C03D28" w:rsidRPr="00C03D28" w:rsidRDefault="00C03D28" w:rsidP="00867482">
      <w:pPr>
        <w:spacing w:line="278" w:lineRule="auto"/>
        <w:jc w:val="left"/>
        <w:rPr>
          <w:rFonts w:cs="Arial"/>
          <w:color w:val="000000" w:themeColor="text1"/>
        </w:rPr>
      </w:pPr>
      <w:proofErr w:type="spellStart"/>
      <w:r w:rsidRPr="00C03D28">
        <w:rPr>
          <w:rFonts w:cs="Arial"/>
          <w:color w:val="000000" w:themeColor="text1"/>
        </w:rPr>
        <w:t>Iorgulescu</w:t>
      </w:r>
      <w:proofErr w:type="spellEnd"/>
      <w:r w:rsidRPr="00C03D28">
        <w:rPr>
          <w:rFonts w:cs="Arial"/>
          <w:color w:val="000000" w:themeColor="text1"/>
        </w:rPr>
        <w:t xml:space="preserve">, M.C. (2016) ‘Generation Z and its perception of work’, </w:t>
      </w:r>
      <w:r w:rsidRPr="00C03D28">
        <w:rPr>
          <w:rFonts w:cs="Arial"/>
          <w:i/>
          <w:iCs/>
          <w:color w:val="000000" w:themeColor="text1"/>
        </w:rPr>
        <w:t>Cross-Cultural Management Journal</w:t>
      </w:r>
      <w:r w:rsidRPr="00C03D28">
        <w:rPr>
          <w:rFonts w:cs="Arial"/>
          <w:color w:val="000000" w:themeColor="text1"/>
        </w:rPr>
        <w:t>, 18(1), pp. 47–54.</w:t>
      </w:r>
    </w:p>
    <w:p w14:paraId="2DDF0871" w14:textId="77777777" w:rsidR="00C03D28" w:rsidRPr="00C03D28" w:rsidRDefault="00C03D28" w:rsidP="00867482">
      <w:pPr>
        <w:spacing w:line="278" w:lineRule="auto"/>
        <w:jc w:val="left"/>
        <w:rPr>
          <w:rFonts w:cs="Arial"/>
          <w:color w:val="000000" w:themeColor="text1"/>
        </w:rPr>
      </w:pPr>
      <w:r w:rsidRPr="00C03D28">
        <w:rPr>
          <w:rFonts w:cs="Arial"/>
          <w:color w:val="000000" w:themeColor="text1"/>
        </w:rPr>
        <w:t xml:space="preserve">Kitchenham, B. (2004) </w:t>
      </w:r>
      <w:r w:rsidRPr="00C03D28">
        <w:rPr>
          <w:rFonts w:cs="Arial"/>
          <w:i/>
          <w:iCs/>
          <w:color w:val="000000" w:themeColor="text1"/>
        </w:rPr>
        <w:t>Procedures for performing systematic reviews</w:t>
      </w:r>
      <w:r w:rsidRPr="00C03D28">
        <w:rPr>
          <w:rFonts w:cs="Arial"/>
          <w:color w:val="000000" w:themeColor="text1"/>
        </w:rPr>
        <w:t>. Keele, UK: Keele University.</w:t>
      </w:r>
    </w:p>
    <w:p w14:paraId="6053AB45" w14:textId="77777777" w:rsidR="00C03D28" w:rsidRPr="00C03D28" w:rsidRDefault="00C03D28" w:rsidP="00867482">
      <w:pPr>
        <w:spacing w:line="278" w:lineRule="auto"/>
        <w:jc w:val="left"/>
        <w:rPr>
          <w:rFonts w:cs="Arial"/>
          <w:color w:val="000000" w:themeColor="text1"/>
        </w:rPr>
      </w:pPr>
      <w:r w:rsidRPr="00C03D28">
        <w:rPr>
          <w:rFonts w:cs="Arial"/>
          <w:color w:val="000000" w:themeColor="text1"/>
        </w:rPr>
        <w:lastRenderedPageBreak/>
        <w:t xml:space="preserve">Mannheim, K. (1952) </w:t>
      </w:r>
      <w:r w:rsidRPr="00C03D28">
        <w:rPr>
          <w:rFonts w:cs="Arial"/>
          <w:i/>
          <w:iCs/>
          <w:color w:val="000000" w:themeColor="text1"/>
        </w:rPr>
        <w:t>Essays on the sociology of knowledge</w:t>
      </w:r>
      <w:r w:rsidRPr="00C03D28">
        <w:rPr>
          <w:rFonts w:cs="Arial"/>
          <w:color w:val="000000" w:themeColor="text1"/>
        </w:rPr>
        <w:t>. London: Routledge &amp; Kegan Paul.</w:t>
      </w:r>
    </w:p>
    <w:p w14:paraId="04DE5634" w14:textId="77777777" w:rsidR="00C03D28" w:rsidRPr="00C03D28" w:rsidRDefault="00C03D28" w:rsidP="00867482">
      <w:pPr>
        <w:spacing w:line="278" w:lineRule="auto"/>
        <w:jc w:val="left"/>
        <w:rPr>
          <w:rFonts w:cs="Arial"/>
          <w:color w:val="000000" w:themeColor="text1"/>
        </w:rPr>
      </w:pPr>
      <w:r w:rsidRPr="00C03D28">
        <w:rPr>
          <w:rFonts w:cs="Arial"/>
          <w:color w:val="000000" w:themeColor="text1"/>
        </w:rPr>
        <w:t xml:space="preserve">Moher, D., Liberati, A., Tetzlaff, J. and Altman, D.G. (2009) ‘Preferred reporting items for systematic reviews and meta-analyses: The PRISMA statement’, </w:t>
      </w:r>
      <w:proofErr w:type="spellStart"/>
      <w:r w:rsidRPr="00C03D28">
        <w:rPr>
          <w:rFonts w:cs="Arial"/>
          <w:i/>
          <w:iCs/>
          <w:color w:val="000000" w:themeColor="text1"/>
        </w:rPr>
        <w:t>PLoS</w:t>
      </w:r>
      <w:proofErr w:type="spellEnd"/>
      <w:r w:rsidRPr="00C03D28">
        <w:rPr>
          <w:rFonts w:cs="Arial"/>
          <w:i/>
          <w:iCs/>
          <w:color w:val="000000" w:themeColor="text1"/>
        </w:rPr>
        <w:t xml:space="preserve"> Medicine</w:t>
      </w:r>
      <w:r w:rsidRPr="00C03D28">
        <w:rPr>
          <w:rFonts w:cs="Arial"/>
          <w:color w:val="000000" w:themeColor="text1"/>
        </w:rPr>
        <w:t xml:space="preserve">, 6(7), p. e1000097. Available at: </w:t>
      </w:r>
      <w:hyperlink r:id="rId18" w:history="1">
        <w:r w:rsidRPr="00C03D28">
          <w:rPr>
            <w:rStyle w:val="Hyperlink"/>
            <w:rFonts w:cs="Arial"/>
            <w:color w:val="000000" w:themeColor="text1"/>
            <w:u w:val="none"/>
          </w:rPr>
          <w:t>https://doi.org/10.1371/journal.pmed.1000097</w:t>
        </w:r>
      </w:hyperlink>
      <w:r w:rsidRPr="00C03D28">
        <w:rPr>
          <w:rFonts w:cs="Arial"/>
          <w:color w:val="000000" w:themeColor="text1"/>
        </w:rPr>
        <w:t>.</w:t>
      </w:r>
    </w:p>
    <w:p w14:paraId="609DBE17" w14:textId="77777777" w:rsidR="00C03D28" w:rsidRPr="00C03D28" w:rsidRDefault="00C03D28" w:rsidP="00867482">
      <w:pPr>
        <w:spacing w:line="278" w:lineRule="auto"/>
        <w:jc w:val="left"/>
        <w:rPr>
          <w:rFonts w:cs="Arial"/>
          <w:color w:val="000000" w:themeColor="text1"/>
        </w:rPr>
      </w:pPr>
      <w:r w:rsidRPr="00C03D28">
        <w:rPr>
          <w:rFonts w:cs="Arial"/>
          <w:color w:val="000000" w:themeColor="text1"/>
        </w:rPr>
        <w:t xml:space="preserve">Myers, K.K. and </w:t>
      </w:r>
      <w:proofErr w:type="spellStart"/>
      <w:r w:rsidRPr="00C03D28">
        <w:rPr>
          <w:rFonts w:cs="Arial"/>
          <w:color w:val="000000" w:themeColor="text1"/>
        </w:rPr>
        <w:t>Sadaghiani</w:t>
      </w:r>
      <w:proofErr w:type="spellEnd"/>
      <w:r w:rsidRPr="00C03D28">
        <w:rPr>
          <w:rFonts w:cs="Arial"/>
          <w:color w:val="000000" w:themeColor="text1"/>
        </w:rPr>
        <w:t xml:space="preserve">, K. (2010) ‘Millennials in the workplace: A communication perspective on Millennials’ organizational relationships and performance’, </w:t>
      </w:r>
      <w:r w:rsidRPr="00C03D28">
        <w:rPr>
          <w:rFonts w:cs="Arial"/>
          <w:i/>
          <w:iCs/>
          <w:color w:val="000000" w:themeColor="text1"/>
        </w:rPr>
        <w:t>Journal of Business and Psychology</w:t>
      </w:r>
      <w:r w:rsidRPr="00C03D28">
        <w:rPr>
          <w:rFonts w:cs="Arial"/>
          <w:color w:val="000000" w:themeColor="text1"/>
        </w:rPr>
        <w:t xml:space="preserve">, 25(2), pp. 225–238. Available at: </w:t>
      </w:r>
      <w:hyperlink r:id="rId19" w:history="1">
        <w:r w:rsidRPr="00C03D28">
          <w:rPr>
            <w:rStyle w:val="Hyperlink"/>
            <w:rFonts w:cs="Arial"/>
            <w:color w:val="000000" w:themeColor="text1"/>
            <w:u w:val="none"/>
          </w:rPr>
          <w:t>https://doi.org/10.1007/s10869-010-9172-7</w:t>
        </w:r>
      </w:hyperlink>
      <w:r w:rsidRPr="00C03D28">
        <w:rPr>
          <w:rFonts w:cs="Arial"/>
          <w:color w:val="000000" w:themeColor="text1"/>
        </w:rPr>
        <w:t>.</w:t>
      </w:r>
    </w:p>
    <w:p w14:paraId="1E9250D9" w14:textId="77777777" w:rsidR="00C03D28" w:rsidRPr="00C03D28" w:rsidRDefault="00C03D28" w:rsidP="00867482">
      <w:pPr>
        <w:spacing w:line="278" w:lineRule="auto"/>
        <w:jc w:val="left"/>
        <w:rPr>
          <w:rFonts w:cs="Arial"/>
          <w:color w:val="000000" w:themeColor="text1"/>
        </w:rPr>
      </w:pPr>
      <w:r w:rsidRPr="00C03D28">
        <w:rPr>
          <w:rFonts w:cs="Arial"/>
          <w:color w:val="000000" w:themeColor="text1"/>
        </w:rPr>
        <w:t xml:space="preserve">Ozkan, M. and Solmaz, B. (2015) ‘The changing face of the employees – Generation Z and their perceptions of work (a study applied to university students)’, </w:t>
      </w:r>
      <w:r w:rsidRPr="00C03D28">
        <w:rPr>
          <w:rFonts w:cs="Arial"/>
          <w:i/>
          <w:iCs/>
          <w:color w:val="000000" w:themeColor="text1"/>
        </w:rPr>
        <w:t>Procedia Economics and Finance</w:t>
      </w:r>
      <w:r w:rsidRPr="00C03D28">
        <w:rPr>
          <w:rFonts w:cs="Arial"/>
          <w:color w:val="000000" w:themeColor="text1"/>
        </w:rPr>
        <w:t xml:space="preserve">, 26, pp. 476–483. Available at: </w:t>
      </w:r>
      <w:hyperlink r:id="rId20" w:history="1">
        <w:r w:rsidRPr="00C03D28">
          <w:rPr>
            <w:rStyle w:val="Hyperlink"/>
            <w:rFonts w:cs="Arial"/>
            <w:color w:val="000000" w:themeColor="text1"/>
            <w:u w:val="none"/>
          </w:rPr>
          <w:t>https://doi.org/10.1016/S2212-5671(15)00876-X</w:t>
        </w:r>
      </w:hyperlink>
      <w:r w:rsidRPr="00C03D28">
        <w:rPr>
          <w:rFonts w:cs="Arial"/>
          <w:color w:val="000000" w:themeColor="text1"/>
        </w:rPr>
        <w:t>.</w:t>
      </w:r>
    </w:p>
    <w:p w14:paraId="6E345C29" w14:textId="77777777" w:rsidR="00C03D28" w:rsidRPr="00C03D28" w:rsidRDefault="00C03D28" w:rsidP="00867482">
      <w:pPr>
        <w:spacing w:line="278" w:lineRule="auto"/>
        <w:jc w:val="left"/>
        <w:rPr>
          <w:rFonts w:cs="Arial"/>
          <w:color w:val="000000" w:themeColor="text1"/>
        </w:rPr>
      </w:pPr>
      <w:r w:rsidRPr="00C03D28">
        <w:rPr>
          <w:rFonts w:cs="Arial"/>
          <w:color w:val="000000" w:themeColor="text1"/>
        </w:rPr>
        <w:t xml:space="preserve">Özkan, M. and Solmaz, B. (2019) ‘The changing face of the employees – Generation Z and their perceptions of work (a study applied to university students)’, </w:t>
      </w:r>
      <w:r w:rsidRPr="00C03D28">
        <w:rPr>
          <w:rFonts w:cs="Arial"/>
          <w:i/>
          <w:iCs/>
          <w:color w:val="000000" w:themeColor="text1"/>
        </w:rPr>
        <w:t>Procedia Computer Science</w:t>
      </w:r>
      <w:r w:rsidRPr="00C03D28">
        <w:rPr>
          <w:rFonts w:cs="Arial"/>
          <w:color w:val="000000" w:themeColor="text1"/>
        </w:rPr>
        <w:t xml:space="preserve">, 158, pp. 932–940. Available at: </w:t>
      </w:r>
      <w:hyperlink r:id="rId21" w:history="1">
        <w:r w:rsidRPr="00C03D28">
          <w:rPr>
            <w:rStyle w:val="Hyperlink"/>
            <w:rFonts w:cs="Arial"/>
            <w:color w:val="000000" w:themeColor="text1"/>
            <w:u w:val="none"/>
          </w:rPr>
          <w:t>https://doi.org/10.1016/j.procs.2019.09.137</w:t>
        </w:r>
      </w:hyperlink>
      <w:r w:rsidRPr="00C03D28">
        <w:rPr>
          <w:rFonts w:cs="Arial"/>
          <w:color w:val="000000" w:themeColor="text1"/>
        </w:rPr>
        <w:t>.</w:t>
      </w:r>
    </w:p>
    <w:p w14:paraId="69C08E19" w14:textId="77777777" w:rsidR="00C03D28" w:rsidRPr="00C03D28" w:rsidRDefault="00C03D28" w:rsidP="00867482">
      <w:pPr>
        <w:spacing w:line="278" w:lineRule="auto"/>
        <w:jc w:val="left"/>
        <w:rPr>
          <w:rFonts w:cs="Arial"/>
          <w:color w:val="000000" w:themeColor="text1"/>
        </w:rPr>
      </w:pPr>
      <w:r w:rsidRPr="00C03D28">
        <w:rPr>
          <w:rFonts w:cs="Arial"/>
          <w:color w:val="000000" w:themeColor="text1"/>
        </w:rPr>
        <w:t xml:space="preserve">Page, M.J., McKenzie, J.E., Bossuyt, P.M., </w:t>
      </w:r>
      <w:proofErr w:type="spellStart"/>
      <w:r w:rsidRPr="00C03D28">
        <w:rPr>
          <w:rFonts w:cs="Arial"/>
          <w:color w:val="000000" w:themeColor="text1"/>
        </w:rPr>
        <w:t>Boutron</w:t>
      </w:r>
      <w:proofErr w:type="spellEnd"/>
      <w:r w:rsidRPr="00C03D28">
        <w:rPr>
          <w:rFonts w:cs="Arial"/>
          <w:color w:val="000000" w:themeColor="text1"/>
        </w:rPr>
        <w:t xml:space="preserve">, I., Hoffmann, T.C., Mulrow, C.D., </w:t>
      </w:r>
      <w:proofErr w:type="spellStart"/>
      <w:r w:rsidRPr="00C03D28">
        <w:rPr>
          <w:rFonts w:cs="Arial"/>
          <w:color w:val="000000" w:themeColor="text1"/>
        </w:rPr>
        <w:t>Shamseer</w:t>
      </w:r>
      <w:proofErr w:type="spellEnd"/>
      <w:r w:rsidRPr="00C03D28">
        <w:rPr>
          <w:rFonts w:cs="Arial"/>
          <w:color w:val="000000" w:themeColor="text1"/>
        </w:rPr>
        <w:t xml:space="preserve">, L., Tetzlaff, J.M., Akl, E.A., Brennan, S.E., Chou, R., Glanville, J., Grimshaw, J.M., Hróbjartsson, A., Lalu, M.M., Li, T., Loder, E.W., Mayo-Wilson, E., McDonald, S., McGuinness, L.A., Stewart, L.A., Thomas, J., </w:t>
      </w:r>
      <w:proofErr w:type="spellStart"/>
      <w:r w:rsidRPr="00C03D28">
        <w:rPr>
          <w:rFonts w:cs="Arial"/>
          <w:color w:val="000000" w:themeColor="text1"/>
        </w:rPr>
        <w:t>Tricco</w:t>
      </w:r>
      <w:proofErr w:type="spellEnd"/>
      <w:r w:rsidRPr="00C03D28">
        <w:rPr>
          <w:rFonts w:cs="Arial"/>
          <w:color w:val="000000" w:themeColor="text1"/>
        </w:rPr>
        <w:t xml:space="preserve">, A.C., Welch, V.A., Whiting, P. and Moher, D. (2021) ‘The PRISMA 2020 statement: an updated guideline for reporting systematic reviews’, </w:t>
      </w:r>
      <w:r w:rsidRPr="00C03D28">
        <w:rPr>
          <w:rFonts w:cs="Arial"/>
          <w:i/>
          <w:iCs/>
          <w:color w:val="000000" w:themeColor="text1"/>
        </w:rPr>
        <w:t>BMJ</w:t>
      </w:r>
      <w:r w:rsidRPr="00C03D28">
        <w:rPr>
          <w:rFonts w:cs="Arial"/>
          <w:color w:val="000000" w:themeColor="text1"/>
        </w:rPr>
        <w:t xml:space="preserve">, 372, n71. Available at: </w:t>
      </w:r>
      <w:hyperlink r:id="rId22" w:history="1">
        <w:r w:rsidRPr="00C03D28">
          <w:rPr>
            <w:rStyle w:val="Hyperlink"/>
            <w:rFonts w:cs="Arial"/>
            <w:color w:val="000000" w:themeColor="text1"/>
            <w:u w:val="none"/>
          </w:rPr>
          <w:t>https://doi.org/10.1136/bmj.n71</w:t>
        </w:r>
      </w:hyperlink>
      <w:r w:rsidRPr="00C03D28">
        <w:rPr>
          <w:rFonts w:cs="Arial"/>
          <w:color w:val="000000" w:themeColor="text1"/>
        </w:rPr>
        <w:t>.</w:t>
      </w:r>
    </w:p>
    <w:p w14:paraId="1B184301" w14:textId="77777777" w:rsidR="00C03D28" w:rsidRPr="00C03D28" w:rsidRDefault="00C03D28" w:rsidP="00867482">
      <w:pPr>
        <w:spacing w:line="278" w:lineRule="auto"/>
        <w:jc w:val="left"/>
        <w:rPr>
          <w:rFonts w:cs="Arial"/>
          <w:color w:val="000000" w:themeColor="text1"/>
        </w:rPr>
      </w:pPr>
      <w:proofErr w:type="spellStart"/>
      <w:r w:rsidRPr="00C03D28">
        <w:rPr>
          <w:rFonts w:cs="Arial"/>
          <w:color w:val="000000" w:themeColor="text1"/>
        </w:rPr>
        <w:t>Putriastuti</w:t>
      </w:r>
      <w:proofErr w:type="spellEnd"/>
      <w:r w:rsidRPr="00C03D28">
        <w:rPr>
          <w:rFonts w:cs="Arial"/>
          <w:color w:val="000000" w:themeColor="text1"/>
        </w:rPr>
        <w:t xml:space="preserve">, B. and Stasi, A. (2019) ‘How to lead and motivate Generation Z employees’, </w:t>
      </w:r>
      <w:r w:rsidRPr="00C03D28">
        <w:rPr>
          <w:rFonts w:cs="Arial"/>
          <w:i/>
          <w:iCs/>
          <w:color w:val="000000" w:themeColor="text1"/>
        </w:rPr>
        <w:t>International Journal of Multicultural and Multireligious Understanding</w:t>
      </w:r>
      <w:r w:rsidRPr="00C03D28">
        <w:rPr>
          <w:rFonts w:cs="Arial"/>
          <w:color w:val="000000" w:themeColor="text1"/>
        </w:rPr>
        <w:t xml:space="preserve">, 6(5), pp. 356–363. Available at: </w:t>
      </w:r>
      <w:hyperlink r:id="rId23" w:history="1">
        <w:r w:rsidRPr="00C03D28">
          <w:rPr>
            <w:rStyle w:val="Hyperlink"/>
            <w:rFonts w:cs="Arial"/>
            <w:color w:val="000000" w:themeColor="text1"/>
            <w:u w:val="none"/>
          </w:rPr>
          <w:t>https://doi.org/10.18415/ijmmu.v6i5.1095</w:t>
        </w:r>
      </w:hyperlink>
      <w:r w:rsidRPr="00C03D28">
        <w:rPr>
          <w:rFonts w:cs="Arial"/>
          <w:color w:val="000000" w:themeColor="text1"/>
        </w:rPr>
        <w:t>.</w:t>
      </w:r>
    </w:p>
    <w:p w14:paraId="0CCF42C0" w14:textId="77777777" w:rsidR="00C03D28" w:rsidRPr="00C03D28" w:rsidRDefault="00C03D28" w:rsidP="00867482">
      <w:pPr>
        <w:spacing w:line="278" w:lineRule="auto"/>
        <w:jc w:val="left"/>
        <w:rPr>
          <w:rFonts w:cs="Arial"/>
          <w:color w:val="000000" w:themeColor="text1"/>
        </w:rPr>
      </w:pPr>
      <w:r w:rsidRPr="00C03D28">
        <w:rPr>
          <w:rFonts w:cs="Arial"/>
          <w:color w:val="000000" w:themeColor="text1"/>
        </w:rPr>
        <w:t xml:space="preserve">Rousseau, D.M. (1995) </w:t>
      </w:r>
      <w:r w:rsidRPr="00C03D28">
        <w:rPr>
          <w:rFonts w:cs="Arial"/>
          <w:i/>
          <w:iCs/>
          <w:color w:val="000000" w:themeColor="text1"/>
        </w:rPr>
        <w:t>Psychological contracts in organizations: Understanding written and unwritten agreements</w:t>
      </w:r>
      <w:r w:rsidRPr="00C03D28">
        <w:rPr>
          <w:rFonts w:cs="Arial"/>
          <w:color w:val="000000" w:themeColor="text1"/>
        </w:rPr>
        <w:t>. Thousand Oaks, CA: Sage.</w:t>
      </w:r>
    </w:p>
    <w:p w14:paraId="06407ADF" w14:textId="77777777" w:rsidR="00C03D28" w:rsidRPr="00C03D28" w:rsidRDefault="00C03D28" w:rsidP="00867482">
      <w:pPr>
        <w:spacing w:line="278" w:lineRule="auto"/>
        <w:jc w:val="left"/>
        <w:rPr>
          <w:rFonts w:cs="Arial"/>
          <w:color w:val="000000" w:themeColor="text1"/>
        </w:rPr>
      </w:pPr>
      <w:r w:rsidRPr="00C03D28">
        <w:rPr>
          <w:rFonts w:cs="Arial"/>
          <w:color w:val="000000" w:themeColor="text1"/>
        </w:rPr>
        <w:t xml:space="preserve">Ryder, N.B. (1965) ‘The cohort as a concept in the study of social change’, </w:t>
      </w:r>
      <w:r w:rsidRPr="00C03D28">
        <w:rPr>
          <w:rFonts w:cs="Arial"/>
          <w:i/>
          <w:iCs/>
          <w:color w:val="000000" w:themeColor="text1"/>
        </w:rPr>
        <w:t>American Sociological Review</w:t>
      </w:r>
      <w:r w:rsidRPr="00C03D28">
        <w:rPr>
          <w:rFonts w:cs="Arial"/>
          <w:color w:val="000000" w:themeColor="text1"/>
        </w:rPr>
        <w:t xml:space="preserve">, 30(6), pp. 843–861. Available at: </w:t>
      </w:r>
      <w:hyperlink r:id="rId24" w:history="1">
        <w:r w:rsidRPr="00C03D28">
          <w:rPr>
            <w:rStyle w:val="Hyperlink"/>
            <w:rFonts w:cs="Arial"/>
            <w:color w:val="000000" w:themeColor="text1"/>
            <w:u w:val="none"/>
          </w:rPr>
          <w:t>https://doi.org/10.2307/2090964</w:t>
        </w:r>
      </w:hyperlink>
      <w:r w:rsidRPr="00C03D28">
        <w:rPr>
          <w:rFonts w:cs="Arial"/>
          <w:color w:val="000000" w:themeColor="text1"/>
        </w:rPr>
        <w:t>.</w:t>
      </w:r>
    </w:p>
    <w:p w14:paraId="72B67C8C" w14:textId="77777777" w:rsidR="00C03D28" w:rsidRPr="00C03D28" w:rsidRDefault="00C03D28" w:rsidP="00867482">
      <w:pPr>
        <w:spacing w:line="278" w:lineRule="auto"/>
        <w:jc w:val="left"/>
        <w:rPr>
          <w:rFonts w:cs="Arial"/>
          <w:color w:val="000000" w:themeColor="text1"/>
        </w:rPr>
      </w:pPr>
      <w:r w:rsidRPr="00C03D28">
        <w:rPr>
          <w:rFonts w:cs="Arial"/>
          <w:color w:val="000000" w:themeColor="text1"/>
        </w:rPr>
        <w:t xml:space="preserve">Saunders, M., Lewis, P. and Thornhill, A. (2019) </w:t>
      </w:r>
      <w:r w:rsidRPr="00C03D28">
        <w:rPr>
          <w:rFonts w:cs="Arial"/>
          <w:i/>
          <w:iCs/>
          <w:color w:val="000000" w:themeColor="text1"/>
        </w:rPr>
        <w:t>Research methods for business students</w:t>
      </w:r>
      <w:r w:rsidRPr="00C03D28">
        <w:rPr>
          <w:rFonts w:cs="Arial"/>
          <w:color w:val="000000" w:themeColor="text1"/>
        </w:rPr>
        <w:t xml:space="preserve">. 8th </w:t>
      </w:r>
      <w:proofErr w:type="spellStart"/>
      <w:r w:rsidRPr="00C03D28">
        <w:rPr>
          <w:rFonts w:cs="Arial"/>
          <w:color w:val="000000" w:themeColor="text1"/>
        </w:rPr>
        <w:t>edn</w:t>
      </w:r>
      <w:proofErr w:type="spellEnd"/>
      <w:r w:rsidRPr="00C03D28">
        <w:rPr>
          <w:rFonts w:cs="Arial"/>
          <w:color w:val="000000" w:themeColor="text1"/>
        </w:rPr>
        <w:t>. Harlow: Pearson Education.</w:t>
      </w:r>
    </w:p>
    <w:p w14:paraId="5DD50842" w14:textId="77777777" w:rsidR="00C03D28" w:rsidRPr="00C03D28" w:rsidRDefault="00C03D28" w:rsidP="00867482">
      <w:pPr>
        <w:spacing w:line="278" w:lineRule="auto"/>
        <w:jc w:val="left"/>
        <w:rPr>
          <w:rFonts w:cs="Arial"/>
          <w:color w:val="000000" w:themeColor="text1"/>
        </w:rPr>
      </w:pPr>
      <w:r w:rsidRPr="00C03D28">
        <w:rPr>
          <w:rFonts w:cs="Arial"/>
          <w:color w:val="000000" w:themeColor="text1"/>
        </w:rPr>
        <w:t xml:space="preserve">Scholz, T.M. (2021) ‘Digital natives in the workplace: HRM implications of Generation Z’s technology use’, </w:t>
      </w:r>
      <w:r w:rsidRPr="00C03D28">
        <w:rPr>
          <w:rFonts w:cs="Arial"/>
          <w:i/>
          <w:iCs/>
          <w:color w:val="000000" w:themeColor="text1"/>
        </w:rPr>
        <w:t>Employee Relations</w:t>
      </w:r>
      <w:r w:rsidRPr="00C03D28">
        <w:rPr>
          <w:rFonts w:cs="Arial"/>
          <w:color w:val="000000" w:themeColor="text1"/>
        </w:rPr>
        <w:t xml:space="preserve">, 43(6), pp. 1362–1376. Available at: </w:t>
      </w:r>
      <w:hyperlink r:id="rId25" w:history="1">
        <w:r w:rsidRPr="00C03D28">
          <w:rPr>
            <w:rStyle w:val="Hyperlink"/>
            <w:rFonts w:cs="Arial"/>
            <w:color w:val="000000" w:themeColor="text1"/>
            <w:u w:val="none"/>
          </w:rPr>
          <w:t>https://doi.org/10.1108/ER-02-2021-0063</w:t>
        </w:r>
      </w:hyperlink>
      <w:r w:rsidRPr="00C03D28">
        <w:rPr>
          <w:rFonts w:cs="Arial"/>
          <w:color w:val="000000" w:themeColor="text1"/>
        </w:rPr>
        <w:t>.</w:t>
      </w:r>
    </w:p>
    <w:p w14:paraId="50AAC07D" w14:textId="77777777" w:rsidR="00C03D28" w:rsidRPr="00C03D28" w:rsidRDefault="00C03D28" w:rsidP="00867482">
      <w:pPr>
        <w:spacing w:line="278" w:lineRule="auto"/>
        <w:jc w:val="left"/>
        <w:rPr>
          <w:rFonts w:cs="Arial"/>
          <w:color w:val="000000" w:themeColor="text1"/>
        </w:rPr>
      </w:pPr>
      <w:r w:rsidRPr="00C03D28">
        <w:rPr>
          <w:rFonts w:cs="Arial"/>
          <w:color w:val="000000" w:themeColor="text1"/>
        </w:rPr>
        <w:lastRenderedPageBreak/>
        <w:t xml:space="preserve">Schroth, H. (2019) ‘Are you ready for Gen Z in the workplace?’, </w:t>
      </w:r>
      <w:r w:rsidRPr="00C03D28">
        <w:rPr>
          <w:rFonts w:cs="Arial"/>
          <w:i/>
          <w:iCs/>
          <w:color w:val="000000" w:themeColor="text1"/>
        </w:rPr>
        <w:t>California Management Review</w:t>
      </w:r>
      <w:r w:rsidRPr="00C03D28">
        <w:rPr>
          <w:rFonts w:cs="Arial"/>
          <w:color w:val="000000" w:themeColor="text1"/>
        </w:rPr>
        <w:t xml:space="preserve">, 61(3), pp. 5–18. Available at: </w:t>
      </w:r>
      <w:hyperlink r:id="rId26" w:history="1">
        <w:r w:rsidRPr="00C03D28">
          <w:rPr>
            <w:rStyle w:val="Hyperlink"/>
            <w:rFonts w:cs="Arial"/>
            <w:color w:val="000000" w:themeColor="text1"/>
            <w:u w:val="none"/>
          </w:rPr>
          <w:t>https://doi.org/10.1177/0008125619841006</w:t>
        </w:r>
      </w:hyperlink>
      <w:r w:rsidRPr="00C03D28">
        <w:rPr>
          <w:rFonts w:cs="Arial"/>
          <w:color w:val="000000" w:themeColor="text1"/>
        </w:rPr>
        <w:t>.</w:t>
      </w:r>
    </w:p>
    <w:p w14:paraId="41A7668F" w14:textId="77777777" w:rsidR="00C03D28" w:rsidRPr="00C03D28" w:rsidRDefault="00C03D28" w:rsidP="00867482">
      <w:pPr>
        <w:spacing w:line="278" w:lineRule="auto"/>
        <w:jc w:val="left"/>
        <w:rPr>
          <w:rFonts w:cs="Arial"/>
          <w:color w:val="000000" w:themeColor="text1"/>
        </w:rPr>
      </w:pPr>
      <w:r w:rsidRPr="00C03D28">
        <w:rPr>
          <w:rFonts w:cs="Arial"/>
          <w:color w:val="000000" w:themeColor="text1"/>
        </w:rPr>
        <w:t xml:space="preserve">Seemiller, C. and Grace, M. (2017) </w:t>
      </w:r>
      <w:r w:rsidRPr="00C03D28">
        <w:rPr>
          <w:rFonts w:cs="Arial"/>
          <w:i/>
          <w:iCs/>
          <w:color w:val="000000" w:themeColor="text1"/>
        </w:rPr>
        <w:t>Generation Z goes to college</w:t>
      </w:r>
      <w:r w:rsidRPr="00C03D28">
        <w:rPr>
          <w:rFonts w:cs="Arial"/>
          <w:color w:val="000000" w:themeColor="text1"/>
        </w:rPr>
        <w:t>. San Francisco: Jossey-Bass.</w:t>
      </w:r>
    </w:p>
    <w:p w14:paraId="4E164C0C" w14:textId="77777777" w:rsidR="00C03D28" w:rsidRPr="00C03D28" w:rsidRDefault="00C03D28" w:rsidP="00867482">
      <w:pPr>
        <w:spacing w:line="278" w:lineRule="auto"/>
        <w:jc w:val="left"/>
        <w:rPr>
          <w:rFonts w:cs="Arial"/>
          <w:color w:val="000000" w:themeColor="text1"/>
        </w:rPr>
      </w:pPr>
      <w:proofErr w:type="spellStart"/>
      <w:r w:rsidRPr="00C03D28">
        <w:rPr>
          <w:rFonts w:cs="Arial"/>
          <w:color w:val="000000" w:themeColor="text1"/>
        </w:rPr>
        <w:t>Sidorcuka</w:t>
      </w:r>
      <w:proofErr w:type="spellEnd"/>
      <w:r w:rsidRPr="00C03D28">
        <w:rPr>
          <w:rFonts w:cs="Arial"/>
          <w:color w:val="000000" w:themeColor="text1"/>
        </w:rPr>
        <w:t xml:space="preserve">, I. and </w:t>
      </w:r>
      <w:proofErr w:type="spellStart"/>
      <w:r w:rsidRPr="00C03D28">
        <w:rPr>
          <w:rFonts w:cs="Arial"/>
          <w:color w:val="000000" w:themeColor="text1"/>
        </w:rPr>
        <w:t>Chesnovicka</w:t>
      </w:r>
      <w:proofErr w:type="spellEnd"/>
      <w:r w:rsidRPr="00C03D28">
        <w:rPr>
          <w:rFonts w:cs="Arial"/>
          <w:color w:val="000000" w:themeColor="text1"/>
        </w:rPr>
        <w:t xml:space="preserve">, A. (2019) ‘Generation Z expectations in the workplace: A case study’, </w:t>
      </w:r>
      <w:r w:rsidRPr="00C03D28">
        <w:rPr>
          <w:rFonts w:cs="Arial"/>
          <w:i/>
          <w:iCs/>
          <w:color w:val="000000" w:themeColor="text1"/>
        </w:rPr>
        <w:t>Proceedings of the International Scientific Conference on Society, Integration, Education</w:t>
      </w:r>
      <w:r w:rsidRPr="00C03D28">
        <w:rPr>
          <w:rFonts w:cs="Arial"/>
          <w:color w:val="000000" w:themeColor="text1"/>
        </w:rPr>
        <w:t xml:space="preserve">, 6, pp. 250–261. Available at: </w:t>
      </w:r>
      <w:hyperlink r:id="rId27" w:history="1">
        <w:r w:rsidRPr="00C03D28">
          <w:rPr>
            <w:rStyle w:val="Hyperlink"/>
            <w:rFonts w:cs="Arial"/>
            <w:color w:val="000000" w:themeColor="text1"/>
            <w:u w:val="none"/>
          </w:rPr>
          <w:t>https://doi.org/10.17770/sie2019vol6.3712</w:t>
        </w:r>
      </w:hyperlink>
      <w:r w:rsidRPr="00C03D28">
        <w:rPr>
          <w:rFonts w:cs="Arial"/>
          <w:color w:val="000000" w:themeColor="text1"/>
        </w:rPr>
        <w:t>.</w:t>
      </w:r>
    </w:p>
    <w:p w14:paraId="487048DE" w14:textId="77777777" w:rsidR="00C03D28" w:rsidRPr="00C03D28" w:rsidRDefault="00C03D28" w:rsidP="00867482">
      <w:pPr>
        <w:spacing w:line="278" w:lineRule="auto"/>
        <w:jc w:val="left"/>
        <w:rPr>
          <w:rFonts w:cs="Arial"/>
          <w:color w:val="000000" w:themeColor="text1"/>
        </w:rPr>
      </w:pPr>
      <w:r w:rsidRPr="00C03D28">
        <w:rPr>
          <w:rFonts w:cs="Arial"/>
          <w:color w:val="000000" w:themeColor="text1"/>
        </w:rPr>
        <w:t xml:space="preserve">Singh, A.P. and </w:t>
      </w:r>
      <w:proofErr w:type="spellStart"/>
      <w:r w:rsidRPr="00C03D28">
        <w:rPr>
          <w:rFonts w:cs="Arial"/>
          <w:color w:val="000000" w:themeColor="text1"/>
        </w:rPr>
        <w:t>Dangmei</w:t>
      </w:r>
      <w:proofErr w:type="spellEnd"/>
      <w:r w:rsidRPr="00C03D28">
        <w:rPr>
          <w:rFonts w:cs="Arial"/>
          <w:color w:val="000000" w:themeColor="text1"/>
        </w:rPr>
        <w:t xml:space="preserve">, J. (2018) ‘Understanding the generation Z: The future workforce’, </w:t>
      </w:r>
      <w:r w:rsidRPr="00C03D28">
        <w:rPr>
          <w:rFonts w:cs="Arial"/>
          <w:i/>
          <w:iCs/>
          <w:color w:val="000000" w:themeColor="text1"/>
        </w:rPr>
        <w:t>South-Asian Journal of Multidisciplinary Studies</w:t>
      </w:r>
      <w:r w:rsidRPr="00C03D28">
        <w:rPr>
          <w:rFonts w:cs="Arial"/>
          <w:color w:val="000000" w:themeColor="text1"/>
        </w:rPr>
        <w:t>, 3(3), pp. 1–5.</w:t>
      </w:r>
    </w:p>
    <w:p w14:paraId="16A844B1" w14:textId="77777777" w:rsidR="00C03D28" w:rsidRPr="00C03D28" w:rsidRDefault="00C03D28" w:rsidP="00867482">
      <w:pPr>
        <w:spacing w:line="278" w:lineRule="auto"/>
        <w:jc w:val="left"/>
        <w:rPr>
          <w:rFonts w:cs="Arial"/>
          <w:color w:val="000000" w:themeColor="text1"/>
        </w:rPr>
      </w:pPr>
      <w:r w:rsidRPr="00C03D28">
        <w:rPr>
          <w:rFonts w:cs="Arial"/>
          <w:color w:val="000000" w:themeColor="text1"/>
        </w:rPr>
        <w:t xml:space="preserve">Thomas, J. (2006) ‘A general inductive approach for qualitative data analysis’, </w:t>
      </w:r>
      <w:r w:rsidRPr="00C03D28">
        <w:rPr>
          <w:rFonts w:cs="Arial"/>
          <w:i/>
          <w:iCs/>
          <w:color w:val="000000" w:themeColor="text1"/>
        </w:rPr>
        <w:t>American Journal of Evaluation</w:t>
      </w:r>
      <w:r w:rsidRPr="00C03D28">
        <w:rPr>
          <w:rFonts w:cs="Arial"/>
          <w:color w:val="000000" w:themeColor="text1"/>
        </w:rPr>
        <w:t xml:space="preserve">, 27(2), pp. 237–246. Available at: </w:t>
      </w:r>
      <w:hyperlink r:id="rId28" w:history="1">
        <w:r w:rsidRPr="00C03D28">
          <w:rPr>
            <w:rStyle w:val="Hyperlink"/>
            <w:rFonts w:cs="Arial"/>
            <w:color w:val="000000" w:themeColor="text1"/>
            <w:u w:val="none"/>
          </w:rPr>
          <w:t>https://doi.org/10.1177/1098214005283748</w:t>
        </w:r>
      </w:hyperlink>
      <w:r w:rsidRPr="00C03D28">
        <w:rPr>
          <w:rFonts w:cs="Arial"/>
          <w:color w:val="000000" w:themeColor="text1"/>
        </w:rPr>
        <w:t>.</w:t>
      </w:r>
    </w:p>
    <w:p w14:paraId="505FFE2F" w14:textId="77777777" w:rsidR="00C03D28" w:rsidRPr="00C03D28" w:rsidRDefault="00C03D28" w:rsidP="00867482">
      <w:pPr>
        <w:spacing w:line="278" w:lineRule="auto"/>
        <w:jc w:val="left"/>
        <w:rPr>
          <w:rFonts w:cs="Arial"/>
          <w:color w:val="000000" w:themeColor="text1"/>
        </w:rPr>
      </w:pPr>
      <w:r w:rsidRPr="00C03D28">
        <w:rPr>
          <w:rFonts w:cs="Arial"/>
          <w:color w:val="000000" w:themeColor="text1"/>
        </w:rPr>
        <w:t xml:space="preserve">Thomas, J. and Harden, A. (2008) ‘Methods for the thematic synthesis of qualitative research in systematic reviews’, </w:t>
      </w:r>
      <w:r w:rsidRPr="00C03D28">
        <w:rPr>
          <w:rFonts w:cs="Arial"/>
          <w:i/>
          <w:iCs/>
          <w:color w:val="000000" w:themeColor="text1"/>
        </w:rPr>
        <w:t>BMC Medical Research Methodology</w:t>
      </w:r>
      <w:r w:rsidRPr="00C03D28">
        <w:rPr>
          <w:rFonts w:cs="Arial"/>
          <w:color w:val="000000" w:themeColor="text1"/>
        </w:rPr>
        <w:t xml:space="preserve">, 8(1), p. 45. Available at: </w:t>
      </w:r>
      <w:hyperlink r:id="rId29" w:history="1">
        <w:r w:rsidRPr="00C03D28">
          <w:rPr>
            <w:rStyle w:val="Hyperlink"/>
            <w:rFonts w:cs="Arial"/>
            <w:color w:val="000000" w:themeColor="text1"/>
            <w:u w:val="none"/>
          </w:rPr>
          <w:t>https://doi.org/10.1186/1471-2288-8-45</w:t>
        </w:r>
      </w:hyperlink>
      <w:r w:rsidRPr="00C03D28">
        <w:rPr>
          <w:rFonts w:cs="Arial"/>
          <w:color w:val="000000" w:themeColor="text1"/>
        </w:rPr>
        <w:t>.</w:t>
      </w:r>
    </w:p>
    <w:p w14:paraId="0DA740A5" w14:textId="77777777" w:rsidR="00C03D28" w:rsidRPr="00C03D28" w:rsidRDefault="00C03D28" w:rsidP="00867482">
      <w:pPr>
        <w:spacing w:line="278" w:lineRule="auto"/>
        <w:jc w:val="left"/>
        <w:rPr>
          <w:rFonts w:cs="Arial"/>
          <w:color w:val="000000" w:themeColor="text1"/>
        </w:rPr>
      </w:pPr>
      <w:r w:rsidRPr="00C03D28">
        <w:rPr>
          <w:rFonts w:cs="Arial"/>
          <w:color w:val="000000" w:themeColor="text1"/>
        </w:rPr>
        <w:t xml:space="preserve">Twenge, J.M. (2010) ‘A review of the empirical evidence on generational differences in work attitudes’, </w:t>
      </w:r>
      <w:r w:rsidRPr="00C03D28">
        <w:rPr>
          <w:rFonts w:cs="Arial"/>
          <w:i/>
          <w:iCs/>
          <w:color w:val="000000" w:themeColor="text1"/>
        </w:rPr>
        <w:t>Journal of Business and Psychology</w:t>
      </w:r>
      <w:r w:rsidRPr="00C03D28">
        <w:rPr>
          <w:rFonts w:cs="Arial"/>
          <w:color w:val="000000" w:themeColor="text1"/>
        </w:rPr>
        <w:t xml:space="preserve">, 25(2), pp. 201–210. Available at: </w:t>
      </w:r>
      <w:hyperlink r:id="rId30" w:history="1">
        <w:r w:rsidRPr="00C03D28">
          <w:rPr>
            <w:rStyle w:val="Hyperlink"/>
            <w:rFonts w:cs="Arial"/>
            <w:color w:val="000000" w:themeColor="text1"/>
            <w:u w:val="none"/>
          </w:rPr>
          <w:t>https://doi.org/10.1007/s10869-010-9165-6</w:t>
        </w:r>
      </w:hyperlink>
      <w:r w:rsidRPr="00C03D28">
        <w:rPr>
          <w:rFonts w:cs="Arial"/>
          <w:color w:val="000000" w:themeColor="text1"/>
        </w:rPr>
        <w:t>.</w:t>
      </w:r>
    </w:p>
    <w:p w14:paraId="6467BF2C" w14:textId="77777777" w:rsidR="00C03D28" w:rsidRPr="00C03D28" w:rsidRDefault="00C03D28" w:rsidP="00867482">
      <w:pPr>
        <w:spacing w:line="278" w:lineRule="auto"/>
        <w:jc w:val="left"/>
        <w:rPr>
          <w:rFonts w:cs="Arial"/>
          <w:color w:val="000000" w:themeColor="text1"/>
        </w:rPr>
      </w:pPr>
      <w:r w:rsidRPr="00C03D28">
        <w:rPr>
          <w:rFonts w:cs="Arial"/>
          <w:color w:val="000000" w:themeColor="text1"/>
        </w:rPr>
        <w:t xml:space="preserve">Wiedmer, T. (2015) ‘Generations do differ: Best practices in leading traditionalists, boomers, and Generations X, Y, and Z’, </w:t>
      </w:r>
      <w:r w:rsidRPr="00C03D28">
        <w:rPr>
          <w:rFonts w:cs="Arial"/>
          <w:i/>
          <w:iCs/>
          <w:color w:val="000000" w:themeColor="text1"/>
        </w:rPr>
        <w:t>Delta Kappa Gamma Bulletin</w:t>
      </w:r>
      <w:r w:rsidRPr="00C03D28">
        <w:rPr>
          <w:rFonts w:cs="Arial"/>
          <w:color w:val="000000" w:themeColor="text1"/>
        </w:rPr>
        <w:t>, 82(1), pp. 51–58.</w:t>
      </w:r>
    </w:p>
    <w:p w14:paraId="617F6EC9" w14:textId="77777777" w:rsidR="00F46771" w:rsidRPr="00867482" w:rsidRDefault="00F46771">
      <w:pPr>
        <w:rPr>
          <w:rFonts w:cs="Arial"/>
        </w:rPr>
      </w:pPr>
    </w:p>
    <w:sectPr w:rsidR="00F46771" w:rsidRPr="00867482" w:rsidSect="00C03D28">
      <w:footerReference w:type="default" r:id="rId31"/>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800F7A" w14:textId="77777777" w:rsidR="00D94262" w:rsidRDefault="00D94262" w:rsidP="00C03D28">
      <w:pPr>
        <w:spacing w:after="0" w:line="240" w:lineRule="auto"/>
      </w:pPr>
      <w:r>
        <w:separator/>
      </w:r>
    </w:p>
  </w:endnote>
  <w:endnote w:type="continuationSeparator" w:id="0">
    <w:p w14:paraId="0C3EA369" w14:textId="77777777" w:rsidR="00D94262" w:rsidRDefault="00D94262" w:rsidP="00C03D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8630199"/>
      <w:docPartObj>
        <w:docPartGallery w:val="Page Numbers (Bottom of Page)"/>
        <w:docPartUnique/>
      </w:docPartObj>
    </w:sdtPr>
    <w:sdtEndPr>
      <w:rPr>
        <w:noProof/>
      </w:rPr>
    </w:sdtEndPr>
    <w:sdtContent>
      <w:p w14:paraId="49BBE14E" w14:textId="22F06D1F" w:rsidR="00C03D28" w:rsidRDefault="00C03D2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98D4C4" w14:textId="77777777" w:rsidR="00C03D28" w:rsidRDefault="00C03D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3BECBB" w14:textId="77777777" w:rsidR="00D94262" w:rsidRDefault="00D94262" w:rsidP="00C03D28">
      <w:pPr>
        <w:spacing w:after="0" w:line="240" w:lineRule="auto"/>
      </w:pPr>
      <w:r>
        <w:separator/>
      </w:r>
    </w:p>
  </w:footnote>
  <w:footnote w:type="continuationSeparator" w:id="0">
    <w:p w14:paraId="248D05CF" w14:textId="77777777" w:rsidR="00D94262" w:rsidRDefault="00D94262" w:rsidP="00C03D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757F9"/>
    <w:multiLevelType w:val="multilevel"/>
    <w:tmpl w:val="7A56A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E714B2"/>
    <w:multiLevelType w:val="multilevel"/>
    <w:tmpl w:val="5C547E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227120"/>
    <w:multiLevelType w:val="multilevel"/>
    <w:tmpl w:val="38A2F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3954D7"/>
    <w:multiLevelType w:val="hybridMultilevel"/>
    <w:tmpl w:val="ED3A4A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23E6CB2"/>
    <w:multiLevelType w:val="multilevel"/>
    <w:tmpl w:val="4E0EC5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4DB1929"/>
    <w:multiLevelType w:val="multilevel"/>
    <w:tmpl w:val="F75893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BF759D7"/>
    <w:multiLevelType w:val="multilevel"/>
    <w:tmpl w:val="CA245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6179C0"/>
    <w:multiLevelType w:val="hybridMultilevel"/>
    <w:tmpl w:val="035898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ACE0D84"/>
    <w:multiLevelType w:val="multilevel"/>
    <w:tmpl w:val="5AC6B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23000011">
    <w:abstractNumId w:val="4"/>
  </w:num>
  <w:num w:numId="2" w16cid:durableId="1921329735">
    <w:abstractNumId w:val="5"/>
  </w:num>
  <w:num w:numId="3" w16cid:durableId="24058928">
    <w:abstractNumId w:val="6"/>
  </w:num>
  <w:num w:numId="4" w16cid:durableId="1257637446">
    <w:abstractNumId w:val="1"/>
  </w:num>
  <w:num w:numId="5" w16cid:durableId="760832907">
    <w:abstractNumId w:val="8"/>
  </w:num>
  <w:num w:numId="6" w16cid:durableId="240914062">
    <w:abstractNumId w:val="2"/>
  </w:num>
  <w:num w:numId="7" w16cid:durableId="1692951740">
    <w:abstractNumId w:val="0"/>
  </w:num>
  <w:num w:numId="8" w16cid:durableId="10837259">
    <w:abstractNumId w:val="7"/>
  </w:num>
  <w:num w:numId="9" w16cid:durableId="100528699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482"/>
    <w:rsid w:val="003B0038"/>
    <w:rsid w:val="006563AC"/>
    <w:rsid w:val="006F0201"/>
    <w:rsid w:val="00747B7B"/>
    <w:rsid w:val="007E52FA"/>
    <w:rsid w:val="00867482"/>
    <w:rsid w:val="00910599"/>
    <w:rsid w:val="009D4A33"/>
    <w:rsid w:val="00BA6B5C"/>
    <w:rsid w:val="00C03D28"/>
    <w:rsid w:val="00CF7B4F"/>
    <w:rsid w:val="00D94262"/>
    <w:rsid w:val="00F46771"/>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5AEBF"/>
  <w15:chartTrackingRefBased/>
  <w15:docId w15:val="{745BC117-4D08-4403-A88F-51AFD6F0D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7482"/>
    <w:pPr>
      <w:spacing w:line="360" w:lineRule="auto"/>
      <w:jc w:val="both"/>
    </w:pPr>
    <w:rPr>
      <w:rFonts w:ascii="Arial" w:hAnsi="Arial"/>
    </w:rPr>
  </w:style>
  <w:style w:type="paragraph" w:styleId="Heading1">
    <w:name w:val="heading 1"/>
    <w:basedOn w:val="Normal"/>
    <w:next w:val="Normal"/>
    <w:link w:val="Heading1Char"/>
    <w:uiPriority w:val="9"/>
    <w:qFormat/>
    <w:rsid w:val="007E52FA"/>
    <w:pPr>
      <w:keepNext/>
      <w:keepLines/>
      <w:spacing w:after="0"/>
      <w:outlineLvl w:val="0"/>
    </w:pPr>
    <w:rPr>
      <w:rFonts w:eastAsiaTheme="majorEastAsia" w:cstheme="majorBidi"/>
      <w:b/>
      <w:color w:val="2F5496" w:themeColor="accent1" w:themeShade="BF"/>
      <w:sz w:val="36"/>
      <w:szCs w:val="40"/>
    </w:rPr>
  </w:style>
  <w:style w:type="paragraph" w:styleId="Heading2">
    <w:name w:val="heading 2"/>
    <w:basedOn w:val="Normal"/>
    <w:next w:val="Normal"/>
    <w:link w:val="Heading2Char"/>
    <w:uiPriority w:val="9"/>
    <w:unhideWhenUsed/>
    <w:qFormat/>
    <w:rsid w:val="007E52FA"/>
    <w:pPr>
      <w:keepNext/>
      <w:keepLines/>
      <w:spacing w:after="80"/>
      <w:outlineLvl w:val="1"/>
    </w:pPr>
    <w:rPr>
      <w:rFonts w:eastAsiaTheme="majorEastAsia" w:cstheme="majorBidi"/>
      <w:b/>
      <w:color w:val="1F3864" w:themeColor="accent1" w:themeShade="80"/>
      <w:sz w:val="28"/>
      <w:szCs w:val="32"/>
    </w:rPr>
  </w:style>
  <w:style w:type="paragraph" w:styleId="Heading3">
    <w:name w:val="heading 3"/>
    <w:basedOn w:val="Normal"/>
    <w:next w:val="Normal"/>
    <w:link w:val="Heading3Char"/>
    <w:uiPriority w:val="9"/>
    <w:unhideWhenUsed/>
    <w:qFormat/>
    <w:rsid w:val="00BA6B5C"/>
    <w:pPr>
      <w:keepNext/>
      <w:keepLines/>
      <w:spacing w:before="160" w:after="80"/>
      <w:outlineLvl w:val="2"/>
    </w:pPr>
    <w:rPr>
      <w:rFonts w:eastAsiaTheme="majorEastAsia" w:cstheme="majorBidi"/>
      <w:b/>
      <w:color w:val="2F5496" w:themeColor="accent1" w:themeShade="BF"/>
      <w:szCs w:val="28"/>
    </w:rPr>
  </w:style>
  <w:style w:type="paragraph" w:styleId="Heading4">
    <w:name w:val="heading 4"/>
    <w:basedOn w:val="Normal"/>
    <w:next w:val="Normal"/>
    <w:link w:val="Heading4Char"/>
    <w:uiPriority w:val="9"/>
    <w:semiHidden/>
    <w:unhideWhenUsed/>
    <w:qFormat/>
    <w:rsid w:val="0086748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6748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674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74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74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74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52FA"/>
    <w:rPr>
      <w:rFonts w:ascii="Arial" w:eastAsiaTheme="majorEastAsia" w:hAnsi="Arial" w:cstheme="majorBidi"/>
      <w:b/>
      <w:color w:val="2F5496" w:themeColor="accent1" w:themeShade="BF"/>
      <w:sz w:val="36"/>
      <w:szCs w:val="40"/>
    </w:rPr>
  </w:style>
  <w:style w:type="character" w:customStyle="1" w:styleId="Heading2Char">
    <w:name w:val="Heading 2 Char"/>
    <w:basedOn w:val="DefaultParagraphFont"/>
    <w:link w:val="Heading2"/>
    <w:uiPriority w:val="9"/>
    <w:rsid w:val="007E52FA"/>
    <w:rPr>
      <w:rFonts w:ascii="Arial" w:eastAsiaTheme="majorEastAsia" w:hAnsi="Arial" w:cstheme="majorBidi"/>
      <w:b/>
      <w:color w:val="1F3864" w:themeColor="accent1" w:themeShade="80"/>
      <w:sz w:val="28"/>
      <w:szCs w:val="32"/>
    </w:rPr>
  </w:style>
  <w:style w:type="character" w:customStyle="1" w:styleId="Heading3Char">
    <w:name w:val="Heading 3 Char"/>
    <w:basedOn w:val="DefaultParagraphFont"/>
    <w:link w:val="Heading3"/>
    <w:uiPriority w:val="9"/>
    <w:rsid w:val="00BA6B5C"/>
    <w:rPr>
      <w:rFonts w:ascii="Arial" w:eastAsiaTheme="majorEastAsia" w:hAnsi="Arial" w:cstheme="majorBidi"/>
      <w:b/>
      <w:color w:val="2F5496" w:themeColor="accent1" w:themeShade="BF"/>
      <w:szCs w:val="28"/>
    </w:rPr>
  </w:style>
  <w:style w:type="character" w:customStyle="1" w:styleId="Heading4Char">
    <w:name w:val="Heading 4 Char"/>
    <w:basedOn w:val="DefaultParagraphFont"/>
    <w:link w:val="Heading4"/>
    <w:uiPriority w:val="9"/>
    <w:semiHidden/>
    <w:rsid w:val="0086748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6748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674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74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74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7482"/>
    <w:rPr>
      <w:rFonts w:eastAsiaTheme="majorEastAsia" w:cstheme="majorBidi"/>
      <w:color w:val="272727" w:themeColor="text1" w:themeTint="D8"/>
    </w:rPr>
  </w:style>
  <w:style w:type="paragraph" w:styleId="Title">
    <w:name w:val="Title"/>
    <w:basedOn w:val="Normal"/>
    <w:next w:val="Normal"/>
    <w:link w:val="TitleChar"/>
    <w:uiPriority w:val="10"/>
    <w:qFormat/>
    <w:rsid w:val="008674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74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74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74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7482"/>
    <w:pPr>
      <w:spacing w:before="160"/>
      <w:jc w:val="center"/>
    </w:pPr>
    <w:rPr>
      <w:i/>
      <w:iCs/>
      <w:color w:val="404040" w:themeColor="text1" w:themeTint="BF"/>
    </w:rPr>
  </w:style>
  <w:style w:type="character" w:customStyle="1" w:styleId="QuoteChar">
    <w:name w:val="Quote Char"/>
    <w:basedOn w:val="DefaultParagraphFont"/>
    <w:link w:val="Quote"/>
    <w:uiPriority w:val="29"/>
    <w:rsid w:val="00867482"/>
    <w:rPr>
      <w:i/>
      <w:iCs/>
      <w:color w:val="404040" w:themeColor="text1" w:themeTint="BF"/>
    </w:rPr>
  </w:style>
  <w:style w:type="paragraph" w:styleId="ListParagraph">
    <w:name w:val="List Paragraph"/>
    <w:basedOn w:val="Normal"/>
    <w:uiPriority w:val="34"/>
    <w:qFormat/>
    <w:rsid w:val="00867482"/>
    <w:pPr>
      <w:ind w:left="720"/>
      <w:contextualSpacing/>
    </w:pPr>
  </w:style>
  <w:style w:type="character" w:styleId="IntenseEmphasis">
    <w:name w:val="Intense Emphasis"/>
    <w:basedOn w:val="DefaultParagraphFont"/>
    <w:uiPriority w:val="21"/>
    <w:qFormat/>
    <w:rsid w:val="00867482"/>
    <w:rPr>
      <w:i/>
      <w:iCs/>
      <w:color w:val="2F5496" w:themeColor="accent1" w:themeShade="BF"/>
    </w:rPr>
  </w:style>
  <w:style w:type="paragraph" w:styleId="IntenseQuote">
    <w:name w:val="Intense Quote"/>
    <w:basedOn w:val="Normal"/>
    <w:next w:val="Normal"/>
    <w:link w:val="IntenseQuoteChar"/>
    <w:uiPriority w:val="30"/>
    <w:qFormat/>
    <w:rsid w:val="0086748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67482"/>
    <w:rPr>
      <w:i/>
      <w:iCs/>
      <w:color w:val="2F5496" w:themeColor="accent1" w:themeShade="BF"/>
    </w:rPr>
  </w:style>
  <w:style w:type="character" w:styleId="IntenseReference">
    <w:name w:val="Intense Reference"/>
    <w:basedOn w:val="DefaultParagraphFont"/>
    <w:uiPriority w:val="32"/>
    <w:qFormat/>
    <w:rsid w:val="00867482"/>
    <w:rPr>
      <w:b/>
      <w:bCs/>
      <w:smallCaps/>
      <w:color w:val="2F5496" w:themeColor="accent1" w:themeShade="BF"/>
      <w:spacing w:val="5"/>
    </w:rPr>
  </w:style>
  <w:style w:type="character" w:styleId="Hyperlink">
    <w:name w:val="Hyperlink"/>
    <w:basedOn w:val="DefaultParagraphFont"/>
    <w:uiPriority w:val="99"/>
    <w:unhideWhenUsed/>
    <w:rsid w:val="00867482"/>
    <w:rPr>
      <w:color w:val="0563C1" w:themeColor="hyperlink"/>
      <w:u w:val="single"/>
    </w:rPr>
  </w:style>
  <w:style w:type="character" w:styleId="UnresolvedMention">
    <w:name w:val="Unresolved Mention"/>
    <w:basedOn w:val="DefaultParagraphFont"/>
    <w:uiPriority w:val="99"/>
    <w:semiHidden/>
    <w:unhideWhenUsed/>
    <w:rsid w:val="00867482"/>
    <w:rPr>
      <w:color w:val="605E5C"/>
      <w:shd w:val="clear" w:color="auto" w:fill="E1DFDD"/>
    </w:rPr>
  </w:style>
  <w:style w:type="table" w:styleId="TableGridLight">
    <w:name w:val="Grid Table Light"/>
    <w:basedOn w:val="TableNormal"/>
    <w:uiPriority w:val="40"/>
    <w:rsid w:val="007E52F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7E52FA"/>
    <w:pPr>
      <w:spacing w:before="240" w:line="259" w:lineRule="auto"/>
      <w:jc w:val="left"/>
      <w:outlineLvl w:val="9"/>
    </w:pPr>
    <w:rPr>
      <w:rFonts w:asciiTheme="majorHAnsi" w:hAnsiTheme="majorHAnsi"/>
      <w:b w:val="0"/>
      <w:kern w:val="0"/>
      <w:sz w:val="32"/>
      <w:szCs w:val="32"/>
      <w:lang w:eastAsia="en-US"/>
      <w14:ligatures w14:val="none"/>
    </w:rPr>
  </w:style>
  <w:style w:type="paragraph" w:styleId="TOC1">
    <w:name w:val="toc 1"/>
    <w:basedOn w:val="Normal"/>
    <w:next w:val="Normal"/>
    <w:autoRedefine/>
    <w:uiPriority w:val="39"/>
    <w:unhideWhenUsed/>
    <w:rsid w:val="007E52FA"/>
    <w:pPr>
      <w:spacing w:after="100"/>
    </w:pPr>
  </w:style>
  <w:style w:type="paragraph" w:styleId="TOC2">
    <w:name w:val="toc 2"/>
    <w:basedOn w:val="Normal"/>
    <w:next w:val="Normal"/>
    <w:autoRedefine/>
    <w:uiPriority w:val="39"/>
    <w:unhideWhenUsed/>
    <w:rsid w:val="007E52FA"/>
    <w:pPr>
      <w:spacing w:after="100"/>
      <w:ind w:left="240"/>
    </w:pPr>
  </w:style>
  <w:style w:type="paragraph" w:styleId="NormalWeb">
    <w:name w:val="Normal (Web)"/>
    <w:basedOn w:val="Normal"/>
    <w:uiPriority w:val="99"/>
    <w:semiHidden/>
    <w:unhideWhenUsed/>
    <w:rsid w:val="00C03D28"/>
    <w:rPr>
      <w:rFonts w:ascii="Times New Roman" w:hAnsi="Times New Roman" w:cs="Times New Roman"/>
    </w:rPr>
  </w:style>
  <w:style w:type="paragraph" w:styleId="Header">
    <w:name w:val="header"/>
    <w:basedOn w:val="Normal"/>
    <w:link w:val="HeaderChar"/>
    <w:uiPriority w:val="99"/>
    <w:unhideWhenUsed/>
    <w:rsid w:val="00C03D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3D28"/>
    <w:rPr>
      <w:rFonts w:ascii="Arial" w:hAnsi="Arial"/>
    </w:rPr>
  </w:style>
  <w:style w:type="paragraph" w:styleId="Footer">
    <w:name w:val="footer"/>
    <w:basedOn w:val="Normal"/>
    <w:link w:val="FooterChar"/>
    <w:uiPriority w:val="99"/>
    <w:unhideWhenUsed/>
    <w:rsid w:val="00C03D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3D28"/>
    <w:rPr>
      <w:rFonts w:ascii="Arial" w:hAnsi="Arial"/>
    </w:rPr>
  </w:style>
  <w:style w:type="paragraph" w:styleId="TOC3">
    <w:name w:val="toc 3"/>
    <w:basedOn w:val="Normal"/>
    <w:next w:val="Normal"/>
    <w:autoRedefine/>
    <w:uiPriority w:val="39"/>
    <w:unhideWhenUsed/>
    <w:rsid w:val="00BA6B5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0319/pijss.2017.31.188198" TargetMode="External"/><Relationship Id="rId18" Type="http://schemas.openxmlformats.org/officeDocument/2006/relationships/hyperlink" Target="https://doi.org/10.1371/journal.pmed.1000097" TargetMode="External"/><Relationship Id="rId26" Type="http://schemas.openxmlformats.org/officeDocument/2006/relationships/hyperlink" Target="https://doi.org/10.1177/0008125619841006" TargetMode="External"/><Relationship Id="rId3" Type="http://schemas.openxmlformats.org/officeDocument/2006/relationships/styles" Target="styles.xml"/><Relationship Id="rId21" Type="http://schemas.openxmlformats.org/officeDocument/2006/relationships/hyperlink" Target="https://doi.org/10.1016/j.procs.2019.09.137" TargetMode="External"/><Relationship Id="rId7" Type="http://schemas.openxmlformats.org/officeDocument/2006/relationships/endnotes" Target="endnotes.xml"/><Relationship Id="rId12" Type="http://schemas.openxmlformats.org/officeDocument/2006/relationships/hyperlink" Target="https://doi.org/10.1097/NND.0000000000000471" TargetMode="External"/><Relationship Id="rId17" Type="http://schemas.openxmlformats.org/officeDocument/2006/relationships/hyperlink" Target="https://www.mckinsey.com" TargetMode="External"/><Relationship Id="rId25" Type="http://schemas.openxmlformats.org/officeDocument/2006/relationships/hyperlink" Target="https://doi.org/10.1108/ER-02-2021-0063"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pewresearch.org" TargetMode="External"/><Relationship Id="rId20" Type="http://schemas.openxmlformats.org/officeDocument/2006/relationships/hyperlink" Target="https://doi.org/10.1016/S2212-5671(15)00876-X" TargetMode="External"/><Relationship Id="rId29" Type="http://schemas.openxmlformats.org/officeDocument/2006/relationships/hyperlink" Target="https://doi.org/10.1186/1471-2288-8-4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asp-uk.net/casp-tools-checklists/" TargetMode="External"/><Relationship Id="rId24" Type="http://schemas.openxmlformats.org/officeDocument/2006/relationships/hyperlink" Target="https://doi.org/10.2307/2090964"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2.deloitte.com/global/en/pages/about-deloitte/articles/millennialsurvey.html" TargetMode="External"/><Relationship Id="rId23" Type="http://schemas.openxmlformats.org/officeDocument/2006/relationships/hyperlink" Target="https://doi.org/10.18415/ijmmu.v6i5.1095" TargetMode="External"/><Relationship Id="rId28" Type="http://schemas.openxmlformats.org/officeDocument/2006/relationships/hyperlink" Target="https://doi.org/10.1177/1098214005283748" TargetMode="External"/><Relationship Id="rId10" Type="http://schemas.openxmlformats.org/officeDocument/2006/relationships/hyperlink" Target="https://doi.org/10.1016/S0140-6736(20)30460-8" TargetMode="External"/><Relationship Id="rId19" Type="http://schemas.openxmlformats.org/officeDocument/2006/relationships/hyperlink" Target="https://doi.org/10.1007/s10869-010-9172-7"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2.deloitte.com/global/en/pages/about-deloitte/articles/millennialsurvey.html" TargetMode="External"/><Relationship Id="rId22" Type="http://schemas.openxmlformats.org/officeDocument/2006/relationships/hyperlink" Target="https://doi.org/10.1136/bmj.n71" TargetMode="External"/><Relationship Id="rId27" Type="http://schemas.openxmlformats.org/officeDocument/2006/relationships/hyperlink" Target="https://doi.org/10.17770/sie2019vol6.3712" TargetMode="External"/><Relationship Id="rId30" Type="http://schemas.openxmlformats.org/officeDocument/2006/relationships/hyperlink" Target="https://doi.org/10.1007/s10869-010-9165-6" TargetMode="Externa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042886-D129-4F52-8B0D-3D4DC83CF9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15</Pages>
  <Words>4260</Words>
  <Characters>24286</Characters>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2025-10-01T11:23:00Z</dcterms:created>
  <dcterms:modified xsi:type="dcterms:W3CDTF">2025-10-09T19:53:00Z</dcterms:modified>
</cp:coreProperties>
</file>