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51C7B" w14:textId="77777777" w:rsidR="00C245F6" w:rsidRPr="00402A84" w:rsidRDefault="00C245F6" w:rsidP="00C245F6">
      <w:pPr>
        <w:rPr>
          <w:b/>
          <w:bCs/>
        </w:rPr>
      </w:pPr>
      <w:r w:rsidRPr="00402A84">
        <w:rPr>
          <w:b/>
          <w:bCs/>
        </w:rPr>
        <w:t>Psychology in Health and Social Care</w:t>
      </w:r>
    </w:p>
    <w:p w14:paraId="39127220" w14:textId="77777777" w:rsidR="00C245F6" w:rsidRPr="00402A84" w:rsidRDefault="00C245F6" w:rsidP="00C245F6">
      <w:pPr>
        <w:rPr>
          <w:b/>
          <w:bCs/>
        </w:rPr>
      </w:pPr>
      <w:r w:rsidRPr="00402A84">
        <w:rPr>
          <w:b/>
          <w:bCs/>
        </w:rPr>
        <w:t>LCHS4010</w:t>
      </w:r>
    </w:p>
    <w:p w14:paraId="13B10E7E" w14:textId="77777777" w:rsidR="00C245F6" w:rsidRPr="00402A84" w:rsidRDefault="00C245F6" w:rsidP="00C245F6">
      <w:pPr>
        <w:rPr>
          <w:b/>
          <w:bCs/>
        </w:rPr>
      </w:pPr>
      <w:r w:rsidRPr="00402A84">
        <w:rPr>
          <w:b/>
          <w:bCs/>
        </w:rPr>
        <w:t>Component 2: Written Task – Report</w:t>
      </w:r>
    </w:p>
    <w:p w14:paraId="0A85BB96" w14:textId="77777777" w:rsidR="00C245F6" w:rsidRPr="00402A84" w:rsidRDefault="00C245F6" w:rsidP="00C245F6">
      <w:pPr>
        <w:rPr>
          <w:b/>
          <w:bCs/>
        </w:rPr>
      </w:pPr>
      <w:r w:rsidRPr="00402A84">
        <w:rPr>
          <w:b/>
          <w:bCs/>
        </w:rPr>
        <w:t xml:space="preserve">Student name: Akinwande </w:t>
      </w:r>
      <w:proofErr w:type="spellStart"/>
      <w:r w:rsidRPr="00402A84">
        <w:rPr>
          <w:b/>
          <w:bCs/>
        </w:rPr>
        <w:t>Otegbeye</w:t>
      </w:r>
      <w:proofErr w:type="spellEnd"/>
    </w:p>
    <w:p w14:paraId="477A2BBB" w14:textId="77777777" w:rsidR="00C245F6" w:rsidRPr="00402A84" w:rsidRDefault="00C245F6" w:rsidP="00C245F6">
      <w:pPr>
        <w:rPr>
          <w:b/>
          <w:bCs/>
        </w:rPr>
      </w:pPr>
      <w:r w:rsidRPr="00402A84">
        <w:rPr>
          <w:b/>
          <w:bCs/>
        </w:rPr>
        <w:t>Student ID: 2422050</w:t>
      </w:r>
    </w:p>
    <w:p w14:paraId="34EC6E4A" w14:textId="77777777" w:rsidR="00C245F6" w:rsidRPr="00402A84" w:rsidRDefault="00C245F6" w:rsidP="00C245F6">
      <w:pPr>
        <w:rPr>
          <w:b/>
          <w:bCs/>
        </w:rPr>
      </w:pPr>
      <w:r w:rsidRPr="00402A84">
        <w:rPr>
          <w:b/>
          <w:bCs/>
        </w:rPr>
        <w:t>Lecturer: Bianca Sanfilippo</w:t>
      </w:r>
    </w:p>
    <w:p w14:paraId="6D4FE00D" w14:textId="77777777" w:rsidR="00C245F6" w:rsidRDefault="00C245F6" w:rsidP="00C245F6"/>
    <w:p w14:paraId="3F9A7A75" w14:textId="77777777" w:rsidR="00613A02" w:rsidRDefault="00613A02"/>
    <w:p w14:paraId="117378F0" w14:textId="77777777" w:rsidR="00C245F6" w:rsidRDefault="00C245F6"/>
    <w:p w14:paraId="305FA4C9" w14:textId="77777777" w:rsidR="00C245F6" w:rsidRDefault="00C245F6"/>
    <w:p w14:paraId="4A9DE9EF" w14:textId="77777777" w:rsidR="00C245F6" w:rsidRDefault="00C245F6"/>
    <w:p w14:paraId="3810D2EC" w14:textId="77777777" w:rsidR="00C245F6" w:rsidRDefault="00C245F6"/>
    <w:p w14:paraId="3EC57BF8" w14:textId="77777777" w:rsidR="00C245F6" w:rsidRDefault="00C245F6"/>
    <w:p w14:paraId="3F96AFEF" w14:textId="77777777" w:rsidR="00C245F6" w:rsidRDefault="00C245F6"/>
    <w:p w14:paraId="6F3F9AB5" w14:textId="77777777" w:rsidR="00C245F6" w:rsidRDefault="00C245F6"/>
    <w:p w14:paraId="1FC483FB" w14:textId="77777777" w:rsidR="00C245F6" w:rsidRDefault="00C245F6"/>
    <w:p w14:paraId="373DD0D8" w14:textId="77777777" w:rsidR="00C245F6" w:rsidRDefault="00C245F6"/>
    <w:p w14:paraId="60D1E8AF" w14:textId="77777777" w:rsidR="00C245F6" w:rsidRDefault="00C245F6"/>
    <w:p w14:paraId="5B45F706" w14:textId="77777777" w:rsidR="00C245F6" w:rsidRDefault="00C245F6"/>
    <w:p w14:paraId="133547BC" w14:textId="77777777" w:rsidR="00C245F6" w:rsidRDefault="00C245F6"/>
    <w:p w14:paraId="6D62FF57" w14:textId="77777777" w:rsidR="00C245F6" w:rsidRDefault="00C245F6"/>
    <w:p w14:paraId="09A6E1F4" w14:textId="77777777" w:rsidR="00C245F6" w:rsidRDefault="00C245F6"/>
    <w:p w14:paraId="71136603" w14:textId="77777777" w:rsidR="00C245F6" w:rsidRDefault="00C245F6"/>
    <w:p w14:paraId="1E827ADE" w14:textId="77777777" w:rsidR="00C245F6" w:rsidRDefault="00C245F6"/>
    <w:p w14:paraId="1BFEA077" w14:textId="77777777" w:rsidR="00C245F6" w:rsidRDefault="00C245F6"/>
    <w:p w14:paraId="5438DC66" w14:textId="77777777" w:rsidR="00C245F6" w:rsidRDefault="00C245F6"/>
    <w:p w14:paraId="6327BA78" w14:textId="77777777" w:rsidR="00C245F6" w:rsidRDefault="00C245F6"/>
    <w:p w14:paraId="01B90DBA" w14:textId="77777777" w:rsidR="00C245F6" w:rsidRDefault="00C245F6"/>
    <w:p w14:paraId="2ADB5607" w14:textId="77777777" w:rsidR="00C245F6" w:rsidRDefault="00C245F6"/>
    <w:p w14:paraId="3E68B8AB" w14:textId="77777777" w:rsidR="00C245F6" w:rsidRDefault="00C245F6"/>
    <w:p w14:paraId="42BCC3DF" w14:textId="77777777" w:rsidR="00C245F6" w:rsidRDefault="00C245F6"/>
    <w:p w14:paraId="7EB964E6" w14:textId="77777777" w:rsidR="00C245F6" w:rsidRPr="00402A84" w:rsidRDefault="00C245F6" w:rsidP="00C245F6">
      <w:pPr>
        <w:spacing w:line="360" w:lineRule="auto"/>
        <w:rPr>
          <w:b/>
          <w:bCs/>
        </w:rPr>
      </w:pPr>
      <w:r w:rsidRPr="00402A84">
        <w:rPr>
          <w:b/>
          <w:bCs/>
        </w:rPr>
        <w:lastRenderedPageBreak/>
        <w:t>Table of Contents</w:t>
      </w:r>
    </w:p>
    <w:p w14:paraId="2960BF78" w14:textId="77777777" w:rsidR="00C245F6" w:rsidRPr="00402A84" w:rsidRDefault="00C245F6" w:rsidP="00C245F6">
      <w:pPr>
        <w:spacing w:line="360" w:lineRule="auto"/>
        <w:rPr>
          <w:b/>
          <w:bCs/>
        </w:rPr>
      </w:pPr>
      <w:r w:rsidRPr="00402A84">
        <w:rPr>
          <w:b/>
          <w:bCs/>
        </w:rPr>
        <w:t xml:space="preserve">1. </w:t>
      </w:r>
      <w:r w:rsidRPr="00402A84">
        <w:rPr>
          <w:b/>
          <w:bCs/>
        </w:rPr>
        <w:tab/>
        <w:t>Introduction</w:t>
      </w:r>
    </w:p>
    <w:p w14:paraId="7F9E386E" w14:textId="77777777" w:rsidR="00C245F6" w:rsidRPr="00402A84" w:rsidRDefault="00C245F6" w:rsidP="00C245F6">
      <w:pPr>
        <w:spacing w:line="360" w:lineRule="auto"/>
        <w:rPr>
          <w:b/>
          <w:bCs/>
        </w:rPr>
      </w:pPr>
      <w:r w:rsidRPr="00402A84">
        <w:rPr>
          <w:b/>
          <w:bCs/>
        </w:rPr>
        <w:t xml:space="preserve">2. </w:t>
      </w:r>
      <w:r w:rsidRPr="00402A84">
        <w:rPr>
          <w:b/>
          <w:bCs/>
        </w:rPr>
        <w:tab/>
        <w:t>Overview of Psychological Theories</w:t>
      </w:r>
    </w:p>
    <w:p w14:paraId="73E7CBFE" w14:textId="77777777" w:rsidR="00C245F6" w:rsidRPr="00402A84" w:rsidRDefault="00C245F6" w:rsidP="00C245F6">
      <w:pPr>
        <w:spacing w:line="360" w:lineRule="auto"/>
        <w:rPr>
          <w:b/>
          <w:bCs/>
        </w:rPr>
      </w:pPr>
      <w:r w:rsidRPr="00402A84">
        <w:rPr>
          <w:b/>
          <w:bCs/>
        </w:rPr>
        <w:t xml:space="preserve">• </w:t>
      </w:r>
      <w:r w:rsidRPr="00402A84">
        <w:rPr>
          <w:b/>
          <w:bCs/>
        </w:rPr>
        <w:tab/>
        <w:t>Bowlby's Attachment Theory</w:t>
      </w:r>
    </w:p>
    <w:p w14:paraId="1E89CF2E" w14:textId="77777777" w:rsidR="00C245F6" w:rsidRPr="00402A84" w:rsidRDefault="00C245F6" w:rsidP="00C245F6">
      <w:pPr>
        <w:spacing w:line="360" w:lineRule="auto"/>
        <w:rPr>
          <w:b/>
          <w:bCs/>
        </w:rPr>
      </w:pPr>
      <w:r w:rsidRPr="00402A84">
        <w:rPr>
          <w:b/>
          <w:bCs/>
        </w:rPr>
        <w:t xml:space="preserve">• </w:t>
      </w:r>
      <w:r w:rsidRPr="00402A84">
        <w:rPr>
          <w:b/>
          <w:bCs/>
        </w:rPr>
        <w:tab/>
        <w:t>Applying Bowlby's Theory in Dementia Care Homes</w:t>
      </w:r>
    </w:p>
    <w:p w14:paraId="27DDCD96" w14:textId="77777777" w:rsidR="00C245F6" w:rsidRPr="00402A84" w:rsidRDefault="00C245F6" w:rsidP="00C245F6">
      <w:pPr>
        <w:spacing w:line="360" w:lineRule="auto"/>
        <w:rPr>
          <w:b/>
          <w:bCs/>
        </w:rPr>
      </w:pPr>
      <w:r w:rsidRPr="00402A84">
        <w:rPr>
          <w:b/>
          <w:bCs/>
        </w:rPr>
        <w:t xml:space="preserve">• </w:t>
      </w:r>
      <w:r w:rsidRPr="00402A84">
        <w:rPr>
          <w:b/>
          <w:bCs/>
        </w:rPr>
        <w:tab/>
        <w:t>Creating a Sense of Security and Trust</w:t>
      </w:r>
    </w:p>
    <w:p w14:paraId="0324BDFA" w14:textId="77777777" w:rsidR="00C245F6" w:rsidRPr="00402A84" w:rsidRDefault="00C245F6" w:rsidP="00C245F6">
      <w:pPr>
        <w:spacing w:line="360" w:lineRule="auto"/>
        <w:rPr>
          <w:b/>
          <w:bCs/>
        </w:rPr>
      </w:pPr>
      <w:r w:rsidRPr="00402A84">
        <w:rPr>
          <w:b/>
          <w:bCs/>
        </w:rPr>
        <w:t xml:space="preserve">• </w:t>
      </w:r>
      <w:r w:rsidRPr="00402A84">
        <w:rPr>
          <w:b/>
          <w:bCs/>
        </w:rPr>
        <w:tab/>
        <w:t>Practical Examples</w:t>
      </w:r>
    </w:p>
    <w:p w14:paraId="3398C210" w14:textId="77777777" w:rsidR="00C245F6" w:rsidRPr="00402A84" w:rsidRDefault="00C245F6" w:rsidP="00C245F6">
      <w:pPr>
        <w:spacing w:line="360" w:lineRule="auto"/>
        <w:rPr>
          <w:b/>
          <w:bCs/>
        </w:rPr>
      </w:pPr>
      <w:r w:rsidRPr="00402A84">
        <w:rPr>
          <w:b/>
          <w:bCs/>
        </w:rPr>
        <w:t xml:space="preserve">• </w:t>
      </w:r>
      <w:r w:rsidRPr="00402A84">
        <w:rPr>
          <w:b/>
          <w:bCs/>
        </w:rPr>
        <w:tab/>
        <w:t>Challenges</w:t>
      </w:r>
    </w:p>
    <w:p w14:paraId="0659BA08" w14:textId="77777777" w:rsidR="00C245F6" w:rsidRPr="00402A84" w:rsidRDefault="00C245F6" w:rsidP="00C245F6">
      <w:pPr>
        <w:spacing w:line="360" w:lineRule="auto"/>
        <w:rPr>
          <w:b/>
          <w:bCs/>
        </w:rPr>
      </w:pPr>
      <w:r w:rsidRPr="00402A84">
        <w:rPr>
          <w:b/>
          <w:bCs/>
        </w:rPr>
        <w:tab/>
        <w:t>Applying Vygotsky's Theory in Dementia Care Homes</w:t>
      </w:r>
    </w:p>
    <w:p w14:paraId="3B4283B2" w14:textId="77777777" w:rsidR="00C245F6" w:rsidRPr="00402A84" w:rsidRDefault="00C245F6" w:rsidP="00C245F6">
      <w:pPr>
        <w:spacing w:line="360" w:lineRule="auto"/>
        <w:rPr>
          <w:b/>
          <w:bCs/>
        </w:rPr>
      </w:pPr>
      <w:r w:rsidRPr="00402A84">
        <w:rPr>
          <w:b/>
          <w:bCs/>
        </w:rPr>
        <w:t xml:space="preserve">• </w:t>
      </w:r>
      <w:r w:rsidRPr="00402A84">
        <w:rPr>
          <w:b/>
          <w:bCs/>
        </w:rPr>
        <w:tab/>
        <w:t>Facilitating Social Engagement</w:t>
      </w:r>
    </w:p>
    <w:p w14:paraId="01C325C0" w14:textId="77777777" w:rsidR="00C245F6" w:rsidRPr="00402A84" w:rsidRDefault="00C245F6" w:rsidP="00C245F6">
      <w:pPr>
        <w:spacing w:line="360" w:lineRule="auto"/>
        <w:rPr>
          <w:b/>
          <w:bCs/>
        </w:rPr>
      </w:pPr>
      <w:r w:rsidRPr="00402A84">
        <w:rPr>
          <w:b/>
          <w:bCs/>
        </w:rPr>
        <w:t xml:space="preserve">• </w:t>
      </w:r>
      <w:r w:rsidRPr="00402A84">
        <w:rPr>
          <w:b/>
          <w:bCs/>
        </w:rPr>
        <w:tab/>
        <w:t>Practical Examples</w:t>
      </w:r>
    </w:p>
    <w:p w14:paraId="368BE14F" w14:textId="77777777" w:rsidR="00C245F6" w:rsidRPr="00402A84" w:rsidRDefault="00C245F6" w:rsidP="00C245F6">
      <w:pPr>
        <w:spacing w:line="360" w:lineRule="auto"/>
        <w:rPr>
          <w:b/>
          <w:bCs/>
        </w:rPr>
      </w:pPr>
      <w:r w:rsidRPr="00402A84">
        <w:rPr>
          <w:b/>
          <w:bCs/>
        </w:rPr>
        <w:t xml:space="preserve">• </w:t>
      </w:r>
      <w:r w:rsidRPr="00402A84">
        <w:rPr>
          <w:b/>
          <w:bCs/>
        </w:rPr>
        <w:tab/>
        <w:t>Challenges</w:t>
      </w:r>
    </w:p>
    <w:p w14:paraId="2F4F7423" w14:textId="77777777" w:rsidR="00C245F6" w:rsidRPr="00402A84" w:rsidRDefault="00C245F6" w:rsidP="00C245F6">
      <w:pPr>
        <w:spacing w:line="360" w:lineRule="auto"/>
        <w:rPr>
          <w:b/>
          <w:bCs/>
        </w:rPr>
      </w:pPr>
      <w:r w:rsidRPr="00402A84">
        <w:rPr>
          <w:b/>
          <w:bCs/>
        </w:rPr>
        <w:t xml:space="preserve">3. </w:t>
      </w:r>
      <w:r w:rsidRPr="00402A84">
        <w:rPr>
          <w:b/>
          <w:bCs/>
        </w:rPr>
        <w:tab/>
        <w:t>Comparative Critical Evaluation</w:t>
      </w:r>
    </w:p>
    <w:p w14:paraId="1627246E" w14:textId="77777777" w:rsidR="00C245F6" w:rsidRPr="00402A84" w:rsidRDefault="00C245F6" w:rsidP="00C245F6">
      <w:pPr>
        <w:spacing w:line="360" w:lineRule="auto"/>
        <w:rPr>
          <w:b/>
          <w:bCs/>
        </w:rPr>
      </w:pPr>
      <w:r w:rsidRPr="00402A84">
        <w:rPr>
          <w:b/>
          <w:bCs/>
        </w:rPr>
        <w:t xml:space="preserve">4. </w:t>
      </w:r>
      <w:r w:rsidRPr="00402A84">
        <w:rPr>
          <w:b/>
          <w:bCs/>
        </w:rPr>
        <w:tab/>
        <w:t>Conclusion</w:t>
      </w:r>
    </w:p>
    <w:p w14:paraId="76AD4EE6" w14:textId="77777777" w:rsidR="00C245F6" w:rsidRPr="00402A84" w:rsidRDefault="00C245F6" w:rsidP="00C245F6">
      <w:pPr>
        <w:spacing w:line="360" w:lineRule="auto"/>
        <w:rPr>
          <w:b/>
          <w:bCs/>
        </w:rPr>
      </w:pPr>
      <w:r w:rsidRPr="00402A84">
        <w:rPr>
          <w:b/>
          <w:bCs/>
        </w:rPr>
        <w:t xml:space="preserve">5. </w:t>
      </w:r>
      <w:r w:rsidRPr="00402A84">
        <w:rPr>
          <w:b/>
          <w:bCs/>
        </w:rPr>
        <w:tab/>
        <w:t xml:space="preserve">References </w:t>
      </w:r>
      <w:r w:rsidRPr="00402A84">
        <w:rPr>
          <w:b/>
          <w:bCs/>
        </w:rPr>
        <w:tab/>
      </w:r>
    </w:p>
    <w:p w14:paraId="18AD86F5" w14:textId="77777777" w:rsidR="00C245F6" w:rsidRDefault="00C245F6"/>
    <w:p w14:paraId="44546E5A" w14:textId="77777777" w:rsidR="00C245F6" w:rsidRDefault="00C245F6"/>
    <w:p w14:paraId="6C0D9D62" w14:textId="77777777" w:rsidR="00C245F6" w:rsidRDefault="00C245F6"/>
    <w:p w14:paraId="16D90811" w14:textId="77777777" w:rsidR="00C245F6" w:rsidRDefault="00C245F6"/>
    <w:p w14:paraId="5A9A7253" w14:textId="77777777" w:rsidR="00C245F6" w:rsidRDefault="00C245F6"/>
    <w:p w14:paraId="6D3B36B5" w14:textId="77777777" w:rsidR="00C245F6" w:rsidRDefault="00C245F6"/>
    <w:p w14:paraId="30D43C19" w14:textId="77777777" w:rsidR="00C245F6" w:rsidRDefault="00C245F6"/>
    <w:p w14:paraId="305AB30E" w14:textId="77777777" w:rsidR="00C245F6" w:rsidRDefault="00C245F6"/>
    <w:p w14:paraId="21D3ABAD" w14:textId="77777777" w:rsidR="00C245F6" w:rsidRDefault="00C245F6"/>
    <w:p w14:paraId="219313D0" w14:textId="77777777" w:rsidR="00C245F6" w:rsidRDefault="00C245F6"/>
    <w:p w14:paraId="1D2E8D12" w14:textId="77777777" w:rsidR="00C245F6" w:rsidRDefault="00C245F6"/>
    <w:p w14:paraId="38461663" w14:textId="77777777" w:rsidR="00C245F6" w:rsidRDefault="00C245F6"/>
    <w:p w14:paraId="37737649" w14:textId="77777777" w:rsidR="00DD222D" w:rsidRPr="007F5004" w:rsidRDefault="00DD222D" w:rsidP="007F5004">
      <w:pPr>
        <w:spacing w:line="360" w:lineRule="auto"/>
        <w:rPr>
          <w:rFonts w:ascii="Arial" w:hAnsi="Arial" w:cs="Arial"/>
          <w:b/>
          <w:bCs/>
        </w:rPr>
      </w:pPr>
      <w:r w:rsidRPr="007F5004">
        <w:rPr>
          <w:rFonts w:ascii="Arial" w:hAnsi="Arial" w:cs="Arial"/>
          <w:b/>
          <w:bCs/>
        </w:rPr>
        <w:lastRenderedPageBreak/>
        <w:t xml:space="preserve">Introduction. </w:t>
      </w:r>
    </w:p>
    <w:p w14:paraId="65B07E12" w14:textId="378F3D02" w:rsidR="00C245F6" w:rsidRPr="007F5004" w:rsidRDefault="00DD222D" w:rsidP="007F5004">
      <w:pPr>
        <w:spacing w:line="360" w:lineRule="auto"/>
        <w:rPr>
          <w:rFonts w:ascii="Arial" w:hAnsi="Arial" w:cs="Arial"/>
        </w:rPr>
      </w:pPr>
      <w:r w:rsidRPr="007F5004">
        <w:rPr>
          <w:rFonts w:ascii="Arial" w:hAnsi="Arial" w:cs="Arial"/>
        </w:rPr>
        <w:t xml:space="preserve">Challenge for health care practitioners: The Ageing population increases challenges faced by health care and social care </w:t>
      </w:r>
      <w:proofErr w:type="gramStart"/>
      <w:r w:rsidRPr="007F5004">
        <w:rPr>
          <w:rFonts w:ascii="Arial" w:hAnsi="Arial" w:cs="Arial"/>
        </w:rPr>
        <w:t>professionals, and</w:t>
      </w:r>
      <w:proofErr w:type="gramEnd"/>
      <w:r w:rsidRPr="007F5004">
        <w:rPr>
          <w:rFonts w:ascii="Arial" w:hAnsi="Arial" w:cs="Arial"/>
        </w:rPr>
        <w:t xml:space="preserve"> is further compounded by those residing in dementia care homes, where several psychological conditions (Alzheimer's disease, vascular dementia) tend to live. It is not just that Alzheimer's disease impairs memory and cognition; it impairs the ability to manage feelings, sustain relationships and form a sense of self. To deliver vital person</w:t>
      </w:r>
      <w:r w:rsidRPr="007F5004">
        <w:rPr>
          <w:rFonts w:ascii="Cambria Math" w:hAnsi="Cambria Math" w:cs="Cambria Math"/>
        </w:rPr>
        <w:t>‑</w:t>
      </w:r>
      <w:r w:rsidRPr="007F5004">
        <w:rPr>
          <w:rFonts w:ascii="Arial" w:hAnsi="Arial" w:cs="Arial"/>
        </w:rPr>
        <w:t xml:space="preserve">centred care, providers must apply psychological theories in practice. Dementia is now acknowledged as one of the leading causes of disability and dependence in old age </w:t>
      </w:r>
      <w:r w:rsidRPr="007F5004">
        <w:rPr>
          <w:rFonts w:ascii="Arial" w:hAnsi="Arial" w:cs="Arial"/>
          <w:i/>
          <w:iCs/>
        </w:rPr>
        <w:t>(Woods &amp; Clare, 2008, p. 123)</w:t>
      </w:r>
      <w:r w:rsidRPr="007F5004">
        <w:rPr>
          <w:rFonts w:ascii="Arial" w:hAnsi="Arial" w:cs="Arial"/>
        </w:rPr>
        <w:t xml:space="preserve">. Currently, 944,000 people in the UK are living with dementia, and the figure is projected to rise to 1.6 million by 2040 </w:t>
      </w:r>
      <w:r w:rsidRPr="007F5004">
        <w:rPr>
          <w:rFonts w:ascii="Arial" w:hAnsi="Arial" w:cs="Arial"/>
          <w:i/>
          <w:iCs/>
        </w:rPr>
        <w:t>(Alzheimer's Society, 2025)</w:t>
      </w:r>
      <w:r w:rsidRPr="007F5004">
        <w:rPr>
          <w:rFonts w:ascii="Arial" w:hAnsi="Arial" w:cs="Arial"/>
        </w:rPr>
        <w:t>. As such, the World Health Organisation has named dementia a public health priority globally and emphasised the importance of psychosocial interventions as well as treatment and management. This is significant, as it underscores the necessity to incorporate psychological theories into the care home setting and how intervention must be clinically relevant, emotionally and socially meaningful to care recipients. Drawing on Bowlby's Attachment Theory and Vygotsky's Sociocultural Theory, we focus on persons aged 65 years and older suffering from dementia. It does so through a critical exploration of how such theories can inform interventions, advance health and well-being and accommodate behavioural needs — while noting the pragmatic challenges and available routes to tackle them</w:t>
      </w:r>
      <w:r w:rsidR="001176BD" w:rsidRPr="007F5004">
        <w:rPr>
          <w:rFonts w:ascii="Arial" w:hAnsi="Arial" w:cs="Arial"/>
        </w:rPr>
        <w:t>.</w:t>
      </w:r>
    </w:p>
    <w:p w14:paraId="449FA840" w14:textId="77777777" w:rsidR="001176BD" w:rsidRPr="007F5004" w:rsidRDefault="001176BD" w:rsidP="007F5004">
      <w:pPr>
        <w:spacing w:line="360" w:lineRule="auto"/>
        <w:rPr>
          <w:rFonts w:ascii="Arial" w:hAnsi="Arial" w:cs="Arial"/>
        </w:rPr>
      </w:pPr>
    </w:p>
    <w:p w14:paraId="651607D6" w14:textId="77777777" w:rsidR="001176BD" w:rsidRPr="007F5004" w:rsidRDefault="001176BD" w:rsidP="007F5004">
      <w:pPr>
        <w:spacing w:line="360" w:lineRule="auto"/>
        <w:rPr>
          <w:rFonts w:ascii="Arial" w:hAnsi="Arial" w:cs="Arial"/>
          <w:b/>
          <w:bCs/>
        </w:rPr>
      </w:pPr>
      <w:r w:rsidRPr="007F5004">
        <w:rPr>
          <w:rFonts w:ascii="Arial" w:hAnsi="Arial" w:cs="Arial"/>
          <w:b/>
          <w:bCs/>
        </w:rPr>
        <w:t>2. Overview of Psychological Theories</w:t>
      </w:r>
    </w:p>
    <w:p w14:paraId="1872AFA2" w14:textId="77777777" w:rsidR="001176BD" w:rsidRPr="007F5004" w:rsidRDefault="001176BD" w:rsidP="007F5004">
      <w:pPr>
        <w:spacing w:line="360" w:lineRule="auto"/>
        <w:rPr>
          <w:rFonts w:ascii="Arial" w:hAnsi="Arial" w:cs="Arial"/>
          <w:b/>
          <w:bCs/>
        </w:rPr>
      </w:pPr>
      <w:r w:rsidRPr="007F5004">
        <w:rPr>
          <w:rFonts w:ascii="Arial" w:hAnsi="Arial" w:cs="Arial"/>
          <w:b/>
          <w:bCs/>
        </w:rPr>
        <w:t xml:space="preserve">Bowlby's Attachment Theory. </w:t>
      </w:r>
    </w:p>
    <w:p w14:paraId="7CEA9FE4" w14:textId="7978C781" w:rsidR="001176BD" w:rsidRPr="007F5004" w:rsidRDefault="001176BD" w:rsidP="007F5004">
      <w:pPr>
        <w:spacing w:line="360" w:lineRule="auto"/>
        <w:rPr>
          <w:rFonts w:ascii="Arial" w:hAnsi="Arial" w:cs="Arial"/>
        </w:rPr>
      </w:pPr>
      <w:r w:rsidRPr="007F5004">
        <w:rPr>
          <w:rFonts w:ascii="Arial" w:hAnsi="Arial" w:cs="Arial"/>
        </w:rPr>
        <w:t xml:space="preserve">John Bowlby's theory of attachment posits that the first five years of life are characterised by attachment. Attachment behaviours – needing to be near one another, comforted, or reassured – are also activated by stressors or vulnerability. For older adults with dementia, cognitive declines often reinforce attachment requirements, manifesting as anxiety, confusion, or clinginess. Bowlby postulated that when attachment figures are disrupted, distress and maladaptive behaviours may result </w:t>
      </w:r>
      <w:r w:rsidRPr="007F5004">
        <w:rPr>
          <w:rFonts w:ascii="Arial" w:hAnsi="Arial" w:cs="Arial"/>
          <w:i/>
          <w:iCs/>
        </w:rPr>
        <w:t>(Bowlby, 1980, pp. 40–55).</w:t>
      </w:r>
      <w:r w:rsidRPr="007F5004">
        <w:rPr>
          <w:rFonts w:ascii="Arial" w:hAnsi="Arial" w:cs="Arial"/>
        </w:rPr>
        <w:t xml:space="preserve"> Attachment behaviours in dementia often manifest as "shadowing, in which residents follow staff closely, or as repeating a question when reassurance is sought. Such behaviours represent the reawakening of attachment to a vulnerable environment. A family may facilitate attachment</w:t>
      </w:r>
      <w:r w:rsidRPr="007F5004">
        <w:rPr>
          <w:rFonts w:ascii="Cambria Math" w:hAnsi="Cambria Math" w:cs="Cambria Math"/>
        </w:rPr>
        <w:t>‑</w:t>
      </w:r>
      <w:r w:rsidRPr="007F5004">
        <w:rPr>
          <w:rFonts w:ascii="Arial" w:hAnsi="Arial" w:cs="Arial"/>
        </w:rPr>
        <w:t xml:space="preserve">based care, for example, by inviting relatives to drop off familiar items or by engaging in shared routines (such as bringing something familiar or routine) to sustain </w:t>
      </w:r>
      <w:r w:rsidRPr="007F5004">
        <w:rPr>
          <w:rFonts w:ascii="Arial" w:hAnsi="Arial" w:cs="Arial"/>
        </w:rPr>
        <w:lastRenderedPageBreak/>
        <w:t>identity and emotional safety. Such practices are associated with Bowlby's attachment figure, which provides a secure base for exploring the environment</w:t>
      </w:r>
      <w:r w:rsidRPr="007F5004">
        <w:rPr>
          <w:rFonts w:ascii="Arial" w:hAnsi="Arial" w:cs="Arial"/>
        </w:rPr>
        <w:t>.</w:t>
      </w:r>
      <w:r w:rsidRPr="007F5004">
        <w:rPr>
          <w:rFonts w:ascii="Arial" w:hAnsi="Arial" w:cs="Arial"/>
        </w:rPr>
        <w:t xml:space="preserve"> </w:t>
      </w:r>
    </w:p>
    <w:p w14:paraId="30C12802" w14:textId="77777777" w:rsidR="001176BD" w:rsidRPr="007F5004" w:rsidRDefault="001176BD" w:rsidP="007F5004">
      <w:pPr>
        <w:spacing w:line="360" w:lineRule="auto"/>
        <w:rPr>
          <w:rFonts w:ascii="Arial" w:hAnsi="Arial" w:cs="Arial"/>
          <w:b/>
          <w:bCs/>
        </w:rPr>
      </w:pPr>
      <w:r w:rsidRPr="007F5004">
        <w:rPr>
          <w:rFonts w:ascii="Arial" w:hAnsi="Arial" w:cs="Arial"/>
          <w:b/>
          <w:bCs/>
        </w:rPr>
        <w:t>Creating a Sense of Security and Trust</w:t>
      </w:r>
    </w:p>
    <w:p w14:paraId="48A4B1DE" w14:textId="40965841" w:rsidR="001176BD" w:rsidRPr="007F5004" w:rsidRDefault="001176BD" w:rsidP="007F5004">
      <w:pPr>
        <w:spacing w:line="360" w:lineRule="auto"/>
        <w:rPr>
          <w:rFonts w:ascii="Arial" w:hAnsi="Arial" w:cs="Arial"/>
        </w:rPr>
      </w:pPr>
      <w:r w:rsidRPr="007F5004">
        <w:rPr>
          <w:rFonts w:ascii="Arial" w:hAnsi="Arial" w:cs="Arial"/>
        </w:rPr>
        <w:t xml:space="preserve">Bowlby's theory in the context of dementia care homes, fostering a Sense of Security and Trust. Memory loss can make dementia care residents feel confused and anxious. According to attachment theory, stable, responsive caregiving can reduce anxiety and offer emotional safety. Staff who act as “safe bases” help reassure residents — and therefore make people more willing to participate in day-to-day living. </w:t>
      </w:r>
    </w:p>
    <w:p w14:paraId="00E35C83" w14:textId="52979F12" w:rsidR="001176BD" w:rsidRPr="007F5004" w:rsidRDefault="001176BD" w:rsidP="007F5004">
      <w:pPr>
        <w:spacing w:line="360" w:lineRule="auto"/>
        <w:rPr>
          <w:rFonts w:ascii="Arial" w:hAnsi="Arial" w:cs="Arial"/>
          <w:b/>
          <w:bCs/>
        </w:rPr>
      </w:pPr>
      <w:r w:rsidRPr="007F5004">
        <w:rPr>
          <w:rFonts w:ascii="Arial" w:hAnsi="Arial" w:cs="Arial"/>
          <w:b/>
          <w:bCs/>
        </w:rPr>
        <w:t>Practical Examples</w:t>
      </w:r>
      <w:r w:rsidRPr="007F5004">
        <w:rPr>
          <w:rFonts w:ascii="Arial" w:hAnsi="Arial" w:cs="Arial"/>
          <w:b/>
          <w:bCs/>
        </w:rPr>
        <w:t>.</w:t>
      </w:r>
    </w:p>
    <w:p w14:paraId="4525E99E" w14:textId="77777777" w:rsidR="001176BD" w:rsidRPr="007F5004" w:rsidRDefault="001176BD" w:rsidP="007F5004">
      <w:pPr>
        <w:spacing w:line="360" w:lineRule="auto"/>
        <w:rPr>
          <w:rFonts w:ascii="Arial" w:hAnsi="Arial" w:cs="Arial"/>
        </w:rPr>
      </w:pPr>
      <w:r w:rsidRPr="007F5004">
        <w:rPr>
          <w:rFonts w:ascii="Arial" w:hAnsi="Arial" w:cs="Arial"/>
        </w:rPr>
        <w:t xml:space="preserve">Uniform, stable staffing: when residents are assigned key workers, this provides continuity and familiarity, which can limit the distress which can result (which is oftentimes a significant factor) when routines are disrupted. Inevitably, in our language, we mimic the communicative comfort of attachment figures – we speak in a calm voice, look into their eyes, give them loving glances, and offer soft, gentle touch. Environmental design: This will contribute to the creation of familiar objects, photographs, and decorations in the rooms to facilitate attachment and a sense of belonging, and can strengthen this sense of attachment </w:t>
      </w:r>
      <w:r w:rsidRPr="007F5004">
        <w:rPr>
          <w:rFonts w:ascii="Arial" w:hAnsi="Arial" w:cs="Arial"/>
          <w:i/>
          <w:iCs/>
        </w:rPr>
        <w:t>(Kitwood, 1997, pp. 45–70)</w:t>
      </w:r>
      <w:r w:rsidRPr="007F5004">
        <w:rPr>
          <w:rFonts w:ascii="Arial" w:hAnsi="Arial" w:cs="Arial"/>
        </w:rPr>
        <w:t xml:space="preserve">. Family involvement: Residents strengthen attachment and worry less when their relatives are included in their everyday lives. </w:t>
      </w:r>
    </w:p>
    <w:p w14:paraId="185B4500" w14:textId="77777777" w:rsidR="001176BD" w:rsidRPr="007F5004" w:rsidRDefault="001176BD" w:rsidP="007F5004">
      <w:pPr>
        <w:spacing w:line="360" w:lineRule="auto"/>
        <w:rPr>
          <w:rFonts w:ascii="Arial" w:hAnsi="Arial" w:cs="Arial"/>
        </w:rPr>
      </w:pPr>
      <w:r w:rsidRPr="007F5004">
        <w:rPr>
          <w:rFonts w:ascii="Arial" w:hAnsi="Arial" w:cs="Arial"/>
          <w:b/>
          <w:bCs/>
        </w:rPr>
        <w:t>Challenges</w:t>
      </w:r>
    </w:p>
    <w:p w14:paraId="13059F10" w14:textId="77777777" w:rsidR="0006438A" w:rsidRPr="007F5004" w:rsidRDefault="001176BD" w:rsidP="007F5004">
      <w:pPr>
        <w:spacing w:line="360" w:lineRule="auto"/>
        <w:rPr>
          <w:rFonts w:ascii="Arial" w:hAnsi="Arial" w:cs="Arial"/>
        </w:rPr>
      </w:pPr>
      <w:r w:rsidRPr="007F5004">
        <w:rPr>
          <w:rFonts w:ascii="Arial" w:hAnsi="Arial" w:cs="Arial"/>
        </w:rPr>
        <w:t xml:space="preserve">  Rapid staff turnover disrupts continuity, which is essential to developing secure and positive relationships with residents. Difficulties with attachment transfer: Some residents may be unable to form new attachments due to past trauma or mistrust. Emotional Impact on Staff: Compassion fatigue may result from Attachment-Based Care. </w:t>
      </w:r>
    </w:p>
    <w:p w14:paraId="180ACEE2" w14:textId="77777777" w:rsidR="0006438A" w:rsidRPr="007F5004" w:rsidRDefault="001176BD" w:rsidP="007F5004">
      <w:pPr>
        <w:spacing w:line="360" w:lineRule="auto"/>
        <w:rPr>
          <w:rFonts w:ascii="Arial" w:hAnsi="Arial" w:cs="Arial"/>
        </w:rPr>
      </w:pPr>
      <w:r w:rsidRPr="007F5004">
        <w:rPr>
          <w:rFonts w:ascii="Arial" w:hAnsi="Arial" w:cs="Arial"/>
          <w:b/>
          <w:bCs/>
        </w:rPr>
        <w:t>Incorporating strategies</w:t>
      </w:r>
    </w:p>
    <w:p w14:paraId="4770FE90" w14:textId="637B9B89" w:rsidR="00C245F6" w:rsidRPr="007F5004" w:rsidRDefault="001176BD" w:rsidP="007F5004">
      <w:pPr>
        <w:spacing w:line="360" w:lineRule="auto"/>
        <w:rPr>
          <w:rFonts w:ascii="Arial" w:hAnsi="Arial" w:cs="Arial"/>
        </w:rPr>
      </w:pPr>
      <w:r w:rsidRPr="007F5004">
        <w:rPr>
          <w:rFonts w:ascii="Arial" w:hAnsi="Arial" w:cs="Arial"/>
        </w:rPr>
        <w:t xml:space="preserve"> Staff can mitigate these impacts through training in attachment</w:t>
      </w:r>
      <w:r w:rsidRPr="007F5004">
        <w:rPr>
          <w:rFonts w:ascii="Cambria Math" w:hAnsi="Cambria Math" w:cs="Cambria Math"/>
        </w:rPr>
        <w:t>‑</w:t>
      </w:r>
      <w:r w:rsidRPr="007F5004">
        <w:rPr>
          <w:rFonts w:ascii="Arial" w:hAnsi="Arial" w:cs="Arial"/>
        </w:rPr>
        <w:t>informed care, reflective supervision, or resilience building. Attachment</w:t>
      </w:r>
      <w:r w:rsidRPr="007F5004">
        <w:rPr>
          <w:rFonts w:ascii="Cambria Math" w:hAnsi="Cambria Math" w:cs="Cambria Math"/>
        </w:rPr>
        <w:t>‑</w:t>
      </w:r>
      <w:r w:rsidRPr="007F5004">
        <w:rPr>
          <w:rFonts w:ascii="Arial" w:hAnsi="Arial" w:cs="Arial"/>
        </w:rPr>
        <w:t xml:space="preserve">informed care has been shown to reduce distress in dementia care </w:t>
      </w:r>
      <w:r w:rsidRPr="007F5004">
        <w:rPr>
          <w:rFonts w:ascii="Arial" w:hAnsi="Arial" w:cs="Arial"/>
          <w:i/>
          <w:iCs/>
        </w:rPr>
        <w:t>(de Vries &amp; McChrystal, 2010)</w:t>
      </w:r>
      <w:r w:rsidRPr="007F5004">
        <w:rPr>
          <w:rFonts w:ascii="Arial" w:hAnsi="Arial" w:cs="Arial"/>
        </w:rPr>
        <w:t xml:space="preserve">. According to the social-cultural (Vygotskian) theory of cognitive development, cognitive development is social, as emphasised by Lev Vygotsky, who emphasises the impact of society on cognition through the sociocultural dimension. At the foundation of his theory is the concept of the Zone of Proximal Development (ZPD), which refers to the level at which an individual can accomplish a task with assistance from a more experienced other </w:t>
      </w:r>
      <w:r w:rsidRPr="007F5004">
        <w:rPr>
          <w:rFonts w:ascii="Arial" w:hAnsi="Arial" w:cs="Arial"/>
          <w:i/>
          <w:iCs/>
        </w:rPr>
        <w:t>(Vygotsky, 1978, pp. 84–92)</w:t>
      </w:r>
      <w:r w:rsidRPr="007F5004">
        <w:rPr>
          <w:rFonts w:ascii="Arial" w:hAnsi="Arial" w:cs="Arial"/>
        </w:rPr>
        <w:t xml:space="preserve">. Cognitive decline in older persons with dementia does not mean there is no capacity for </w:t>
      </w:r>
      <w:r w:rsidRPr="007F5004">
        <w:rPr>
          <w:rFonts w:ascii="Arial" w:hAnsi="Arial" w:cs="Arial"/>
        </w:rPr>
        <w:lastRenderedPageBreak/>
        <w:t>learning and for engagement; on the contrary, scaffolding through social support is a meaningful way to maintain function and dignity. For Vygotsky, language and social interaction are the tools of thought.</w:t>
      </w:r>
    </w:p>
    <w:p w14:paraId="7140A184" w14:textId="77777777" w:rsidR="00FC227D" w:rsidRPr="007F5004" w:rsidRDefault="00FC227D" w:rsidP="007F5004">
      <w:pPr>
        <w:spacing w:line="360" w:lineRule="auto"/>
        <w:rPr>
          <w:rFonts w:ascii="Arial" w:hAnsi="Arial" w:cs="Arial"/>
          <w:b/>
          <w:bCs/>
        </w:rPr>
      </w:pPr>
      <w:r w:rsidRPr="007F5004">
        <w:rPr>
          <w:rFonts w:ascii="Arial" w:hAnsi="Arial" w:cs="Arial"/>
          <w:b/>
          <w:bCs/>
        </w:rPr>
        <w:t>Applying Vygotsky's Theory in Dementia Care Homes</w:t>
      </w:r>
    </w:p>
    <w:p w14:paraId="50FDAC82" w14:textId="77777777" w:rsidR="00FC227D" w:rsidRPr="007F5004" w:rsidRDefault="00FC227D" w:rsidP="007F5004">
      <w:pPr>
        <w:spacing w:line="360" w:lineRule="auto"/>
        <w:rPr>
          <w:rFonts w:ascii="Arial" w:hAnsi="Arial" w:cs="Arial"/>
          <w:b/>
          <w:bCs/>
        </w:rPr>
      </w:pPr>
      <w:r w:rsidRPr="007F5004">
        <w:rPr>
          <w:rFonts w:ascii="Arial" w:hAnsi="Arial" w:cs="Arial"/>
          <w:b/>
          <w:bCs/>
        </w:rPr>
        <w:t>Facilitating Social Engagement</w:t>
      </w:r>
    </w:p>
    <w:p w14:paraId="4A05864A" w14:textId="221DA0C8" w:rsidR="00FC227D" w:rsidRPr="007F5004" w:rsidRDefault="00FC227D" w:rsidP="007F5004">
      <w:pPr>
        <w:spacing w:line="360" w:lineRule="auto"/>
        <w:rPr>
          <w:rFonts w:ascii="Arial" w:hAnsi="Arial" w:cs="Arial"/>
          <w:i/>
          <w:iCs/>
        </w:rPr>
      </w:pPr>
      <w:r w:rsidRPr="007F5004">
        <w:rPr>
          <w:rFonts w:ascii="Arial" w:hAnsi="Arial" w:cs="Arial"/>
        </w:rPr>
        <w:t xml:space="preserve">Social isolation is an </w:t>
      </w:r>
      <w:r w:rsidRPr="007F5004">
        <w:rPr>
          <w:rFonts w:ascii="Arial" w:hAnsi="Arial" w:cs="Arial"/>
        </w:rPr>
        <w:t>essential</w:t>
      </w:r>
      <w:r w:rsidRPr="007F5004">
        <w:rPr>
          <w:rFonts w:ascii="Arial" w:hAnsi="Arial" w:cs="Arial"/>
        </w:rPr>
        <w:t xml:space="preserve"> factor in dementia symptoms and structured social interaction may protect cognitive and emotional health. Vygotsky argues that collaboration-based tasks, supported participation, and cultural practices may aid the growth of skills and contribute to identity maintenance </w:t>
      </w:r>
      <w:r w:rsidRPr="007F5004">
        <w:rPr>
          <w:rFonts w:ascii="Arial" w:hAnsi="Arial" w:cs="Arial"/>
          <w:i/>
          <w:iCs/>
        </w:rPr>
        <w:t>(Hughes, 2011, pp. 90–110).</w:t>
      </w:r>
    </w:p>
    <w:p w14:paraId="3111D67F" w14:textId="4090FA1B" w:rsidR="00FC227D" w:rsidRPr="007F5004" w:rsidRDefault="00FC227D" w:rsidP="007F5004">
      <w:pPr>
        <w:spacing w:line="360" w:lineRule="auto"/>
        <w:rPr>
          <w:rFonts w:ascii="Arial" w:hAnsi="Arial" w:cs="Arial"/>
          <w:b/>
          <w:bCs/>
        </w:rPr>
      </w:pPr>
      <w:r w:rsidRPr="007F5004">
        <w:rPr>
          <w:rFonts w:ascii="Arial" w:hAnsi="Arial" w:cs="Arial"/>
          <w:b/>
          <w:bCs/>
        </w:rPr>
        <w:t>Practical Examples</w:t>
      </w:r>
    </w:p>
    <w:p w14:paraId="5BAD35C9" w14:textId="75CF821A" w:rsidR="00FC227D" w:rsidRPr="007F5004" w:rsidRDefault="00FC227D" w:rsidP="007F5004">
      <w:pPr>
        <w:spacing w:line="360" w:lineRule="auto"/>
        <w:rPr>
          <w:rFonts w:ascii="Arial" w:hAnsi="Arial" w:cs="Arial"/>
        </w:rPr>
      </w:pPr>
      <w:r w:rsidRPr="007F5004">
        <w:rPr>
          <w:rFonts w:ascii="Arial" w:hAnsi="Arial" w:cs="Arial"/>
        </w:rPr>
        <w:t xml:space="preserve">Reminiscence therapy, music group activities and storytelling sessions all contribute to an understanding of shared meaning through stories and meaning-making that goes hand in hand throughout residents’ lives. Scaffolding work: Staff can help residents with their everyday activities (getting dressed, eating, etc.) with tiny, small action steps. To maintain the traditional beliefs and identity, the group said; the use of standard cultural practices such as religious observances, traditional foods </w:t>
      </w:r>
      <w:proofErr w:type="gramStart"/>
      <w:r w:rsidRPr="007F5004">
        <w:rPr>
          <w:rFonts w:ascii="Arial" w:hAnsi="Arial" w:cs="Arial"/>
        </w:rPr>
        <w:t>remains</w:t>
      </w:r>
      <w:proofErr w:type="gramEnd"/>
      <w:r w:rsidRPr="007F5004">
        <w:rPr>
          <w:rFonts w:ascii="Arial" w:hAnsi="Arial" w:cs="Arial"/>
        </w:rPr>
        <w:t xml:space="preserve"> consistent. Peers: People with more benign symptoms might support those with more severe dementia, so they have more socially relevant learning opportunity. Daily scaffolding: Assigning residents how-to activities, like preparing meals and moving around, supports autonomy. The scaffolds that residents receive </w:t>
      </w:r>
      <w:proofErr w:type="gramStart"/>
      <w:r w:rsidRPr="007F5004">
        <w:rPr>
          <w:rFonts w:ascii="Arial" w:hAnsi="Arial" w:cs="Arial"/>
        </w:rPr>
        <w:t>on a daily basis</w:t>
      </w:r>
      <w:proofErr w:type="gramEnd"/>
      <w:r w:rsidRPr="007F5004">
        <w:rPr>
          <w:rFonts w:ascii="Arial" w:hAnsi="Arial" w:cs="Arial"/>
        </w:rPr>
        <w:t xml:space="preserve"> — preparing meals and moving around — foster autonomy in such areas. </w:t>
      </w:r>
    </w:p>
    <w:p w14:paraId="20C3F0C9" w14:textId="0F2D7380" w:rsidR="00FC227D" w:rsidRPr="007F5004" w:rsidRDefault="00FC227D" w:rsidP="007F5004">
      <w:pPr>
        <w:spacing w:line="360" w:lineRule="auto"/>
        <w:rPr>
          <w:rFonts w:ascii="Arial" w:hAnsi="Arial" w:cs="Arial"/>
          <w:b/>
          <w:bCs/>
        </w:rPr>
      </w:pPr>
      <w:r w:rsidRPr="007F5004">
        <w:rPr>
          <w:rFonts w:ascii="Arial" w:hAnsi="Arial" w:cs="Arial"/>
          <w:b/>
          <w:bCs/>
        </w:rPr>
        <w:t>Challenges</w:t>
      </w:r>
    </w:p>
    <w:p w14:paraId="79D12D50" w14:textId="6C534792" w:rsidR="00FC227D" w:rsidRPr="007F5004" w:rsidRDefault="00FC227D" w:rsidP="007F5004">
      <w:pPr>
        <w:spacing w:line="360" w:lineRule="auto"/>
        <w:rPr>
          <w:rFonts w:ascii="Arial" w:hAnsi="Arial" w:cs="Arial"/>
        </w:rPr>
      </w:pPr>
      <w:r w:rsidRPr="007F5004">
        <w:rPr>
          <w:rFonts w:ascii="Arial" w:hAnsi="Arial" w:cs="Arial"/>
        </w:rPr>
        <w:t>Variation in cognitive ability in residents can be attributed to individual factors and makes it challenging for groups to organize cognitive processes. Staff resources will limit personalised support because of resource allocation. Resistance to participation: Residents may withdraw due to either depression or anxiety.</w:t>
      </w:r>
    </w:p>
    <w:p w14:paraId="6C88A3C3" w14:textId="77777777" w:rsidR="00FE7004" w:rsidRPr="007F5004" w:rsidRDefault="00FE7004" w:rsidP="007F5004">
      <w:pPr>
        <w:spacing w:line="360" w:lineRule="auto"/>
        <w:rPr>
          <w:rFonts w:ascii="Arial" w:hAnsi="Arial" w:cs="Arial"/>
          <w:b/>
          <w:bCs/>
        </w:rPr>
      </w:pPr>
      <w:r w:rsidRPr="007F5004">
        <w:rPr>
          <w:rFonts w:ascii="Arial" w:hAnsi="Arial" w:cs="Arial"/>
          <w:b/>
          <w:bCs/>
        </w:rPr>
        <w:t>Strategies</w:t>
      </w:r>
    </w:p>
    <w:p w14:paraId="2D6DE8CC" w14:textId="5869EA13" w:rsidR="00FE7004" w:rsidRPr="007F5004" w:rsidRDefault="00FE7004" w:rsidP="007F5004">
      <w:pPr>
        <w:spacing w:line="360" w:lineRule="auto"/>
        <w:rPr>
          <w:rFonts w:ascii="Arial" w:hAnsi="Arial" w:cs="Arial"/>
        </w:rPr>
      </w:pPr>
      <w:r w:rsidRPr="007F5004">
        <w:rPr>
          <w:rFonts w:ascii="Arial" w:hAnsi="Arial" w:cs="Arial"/>
        </w:rPr>
        <w:t>Using peer assistance, adapting activities to one's own ZPDs, or using volunteers are steps to enhance engagement.</w:t>
      </w:r>
    </w:p>
    <w:p w14:paraId="2961DD20" w14:textId="77777777" w:rsidR="00252CFD" w:rsidRPr="007F5004" w:rsidRDefault="00252CFD" w:rsidP="007F5004">
      <w:pPr>
        <w:spacing w:line="360" w:lineRule="auto"/>
        <w:rPr>
          <w:rFonts w:ascii="Arial" w:hAnsi="Arial" w:cs="Arial"/>
          <w:b/>
          <w:bCs/>
        </w:rPr>
      </w:pPr>
    </w:p>
    <w:p w14:paraId="2D19BE87" w14:textId="77777777" w:rsidR="00252CFD" w:rsidRPr="007F5004" w:rsidRDefault="00252CFD" w:rsidP="007F5004">
      <w:pPr>
        <w:spacing w:line="360" w:lineRule="auto"/>
        <w:rPr>
          <w:rFonts w:ascii="Arial" w:hAnsi="Arial" w:cs="Arial"/>
          <w:b/>
          <w:bCs/>
        </w:rPr>
      </w:pPr>
    </w:p>
    <w:p w14:paraId="2970E8C1" w14:textId="2A6CDAFC" w:rsidR="00252CFD" w:rsidRPr="007F5004" w:rsidRDefault="00252CFD" w:rsidP="007F5004">
      <w:pPr>
        <w:spacing w:line="360" w:lineRule="auto"/>
        <w:rPr>
          <w:rFonts w:ascii="Arial" w:hAnsi="Arial" w:cs="Arial"/>
          <w:b/>
          <w:bCs/>
        </w:rPr>
      </w:pPr>
      <w:r w:rsidRPr="007F5004">
        <w:rPr>
          <w:rFonts w:ascii="Arial" w:hAnsi="Arial" w:cs="Arial"/>
          <w:b/>
          <w:bCs/>
        </w:rPr>
        <w:t>3. Comparative Critical Analysis</w:t>
      </w:r>
    </w:p>
    <w:p w14:paraId="6A080915" w14:textId="2CDCB0A1" w:rsidR="00252CFD" w:rsidRPr="007F5004" w:rsidRDefault="00252CFD" w:rsidP="007F5004">
      <w:pPr>
        <w:spacing w:line="360" w:lineRule="auto"/>
        <w:rPr>
          <w:rFonts w:ascii="Arial" w:hAnsi="Arial" w:cs="Arial"/>
        </w:rPr>
      </w:pPr>
      <w:r w:rsidRPr="007F5004">
        <w:rPr>
          <w:rFonts w:ascii="Arial" w:hAnsi="Arial" w:cs="Arial"/>
        </w:rPr>
        <w:lastRenderedPageBreak/>
        <w:t>Although the paradigms of Bowlby's and Vygotsky's theories derive from distinct perspectives (psychodynamic and sociocultural, respectively) they overlap on the recognition of the significance of relationships for psychological wellbeing. Bowlby stresses the role of attachment in the emotional sense of security, but Vygotsky notes cognitive and social development through interaction.</w:t>
      </w:r>
    </w:p>
    <w:p w14:paraId="0E3A22EA" w14:textId="675A297F" w:rsidR="00252CFD" w:rsidRPr="007F5004" w:rsidRDefault="00252CFD" w:rsidP="007F5004">
      <w:pPr>
        <w:spacing w:line="360" w:lineRule="auto"/>
        <w:rPr>
          <w:rFonts w:ascii="Arial" w:hAnsi="Arial" w:cs="Arial"/>
          <w:b/>
          <w:bCs/>
        </w:rPr>
      </w:pPr>
      <w:r w:rsidRPr="007F5004">
        <w:rPr>
          <w:rFonts w:ascii="Arial" w:hAnsi="Arial" w:cs="Arial"/>
        </w:rPr>
        <w:t>S</w:t>
      </w:r>
      <w:r w:rsidRPr="007F5004">
        <w:rPr>
          <w:rFonts w:ascii="Arial" w:hAnsi="Arial" w:cs="Arial"/>
          <w:b/>
          <w:bCs/>
        </w:rPr>
        <w:t>trengths of Bowlby's Theory in Dementia Care</w:t>
      </w:r>
    </w:p>
    <w:p w14:paraId="2CE5D2C0" w14:textId="41D59021" w:rsidR="00252CFD" w:rsidRPr="007F5004" w:rsidRDefault="00252CFD" w:rsidP="007F5004">
      <w:pPr>
        <w:spacing w:line="360" w:lineRule="auto"/>
        <w:rPr>
          <w:rFonts w:ascii="Arial" w:hAnsi="Arial" w:cs="Arial"/>
        </w:rPr>
      </w:pPr>
      <w:r w:rsidRPr="007F5004">
        <w:rPr>
          <w:rFonts w:ascii="Arial" w:hAnsi="Arial" w:cs="Arial"/>
        </w:rPr>
        <w:t xml:space="preserve">Provides a framework to understand emotional distress and dependency behaviours. </w:t>
      </w:r>
      <w:r w:rsidRPr="007F5004">
        <w:rPr>
          <w:rFonts w:ascii="Arial" w:hAnsi="Arial" w:cs="Arial"/>
        </w:rPr>
        <w:t>Emphasises</w:t>
      </w:r>
      <w:r w:rsidRPr="007F5004">
        <w:rPr>
          <w:rFonts w:ascii="Arial" w:hAnsi="Arial" w:cs="Arial"/>
        </w:rPr>
        <w:t xml:space="preserve"> the significance of continuity and trust in caregiving relationships. Provides actionable approaches to minimise anxiety and behavioural breakdowns</w:t>
      </w:r>
      <w:r w:rsidRPr="007F5004">
        <w:rPr>
          <w:rFonts w:ascii="Arial" w:hAnsi="Arial" w:cs="Arial"/>
        </w:rPr>
        <w:t>.</w:t>
      </w:r>
    </w:p>
    <w:p w14:paraId="5DF1E626" w14:textId="241717C6" w:rsidR="00252CFD" w:rsidRPr="007F5004" w:rsidRDefault="00252CFD" w:rsidP="007F5004">
      <w:pPr>
        <w:spacing w:line="360" w:lineRule="auto"/>
        <w:rPr>
          <w:rFonts w:ascii="Arial" w:hAnsi="Arial" w:cs="Arial"/>
          <w:b/>
          <w:bCs/>
        </w:rPr>
      </w:pPr>
      <w:r w:rsidRPr="007F5004">
        <w:rPr>
          <w:rFonts w:ascii="Arial" w:hAnsi="Arial" w:cs="Arial"/>
          <w:b/>
          <w:bCs/>
        </w:rPr>
        <w:t>Limitations</w:t>
      </w:r>
    </w:p>
    <w:p w14:paraId="3BEC992E" w14:textId="36B622B8" w:rsidR="00252CFD" w:rsidRPr="007F5004" w:rsidRDefault="00252CFD" w:rsidP="007F5004">
      <w:pPr>
        <w:spacing w:line="360" w:lineRule="auto"/>
        <w:rPr>
          <w:rFonts w:ascii="Arial" w:hAnsi="Arial" w:cs="Arial"/>
        </w:rPr>
      </w:pPr>
      <w:r w:rsidRPr="007F5004">
        <w:rPr>
          <w:rFonts w:ascii="Arial" w:hAnsi="Arial" w:cs="Arial"/>
        </w:rPr>
        <w:t>Might overemphasise early-life experiences so a lack of consideration of contemporary social and cultural contexts. It depends on permanent staffing to deliver attachment</w:t>
      </w:r>
      <w:r w:rsidRPr="007F5004">
        <w:rPr>
          <w:rFonts w:ascii="Cambria Math" w:hAnsi="Cambria Math" w:cs="Cambria Math"/>
        </w:rPr>
        <w:t>‑</w:t>
      </w:r>
      <w:r w:rsidRPr="007F5004">
        <w:rPr>
          <w:rFonts w:ascii="Arial" w:hAnsi="Arial" w:cs="Arial"/>
        </w:rPr>
        <w:t>informed care, which is infeasible — especially for homes that are under</w:t>
      </w:r>
      <w:r w:rsidRPr="007F5004">
        <w:rPr>
          <w:rFonts w:ascii="Cambria Math" w:hAnsi="Cambria Math" w:cs="Cambria Math"/>
        </w:rPr>
        <w:t>‑</w:t>
      </w:r>
      <w:r w:rsidRPr="007F5004">
        <w:rPr>
          <w:rFonts w:ascii="Arial" w:hAnsi="Arial" w:cs="Arial"/>
        </w:rPr>
        <w:t xml:space="preserve">resourced. </w:t>
      </w:r>
    </w:p>
    <w:p w14:paraId="42E7BA06" w14:textId="2E82F1A1" w:rsidR="00252CFD" w:rsidRPr="007F5004" w:rsidRDefault="00252CFD" w:rsidP="007F5004">
      <w:pPr>
        <w:spacing w:line="360" w:lineRule="auto"/>
        <w:rPr>
          <w:rFonts w:ascii="Arial" w:hAnsi="Arial" w:cs="Arial"/>
          <w:b/>
          <w:bCs/>
        </w:rPr>
      </w:pPr>
      <w:r w:rsidRPr="007F5004">
        <w:rPr>
          <w:rFonts w:ascii="Arial" w:hAnsi="Arial" w:cs="Arial"/>
          <w:b/>
          <w:bCs/>
        </w:rPr>
        <w:t>Advantages of Vygotsky's Theory in Care for Dementia</w:t>
      </w:r>
    </w:p>
    <w:p w14:paraId="71ABB25A" w14:textId="765D2E3E" w:rsidR="00252CFD" w:rsidRPr="007F5004" w:rsidRDefault="00252CFD" w:rsidP="007F5004">
      <w:pPr>
        <w:spacing w:line="360" w:lineRule="auto"/>
        <w:rPr>
          <w:rFonts w:ascii="Arial" w:hAnsi="Arial" w:cs="Arial"/>
        </w:rPr>
      </w:pPr>
      <w:r w:rsidRPr="007F5004">
        <w:rPr>
          <w:rFonts w:ascii="Arial" w:hAnsi="Arial" w:cs="Arial"/>
        </w:rPr>
        <w:t xml:space="preserve">Fosters active interaction and scaffolding, which aids in both cognitive and social aspects. Promotes culturally competent care to strengthen identity and belonging. Develops flexible framework that is flexible to the ability level. Limitations: It is time and resource prohibitive to implement. The group cannot accommodate residents with advanced dementia and severe behavioural disorders. </w:t>
      </w:r>
    </w:p>
    <w:p w14:paraId="4D6830CD" w14:textId="11EABEA6" w:rsidR="00252CFD" w:rsidRPr="007F5004" w:rsidRDefault="00252CFD" w:rsidP="007F5004">
      <w:pPr>
        <w:spacing w:line="360" w:lineRule="auto"/>
        <w:rPr>
          <w:rFonts w:ascii="Arial" w:hAnsi="Arial" w:cs="Arial"/>
          <w:b/>
          <w:bCs/>
        </w:rPr>
      </w:pPr>
      <w:r w:rsidRPr="007F5004">
        <w:rPr>
          <w:rFonts w:ascii="Arial" w:hAnsi="Arial" w:cs="Arial"/>
          <w:b/>
          <w:bCs/>
        </w:rPr>
        <w:t>Integrative Perspective</w:t>
      </w:r>
    </w:p>
    <w:p w14:paraId="6117AE3D" w14:textId="7B3A7EB3" w:rsidR="00252CFD" w:rsidRPr="007F5004" w:rsidRDefault="00252CFD" w:rsidP="007F5004">
      <w:pPr>
        <w:spacing w:line="360" w:lineRule="auto"/>
        <w:rPr>
          <w:rFonts w:ascii="Arial" w:hAnsi="Arial" w:cs="Arial"/>
        </w:rPr>
      </w:pPr>
      <w:r w:rsidRPr="007F5004">
        <w:rPr>
          <w:rFonts w:ascii="Arial" w:hAnsi="Arial" w:cs="Arial"/>
        </w:rPr>
        <w:t xml:space="preserve">Where Bowlby’s theory emphasises the dyadic relationship between caregiver and resident, Vygotsky’s framework stresses that group learning and ongoing cultural connection can create new values for people. By combining the two views, the interventions target the emotional and psychological aspects of dementia care and provide a comprehensive model of practice. Caregiving relationships are also influenced by motivations, meanings, and relational dynamics that need to be maintained </w:t>
      </w:r>
      <w:proofErr w:type="gramStart"/>
      <w:r w:rsidRPr="007F5004">
        <w:rPr>
          <w:rFonts w:ascii="Arial" w:hAnsi="Arial" w:cs="Arial"/>
        </w:rPr>
        <w:t>in order to</w:t>
      </w:r>
      <w:proofErr w:type="gramEnd"/>
      <w:r w:rsidRPr="007F5004">
        <w:rPr>
          <w:rFonts w:ascii="Arial" w:hAnsi="Arial" w:cs="Arial"/>
        </w:rPr>
        <w:t xml:space="preserve"> maintain wellbeing (Quinn, Clare &amp; Woods, 2015, p. 190).</w:t>
      </w:r>
    </w:p>
    <w:p w14:paraId="7E5D0F51" w14:textId="77777777" w:rsidR="007F5004" w:rsidRPr="007F5004" w:rsidRDefault="007F5004" w:rsidP="007F5004">
      <w:pPr>
        <w:spacing w:line="360" w:lineRule="auto"/>
        <w:rPr>
          <w:rFonts w:ascii="Arial" w:hAnsi="Arial" w:cs="Arial"/>
          <w:b/>
          <w:bCs/>
        </w:rPr>
      </w:pPr>
      <w:r w:rsidRPr="007F5004">
        <w:rPr>
          <w:rFonts w:ascii="Arial" w:hAnsi="Arial" w:cs="Arial"/>
          <w:b/>
          <w:bCs/>
        </w:rPr>
        <w:t>4. Conclusion</w:t>
      </w:r>
    </w:p>
    <w:p w14:paraId="69DDD5B9" w14:textId="3FDF167A" w:rsidR="007F5004" w:rsidRPr="007F5004" w:rsidRDefault="007F5004" w:rsidP="007F5004">
      <w:pPr>
        <w:spacing w:line="360" w:lineRule="auto"/>
        <w:rPr>
          <w:rFonts w:ascii="Arial" w:hAnsi="Arial" w:cs="Arial"/>
        </w:rPr>
      </w:pPr>
      <w:r w:rsidRPr="007F5004">
        <w:rPr>
          <w:rFonts w:ascii="Arial" w:hAnsi="Arial" w:cs="Arial"/>
        </w:rPr>
        <w:t xml:space="preserve">Together, these theories emphasise the importance of relationships, continuity, and culture in dementia care. However, employee turnover, resource limitations, and the </w:t>
      </w:r>
      <w:r w:rsidRPr="007F5004">
        <w:rPr>
          <w:rFonts w:ascii="Arial" w:hAnsi="Arial" w:cs="Arial"/>
        </w:rPr>
        <w:t>diversity of residents' needs must be addressed through</w:t>
      </w:r>
      <w:r w:rsidRPr="007F5004">
        <w:rPr>
          <w:rFonts w:ascii="Arial" w:hAnsi="Arial" w:cs="Arial"/>
        </w:rPr>
        <w:t xml:space="preserve"> training and reflection.</w:t>
      </w:r>
    </w:p>
    <w:p w14:paraId="1C48BE06" w14:textId="77777777" w:rsidR="007F5004" w:rsidRDefault="007F5004" w:rsidP="007F5004">
      <w:pPr>
        <w:spacing w:before="100" w:beforeAutospacing="1" w:after="100" w:afterAutospacing="1" w:line="360" w:lineRule="auto"/>
        <w:rPr>
          <w:rFonts w:ascii="Arial" w:eastAsia="Times New Roman" w:hAnsi="Arial" w:cs="Arial"/>
          <w:lang w:eastAsia="en-GB"/>
        </w:rPr>
      </w:pPr>
    </w:p>
    <w:p w14:paraId="225E804D" w14:textId="14D7223A" w:rsidR="007F5004" w:rsidRPr="007F5004" w:rsidRDefault="007F5004" w:rsidP="007F5004">
      <w:pPr>
        <w:spacing w:before="100" w:beforeAutospacing="1" w:after="100" w:afterAutospacing="1" w:line="360" w:lineRule="auto"/>
        <w:rPr>
          <w:rFonts w:ascii="Arial" w:eastAsia="Times New Roman" w:hAnsi="Arial" w:cs="Arial"/>
          <w:lang w:eastAsia="en-GB"/>
        </w:rPr>
      </w:pPr>
      <w:r w:rsidRPr="007F5004">
        <w:rPr>
          <w:rFonts w:ascii="Arial" w:eastAsia="Times New Roman" w:hAnsi="Arial" w:cs="Arial"/>
          <w:lang w:eastAsia="en-GB"/>
        </w:rPr>
        <w:lastRenderedPageBreak/>
        <w:t>References</w:t>
      </w:r>
    </w:p>
    <w:p w14:paraId="1E6CD5A7"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 xml:space="preserve">Alzheimer’s Society (2025) Publications and factsheets. Available at: </w:t>
      </w:r>
      <w:hyperlink r:id="rId5" w:history="1">
        <w:r w:rsidRPr="007F5004">
          <w:rPr>
            <w:rFonts w:ascii="Arial" w:eastAsia="Times New Roman" w:hAnsi="Arial" w:cs="Arial"/>
            <w:i/>
            <w:iCs/>
            <w:color w:val="0000FF"/>
            <w:u w:val="single"/>
            <w:lang w:eastAsia="en-GB"/>
          </w:rPr>
          <w:t>https://www.alzheimers.org.uk/get-support/publications-factsheets</w:t>
        </w:r>
      </w:hyperlink>
      <w:r w:rsidRPr="007F5004">
        <w:rPr>
          <w:rFonts w:ascii="Arial" w:eastAsia="Times New Roman" w:hAnsi="Arial" w:cs="Arial"/>
          <w:i/>
          <w:iCs/>
          <w:lang w:eastAsia="en-GB"/>
        </w:rPr>
        <w:t xml:space="preserve"> (Accessed: 9 December 2025).</w:t>
      </w:r>
    </w:p>
    <w:p w14:paraId="504D2CAD"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Bowlby, J. (1969). Attachment and Loss: Vol. 1. Attachment. London: Hogarth Press. pp. 35–60.</w:t>
      </w:r>
    </w:p>
    <w:p w14:paraId="3BB7CDDA"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Bowlby, J. (1980). Attachment and Loss: Vol. 3. Loss, Sadness and Depression. London: Hogarth Press. pp. 40–55.</w:t>
      </w:r>
    </w:p>
    <w:p w14:paraId="1560F858"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 xml:space="preserve">de Vries, K. and McChrystal, J. (2010) ‘Using attachment theory to improve the care of people with dementia’, International Journal of Work Organisation and Emotion, 3(3), pp. 287–301. Available at: </w:t>
      </w:r>
      <w:hyperlink r:id="rId6" w:history="1">
        <w:r w:rsidRPr="007F5004">
          <w:rPr>
            <w:rFonts w:ascii="Arial" w:eastAsia="Times New Roman" w:hAnsi="Arial" w:cs="Arial"/>
            <w:i/>
            <w:iCs/>
            <w:color w:val="0000FF"/>
            <w:u w:val="single"/>
            <w:lang w:eastAsia="en-GB"/>
          </w:rPr>
          <w:t>https://www.inderscience.com/info/inarticle.php?artid=32927</w:t>
        </w:r>
      </w:hyperlink>
      <w:r w:rsidRPr="007F5004">
        <w:rPr>
          <w:rFonts w:ascii="Arial" w:eastAsia="Times New Roman" w:hAnsi="Arial" w:cs="Arial"/>
          <w:i/>
          <w:iCs/>
          <w:lang w:eastAsia="en-GB"/>
        </w:rPr>
        <w:t xml:space="preserve"> (Accessed: 9 December 2025).</w:t>
      </w:r>
    </w:p>
    <w:p w14:paraId="4423FAC5"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Hughes, J.C. (2011) Thinking Through Dementia. London: Jessica Kingsley Publishers. pp. 90–110.</w:t>
      </w:r>
    </w:p>
    <w:p w14:paraId="33583740"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Kitwood, T. (1997) Dementia Reconsidered: The Person Comes First. Buckingham: Open University Press. pp. 45–70.</w:t>
      </w:r>
    </w:p>
    <w:p w14:paraId="5A4C6A5D"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Quinn, C., Clare, L. and Woods, R.T. (2015) ‘Balancing needs: The role of motivations, meanings and relationships in dementia caregiving’, Aging &amp; Mental Health, 19(2), pp. 187–196.</w:t>
      </w:r>
    </w:p>
    <w:p w14:paraId="40996301"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 xml:space="preserve">Woods, R.T. and Clare, L. (2008) Handbook of the Clinical Psychology of Ageing. 2nd </w:t>
      </w:r>
      <w:proofErr w:type="spellStart"/>
      <w:r w:rsidRPr="007F5004">
        <w:rPr>
          <w:rFonts w:ascii="Arial" w:eastAsia="Times New Roman" w:hAnsi="Arial" w:cs="Arial"/>
          <w:i/>
          <w:iCs/>
          <w:lang w:eastAsia="en-GB"/>
        </w:rPr>
        <w:t>edn</w:t>
      </w:r>
      <w:proofErr w:type="spellEnd"/>
      <w:r w:rsidRPr="007F5004">
        <w:rPr>
          <w:rFonts w:ascii="Arial" w:eastAsia="Times New Roman" w:hAnsi="Arial" w:cs="Arial"/>
          <w:i/>
          <w:iCs/>
          <w:lang w:eastAsia="en-GB"/>
        </w:rPr>
        <w:t>. Chichester: Wiley. pp. 120–145.</w:t>
      </w:r>
    </w:p>
    <w:p w14:paraId="5777E272"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Vygotsky, L.S. (1978) Mind in Society: The Development of Higher Psychological Processes. Cambridge, MA: Harvard University Press. pp. 84–92.</w:t>
      </w:r>
    </w:p>
    <w:p w14:paraId="2D371B63"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(Bowlby, Kitwood, Hughes, Woods &amp; Clare, Vygotsky).</w:t>
      </w:r>
    </w:p>
    <w:p w14:paraId="362274FD"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(de Vries &amp; McChrystal, Quinn et al.).</w:t>
      </w:r>
    </w:p>
    <w:p w14:paraId="62EEE773" w14:textId="77777777" w:rsidR="007F5004" w:rsidRPr="007F5004" w:rsidRDefault="007F5004" w:rsidP="007F5004">
      <w:pPr>
        <w:numPr>
          <w:ilvl w:val="0"/>
          <w:numId w:val="1"/>
        </w:numPr>
        <w:spacing w:before="100" w:beforeAutospacing="1" w:after="100" w:afterAutospacing="1" w:line="360" w:lineRule="auto"/>
        <w:rPr>
          <w:rFonts w:ascii="Arial" w:eastAsia="Times New Roman" w:hAnsi="Arial" w:cs="Arial"/>
          <w:i/>
          <w:iCs/>
          <w:lang w:eastAsia="en-GB"/>
        </w:rPr>
      </w:pPr>
      <w:r w:rsidRPr="007F5004">
        <w:rPr>
          <w:rFonts w:ascii="Arial" w:eastAsia="Times New Roman" w:hAnsi="Arial" w:cs="Arial"/>
          <w:i/>
          <w:iCs/>
          <w:lang w:eastAsia="en-GB"/>
        </w:rPr>
        <w:t>(Alzheimer’s Society).</w:t>
      </w:r>
    </w:p>
    <w:p w14:paraId="46B4A029" w14:textId="77777777" w:rsidR="007F5004" w:rsidRPr="007F5004" w:rsidRDefault="007F5004" w:rsidP="007F5004">
      <w:pPr>
        <w:spacing w:line="360" w:lineRule="auto"/>
        <w:rPr>
          <w:rFonts w:ascii="Arial" w:hAnsi="Arial" w:cs="Arial"/>
          <w:i/>
          <w:iCs/>
        </w:rPr>
      </w:pPr>
    </w:p>
    <w:p w14:paraId="1072E241" w14:textId="77777777" w:rsidR="007F5004" w:rsidRPr="007F5004" w:rsidRDefault="007F5004" w:rsidP="00252CFD">
      <w:pPr>
        <w:spacing w:line="360" w:lineRule="auto"/>
        <w:rPr>
          <w:rFonts w:ascii="Arial" w:hAnsi="Arial" w:cs="Arial"/>
          <w:i/>
          <w:iCs/>
        </w:rPr>
      </w:pPr>
    </w:p>
    <w:p w14:paraId="2F1869BB" w14:textId="77777777" w:rsidR="00252CFD" w:rsidRPr="007F5004" w:rsidRDefault="00252CFD" w:rsidP="00252CFD">
      <w:pPr>
        <w:spacing w:line="360" w:lineRule="auto"/>
        <w:rPr>
          <w:rFonts w:ascii="Arial" w:hAnsi="Arial" w:cs="Arial"/>
          <w:i/>
          <w:iCs/>
        </w:rPr>
      </w:pPr>
    </w:p>
    <w:p w14:paraId="31BF6962" w14:textId="77777777" w:rsidR="00252CFD" w:rsidRPr="007F5004" w:rsidRDefault="00252CFD" w:rsidP="00252CFD">
      <w:pPr>
        <w:spacing w:line="360" w:lineRule="auto"/>
        <w:rPr>
          <w:rFonts w:ascii="Arial" w:hAnsi="Arial" w:cs="Arial"/>
          <w:i/>
          <w:iCs/>
        </w:rPr>
      </w:pPr>
    </w:p>
    <w:p w14:paraId="012DB48E" w14:textId="77777777" w:rsidR="00252CFD" w:rsidRPr="00252CFD" w:rsidRDefault="00252CFD" w:rsidP="00252CFD">
      <w:pPr>
        <w:spacing w:line="360" w:lineRule="auto"/>
        <w:rPr>
          <w:rFonts w:ascii="Arial" w:hAnsi="Arial" w:cs="Arial"/>
        </w:rPr>
      </w:pPr>
    </w:p>
    <w:p w14:paraId="400B0AA4" w14:textId="77777777" w:rsidR="00252CFD" w:rsidRPr="00FC227D" w:rsidRDefault="00252CFD" w:rsidP="00FC227D">
      <w:pPr>
        <w:spacing w:line="360" w:lineRule="auto"/>
        <w:rPr>
          <w:rFonts w:ascii="Arial" w:hAnsi="Arial" w:cs="Arial"/>
        </w:rPr>
      </w:pPr>
    </w:p>
    <w:p w14:paraId="303A892C" w14:textId="77777777" w:rsidR="00FC227D" w:rsidRPr="00FC227D" w:rsidRDefault="00FC227D" w:rsidP="00FC227D">
      <w:pPr>
        <w:spacing w:line="360" w:lineRule="auto"/>
        <w:rPr>
          <w:rFonts w:ascii="Arial" w:hAnsi="Arial" w:cs="Arial"/>
        </w:rPr>
      </w:pPr>
    </w:p>
    <w:p w14:paraId="6B65E1F2" w14:textId="77777777" w:rsidR="00FC227D" w:rsidRPr="00C245F6" w:rsidRDefault="00FC227D" w:rsidP="00C245F6">
      <w:pPr>
        <w:spacing w:line="360" w:lineRule="auto"/>
      </w:pPr>
    </w:p>
    <w:sectPr w:rsidR="00FC227D" w:rsidRPr="00C24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B0EF8"/>
    <w:multiLevelType w:val="multilevel"/>
    <w:tmpl w:val="E5DE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1468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5F6"/>
    <w:rsid w:val="0006438A"/>
    <w:rsid w:val="001176BD"/>
    <w:rsid w:val="001207C5"/>
    <w:rsid w:val="00165A03"/>
    <w:rsid w:val="00252CFD"/>
    <w:rsid w:val="00265251"/>
    <w:rsid w:val="00613A02"/>
    <w:rsid w:val="007F5004"/>
    <w:rsid w:val="00C245F6"/>
    <w:rsid w:val="00C77070"/>
    <w:rsid w:val="00DD222D"/>
    <w:rsid w:val="00FC227D"/>
    <w:rsid w:val="00FE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F2EB3"/>
  <w15:chartTrackingRefBased/>
  <w15:docId w15:val="{C21562AA-47A2-40DD-BCC6-16DFF84C5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5F6"/>
  </w:style>
  <w:style w:type="paragraph" w:styleId="Heading1">
    <w:name w:val="heading 1"/>
    <w:basedOn w:val="Normal"/>
    <w:next w:val="Normal"/>
    <w:link w:val="Heading1Char"/>
    <w:uiPriority w:val="9"/>
    <w:qFormat/>
    <w:rsid w:val="00C245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45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45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45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45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5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5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5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5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5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45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45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45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5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5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5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5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5F6"/>
    <w:rPr>
      <w:rFonts w:eastAsiaTheme="majorEastAsia" w:cstheme="majorBidi"/>
      <w:color w:val="272727" w:themeColor="text1" w:themeTint="D8"/>
    </w:rPr>
  </w:style>
  <w:style w:type="paragraph" w:styleId="Title">
    <w:name w:val="Title"/>
    <w:basedOn w:val="Normal"/>
    <w:next w:val="Normal"/>
    <w:link w:val="TitleChar"/>
    <w:uiPriority w:val="10"/>
    <w:qFormat/>
    <w:rsid w:val="00C245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5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5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5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5F6"/>
    <w:pPr>
      <w:spacing w:before="160"/>
      <w:jc w:val="center"/>
    </w:pPr>
    <w:rPr>
      <w:i/>
      <w:iCs/>
      <w:color w:val="404040" w:themeColor="text1" w:themeTint="BF"/>
    </w:rPr>
  </w:style>
  <w:style w:type="character" w:customStyle="1" w:styleId="QuoteChar">
    <w:name w:val="Quote Char"/>
    <w:basedOn w:val="DefaultParagraphFont"/>
    <w:link w:val="Quote"/>
    <w:uiPriority w:val="29"/>
    <w:rsid w:val="00C245F6"/>
    <w:rPr>
      <w:i/>
      <w:iCs/>
      <w:color w:val="404040" w:themeColor="text1" w:themeTint="BF"/>
    </w:rPr>
  </w:style>
  <w:style w:type="paragraph" w:styleId="ListParagraph">
    <w:name w:val="List Paragraph"/>
    <w:basedOn w:val="Normal"/>
    <w:uiPriority w:val="34"/>
    <w:qFormat/>
    <w:rsid w:val="00C245F6"/>
    <w:pPr>
      <w:ind w:left="720"/>
      <w:contextualSpacing/>
    </w:pPr>
  </w:style>
  <w:style w:type="character" w:styleId="IntenseEmphasis">
    <w:name w:val="Intense Emphasis"/>
    <w:basedOn w:val="DefaultParagraphFont"/>
    <w:uiPriority w:val="21"/>
    <w:qFormat/>
    <w:rsid w:val="00C245F6"/>
    <w:rPr>
      <w:i/>
      <w:iCs/>
      <w:color w:val="0F4761" w:themeColor="accent1" w:themeShade="BF"/>
    </w:rPr>
  </w:style>
  <w:style w:type="paragraph" w:styleId="IntenseQuote">
    <w:name w:val="Intense Quote"/>
    <w:basedOn w:val="Normal"/>
    <w:next w:val="Normal"/>
    <w:link w:val="IntenseQuoteChar"/>
    <w:uiPriority w:val="30"/>
    <w:qFormat/>
    <w:rsid w:val="00C245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45F6"/>
    <w:rPr>
      <w:i/>
      <w:iCs/>
      <w:color w:val="0F4761" w:themeColor="accent1" w:themeShade="BF"/>
    </w:rPr>
  </w:style>
  <w:style w:type="character" w:styleId="IntenseReference">
    <w:name w:val="Intense Reference"/>
    <w:basedOn w:val="DefaultParagraphFont"/>
    <w:uiPriority w:val="32"/>
    <w:qFormat/>
    <w:rsid w:val="00C245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rscience.com/info/inarticle.php?artid=32927" TargetMode="External"/><Relationship Id="rId5" Type="http://schemas.openxmlformats.org/officeDocument/2006/relationships/hyperlink" Target="https://www.alzheimers.org.uk/get-support/publications-factshee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1751</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AKINWANDE OTEGBEYE</dc:creator>
  <cp:keywords/>
  <dc:description/>
  <cp:lastModifiedBy>AKINWANDE OTEGBEYE</cp:lastModifiedBy>
  <cp:revision>2</cp:revision>
  <dcterms:created xsi:type="dcterms:W3CDTF">2025-12-10T22:24:00Z</dcterms:created>
  <dcterms:modified xsi:type="dcterms:W3CDTF">2025-12-10T22:24:00Z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a727a9aa-e0f1-4127-978b-a4bbbd508e94</vt:lpwstr>
  </property>
</Properties>
</file>