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69E8E" w14:textId="77777777" w:rsidR="00684223" w:rsidRDefault="00684223" w:rsidP="00684223">
      <w:pPr>
        <w:spacing w:line="360" w:lineRule="auto"/>
        <w:rPr>
          <w:rFonts w:ascii="Arial" w:hAnsi="Arial" w:cs="Arial"/>
        </w:rPr>
      </w:pPr>
      <w:r>
        <w:rPr>
          <w:noProof/>
        </w:rPr>
        <w:drawing>
          <wp:anchor distT="0" distB="0" distL="114300" distR="114300" simplePos="0" relativeHeight="251659264" behindDoc="0" locked="0" layoutInCell="1" allowOverlap="1" wp14:anchorId="6B59071D" wp14:editId="5172D0C8">
            <wp:simplePos x="0" y="0"/>
            <wp:positionH relativeFrom="column">
              <wp:posOffset>0</wp:posOffset>
            </wp:positionH>
            <wp:positionV relativeFrom="paragraph">
              <wp:posOffset>292100</wp:posOffset>
            </wp:positionV>
            <wp:extent cx="1809750" cy="723900"/>
            <wp:effectExtent l="0" t="0" r="0" b="0"/>
            <wp:wrapSquare wrapText="bothSides"/>
            <wp:docPr id="18" name="Picture 18"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6ED8B9E" w14:textId="77777777" w:rsidR="00684223" w:rsidRDefault="00684223" w:rsidP="00684223">
      <w:pPr>
        <w:spacing w:line="360" w:lineRule="auto"/>
        <w:rPr>
          <w:rFonts w:ascii="Arial" w:hAnsi="Arial" w:cs="Arial"/>
        </w:rPr>
      </w:pPr>
    </w:p>
    <w:p w14:paraId="42122B07" w14:textId="77777777" w:rsidR="00684223" w:rsidRDefault="00684223" w:rsidP="00684223">
      <w:pPr>
        <w:spacing w:line="360" w:lineRule="auto"/>
        <w:rPr>
          <w:rFonts w:ascii="Arial" w:hAnsi="Arial" w:cs="Arial"/>
        </w:rPr>
      </w:pPr>
    </w:p>
    <w:p w14:paraId="4E098455" w14:textId="77777777" w:rsidR="00684223" w:rsidRDefault="00684223" w:rsidP="00684223">
      <w:pPr>
        <w:spacing w:line="360" w:lineRule="auto"/>
        <w:rPr>
          <w:rFonts w:ascii="Arial" w:hAnsi="Arial" w:cs="Arial"/>
        </w:rPr>
      </w:pPr>
    </w:p>
    <w:p w14:paraId="5E269415" w14:textId="77777777" w:rsidR="00684223" w:rsidRDefault="00684223" w:rsidP="00684223">
      <w:pPr>
        <w:spacing w:line="360" w:lineRule="auto"/>
        <w:rPr>
          <w:rFonts w:ascii="Arial" w:hAnsi="Arial" w:cs="Arial"/>
        </w:rPr>
      </w:pPr>
    </w:p>
    <w:p w14:paraId="090BD65B" w14:textId="77777777" w:rsidR="00684223" w:rsidRDefault="00684223" w:rsidP="00684223">
      <w:pPr>
        <w:tabs>
          <w:tab w:val="left" w:pos="6540"/>
        </w:tabs>
        <w:spacing w:line="360" w:lineRule="auto"/>
        <w:rPr>
          <w:rFonts w:ascii="Arial" w:hAnsi="Arial" w:cs="Arial"/>
          <w:sz w:val="28"/>
          <w:szCs w:val="28"/>
        </w:rPr>
      </w:pPr>
    </w:p>
    <w:p w14:paraId="36390105" w14:textId="77777777" w:rsidR="006B3F29" w:rsidRDefault="006B3F29" w:rsidP="006B3F29">
      <w:pPr>
        <w:tabs>
          <w:tab w:val="left" w:pos="6540"/>
        </w:tabs>
        <w:spacing w:line="360" w:lineRule="auto"/>
        <w:rPr>
          <w:rFonts w:ascii="Arial" w:hAnsi="Arial" w:cs="Arial"/>
          <w:b/>
          <w:bCs/>
          <w:sz w:val="28"/>
          <w:szCs w:val="28"/>
          <w:lang w:val="nl-NL"/>
        </w:rPr>
      </w:pPr>
    </w:p>
    <w:p w14:paraId="43E8F648" w14:textId="77777777" w:rsidR="006B3F29" w:rsidRDefault="006B3F29" w:rsidP="006B3F29">
      <w:pPr>
        <w:tabs>
          <w:tab w:val="left" w:pos="6540"/>
        </w:tabs>
        <w:spacing w:line="360" w:lineRule="auto"/>
        <w:rPr>
          <w:rFonts w:ascii="Arial" w:hAnsi="Arial" w:cs="Arial"/>
          <w:b/>
          <w:bCs/>
          <w:sz w:val="28"/>
          <w:szCs w:val="28"/>
          <w:lang w:val="nl-NL"/>
        </w:rPr>
      </w:pPr>
    </w:p>
    <w:p w14:paraId="5B3CFD59" w14:textId="77777777" w:rsidR="006B3F29" w:rsidRPr="004F4E70" w:rsidRDefault="006B3F29" w:rsidP="006B3F29">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Student name</w:t>
      </w:r>
      <w:r w:rsidRPr="004F4E70">
        <w:rPr>
          <w:rFonts w:ascii="Arial" w:hAnsi="Arial" w:cs="Arial"/>
          <w:sz w:val="28"/>
          <w:szCs w:val="28"/>
          <w:lang w:val="nl-NL"/>
        </w:rPr>
        <w:t>:</w:t>
      </w:r>
      <w:r w:rsidRPr="004F4E70">
        <w:rPr>
          <w:rFonts w:ascii="Arial Black" w:hAnsi="Arial Black" w:cs="Arial"/>
          <w:b/>
          <w:sz w:val="28"/>
          <w:szCs w:val="28"/>
          <w:lang w:val="nl-NL"/>
        </w:rPr>
        <w:t xml:space="preserve"> </w:t>
      </w:r>
      <w:proofErr w:type="spellStart"/>
      <w:r w:rsidRPr="004F4E70">
        <w:rPr>
          <w:rFonts w:ascii="Arial Black" w:hAnsi="Arial Black" w:cs="Arial"/>
          <w:b/>
          <w:sz w:val="28"/>
          <w:szCs w:val="28"/>
          <w:lang w:val="nl-NL"/>
        </w:rPr>
        <w:t>Ekaterina</w:t>
      </w:r>
      <w:proofErr w:type="spellEnd"/>
      <w:r w:rsidRPr="004F4E70">
        <w:rPr>
          <w:rFonts w:ascii="Arial Black" w:hAnsi="Arial Black" w:cs="Arial"/>
          <w:b/>
          <w:sz w:val="28"/>
          <w:szCs w:val="28"/>
          <w:lang w:val="nl-NL"/>
        </w:rPr>
        <w:t xml:space="preserve"> Kist </w:t>
      </w:r>
    </w:p>
    <w:p w14:paraId="4DD02D54" w14:textId="77777777" w:rsidR="006B3F29" w:rsidRPr="004F4E70" w:rsidRDefault="006B3F29" w:rsidP="006B3F29">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Student ID</w:t>
      </w:r>
      <w:r w:rsidRPr="004F4E70">
        <w:rPr>
          <w:rFonts w:ascii="Arial" w:hAnsi="Arial" w:cs="Arial"/>
          <w:sz w:val="28"/>
          <w:szCs w:val="28"/>
          <w:lang w:val="nl-NL"/>
        </w:rPr>
        <w:t>:</w:t>
      </w:r>
      <w:r w:rsidRPr="004F4E70">
        <w:rPr>
          <w:rFonts w:ascii="Arial Black" w:hAnsi="Arial Black" w:cs="Arial"/>
          <w:b/>
          <w:sz w:val="28"/>
          <w:szCs w:val="28"/>
          <w:lang w:val="nl-NL"/>
        </w:rPr>
        <w:t xml:space="preserve"> 2336279</w:t>
      </w:r>
    </w:p>
    <w:p w14:paraId="4667BBDE" w14:textId="77777777" w:rsidR="006B3F29" w:rsidRPr="00AA58ED" w:rsidRDefault="006B3F29" w:rsidP="006B3F29">
      <w:pPr>
        <w:tabs>
          <w:tab w:val="left" w:pos="6540"/>
        </w:tabs>
        <w:spacing w:line="360" w:lineRule="auto"/>
        <w:rPr>
          <w:rFonts w:ascii="Arial Black" w:hAnsi="Arial Black" w:cs="Arial"/>
          <w:b/>
          <w:sz w:val="28"/>
          <w:szCs w:val="28"/>
        </w:rPr>
      </w:pPr>
    </w:p>
    <w:p w14:paraId="149F1103" w14:textId="77777777" w:rsidR="006B3F29" w:rsidRDefault="006B3F29" w:rsidP="006B3F29">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Module name</w:t>
      </w:r>
      <w:r w:rsidRPr="004F4E70">
        <w:rPr>
          <w:rFonts w:ascii="Arial" w:hAnsi="Arial" w:cs="Arial"/>
          <w:sz w:val="28"/>
          <w:szCs w:val="28"/>
          <w:lang w:val="nl-NL"/>
        </w:rPr>
        <w:t>:</w:t>
      </w:r>
      <w:r w:rsidRPr="004F4E70">
        <w:rPr>
          <w:rFonts w:ascii="Arial Black" w:hAnsi="Arial Black" w:cs="Arial"/>
          <w:b/>
          <w:sz w:val="28"/>
          <w:szCs w:val="28"/>
          <w:lang w:val="nl-NL"/>
        </w:rPr>
        <w:t xml:space="preserve"> </w:t>
      </w:r>
      <w:r>
        <w:rPr>
          <w:rFonts w:ascii="Arial Black" w:hAnsi="Arial Black" w:cs="Arial"/>
          <w:b/>
          <w:sz w:val="28"/>
          <w:szCs w:val="28"/>
          <w:lang w:val="nl-NL"/>
        </w:rPr>
        <w:t xml:space="preserve">Changemakers: </w:t>
      </w:r>
      <w:proofErr w:type="spellStart"/>
      <w:r>
        <w:rPr>
          <w:rFonts w:ascii="Arial Black" w:hAnsi="Arial Black" w:cs="Arial"/>
          <w:b/>
          <w:sz w:val="28"/>
          <w:szCs w:val="28"/>
          <w:lang w:val="nl-NL"/>
        </w:rPr>
        <w:t>Creativity</w:t>
      </w:r>
      <w:proofErr w:type="spellEnd"/>
      <w:r>
        <w:rPr>
          <w:rFonts w:ascii="Arial Black" w:hAnsi="Arial Black" w:cs="Arial"/>
          <w:b/>
          <w:sz w:val="28"/>
          <w:szCs w:val="28"/>
          <w:lang w:val="nl-NL"/>
        </w:rPr>
        <w:t xml:space="preserve"> </w:t>
      </w:r>
      <w:proofErr w:type="spellStart"/>
      <w:r>
        <w:rPr>
          <w:rFonts w:ascii="Arial Black" w:hAnsi="Arial Black" w:cs="Arial"/>
          <w:b/>
          <w:sz w:val="28"/>
          <w:szCs w:val="28"/>
          <w:lang w:val="nl-NL"/>
        </w:rPr>
        <w:t>and</w:t>
      </w:r>
      <w:proofErr w:type="spellEnd"/>
      <w:r>
        <w:rPr>
          <w:rFonts w:ascii="Arial Black" w:hAnsi="Arial Black" w:cs="Arial"/>
          <w:b/>
          <w:sz w:val="28"/>
          <w:szCs w:val="28"/>
          <w:lang w:val="nl-NL"/>
        </w:rPr>
        <w:t xml:space="preserve"> Value </w:t>
      </w:r>
      <w:proofErr w:type="spellStart"/>
      <w:r>
        <w:rPr>
          <w:rFonts w:ascii="Arial Black" w:hAnsi="Arial Black" w:cs="Arial"/>
          <w:b/>
          <w:sz w:val="28"/>
          <w:szCs w:val="28"/>
          <w:lang w:val="nl-NL"/>
        </w:rPr>
        <w:t>Creation</w:t>
      </w:r>
      <w:proofErr w:type="spellEnd"/>
    </w:p>
    <w:p w14:paraId="355C6001" w14:textId="5B52D165" w:rsidR="006B3F29" w:rsidRPr="00CE0E05" w:rsidRDefault="006B3F29" w:rsidP="006B3F29">
      <w:pPr>
        <w:spacing w:line="360" w:lineRule="auto"/>
        <w:rPr>
          <w:rFonts w:ascii="Arial Black" w:hAnsi="Arial Black"/>
          <w:color w:val="1D2125"/>
          <w:sz w:val="28"/>
          <w:szCs w:val="28"/>
        </w:rPr>
      </w:pPr>
      <w:r w:rsidRPr="00AA58ED">
        <w:rPr>
          <w:rFonts w:ascii="Arial Black" w:hAnsi="Arial Black" w:cs="Arial"/>
          <w:b/>
          <w:bCs/>
          <w:color w:val="000000"/>
          <w:sz w:val="28"/>
          <w:szCs w:val="28"/>
        </w:rPr>
        <w:t xml:space="preserve">Component </w:t>
      </w:r>
      <w:r>
        <w:rPr>
          <w:rFonts w:ascii="Arial Black" w:hAnsi="Arial Black" w:cs="Arial"/>
          <w:b/>
          <w:bCs/>
          <w:color w:val="000000"/>
          <w:sz w:val="28"/>
          <w:szCs w:val="28"/>
        </w:rPr>
        <w:t>2</w:t>
      </w:r>
    </w:p>
    <w:p w14:paraId="33DBDDE1" w14:textId="77777777" w:rsidR="006B3F29" w:rsidRPr="004F4E70" w:rsidRDefault="006B3F29" w:rsidP="006B3F29">
      <w:pPr>
        <w:tabs>
          <w:tab w:val="left" w:pos="6540"/>
        </w:tabs>
        <w:spacing w:line="360" w:lineRule="auto"/>
        <w:rPr>
          <w:rFonts w:ascii="Arial Black" w:hAnsi="Arial Black" w:cs="Arial"/>
          <w:b/>
          <w:sz w:val="28"/>
          <w:szCs w:val="28"/>
          <w:lang w:val="nl-NL"/>
        </w:rPr>
      </w:pPr>
    </w:p>
    <w:p w14:paraId="14DBE093" w14:textId="77777777" w:rsidR="006B3F29" w:rsidRDefault="006B3F29" w:rsidP="006B3F29">
      <w:pPr>
        <w:tabs>
          <w:tab w:val="left" w:pos="6540"/>
        </w:tabs>
        <w:spacing w:line="360" w:lineRule="auto"/>
        <w:rPr>
          <w:rFonts w:ascii="Arial Black" w:hAnsi="Arial Black" w:cs="Arial"/>
          <w:b/>
          <w:sz w:val="28"/>
          <w:szCs w:val="28"/>
        </w:rPr>
      </w:pPr>
      <w:r w:rsidRPr="004F4E70">
        <w:rPr>
          <w:rFonts w:ascii="Arial" w:hAnsi="Arial" w:cs="Arial"/>
          <w:bCs/>
          <w:sz w:val="28"/>
          <w:szCs w:val="28"/>
        </w:rPr>
        <w:t>Module code</w:t>
      </w:r>
      <w:r w:rsidRPr="004F4E70">
        <w:rPr>
          <w:rFonts w:ascii="Arial" w:hAnsi="Arial" w:cs="Arial"/>
          <w:sz w:val="28"/>
          <w:szCs w:val="28"/>
        </w:rPr>
        <w:t>:</w:t>
      </w:r>
      <w:r w:rsidRPr="004F4E70">
        <w:rPr>
          <w:rFonts w:ascii="Arial Black" w:hAnsi="Arial Black" w:cs="Arial"/>
          <w:b/>
          <w:sz w:val="28"/>
          <w:szCs w:val="28"/>
        </w:rPr>
        <w:t xml:space="preserve"> BMHP50</w:t>
      </w:r>
      <w:r>
        <w:rPr>
          <w:rFonts w:ascii="Arial Black" w:hAnsi="Arial Black" w:cs="Arial"/>
          <w:b/>
          <w:sz w:val="28"/>
          <w:szCs w:val="28"/>
        </w:rPr>
        <w:t>14</w:t>
      </w:r>
    </w:p>
    <w:p w14:paraId="52432717" w14:textId="77777777" w:rsidR="006B3F29" w:rsidRPr="004F4E70" w:rsidRDefault="006B3F29" w:rsidP="006B3F29">
      <w:pPr>
        <w:tabs>
          <w:tab w:val="left" w:pos="6540"/>
        </w:tabs>
        <w:spacing w:line="360" w:lineRule="auto"/>
        <w:rPr>
          <w:rFonts w:ascii="Arial Black" w:hAnsi="Arial Black" w:cs="Arial"/>
          <w:b/>
          <w:sz w:val="28"/>
          <w:szCs w:val="28"/>
        </w:rPr>
      </w:pPr>
    </w:p>
    <w:p w14:paraId="753F8654" w14:textId="77777777" w:rsidR="006B3F29" w:rsidRDefault="006B3F29" w:rsidP="006B3F29">
      <w:pPr>
        <w:tabs>
          <w:tab w:val="left" w:pos="6540"/>
        </w:tabs>
        <w:spacing w:line="360" w:lineRule="auto"/>
        <w:rPr>
          <w:rFonts w:ascii="Arial Black" w:hAnsi="Arial Black" w:cs="Arial"/>
          <w:b/>
          <w:sz w:val="28"/>
          <w:szCs w:val="28"/>
        </w:rPr>
      </w:pPr>
      <w:r w:rsidRPr="004F4E70">
        <w:rPr>
          <w:rFonts w:ascii="Arial" w:hAnsi="Arial" w:cs="Arial"/>
          <w:bCs/>
          <w:sz w:val="28"/>
          <w:szCs w:val="28"/>
        </w:rPr>
        <w:t>Lecturer name</w:t>
      </w:r>
      <w:r w:rsidRPr="004F4E70">
        <w:rPr>
          <w:rFonts w:ascii="Arial" w:hAnsi="Arial" w:cs="Arial"/>
          <w:sz w:val="28"/>
          <w:szCs w:val="28"/>
        </w:rPr>
        <w:t>:</w:t>
      </w:r>
      <w:r w:rsidRPr="004F4E70">
        <w:rPr>
          <w:rFonts w:ascii="Arial Black" w:hAnsi="Arial Black" w:cs="Arial"/>
          <w:b/>
          <w:sz w:val="28"/>
          <w:szCs w:val="28"/>
        </w:rPr>
        <w:t xml:space="preserve"> </w:t>
      </w:r>
      <w:proofErr w:type="spellStart"/>
      <w:r>
        <w:rPr>
          <w:rFonts w:ascii="Arial Black" w:hAnsi="Arial Black" w:cs="Arial"/>
          <w:b/>
          <w:sz w:val="28"/>
          <w:szCs w:val="28"/>
        </w:rPr>
        <w:t>Dr.</w:t>
      </w:r>
      <w:proofErr w:type="spellEnd"/>
      <w:r>
        <w:rPr>
          <w:rFonts w:ascii="Arial Black" w:hAnsi="Arial Black" w:cs="Arial"/>
          <w:b/>
          <w:sz w:val="28"/>
          <w:szCs w:val="28"/>
        </w:rPr>
        <w:t xml:space="preserve"> Laila </w:t>
      </w:r>
      <w:proofErr w:type="spellStart"/>
      <w:r>
        <w:rPr>
          <w:rFonts w:ascii="Arial Black" w:hAnsi="Arial Black" w:cs="Arial"/>
          <w:b/>
          <w:sz w:val="28"/>
          <w:szCs w:val="28"/>
        </w:rPr>
        <w:t>Surani</w:t>
      </w:r>
      <w:proofErr w:type="spellEnd"/>
      <w:r>
        <w:rPr>
          <w:rFonts w:ascii="Arial Black" w:hAnsi="Arial Black" w:cs="Arial"/>
          <w:b/>
          <w:sz w:val="28"/>
          <w:szCs w:val="28"/>
        </w:rPr>
        <w:t xml:space="preserve"> </w:t>
      </w:r>
      <w:r w:rsidRPr="004F4E70">
        <w:rPr>
          <w:rFonts w:ascii="Arial Black" w:hAnsi="Arial Black" w:cs="Arial"/>
          <w:b/>
          <w:sz w:val="28"/>
          <w:szCs w:val="28"/>
        </w:rPr>
        <w:t xml:space="preserve"> </w:t>
      </w:r>
    </w:p>
    <w:p w14:paraId="7A1D60F4" w14:textId="541D5A4A" w:rsidR="008C4B1E" w:rsidRPr="008C4B1E" w:rsidRDefault="008C4B1E">
      <w:pPr>
        <w:rPr>
          <w:sz w:val="22"/>
          <w:szCs w:val="22"/>
        </w:rPr>
      </w:pPr>
    </w:p>
    <w:p w14:paraId="051DA739" w14:textId="51AF38A9" w:rsidR="008C4B1E" w:rsidRPr="008C4B1E" w:rsidRDefault="00391570">
      <w:pPr>
        <w:rPr>
          <w:sz w:val="22"/>
          <w:szCs w:val="22"/>
        </w:rPr>
      </w:pPr>
      <w:r>
        <w:rPr>
          <w:noProof/>
          <w:sz w:val="22"/>
          <w:szCs w:val="22"/>
        </w:rPr>
        <w:lastRenderedPageBreak/>
        <w:drawing>
          <wp:inline distT="0" distB="0" distL="0" distR="0" wp14:anchorId="4A1D97BE" wp14:editId="12061C23">
            <wp:extent cx="10011300" cy="8451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ster Gamechangers DRAFT.pdf"/>
                    <pic:cNvPicPr/>
                  </pic:nvPicPr>
                  <pic:blipFill>
                    <a:blip r:embed="rId9">
                      <a:extLst>
                        <a:ext uri="{28A0092B-C50C-407E-A947-70E740481C1C}">
                          <a14:useLocalDpi xmlns:a14="http://schemas.microsoft.com/office/drawing/2010/main" val="0"/>
                        </a:ext>
                      </a:extLst>
                    </a:blip>
                    <a:stretch>
                      <a:fillRect/>
                    </a:stretch>
                  </pic:blipFill>
                  <pic:spPr>
                    <a:xfrm>
                      <a:off x="0" y="0"/>
                      <a:ext cx="10108254" cy="8533702"/>
                    </a:xfrm>
                    <a:prstGeom prst="rect">
                      <a:avLst/>
                    </a:prstGeom>
                  </pic:spPr>
                </pic:pic>
              </a:graphicData>
            </a:graphic>
          </wp:inline>
        </w:drawing>
      </w:r>
    </w:p>
    <w:p w14:paraId="18C3B692" w14:textId="273FBD62" w:rsidR="008C4B1E" w:rsidRPr="008C4B1E" w:rsidRDefault="008C4B1E">
      <w:pPr>
        <w:rPr>
          <w:sz w:val="22"/>
          <w:szCs w:val="22"/>
        </w:rPr>
      </w:pPr>
    </w:p>
    <w:p w14:paraId="4CAF5051" w14:textId="77777777" w:rsidR="006B3F29" w:rsidRPr="008C4B1E" w:rsidRDefault="006B3F29">
      <w:pPr>
        <w:rPr>
          <w:sz w:val="22"/>
          <w:szCs w:val="22"/>
        </w:rPr>
      </w:pPr>
    </w:p>
    <w:p w14:paraId="7A8213DC" w14:textId="77777777" w:rsidR="008C4B1E" w:rsidRPr="00430E5D" w:rsidRDefault="008C4B1E" w:rsidP="00612500">
      <w:pPr>
        <w:spacing w:before="100" w:beforeAutospacing="1" w:after="100" w:afterAutospacing="1" w:line="360" w:lineRule="auto"/>
        <w:outlineLvl w:val="0"/>
        <w:rPr>
          <w:rFonts w:ascii="Arial" w:eastAsia="Times New Roman" w:hAnsi="Arial" w:cs="Arial"/>
          <w:b/>
          <w:bCs/>
          <w:kern w:val="36"/>
          <w:sz w:val="22"/>
          <w:szCs w:val="22"/>
        </w:rPr>
      </w:pPr>
      <w:r w:rsidRPr="00430E5D">
        <w:rPr>
          <w:rFonts w:ascii="Arial" w:eastAsia="Times New Roman" w:hAnsi="Arial" w:cs="Arial"/>
          <w:b/>
          <w:bCs/>
          <w:kern w:val="36"/>
          <w:sz w:val="22"/>
          <w:szCs w:val="22"/>
        </w:rPr>
        <w:t>Innovating Prediabetes Care to Prevent Type 2 Diabetes in the NHS</w:t>
      </w:r>
    </w:p>
    <w:p w14:paraId="6B40D3BC" w14:textId="16982873" w:rsidR="008C4B1E" w:rsidRPr="00430E5D" w:rsidRDefault="008C4B1E" w:rsidP="00612500">
      <w:pPr>
        <w:spacing w:before="100" w:beforeAutospacing="1" w:after="100" w:afterAutospacing="1" w:line="360" w:lineRule="auto"/>
        <w:outlineLvl w:val="1"/>
        <w:rPr>
          <w:rFonts w:ascii="Arial" w:eastAsia="Times New Roman" w:hAnsi="Arial" w:cs="Arial"/>
          <w:b/>
          <w:bCs/>
          <w:sz w:val="22"/>
          <w:szCs w:val="22"/>
        </w:rPr>
      </w:pPr>
      <w:r w:rsidRPr="00430E5D">
        <w:rPr>
          <w:rFonts w:ascii="Arial" w:eastAsia="Times New Roman" w:hAnsi="Arial" w:cs="Arial"/>
          <w:b/>
          <w:bCs/>
          <w:sz w:val="22"/>
          <w:szCs w:val="22"/>
        </w:rPr>
        <w:t xml:space="preserve">Introduction </w:t>
      </w:r>
    </w:p>
    <w:p w14:paraId="3107B408"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Prediabetes represents a critical but frequently overlooked stage in the development of Type 2 diabetes mellitus (T2DM). Although reversible, it is often treated as a passive risk state rather than an opportunity for early intervention. This pitch proposes an innovative, proactive NHS prediabetes pathway that prioritises early identification, personalised intervention, and sustained support to prevent progression to T2DM. The innovation addresses a significant gap in current NHS provision, where prediabetes management is inconsistent and </w:t>
      </w:r>
      <w:proofErr w:type="gramStart"/>
      <w:r w:rsidRPr="00430E5D">
        <w:rPr>
          <w:rFonts w:ascii="Arial" w:eastAsia="Times New Roman" w:hAnsi="Arial" w:cs="Arial"/>
          <w:sz w:val="22"/>
          <w:szCs w:val="22"/>
        </w:rPr>
        <w:t>largely dependent</w:t>
      </w:r>
      <w:proofErr w:type="gramEnd"/>
      <w:r w:rsidRPr="00430E5D">
        <w:rPr>
          <w:rFonts w:ascii="Arial" w:eastAsia="Times New Roman" w:hAnsi="Arial" w:cs="Arial"/>
          <w:sz w:val="22"/>
          <w:szCs w:val="22"/>
        </w:rPr>
        <w:t xml:space="preserve"> on individual motivation or optional programme referral. The primary beneficiaries include adults at risk of T2DM, particularly those from deprived and ethnically diverse communities who experience disproportionate disease burden. By shifting prediabetes from the margins of care into a structured, preventative pathway, this innovation aims to improve population health, reduce inequalities, and support the long-term sustainability of the NHS.</w:t>
      </w:r>
    </w:p>
    <w:p w14:paraId="0F925D91" w14:textId="55833B57" w:rsidR="008C4B1E" w:rsidRPr="00430E5D" w:rsidRDefault="008C4B1E" w:rsidP="00612500">
      <w:pPr>
        <w:spacing w:line="360" w:lineRule="auto"/>
        <w:rPr>
          <w:rFonts w:ascii="Arial" w:eastAsia="Times New Roman" w:hAnsi="Arial" w:cs="Arial"/>
          <w:sz w:val="22"/>
          <w:szCs w:val="22"/>
        </w:rPr>
      </w:pPr>
    </w:p>
    <w:p w14:paraId="7D1C422A" w14:textId="66549273" w:rsidR="008C4B1E" w:rsidRPr="00430E5D" w:rsidRDefault="008C4B1E" w:rsidP="00612500">
      <w:pPr>
        <w:spacing w:before="100" w:beforeAutospacing="1" w:after="100" w:afterAutospacing="1" w:line="360" w:lineRule="auto"/>
        <w:outlineLvl w:val="1"/>
        <w:rPr>
          <w:rFonts w:ascii="Arial" w:eastAsia="Times New Roman" w:hAnsi="Arial" w:cs="Arial"/>
          <w:b/>
          <w:bCs/>
          <w:sz w:val="22"/>
          <w:szCs w:val="22"/>
        </w:rPr>
      </w:pPr>
      <w:r w:rsidRPr="00430E5D">
        <w:rPr>
          <w:rFonts w:ascii="Arial" w:eastAsia="Times New Roman" w:hAnsi="Arial" w:cs="Arial"/>
          <w:b/>
          <w:bCs/>
          <w:sz w:val="22"/>
          <w:szCs w:val="22"/>
        </w:rPr>
        <w:t xml:space="preserve">Background </w:t>
      </w:r>
    </w:p>
    <w:p w14:paraId="402331D4"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Diabetes is a growing public health challenge in the UK, with over 4.3 million people currently diagnosed and a further 6.4 million estimated to have prediabetes (Diabetes UK, 2023). Prediabetes significantly increases the risk of developing T2DM, cardiovascular disease, and premature mortality, yet progression is not inevitable. Evidence suggests that timely lifestyle interventions can reduce the risk of developing T2DM by up to 58% (</w:t>
      </w:r>
      <w:proofErr w:type="spellStart"/>
      <w:r w:rsidRPr="00430E5D">
        <w:rPr>
          <w:rFonts w:ascii="Arial" w:eastAsia="Times New Roman" w:hAnsi="Arial" w:cs="Arial"/>
          <w:sz w:val="22"/>
          <w:szCs w:val="22"/>
        </w:rPr>
        <w:t>Knowler</w:t>
      </w:r>
      <w:proofErr w:type="spellEnd"/>
      <w:r w:rsidRPr="00430E5D">
        <w:rPr>
          <w:rFonts w:ascii="Arial" w:eastAsia="Times New Roman" w:hAnsi="Arial" w:cs="Arial"/>
          <w:sz w:val="22"/>
          <w:szCs w:val="22"/>
        </w:rPr>
        <w:t xml:space="preserve"> et al., 2002).</w:t>
      </w:r>
    </w:p>
    <w:p w14:paraId="213B7380"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The NHS Diabetes Prevention Programme (DPP) was introduced to address this risk; however, uptake and completion remain variable, and engagement is particularly low among socioeconomically disadvantaged groups (NHS England, 2023). Referral to the DPP is not automatic, follow-up is limited, and interventions are </w:t>
      </w:r>
      <w:proofErr w:type="gramStart"/>
      <w:r w:rsidRPr="00430E5D">
        <w:rPr>
          <w:rFonts w:ascii="Arial" w:eastAsia="Times New Roman" w:hAnsi="Arial" w:cs="Arial"/>
          <w:sz w:val="22"/>
          <w:szCs w:val="22"/>
        </w:rPr>
        <w:t>largely standardised</w:t>
      </w:r>
      <w:proofErr w:type="gramEnd"/>
      <w:r w:rsidRPr="00430E5D">
        <w:rPr>
          <w:rFonts w:ascii="Arial" w:eastAsia="Times New Roman" w:hAnsi="Arial" w:cs="Arial"/>
          <w:sz w:val="22"/>
          <w:szCs w:val="22"/>
        </w:rPr>
        <w:t xml:space="preserve"> rather than personalised. This results in missed opportunities for early, preventative care.</w:t>
      </w:r>
    </w:p>
    <w:p w14:paraId="00CAB50B"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Policy documents such as the </w:t>
      </w:r>
      <w:r w:rsidRPr="00430E5D">
        <w:rPr>
          <w:rFonts w:ascii="Arial" w:eastAsia="Times New Roman" w:hAnsi="Arial" w:cs="Arial"/>
          <w:i/>
          <w:iCs/>
          <w:sz w:val="22"/>
          <w:szCs w:val="22"/>
        </w:rPr>
        <w:t>NHS Long Term Plan</w:t>
      </w:r>
      <w:r w:rsidRPr="00430E5D">
        <w:rPr>
          <w:rFonts w:ascii="Arial" w:eastAsia="Times New Roman" w:hAnsi="Arial" w:cs="Arial"/>
          <w:sz w:val="22"/>
          <w:szCs w:val="22"/>
        </w:rPr>
        <w:t xml:space="preserve"> and the </w:t>
      </w:r>
      <w:r w:rsidRPr="00430E5D">
        <w:rPr>
          <w:rFonts w:ascii="Arial" w:eastAsia="Times New Roman" w:hAnsi="Arial" w:cs="Arial"/>
          <w:i/>
          <w:iCs/>
          <w:sz w:val="22"/>
          <w:szCs w:val="22"/>
        </w:rPr>
        <w:t>Fit for the Future: 10-Year Health Plan for England</w:t>
      </w:r>
      <w:r w:rsidRPr="00430E5D">
        <w:rPr>
          <w:rFonts w:ascii="Arial" w:eastAsia="Times New Roman" w:hAnsi="Arial" w:cs="Arial"/>
          <w:sz w:val="22"/>
          <w:szCs w:val="22"/>
        </w:rPr>
        <w:t xml:space="preserve"> emphasise prevention, early intervention, and tackling health inequalities as strategic priorities (DHSC, 2024). Despite this, prediabetes remains under-integrated into routine care pathways. Real-world </w:t>
      </w:r>
      <w:r w:rsidRPr="00430E5D">
        <w:rPr>
          <w:rFonts w:ascii="Arial" w:eastAsia="Times New Roman" w:hAnsi="Arial" w:cs="Arial"/>
          <w:sz w:val="22"/>
          <w:szCs w:val="22"/>
        </w:rPr>
        <w:lastRenderedPageBreak/>
        <w:t>experiences reported by patients and clinicians highlight confusion, lack of urgency, and insufficient support following diagnosis, reinforcing the need for a more structured and proactive approach.</w:t>
      </w:r>
    </w:p>
    <w:p w14:paraId="7B901BAB" w14:textId="26885239" w:rsidR="008C4B1E" w:rsidRPr="00430E5D" w:rsidRDefault="008C4B1E" w:rsidP="00612500">
      <w:pPr>
        <w:spacing w:line="360" w:lineRule="auto"/>
        <w:rPr>
          <w:rFonts w:ascii="Arial" w:eastAsia="Times New Roman" w:hAnsi="Arial" w:cs="Arial"/>
          <w:sz w:val="22"/>
          <w:szCs w:val="22"/>
        </w:rPr>
      </w:pPr>
    </w:p>
    <w:p w14:paraId="6282638F" w14:textId="7B4CB0BC" w:rsidR="008C4B1E" w:rsidRPr="00430E5D" w:rsidRDefault="008C4B1E" w:rsidP="00612500">
      <w:pPr>
        <w:spacing w:before="100" w:beforeAutospacing="1" w:after="100" w:afterAutospacing="1" w:line="360" w:lineRule="auto"/>
        <w:outlineLvl w:val="1"/>
        <w:rPr>
          <w:rFonts w:ascii="Arial" w:eastAsia="Times New Roman" w:hAnsi="Arial" w:cs="Arial"/>
          <w:b/>
          <w:bCs/>
          <w:sz w:val="22"/>
          <w:szCs w:val="22"/>
        </w:rPr>
      </w:pPr>
      <w:r w:rsidRPr="00430E5D">
        <w:rPr>
          <w:rFonts w:ascii="Arial" w:eastAsia="Times New Roman" w:hAnsi="Arial" w:cs="Arial"/>
          <w:b/>
          <w:bCs/>
          <w:sz w:val="22"/>
          <w:szCs w:val="22"/>
        </w:rPr>
        <w:t xml:space="preserve">Innovation Description </w:t>
      </w:r>
    </w:p>
    <w:p w14:paraId="3F3254AB"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The proposed innovation is a </w:t>
      </w:r>
      <w:r w:rsidRPr="00430E5D">
        <w:rPr>
          <w:rFonts w:ascii="Arial" w:eastAsia="Times New Roman" w:hAnsi="Arial" w:cs="Arial"/>
          <w:b/>
          <w:bCs/>
          <w:sz w:val="22"/>
          <w:szCs w:val="22"/>
        </w:rPr>
        <w:t>Proactive NHS Prediabetes Care Pathway</w:t>
      </w:r>
      <w:r w:rsidRPr="00430E5D">
        <w:rPr>
          <w:rFonts w:ascii="Arial" w:eastAsia="Times New Roman" w:hAnsi="Arial" w:cs="Arial"/>
          <w:sz w:val="22"/>
          <w:szCs w:val="22"/>
        </w:rPr>
        <w:t>, automatically activated when prediabetes is identified through routine screening in primary care. Unlike existing approaches, this pathway does not rely solely on optional programme referral but embeds prediabetes management within standard NHS care.</w:t>
      </w:r>
    </w:p>
    <w:p w14:paraId="08E6F74C"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Key components include:</w:t>
      </w:r>
    </w:p>
    <w:p w14:paraId="1FA9C38D" w14:textId="77777777" w:rsidR="008C4B1E" w:rsidRPr="00430E5D" w:rsidRDefault="008C4B1E" w:rsidP="00612500">
      <w:pPr>
        <w:numPr>
          <w:ilvl w:val="0"/>
          <w:numId w:val="1"/>
        </w:num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b/>
          <w:bCs/>
          <w:sz w:val="22"/>
          <w:szCs w:val="22"/>
        </w:rPr>
        <w:t>Automatic enrolment</w:t>
      </w:r>
      <w:r w:rsidRPr="00430E5D">
        <w:rPr>
          <w:rFonts w:ascii="Arial" w:eastAsia="Times New Roman" w:hAnsi="Arial" w:cs="Arial"/>
          <w:sz w:val="22"/>
          <w:szCs w:val="22"/>
        </w:rPr>
        <w:t xml:space="preserve"> following diagnosis, with patient opt-out rather than opt-in</w:t>
      </w:r>
    </w:p>
    <w:p w14:paraId="4EBFC0C1" w14:textId="77777777" w:rsidR="008C4B1E" w:rsidRPr="00430E5D" w:rsidRDefault="008C4B1E" w:rsidP="00612500">
      <w:pPr>
        <w:numPr>
          <w:ilvl w:val="0"/>
          <w:numId w:val="1"/>
        </w:num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b/>
          <w:bCs/>
          <w:sz w:val="22"/>
          <w:szCs w:val="22"/>
        </w:rPr>
        <w:t>Personalised care planning</w:t>
      </w:r>
      <w:r w:rsidRPr="00430E5D">
        <w:rPr>
          <w:rFonts w:ascii="Arial" w:eastAsia="Times New Roman" w:hAnsi="Arial" w:cs="Arial"/>
          <w:sz w:val="22"/>
          <w:szCs w:val="22"/>
        </w:rPr>
        <w:t>, co-produced with patients, recognising social, cultural, and economic contexts</w:t>
      </w:r>
    </w:p>
    <w:p w14:paraId="2D527F5C" w14:textId="77777777" w:rsidR="008C4B1E" w:rsidRPr="00430E5D" w:rsidRDefault="008C4B1E" w:rsidP="00612500">
      <w:pPr>
        <w:numPr>
          <w:ilvl w:val="0"/>
          <w:numId w:val="1"/>
        </w:num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b/>
          <w:bCs/>
          <w:sz w:val="22"/>
          <w:szCs w:val="22"/>
        </w:rPr>
        <w:t>Blended delivery</w:t>
      </w:r>
      <w:r w:rsidRPr="00430E5D">
        <w:rPr>
          <w:rFonts w:ascii="Arial" w:eastAsia="Times New Roman" w:hAnsi="Arial" w:cs="Arial"/>
          <w:sz w:val="22"/>
          <w:szCs w:val="22"/>
        </w:rPr>
        <w:t>, combining digital tools (apps, remote monitoring, online education) with face-to-face and community-based support</w:t>
      </w:r>
    </w:p>
    <w:p w14:paraId="50ECBEB1" w14:textId="77777777" w:rsidR="008C4B1E" w:rsidRPr="00430E5D" w:rsidRDefault="008C4B1E" w:rsidP="00612500">
      <w:pPr>
        <w:numPr>
          <w:ilvl w:val="0"/>
          <w:numId w:val="1"/>
        </w:num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b/>
          <w:bCs/>
          <w:sz w:val="22"/>
          <w:szCs w:val="22"/>
        </w:rPr>
        <w:t>Social prescribing</w:t>
      </w:r>
      <w:r w:rsidRPr="00430E5D">
        <w:rPr>
          <w:rFonts w:ascii="Arial" w:eastAsia="Times New Roman" w:hAnsi="Arial" w:cs="Arial"/>
          <w:sz w:val="22"/>
          <w:szCs w:val="22"/>
        </w:rPr>
        <w:t>, linking individuals to local physical activity, nutrition, and wellbeing services</w:t>
      </w:r>
    </w:p>
    <w:p w14:paraId="255C7713" w14:textId="77777777" w:rsidR="008C4B1E" w:rsidRPr="00430E5D" w:rsidRDefault="008C4B1E" w:rsidP="00612500">
      <w:pPr>
        <w:numPr>
          <w:ilvl w:val="0"/>
          <w:numId w:val="1"/>
        </w:numPr>
        <w:spacing w:before="100" w:beforeAutospacing="1" w:after="100" w:afterAutospacing="1" w:line="360" w:lineRule="auto"/>
        <w:rPr>
          <w:rFonts w:ascii="Arial" w:eastAsia="Times New Roman" w:hAnsi="Arial" w:cs="Arial"/>
          <w:sz w:val="22"/>
          <w:szCs w:val="22"/>
        </w:rPr>
      </w:pPr>
      <w:proofErr w:type="gramStart"/>
      <w:r w:rsidRPr="00430E5D">
        <w:rPr>
          <w:rFonts w:ascii="Arial" w:eastAsia="Times New Roman" w:hAnsi="Arial" w:cs="Arial"/>
          <w:b/>
          <w:bCs/>
          <w:sz w:val="22"/>
          <w:szCs w:val="22"/>
        </w:rPr>
        <w:t>Ongoing monitoring and review</w:t>
      </w:r>
      <w:r w:rsidRPr="00430E5D">
        <w:rPr>
          <w:rFonts w:ascii="Arial" w:eastAsia="Times New Roman" w:hAnsi="Arial" w:cs="Arial"/>
          <w:sz w:val="22"/>
          <w:szCs w:val="22"/>
        </w:rPr>
        <w:t>,</w:t>
      </w:r>
      <w:proofErr w:type="gramEnd"/>
      <w:r w:rsidRPr="00430E5D">
        <w:rPr>
          <w:rFonts w:ascii="Arial" w:eastAsia="Times New Roman" w:hAnsi="Arial" w:cs="Arial"/>
          <w:sz w:val="22"/>
          <w:szCs w:val="22"/>
        </w:rPr>
        <w:t xml:space="preserve"> integrated into GP and practice nurse follow-up</w:t>
      </w:r>
    </w:p>
    <w:p w14:paraId="6750E785"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This innovation is new not because prevention is unheard of, but because it reframes prediabetes as a </w:t>
      </w:r>
      <w:r w:rsidRPr="00430E5D">
        <w:rPr>
          <w:rFonts w:ascii="Arial" w:eastAsia="Times New Roman" w:hAnsi="Arial" w:cs="Arial"/>
          <w:b/>
          <w:bCs/>
          <w:sz w:val="22"/>
          <w:szCs w:val="22"/>
        </w:rPr>
        <w:t>treatable clinical condition rather than a passive warning label</w:t>
      </w:r>
      <w:r w:rsidRPr="00430E5D">
        <w:rPr>
          <w:rFonts w:ascii="Arial" w:eastAsia="Times New Roman" w:hAnsi="Arial" w:cs="Arial"/>
          <w:sz w:val="22"/>
          <w:szCs w:val="22"/>
        </w:rPr>
        <w:t>. By connecting diagnosis, intervention, and monitoring into a single pathway, it improves continuity of care and accountability. The model also aligns with learning health system principles by using data to adapt interventions and improve outcomes over time.</w:t>
      </w:r>
    </w:p>
    <w:p w14:paraId="25CECE6E" w14:textId="56C71179" w:rsidR="008C4B1E" w:rsidRPr="00430E5D" w:rsidRDefault="008C4B1E" w:rsidP="00612500">
      <w:pPr>
        <w:spacing w:line="360" w:lineRule="auto"/>
        <w:rPr>
          <w:rFonts w:ascii="Arial" w:eastAsia="Times New Roman" w:hAnsi="Arial" w:cs="Arial"/>
          <w:sz w:val="22"/>
          <w:szCs w:val="22"/>
        </w:rPr>
      </w:pPr>
    </w:p>
    <w:p w14:paraId="09D22822" w14:textId="74E47440" w:rsidR="008C4B1E" w:rsidRPr="00430E5D" w:rsidRDefault="008C4B1E" w:rsidP="00612500">
      <w:pPr>
        <w:spacing w:before="100" w:beforeAutospacing="1" w:after="100" w:afterAutospacing="1" w:line="360" w:lineRule="auto"/>
        <w:outlineLvl w:val="1"/>
        <w:rPr>
          <w:rFonts w:ascii="Arial" w:eastAsia="Times New Roman" w:hAnsi="Arial" w:cs="Arial"/>
          <w:b/>
          <w:bCs/>
          <w:sz w:val="22"/>
          <w:szCs w:val="22"/>
        </w:rPr>
      </w:pPr>
      <w:r w:rsidRPr="00430E5D">
        <w:rPr>
          <w:rFonts w:ascii="Arial" w:eastAsia="Times New Roman" w:hAnsi="Arial" w:cs="Arial"/>
          <w:b/>
          <w:bCs/>
          <w:sz w:val="22"/>
          <w:szCs w:val="22"/>
        </w:rPr>
        <w:t xml:space="preserve">Impact on Health and Social Care </w:t>
      </w:r>
    </w:p>
    <w:p w14:paraId="5E5A4F7B"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lastRenderedPageBreak/>
        <w:t>The primary beneficiaries of this innovation are adults with prediabetes, particularly those from deprived areas and Black, Asian and Minority Ethnic (BAME) communities, who face higher risk of progression to T2DM and poorer outcomes (Public Health England, 2018). Earlier, personalised intervention improves access to preventative care and reduces reliance on reactive, high-cost treatments.</w:t>
      </w:r>
    </w:p>
    <w:p w14:paraId="49A80530"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From a health perspective, the pathway supports improved glycaemic control, weight management, and cardiovascular risk reduction, enhancing quality of life and long-term independence. For social care, preventing or delaying T2DM reduces future demand associated with complications such as disability, visual impairment, and renal disease.</w:t>
      </w:r>
    </w:p>
    <w:p w14:paraId="4DDBE4AB"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Healthcare </w:t>
      </w:r>
      <w:proofErr w:type="gramStart"/>
      <w:r w:rsidRPr="00430E5D">
        <w:rPr>
          <w:rFonts w:ascii="Arial" w:eastAsia="Times New Roman" w:hAnsi="Arial" w:cs="Arial"/>
          <w:sz w:val="22"/>
          <w:szCs w:val="22"/>
        </w:rPr>
        <w:t>professionals</w:t>
      </w:r>
      <w:proofErr w:type="gramEnd"/>
      <w:r w:rsidRPr="00430E5D">
        <w:rPr>
          <w:rFonts w:ascii="Arial" w:eastAsia="Times New Roman" w:hAnsi="Arial" w:cs="Arial"/>
          <w:sz w:val="22"/>
          <w:szCs w:val="22"/>
        </w:rPr>
        <w:t xml:space="preserve"> benefit through clearer pathways, better use of multidisciplinary working, and reduced long-term workload associated with complex diabetes management. The innovation also contributes to the common good by supporting NHS sustainability, addressing health inequalities, and promoting shared responsibility for health.</w:t>
      </w:r>
    </w:p>
    <w:p w14:paraId="07E052FC"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By embedding prevention into everyday practice, this model reflects value-based healthcare principles, focusing on outcomes that matter to individuals while using resources more efficiently (Porter, 2010; BMJ Open, 2020).</w:t>
      </w:r>
    </w:p>
    <w:p w14:paraId="43DC3F60" w14:textId="2DF634B6" w:rsidR="008C4B1E" w:rsidRPr="00430E5D" w:rsidRDefault="008C4B1E" w:rsidP="00612500">
      <w:pPr>
        <w:spacing w:line="360" w:lineRule="auto"/>
        <w:rPr>
          <w:rFonts w:ascii="Arial" w:eastAsia="Times New Roman" w:hAnsi="Arial" w:cs="Arial"/>
          <w:sz w:val="22"/>
          <w:szCs w:val="22"/>
        </w:rPr>
      </w:pPr>
    </w:p>
    <w:p w14:paraId="737817B2" w14:textId="5950F738" w:rsidR="008C4B1E" w:rsidRPr="00430E5D" w:rsidRDefault="008C4B1E" w:rsidP="00612500">
      <w:pPr>
        <w:spacing w:before="100" w:beforeAutospacing="1" w:after="100" w:afterAutospacing="1" w:line="360" w:lineRule="auto"/>
        <w:outlineLvl w:val="1"/>
        <w:rPr>
          <w:rFonts w:ascii="Arial" w:eastAsia="Times New Roman" w:hAnsi="Arial" w:cs="Arial"/>
          <w:b/>
          <w:bCs/>
          <w:sz w:val="22"/>
          <w:szCs w:val="22"/>
        </w:rPr>
      </w:pPr>
      <w:r w:rsidRPr="00430E5D">
        <w:rPr>
          <w:rFonts w:ascii="Arial" w:eastAsia="Times New Roman" w:hAnsi="Arial" w:cs="Arial"/>
          <w:b/>
          <w:bCs/>
          <w:sz w:val="22"/>
          <w:szCs w:val="22"/>
        </w:rPr>
        <w:t xml:space="preserve">Public and Stakeholder Involvement </w:t>
      </w:r>
    </w:p>
    <w:p w14:paraId="6131EEFD"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Public involvement is central to this innovation. Service users with lived experience of prediabetes will be involved in co-designing educational materials, digital tools, and care planning approaches. Community engagement will be supported through partnerships with voluntary organisations, faith groups, and local authorities to ensure cultural relevance and accessibility.</w:t>
      </w:r>
    </w:p>
    <w:p w14:paraId="53AA4C55"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Advocacy efforts will raise public awareness of prediabetes as a reversible condition, reducing stigma and encouraging early engagement. Feedback mechanisms, including patient-reported outcome measures (PROMs), will inform continuous improvement. This co-produced approach aligns with SCIE principles of person-centred, strengths-based care and enhances trust and uptake (SCIE, 2025).</w:t>
      </w:r>
    </w:p>
    <w:p w14:paraId="473F2C59" w14:textId="77777777" w:rsidR="008C4B1E" w:rsidRPr="00430E5D" w:rsidRDefault="00F53548" w:rsidP="00612500">
      <w:pPr>
        <w:spacing w:line="360" w:lineRule="auto"/>
        <w:rPr>
          <w:rFonts w:ascii="Arial" w:eastAsia="Times New Roman" w:hAnsi="Arial" w:cs="Arial"/>
          <w:sz w:val="22"/>
          <w:szCs w:val="22"/>
        </w:rPr>
      </w:pPr>
      <w:r>
        <w:rPr>
          <w:rFonts w:ascii="Arial" w:eastAsia="Times New Roman" w:hAnsi="Arial" w:cs="Arial"/>
          <w:noProof/>
          <w:sz w:val="22"/>
          <w:szCs w:val="22"/>
        </w:rPr>
        <w:pict w14:anchorId="3B6A78F3">
          <v:rect id="_x0000_i1025" alt="" style="width:770pt;height:.05pt;mso-width-percent:0;mso-height-percent:0;mso-width-percent:0;mso-height-percent:0" o:hralign="center" o:hrstd="t" o:hr="t" fillcolor="#a0a0a0" stroked="f"/>
        </w:pict>
      </w:r>
    </w:p>
    <w:p w14:paraId="5D953982" w14:textId="3433BE25" w:rsidR="008C4B1E" w:rsidRPr="00430E5D" w:rsidRDefault="008C4B1E" w:rsidP="00612500">
      <w:pPr>
        <w:spacing w:before="100" w:beforeAutospacing="1" w:after="100" w:afterAutospacing="1" w:line="360" w:lineRule="auto"/>
        <w:outlineLvl w:val="1"/>
        <w:rPr>
          <w:rFonts w:ascii="Arial" w:eastAsia="Times New Roman" w:hAnsi="Arial" w:cs="Arial"/>
          <w:b/>
          <w:bCs/>
          <w:sz w:val="22"/>
          <w:szCs w:val="22"/>
        </w:rPr>
      </w:pPr>
      <w:r w:rsidRPr="00430E5D">
        <w:rPr>
          <w:rFonts w:ascii="Arial" w:eastAsia="Times New Roman" w:hAnsi="Arial" w:cs="Arial"/>
          <w:b/>
          <w:bCs/>
          <w:sz w:val="22"/>
          <w:szCs w:val="22"/>
        </w:rPr>
        <w:lastRenderedPageBreak/>
        <w:t xml:space="preserve">Policies, Services, and Professional Links </w:t>
      </w:r>
      <w:bookmarkStart w:id="0" w:name="_GoBack"/>
      <w:bookmarkEnd w:id="0"/>
    </w:p>
    <w:p w14:paraId="40CC0EA3"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The innovation aligns with key legislation and policy frameworks, including the </w:t>
      </w:r>
      <w:r w:rsidRPr="00430E5D">
        <w:rPr>
          <w:rFonts w:ascii="Arial" w:eastAsia="Times New Roman" w:hAnsi="Arial" w:cs="Arial"/>
          <w:b/>
          <w:bCs/>
          <w:sz w:val="22"/>
          <w:szCs w:val="22"/>
        </w:rPr>
        <w:t>Care Act 2014</w:t>
      </w:r>
      <w:r w:rsidRPr="00430E5D">
        <w:rPr>
          <w:rFonts w:ascii="Arial" w:eastAsia="Times New Roman" w:hAnsi="Arial" w:cs="Arial"/>
          <w:sz w:val="22"/>
          <w:szCs w:val="22"/>
        </w:rPr>
        <w:t xml:space="preserve">, which emphasises prevention and wellbeing, and the </w:t>
      </w:r>
      <w:r w:rsidRPr="00430E5D">
        <w:rPr>
          <w:rFonts w:ascii="Arial" w:eastAsia="Times New Roman" w:hAnsi="Arial" w:cs="Arial"/>
          <w:b/>
          <w:bCs/>
          <w:sz w:val="22"/>
          <w:szCs w:val="22"/>
        </w:rPr>
        <w:t>Equality Act 2010</w:t>
      </w:r>
      <w:r w:rsidRPr="00430E5D">
        <w:rPr>
          <w:rFonts w:ascii="Arial" w:eastAsia="Times New Roman" w:hAnsi="Arial" w:cs="Arial"/>
          <w:sz w:val="22"/>
          <w:szCs w:val="22"/>
        </w:rPr>
        <w:t>, which mandates equitable access to services. It complements existing NHS services by strengthening the role of GPs, practice nurses, dietitians, social prescribers, and community health workers.</w:t>
      </w:r>
    </w:p>
    <w:p w14:paraId="6F5A57F5"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Professional collaboration across health and social care supports integrated care system (ICS) objectives and aligns with NHS England priorities on prevention and population health management. Voluntary sector involvement further enhances reach and sustainability.</w:t>
      </w:r>
    </w:p>
    <w:p w14:paraId="77ED3C8D" w14:textId="1228F5AA" w:rsidR="008C4B1E" w:rsidRPr="00430E5D" w:rsidRDefault="008C4B1E" w:rsidP="00612500">
      <w:pPr>
        <w:spacing w:line="360" w:lineRule="auto"/>
        <w:rPr>
          <w:rFonts w:ascii="Arial" w:eastAsia="Times New Roman" w:hAnsi="Arial" w:cs="Arial"/>
          <w:sz w:val="22"/>
          <w:szCs w:val="22"/>
        </w:rPr>
      </w:pPr>
    </w:p>
    <w:p w14:paraId="6338D273" w14:textId="5DE21CCD" w:rsidR="008C4B1E" w:rsidRPr="00430E5D" w:rsidRDefault="008C4B1E" w:rsidP="00612500">
      <w:pPr>
        <w:spacing w:before="100" w:beforeAutospacing="1" w:after="100" w:afterAutospacing="1" w:line="360" w:lineRule="auto"/>
        <w:outlineLvl w:val="1"/>
        <w:rPr>
          <w:rFonts w:ascii="Arial" w:eastAsia="Times New Roman" w:hAnsi="Arial" w:cs="Arial"/>
          <w:b/>
          <w:bCs/>
          <w:sz w:val="22"/>
          <w:szCs w:val="22"/>
        </w:rPr>
      </w:pPr>
      <w:r w:rsidRPr="00430E5D">
        <w:rPr>
          <w:rFonts w:ascii="Arial" w:eastAsia="Times New Roman" w:hAnsi="Arial" w:cs="Arial"/>
          <w:b/>
          <w:bCs/>
          <w:sz w:val="22"/>
          <w:szCs w:val="22"/>
        </w:rPr>
        <w:t>Conclusion</w:t>
      </w:r>
    </w:p>
    <w:p w14:paraId="15EE6EE8" w14:textId="77777777"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Prediabetes represents a missed opportunity within the current NHS system. This innovation addresses that gap by introducing a proactive, personalised, and integrated prediabetes care pathway. By prioritising early intervention, co-production, and prevention, it improves health outcomes, reduces inequalities, and supports NHS sustainability. The model is realistic, policy-aligned, and scalable, offering a meaningful innovation in health and social care.</w:t>
      </w:r>
    </w:p>
    <w:p w14:paraId="123C6782" w14:textId="27AAA941" w:rsidR="008C4B1E" w:rsidRPr="00430E5D" w:rsidRDefault="008C4B1E" w:rsidP="00612500">
      <w:pPr>
        <w:spacing w:line="360" w:lineRule="auto"/>
        <w:rPr>
          <w:rFonts w:ascii="Arial" w:eastAsia="Times New Roman" w:hAnsi="Arial" w:cs="Arial"/>
          <w:sz w:val="22"/>
          <w:szCs w:val="22"/>
        </w:rPr>
      </w:pPr>
    </w:p>
    <w:p w14:paraId="325B9356" w14:textId="77777777" w:rsidR="008C4B1E" w:rsidRPr="00430E5D" w:rsidRDefault="008C4B1E" w:rsidP="00612500">
      <w:pPr>
        <w:spacing w:before="100" w:beforeAutospacing="1" w:after="100" w:afterAutospacing="1" w:line="360" w:lineRule="auto"/>
        <w:outlineLvl w:val="1"/>
        <w:rPr>
          <w:rFonts w:ascii="Arial" w:eastAsia="Times New Roman" w:hAnsi="Arial" w:cs="Arial"/>
          <w:b/>
          <w:bCs/>
          <w:sz w:val="22"/>
          <w:szCs w:val="22"/>
        </w:rPr>
      </w:pPr>
      <w:r w:rsidRPr="00430E5D">
        <w:rPr>
          <w:rFonts w:ascii="Arial" w:eastAsia="Times New Roman" w:hAnsi="Arial" w:cs="Arial"/>
          <w:b/>
          <w:bCs/>
          <w:sz w:val="22"/>
          <w:szCs w:val="22"/>
        </w:rPr>
        <w:t>References (Harvard style with accessible links)</w:t>
      </w:r>
    </w:p>
    <w:p w14:paraId="7E300B0D" w14:textId="1EE27A16"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BMJ Open (2020) </w:t>
      </w:r>
      <w:r w:rsidRPr="00430E5D">
        <w:rPr>
          <w:rFonts w:ascii="Arial" w:eastAsia="Times New Roman" w:hAnsi="Arial" w:cs="Arial"/>
          <w:i/>
          <w:iCs/>
          <w:sz w:val="22"/>
          <w:szCs w:val="22"/>
        </w:rPr>
        <w:t>Value-based healthcare: a systematic review</w:t>
      </w:r>
      <w:r w:rsidRPr="00430E5D">
        <w:rPr>
          <w:rFonts w:ascii="Arial" w:eastAsia="Times New Roman" w:hAnsi="Arial" w:cs="Arial"/>
          <w:sz w:val="22"/>
          <w:szCs w:val="22"/>
        </w:rPr>
        <w:t xml:space="preserve">. </w:t>
      </w:r>
      <w:r w:rsidRPr="00430E5D">
        <w:rPr>
          <w:rFonts w:ascii="Arial" w:eastAsia="Times New Roman" w:hAnsi="Arial" w:cs="Arial"/>
          <w:b/>
          <w:bCs/>
          <w:sz w:val="22"/>
          <w:szCs w:val="22"/>
        </w:rPr>
        <w:t>BMJ Open</w:t>
      </w:r>
      <w:r w:rsidRPr="00430E5D">
        <w:rPr>
          <w:rFonts w:ascii="Arial" w:eastAsia="Times New Roman" w:hAnsi="Arial" w:cs="Arial"/>
          <w:sz w:val="22"/>
          <w:szCs w:val="22"/>
        </w:rPr>
        <w:t>, 10(10), e037578.</w:t>
      </w:r>
      <w:r w:rsidRPr="00430E5D">
        <w:rPr>
          <w:rFonts w:ascii="Arial" w:eastAsia="Times New Roman" w:hAnsi="Arial" w:cs="Arial"/>
          <w:sz w:val="22"/>
          <w:szCs w:val="22"/>
        </w:rPr>
        <w:br/>
        <w:t xml:space="preserve">Available at: </w:t>
      </w:r>
      <w:hyperlink r:id="rId10" w:tgtFrame="_new" w:history="1">
        <w:r w:rsidRPr="00430E5D">
          <w:rPr>
            <w:rFonts w:ascii="Arial" w:eastAsia="Times New Roman" w:hAnsi="Arial" w:cs="Arial"/>
            <w:color w:val="0000FF"/>
            <w:sz w:val="22"/>
            <w:szCs w:val="22"/>
            <w:u w:val="single"/>
          </w:rPr>
          <w:t>https://bmjopen.bmj.com/content/10/10/e037578</w:t>
        </w:r>
      </w:hyperlink>
      <w:r w:rsidRPr="00430E5D">
        <w:rPr>
          <w:rFonts w:ascii="Arial" w:eastAsia="Times New Roman" w:hAnsi="Arial" w:cs="Arial"/>
          <w:sz w:val="22"/>
          <w:szCs w:val="22"/>
        </w:rPr>
        <w:br/>
        <w:t>(Accessed:</w:t>
      </w:r>
      <w:r w:rsidR="00141B39">
        <w:rPr>
          <w:rFonts w:ascii="Arial" w:eastAsia="Times New Roman" w:hAnsi="Arial" w:cs="Arial"/>
          <w:sz w:val="22"/>
          <w:szCs w:val="22"/>
        </w:rPr>
        <w:t xml:space="preserve"> 3 January 2026)</w:t>
      </w:r>
      <w:r w:rsidR="00A73D3E">
        <w:rPr>
          <w:rFonts w:ascii="Arial" w:eastAsia="Times New Roman" w:hAnsi="Arial" w:cs="Arial"/>
          <w:sz w:val="22"/>
          <w:szCs w:val="22"/>
        </w:rPr>
        <w:t>.</w:t>
      </w:r>
    </w:p>
    <w:p w14:paraId="1424F680" w14:textId="1AB4A31E"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Department of Health and Social Care (DHSC) (2024) </w:t>
      </w:r>
      <w:r w:rsidRPr="00430E5D">
        <w:rPr>
          <w:rFonts w:ascii="Arial" w:eastAsia="Times New Roman" w:hAnsi="Arial" w:cs="Arial"/>
          <w:i/>
          <w:iCs/>
          <w:sz w:val="22"/>
          <w:szCs w:val="22"/>
        </w:rPr>
        <w:t>Fit for the future: 10-year health plan for England (Executive Summary)</w:t>
      </w:r>
      <w:r w:rsidRPr="00430E5D">
        <w:rPr>
          <w:rFonts w:ascii="Arial" w:eastAsia="Times New Roman" w:hAnsi="Arial" w:cs="Arial"/>
          <w:sz w:val="22"/>
          <w:szCs w:val="22"/>
        </w:rPr>
        <w:t>. London: DHSC.</w:t>
      </w:r>
      <w:r w:rsidRPr="00430E5D">
        <w:rPr>
          <w:rFonts w:ascii="Arial" w:eastAsia="Times New Roman" w:hAnsi="Arial" w:cs="Arial"/>
          <w:sz w:val="22"/>
          <w:szCs w:val="22"/>
        </w:rPr>
        <w:br/>
        <w:t xml:space="preserve">Available at: </w:t>
      </w:r>
      <w:hyperlink r:id="rId11" w:tgtFrame="_new" w:history="1">
        <w:r w:rsidRPr="00430E5D">
          <w:rPr>
            <w:rFonts w:ascii="Arial" w:eastAsia="Times New Roman" w:hAnsi="Arial" w:cs="Arial"/>
            <w:color w:val="0000FF"/>
            <w:sz w:val="22"/>
            <w:szCs w:val="22"/>
            <w:u w:val="single"/>
          </w:rPr>
          <w:t>https://www.gov.uk/government/publications/10-year-health-plan-for-england-fit-for-the-future/fit-for-the-future-10-year-health-plan-for-england-executive-summary</w:t>
        </w:r>
      </w:hyperlink>
      <w:r w:rsidRPr="00430E5D">
        <w:rPr>
          <w:rFonts w:ascii="Arial" w:eastAsia="Times New Roman" w:hAnsi="Arial" w:cs="Arial"/>
          <w:sz w:val="22"/>
          <w:szCs w:val="22"/>
        </w:rPr>
        <w:br/>
      </w:r>
      <w:r w:rsidR="00141B39" w:rsidRPr="00430E5D">
        <w:rPr>
          <w:rFonts w:ascii="Arial" w:eastAsia="Times New Roman" w:hAnsi="Arial" w:cs="Arial"/>
          <w:sz w:val="22"/>
          <w:szCs w:val="22"/>
        </w:rPr>
        <w:t>(Accessed:</w:t>
      </w:r>
      <w:r w:rsidR="00141B39">
        <w:rPr>
          <w:rFonts w:ascii="Arial" w:eastAsia="Times New Roman" w:hAnsi="Arial" w:cs="Arial"/>
          <w:sz w:val="22"/>
          <w:szCs w:val="22"/>
        </w:rPr>
        <w:t xml:space="preserve"> 3 January 2026)</w:t>
      </w:r>
      <w:r w:rsidR="00A73D3E">
        <w:rPr>
          <w:rFonts w:ascii="Arial" w:eastAsia="Times New Roman" w:hAnsi="Arial" w:cs="Arial"/>
          <w:sz w:val="22"/>
          <w:szCs w:val="22"/>
        </w:rPr>
        <w:t>.</w:t>
      </w:r>
    </w:p>
    <w:p w14:paraId="69113AE1" w14:textId="57FD1486"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lastRenderedPageBreak/>
        <w:t xml:space="preserve">Diabetes UK (2023) </w:t>
      </w:r>
      <w:r w:rsidRPr="00430E5D">
        <w:rPr>
          <w:rFonts w:ascii="Arial" w:eastAsia="Times New Roman" w:hAnsi="Arial" w:cs="Arial"/>
          <w:i/>
          <w:iCs/>
          <w:sz w:val="22"/>
          <w:szCs w:val="22"/>
        </w:rPr>
        <w:t>Diabetes prevalence and statistics</w:t>
      </w:r>
      <w:r w:rsidRPr="00430E5D">
        <w:rPr>
          <w:rFonts w:ascii="Arial" w:eastAsia="Times New Roman" w:hAnsi="Arial" w:cs="Arial"/>
          <w:sz w:val="22"/>
          <w:szCs w:val="22"/>
        </w:rPr>
        <w:t>.</w:t>
      </w:r>
      <w:r w:rsidRPr="00430E5D">
        <w:rPr>
          <w:rFonts w:ascii="Arial" w:eastAsia="Times New Roman" w:hAnsi="Arial" w:cs="Arial"/>
          <w:sz w:val="22"/>
          <w:szCs w:val="22"/>
        </w:rPr>
        <w:br/>
      </w:r>
      <w:r w:rsidR="00A73D3E" w:rsidRPr="00A73D3E">
        <w:rPr>
          <w:rFonts w:ascii="Arial" w:eastAsia="Times New Roman" w:hAnsi="Arial" w:cs="Arial"/>
          <w:sz w:val="22"/>
          <w:szCs w:val="22"/>
        </w:rPr>
        <w:t>https://www.diabetes.org.uk/about-us/about-the-charity/our-strategy/statistics</w:t>
      </w:r>
      <w:r w:rsidRPr="00430E5D">
        <w:rPr>
          <w:rFonts w:ascii="Arial" w:eastAsia="Times New Roman" w:hAnsi="Arial" w:cs="Arial"/>
          <w:sz w:val="22"/>
          <w:szCs w:val="22"/>
        </w:rPr>
        <w:br/>
      </w:r>
      <w:r w:rsidR="00141B39" w:rsidRPr="00430E5D">
        <w:rPr>
          <w:rFonts w:ascii="Arial" w:eastAsia="Times New Roman" w:hAnsi="Arial" w:cs="Arial"/>
          <w:sz w:val="22"/>
          <w:szCs w:val="22"/>
        </w:rPr>
        <w:t>(Accessed:</w:t>
      </w:r>
      <w:r w:rsidR="00141B39">
        <w:rPr>
          <w:rFonts w:ascii="Arial" w:eastAsia="Times New Roman" w:hAnsi="Arial" w:cs="Arial"/>
          <w:sz w:val="22"/>
          <w:szCs w:val="22"/>
        </w:rPr>
        <w:t xml:space="preserve"> 3 January 2026)</w:t>
      </w:r>
      <w:r w:rsidR="00A73D3E">
        <w:rPr>
          <w:rFonts w:ascii="Arial" w:eastAsia="Times New Roman" w:hAnsi="Arial" w:cs="Arial"/>
          <w:sz w:val="22"/>
          <w:szCs w:val="22"/>
        </w:rPr>
        <w:t>.</w:t>
      </w:r>
    </w:p>
    <w:p w14:paraId="550CB449" w14:textId="529B9F6A" w:rsidR="008C4B1E" w:rsidRPr="00430E5D" w:rsidRDefault="008C4B1E" w:rsidP="00612500">
      <w:pPr>
        <w:spacing w:before="100" w:beforeAutospacing="1" w:after="100" w:afterAutospacing="1" w:line="360" w:lineRule="auto"/>
        <w:rPr>
          <w:rFonts w:ascii="Arial" w:eastAsia="Times New Roman" w:hAnsi="Arial" w:cs="Arial"/>
          <w:sz w:val="22"/>
          <w:szCs w:val="22"/>
        </w:rPr>
      </w:pPr>
      <w:proofErr w:type="spellStart"/>
      <w:r w:rsidRPr="00430E5D">
        <w:rPr>
          <w:rFonts w:ascii="Arial" w:eastAsia="Times New Roman" w:hAnsi="Arial" w:cs="Arial"/>
          <w:sz w:val="22"/>
          <w:szCs w:val="22"/>
        </w:rPr>
        <w:t>Knowler</w:t>
      </w:r>
      <w:proofErr w:type="spellEnd"/>
      <w:r w:rsidRPr="00430E5D">
        <w:rPr>
          <w:rFonts w:ascii="Arial" w:eastAsia="Times New Roman" w:hAnsi="Arial" w:cs="Arial"/>
          <w:sz w:val="22"/>
          <w:szCs w:val="22"/>
        </w:rPr>
        <w:t xml:space="preserve">, W.C., Barrett-Connor, E., Fowler, S.E. et al. (2002) ‘Reduction in the incidence of type 2 diabetes with lifestyle intervention or metformin’, </w:t>
      </w:r>
      <w:r w:rsidRPr="00430E5D">
        <w:rPr>
          <w:rFonts w:ascii="Arial" w:eastAsia="Times New Roman" w:hAnsi="Arial" w:cs="Arial"/>
          <w:b/>
          <w:bCs/>
          <w:sz w:val="22"/>
          <w:szCs w:val="22"/>
        </w:rPr>
        <w:t>New England Journal of Medicine</w:t>
      </w:r>
      <w:r w:rsidRPr="00430E5D">
        <w:rPr>
          <w:rFonts w:ascii="Arial" w:eastAsia="Times New Roman" w:hAnsi="Arial" w:cs="Arial"/>
          <w:sz w:val="22"/>
          <w:szCs w:val="22"/>
        </w:rPr>
        <w:t>, 346(6), pp. 393–403.</w:t>
      </w:r>
      <w:r w:rsidRPr="00430E5D">
        <w:rPr>
          <w:rFonts w:ascii="Arial" w:eastAsia="Times New Roman" w:hAnsi="Arial" w:cs="Arial"/>
          <w:sz w:val="22"/>
          <w:szCs w:val="22"/>
        </w:rPr>
        <w:br/>
        <w:t xml:space="preserve">Available at: </w:t>
      </w:r>
      <w:hyperlink r:id="rId12" w:tgtFrame="_new" w:history="1">
        <w:r w:rsidRPr="00430E5D">
          <w:rPr>
            <w:rFonts w:ascii="Arial" w:eastAsia="Times New Roman" w:hAnsi="Arial" w:cs="Arial"/>
            <w:color w:val="0000FF"/>
            <w:sz w:val="22"/>
            <w:szCs w:val="22"/>
            <w:u w:val="single"/>
          </w:rPr>
          <w:t>https://www.nejm.org/doi/full/10.1056/NEJMoa012512</w:t>
        </w:r>
      </w:hyperlink>
      <w:r w:rsidRPr="00430E5D">
        <w:rPr>
          <w:rFonts w:ascii="Arial" w:eastAsia="Times New Roman" w:hAnsi="Arial" w:cs="Arial"/>
          <w:sz w:val="22"/>
          <w:szCs w:val="22"/>
        </w:rPr>
        <w:br/>
      </w:r>
      <w:r w:rsidR="00A73D3E" w:rsidRPr="00430E5D">
        <w:rPr>
          <w:rFonts w:ascii="Arial" w:eastAsia="Times New Roman" w:hAnsi="Arial" w:cs="Arial"/>
          <w:sz w:val="22"/>
          <w:szCs w:val="22"/>
        </w:rPr>
        <w:t>(Accessed:</w:t>
      </w:r>
      <w:r w:rsidR="00A73D3E">
        <w:rPr>
          <w:rFonts w:ascii="Arial" w:eastAsia="Times New Roman" w:hAnsi="Arial" w:cs="Arial"/>
          <w:sz w:val="22"/>
          <w:szCs w:val="22"/>
        </w:rPr>
        <w:t xml:space="preserve"> 3 January 2026).</w:t>
      </w:r>
    </w:p>
    <w:p w14:paraId="636D3999" w14:textId="11AD915D"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NHS England (2023) </w:t>
      </w:r>
      <w:r w:rsidRPr="00430E5D">
        <w:rPr>
          <w:rFonts w:ascii="Arial" w:eastAsia="Times New Roman" w:hAnsi="Arial" w:cs="Arial"/>
          <w:i/>
          <w:iCs/>
          <w:sz w:val="22"/>
          <w:szCs w:val="22"/>
        </w:rPr>
        <w:t>NHS Diabetes Prevention Programme</w:t>
      </w:r>
      <w:r w:rsidRPr="00430E5D">
        <w:rPr>
          <w:rFonts w:ascii="Arial" w:eastAsia="Times New Roman" w:hAnsi="Arial" w:cs="Arial"/>
          <w:sz w:val="22"/>
          <w:szCs w:val="22"/>
        </w:rPr>
        <w:t>.</w:t>
      </w:r>
      <w:r w:rsidRPr="00430E5D">
        <w:rPr>
          <w:rFonts w:ascii="Arial" w:eastAsia="Times New Roman" w:hAnsi="Arial" w:cs="Arial"/>
          <w:sz w:val="22"/>
          <w:szCs w:val="22"/>
        </w:rPr>
        <w:br/>
        <w:t xml:space="preserve">Available at: </w:t>
      </w:r>
      <w:hyperlink r:id="rId13" w:tgtFrame="_new" w:history="1">
        <w:r w:rsidRPr="00430E5D">
          <w:rPr>
            <w:rFonts w:ascii="Arial" w:eastAsia="Times New Roman" w:hAnsi="Arial" w:cs="Arial"/>
            <w:color w:val="0000FF"/>
            <w:sz w:val="22"/>
            <w:szCs w:val="22"/>
            <w:u w:val="single"/>
          </w:rPr>
          <w:t>https://www.england.nhs.uk/diabetes/diabetes-prevention/</w:t>
        </w:r>
      </w:hyperlink>
      <w:r w:rsidRPr="00430E5D">
        <w:rPr>
          <w:rFonts w:ascii="Arial" w:eastAsia="Times New Roman" w:hAnsi="Arial" w:cs="Arial"/>
          <w:sz w:val="22"/>
          <w:szCs w:val="22"/>
        </w:rPr>
        <w:br/>
      </w:r>
      <w:r w:rsidR="00A73D3E" w:rsidRPr="00430E5D">
        <w:rPr>
          <w:rFonts w:ascii="Arial" w:eastAsia="Times New Roman" w:hAnsi="Arial" w:cs="Arial"/>
          <w:sz w:val="22"/>
          <w:szCs w:val="22"/>
        </w:rPr>
        <w:t>(Accessed:</w:t>
      </w:r>
      <w:r w:rsidR="00A73D3E">
        <w:rPr>
          <w:rFonts w:ascii="Arial" w:eastAsia="Times New Roman" w:hAnsi="Arial" w:cs="Arial"/>
          <w:sz w:val="22"/>
          <w:szCs w:val="22"/>
        </w:rPr>
        <w:t xml:space="preserve"> 3 January 2026).</w:t>
      </w:r>
    </w:p>
    <w:p w14:paraId="70477DB1" w14:textId="1B80B511"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Public Health England (2018) </w:t>
      </w:r>
      <w:r w:rsidRPr="00430E5D">
        <w:rPr>
          <w:rFonts w:ascii="Arial" w:eastAsia="Times New Roman" w:hAnsi="Arial" w:cs="Arial"/>
          <w:i/>
          <w:iCs/>
          <w:sz w:val="22"/>
          <w:szCs w:val="22"/>
        </w:rPr>
        <w:t>Health matters: preventing type 2 diabetes</w:t>
      </w:r>
      <w:r w:rsidRPr="00430E5D">
        <w:rPr>
          <w:rFonts w:ascii="Arial" w:eastAsia="Times New Roman" w:hAnsi="Arial" w:cs="Arial"/>
          <w:sz w:val="22"/>
          <w:szCs w:val="22"/>
        </w:rPr>
        <w:t>. London: PHE.</w:t>
      </w:r>
      <w:r w:rsidRPr="00430E5D">
        <w:rPr>
          <w:rFonts w:ascii="Arial" w:eastAsia="Times New Roman" w:hAnsi="Arial" w:cs="Arial"/>
          <w:sz w:val="22"/>
          <w:szCs w:val="22"/>
        </w:rPr>
        <w:br/>
        <w:t xml:space="preserve">Available at: </w:t>
      </w:r>
      <w:hyperlink r:id="rId14" w:tgtFrame="_new" w:history="1">
        <w:r w:rsidRPr="00430E5D">
          <w:rPr>
            <w:rFonts w:ascii="Arial" w:eastAsia="Times New Roman" w:hAnsi="Arial" w:cs="Arial"/>
            <w:color w:val="0000FF"/>
            <w:sz w:val="22"/>
            <w:szCs w:val="22"/>
            <w:u w:val="single"/>
          </w:rPr>
          <w:t>https://www.gov.uk/government/publications/health-matters-preventing-type-2-diabetes</w:t>
        </w:r>
      </w:hyperlink>
      <w:r w:rsidRPr="00430E5D">
        <w:rPr>
          <w:rFonts w:ascii="Arial" w:eastAsia="Times New Roman" w:hAnsi="Arial" w:cs="Arial"/>
          <w:sz w:val="22"/>
          <w:szCs w:val="22"/>
        </w:rPr>
        <w:br/>
      </w:r>
      <w:r w:rsidR="00A73D3E" w:rsidRPr="00430E5D">
        <w:rPr>
          <w:rFonts w:ascii="Arial" w:eastAsia="Times New Roman" w:hAnsi="Arial" w:cs="Arial"/>
          <w:sz w:val="22"/>
          <w:szCs w:val="22"/>
        </w:rPr>
        <w:t>(Accessed:</w:t>
      </w:r>
      <w:r w:rsidR="00A73D3E">
        <w:rPr>
          <w:rFonts w:ascii="Arial" w:eastAsia="Times New Roman" w:hAnsi="Arial" w:cs="Arial"/>
          <w:sz w:val="22"/>
          <w:szCs w:val="22"/>
        </w:rPr>
        <w:t xml:space="preserve"> 3 January 2026).</w:t>
      </w:r>
    </w:p>
    <w:p w14:paraId="01ADEAB6" w14:textId="61A21AF1"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Social Care Institute for Excellence (SCIE) (2025) </w:t>
      </w:r>
      <w:r w:rsidRPr="00430E5D">
        <w:rPr>
          <w:rFonts w:ascii="Arial" w:eastAsia="Times New Roman" w:hAnsi="Arial" w:cs="Arial"/>
          <w:i/>
          <w:iCs/>
          <w:sz w:val="22"/>
          <w:szCs w:val="22"/>
        </w:rPr>
        <w:t>Shaping change together: co-producing innovation in social care</w:t>
      </w:r>
      <w:r w:rsidRPr="00430E5D">
        <w:rPr>
          <w:rFonts w:ascii="Arial" w:eastAsia="Times New Roman" w:hAnsi="Arial" w:cs="Arial"/>
          <w:sz w:val="22"/>
          <w:szCs w:val="22"/>
        </w:rPr>
        <w:t>. London: SCIE.</w:t>
      </w:r>
      <w:r w:rsidRPr="00430E5D">
        <w:rPr>
          <w:rFonts w:ascii="Arial" w:eastAsia="Times New Roman" w:hAnsi="Arial" w:cs="Arial"/>
          <w:sz w:val="22"/>
          <w:szCs w:val="22"/>
        </w:rPr>
        <w:br/>
        <w:t xml:space="preserve">Available at: </w:t>
      </w:r>
      <w:r w:rsidR="00F12DF2" w:rsidRPr="00F12DF2">
        <w:rPr>
          <w:rFonts w:ascii="Arial" w:eastAsia="Times New Roman" w:hAnsi="Arial" w:cs="Arial"/>
          <w:sz w:val="22"/>
          <w:szCs w:val="22"/>
        </w:rPr>
        <w:t>https://www.scie.org.uk/co-production/</w:t>
      </w:r>
      <w:r w:rsidRPr="00430E5D">
        <w:rPr>
          <w:rFonts w:ascii="Arial" w:eastAsia="Times New Roman" w:hAnsi="Arial" w:cs="Arial"/>
          <w:sz w:val="22"/>
          <w:szCs w:val="22"/>
        </w:rPr>
        <w:br/>
      </w:r>
      <w:r w:rsidR="00A73D3E" w:rsidRPr="00430E5D">
        <w:rPr>
          <w:rFonts w:ascii="Arial" w:eastAsia="Times New Roman" w:hAnsi="Arial" w:cs="Arial"/>
          <w:sz w:val="22"/>
          <w:szCs w:val="22"/>
        </w:rPr>
        <w:t>(Accessed:</w:t>
      </w:r>
      <w:r w:rsidR="00A73D3E">
        <w:rPr>
          <w:rFonts w:ascii="Arial" w:eastAsia="Times New Roman" w:hAnsi="Arial" w:cs="Arial"/>
          <w:sz w:val="22"/>
          <w:szCs w:val="22"/>
        </w:rPr>
        <w:t xml:space="preserve"> 3 January 2026).</w:t>
      </w:r>
    </w:p>
    <w:p w14:paraId="081201E4" w14:textId="5447F0B6" w:rsidR="008C4B1E" w:rsidRPr="00430E5D" w:rsidRDefault="008C4B1E" w:rsidP="00612500">
      <w:pPr>
        <w:spacing w:before="100" w:beforeAutospacing="1" w:after="100" w:afterAutospacing="1" w:line="360" w:lineRule="auto"/>
        <w:rPr>
          <w:rFonts w:ascii="Arial" w:eastAsia="Times New Roman" w:hAnsi="Arial" w:cs="Arial"/>
          <w:sz w:val="22"/>
          <w:szCs w:val="22"/>
        </w:rPr>
      </w:pPr>
      <w:r w:rsidRPr="00430E5D">
        <w:rPr>
          <w:rFonts w:ascii="Arial" w:eastAsia="Times New Roman" w:hAnsi="Arial" w:cs="Arial"/>
          <w:sz w:val="22"/>
          <w:szCs w:val="22"/>
        </w:rPr>
        <w:t xml:space="preserve">Porter, M.E. (2010) ‘What is value in health care?’, </w:t>
      </w:r>
      <w:r w:rsidRPr="00430E5D">
        <w:rPr>
          <w:rFonts w:ascii="Arial" w:eastAsia="Times New Roman" w:hAnsi="Arial" w:cs="Arial"/>
          <w:b/>
          <w:bCs/>
          <w:sz w:val="22"/>
          <w:szCs w:val="22"/>
        </w:rPr>
        <w:t>New England Journal of Medicine</w:t>
      </w:r>
      <w:r w:rsidRPr="00430E5D">
        <w:rPr>
          <w:rFonts w:ascii="Arial" w:eastAsia="Times New Roman" w:hAnsi="Arial" w:cs="Arial"/>
          <w:sz w:val="22"/>
          <w:szCs w:val="22"/>
        </w:rPr>
        <w:t>, 363(26), pp. 2477–2481.</w:t>
      </w:r>
      <w:r w:rsidRPr="00430E5D">
        <w:rPr>
          <w:rFonts w:ascii="Arial" w:eastAsia="Times New Roman" w:hAnsi="Arial" w:cs="Arial"/>
          <w:sz w:val="22"/>
          <w:szCs w:val="22"/>
        </w:rPr>
        <w:br/>
        <w:t xml:space="preserve">Available at: </w:t>
      </w:r>
      <w:hyperlink r:id="rId15" w:tgtFrame="_new" w:history="1">
        <w:r w:rsidRPr="00430E5D">
          <w:rPr>
            <w:rFonts w:ascii="Arial" w:eastAsia="Times New Roman" w:hAnsi="Arial" w:cs="Arial"/>
            <w:color w:val="0000FF"/>
            <w:sz w:val="22"/>
            <w:szCs w:val="22"/>
            <w:u w:val="single"/>
          </w:rPr>
          <w:t>https://www.nejm.org/doi/full/10.1056/NEJMp1011024</w:t>
        </w:r>
      </w:hyperlink>
      <w:r w:rsidRPr="00430E5D">
        <w:rPr>
          <w:rFonts w:ascii="Arial" w:eastAsia="Times New Roman" w:hAnsi="Arial" w:cs="Arial"/>
          <w:sz w:val="22"/>
          <w:szCs w:val="22"/>
        </w:rPr>
        <w:br/>
      </w:r>
      <w:r w:rsidR="00A73D3E" w:rsidRPr="00430E5D">
        <w:rPr>
          <w:rFonts w:ascii="Arial" w:eastAsia="Times New Roman" w:hAnsi="Arial" w:cs="Arial"/>
          <w:sz w:val="22"/>
          <w:szCs w:val="22"/>
        </w:rPr>
        <w:t>(Accessed:</w:t>
      </w:r>
      <w:r w:rsidR="00A73D3E">
        <w:rPr>
          <w:rFonts w:ascii="Arial" w:eastAsia="Times New Roman" w:hAnsi="Arial" w:cs="Arial"/>
          <w:sz w:val="22"/>
          <w:szCs w:val="22"/>
        </w:rPr>
        <w:t xml:space="preserve"> 3 January 2026).</w:t>
      </w:r>
    </w:p>
    <w:p w14:paraId="35DF3D08" w14:textId="77777777" w:rsidR="008C4B1E" w:rsidRPr="00612500" w:rsidRDefault="008C4B1E" w:rsidP="00612500">
      <w:pPr>
        <w:spacing w:line="360" w:lineRule="auto"/>
        <w:rPr>
          <w:rFonts w:ascii="Arial" w:hAnsi="Arial" w:cs="Arial"/>
          <w:sz w:val="22"/>
          <w:szCs w:val="22"/>
        </w:rPr>
      </w:pPr>
    </w:p>
    <w:p w14:paraId="74584CAA" w14:textId="77777777" w:rsidR="008C4B1E" w:rsidRPr="00612500" w:rsidRDefault="008C4B1E" w:rsidP="00612500">
      <w:pPr>
        <w:spacing w:line="360" w:lineRule="auto"/>
        <w:rPr>
          <w:rFonts w:ascii="Arial" w:hAnsi="Arial" w:cs="Arial"/>
          <w:sz w:val="22"/>
          <w:szCs w:val="22"/>
        </w:rPr>
      </w:pPr>
    </w:p>
    <w:sectPr w:rsidR="008C4B1E" w:rsidRPr="00612500" w:rsidSect="0058734E">
      <w:footerReference w:type="even" r:id="rId16"/>
      <w:footerReference w:type="default" r:id="rId17"/>
      <w:pgSz w:w="16840" w:h="11900"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6DF8F1" w14:textId="77777777" w:rsidR="00F53548" w:rsidRDefault="00F53548" w:rsidP="006B3F29">
      <w:r>
        <w:separator/>
      </w:r>
    </w:p>
  </w:endnote>
  <w:endnote w:type="continuationSeparator" w:id="0">
    <w:p w14:paraId="1361AAA5" w14:textId="77777777" w:rsidR="00F53548" w:rsidRDefault="00F53548" w:rsidP="006B3F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407370"/>
      <w:docPartObj>
        <w:docPartGallery w:val="Page Numbers (Bottom of Page)"/>
        <w:docPartUnique/>
      </w:docPartObj>
    </w:sdtPr>
    <w:sdtEndPr>
      <w:rPr>
        <w:rStyle w:val="PageNumber"/>
      </w:rPr>
    </w:sdtEndPr>
    <w:sdtContent>
      <w:p w14:paraId="32BED976" w14:textId="1ECB04FA" w:rsidR="006B3F29" w:rsidRDefault="006B3F29" w:rsidP="00B434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B9D8CB" w14:textId="77777777" w:rsidR="006B3F29" w:rsidRDefault="006B3F29" w:rsidP="006B3F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3435522"/>
      <w:docPartObj>
        <w:docPartGallery w:val="Page Numbers (Bottom of Page)"/>
        <w:docPartUnique/>
      </w:docPartObj>
    </w:sdtPr>
    <w:sdtEndPr>
      <w:rPr>
        <w:rStyle w:val="PageNumber"/>
      </w:rPr>
    </w:sdtEndPr>
    <w:sdtContent>
      <w:p w14:paraId="03F20E41" w14:textId="7825437B" w:rsidR="006B3F29" w:rsidRDefault="006B3F29" w:rsidP="00B434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518F44" w14:textId="77777777" w:rsidR="006B3F29" w:rsidRDefault="006B3F29" w:rsidP="006B3F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BBD0A4" w14:textId="77777777" w:rsidR="00F53548" w:rsidRDefault="00F53548" w:rsidP="006B3F29">
      <w:r>
        <w:separator/>
      </w:r>
    </w:p>
  </w:footnote>
  <w:footnote w:type="continuationSeparator" w:id="0">
    <w:p w14:paraId="21EC77E8" w14:textId="77777777" w:rsidR="00F53548" w:rsidRDefault="00F53548" w:rsidP="006B3F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58748E"/>
    <w:multiLevelType w:val="multilevel"/>
    <w:tmpl w:val="79C4B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1A2664"/>
    <w:multiLevelType w:val="multilevel"/>
    <w:tmpl w:val="10642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B1E"/>
    <w:rsid w:val="000062C9"/>
    <w:rsid w:val="00141B39"/>
    <w:rsid w:val="001B21AA"/>
    <w:rsid w:val="001C4409"/>
    <w:rsid w:val="00363A0D"/>
    <w:rsid w:val="00374A52"/>
    <w:rsid w:val="00391570"/>
    <w:rsid w:val="004B79C2"/>
    <w:rsid w:val="005444D2"/>
    <w:rsid w:val="0058734E"/>
    <w:rsid w:val="00612500"/>
    <w:rsid w:val="00684223"/>
    <w:rsid w:val="006B3F29"/>
    <w:rsid w:val="007F3C04"/>
    <w:rsid w:val="008C4B1E"/>
    <w:rsid w:val="008E6052"/>
    <w:rsid w:val="00A73D3E"/>
    <w:rsid w:val="00B2247E"/>
    <w:rsid w:val="00BF19FD"/>
    <w:rsid w:val="00C20883"/>
    <w:rsid w:val="00CB0336"/>
    <w:rsid w:val="00D05A44"/>
    <w:rsid w:val="00D2205C"/>
    <w:rsid w:val="00D62BBC"/>
    <w:rsid w:val="00F12DF2"/>
    <w:rsid w:val="00F53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AEA26"/>
  <w15:chartTrackingRefBased/>
  <w15:docId w15:val="{AE2A7B55-088A-C345-86CF-245EDA41F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B3F29"/>
    <w:pPr>
      <w:tabs>
        <w:tab w:val="center" w:pos="4680"/>
        <w:tab w:val="right" w:pos="9360"/>
      </w:tabs>
    </w:pPr>
  </w:style>
  <w:style w:type="character" w:customStyle="1" w:styleId="FooterChar">
    <w:name w:val="Footer Char"/>
    <w:basedOn w:val="DefaultParagraphFont"/>
    <w:link w:val="Footer"/>
    <w:uiPriority w:val="99"/>
    <w:rsid w:val="006B3F29"/>
    <w:rPr>
      <w:rFonts w:eastAsiaTheme="minorEastAsia"/>
    </w:rPr>
  </w:style>
  <w:style w:type="character" w:styleId="PageNumber">
    <w:name w:val="page number"/>
    <w:basedOn w:val="DefaultParagraphFont"/>
    <w:uiPriority w:val="99"/>
    <w:semiHidden/>
    <w:unhideWhenUsed/>
    <w:rsid w:val="006B3F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diabetes/diabetes-preven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ejm.org/doi/full/10.1056/NEJMoa012512"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10-year-health-plan-for-england-fit-for-the-future/fit-for-the-future-10-year-health-plan-for-england-executive-summary" TargetMode="External"/><Relationship Id="rId5" Type="http://schemas.openxmlformats.org/officeDocument/2006/relationships/footnotes" Target="footnotes.xml"/><Relationship Id="rId15" Type="http://schemas.openxmlformats.org/officeDocument/2006/relationships/hyperlink" Target="https://www.nejm.org/doi/full/10.1056/NEJMp1011024" TargetMode="External"/><Relationship Id="rId10" Type="http://schemas.openxmlformats.org/officeDocument/2006/relationships/hyperlink" Target="https://bmjopen.bmj.com/content/10/10/e03757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hyperlink" Target="https://www.gov.uk/government/publications/health-matters-preventing-type-2-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7</Pages>
  <Words>1444</Words>
  <Characters>8233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Ekaterina Kist (2336279)</dc:creator>
  <cp:keywords/>
  <dc:description/>
  <cp:lastModifiedBy>Ekaterina Kist (2336279)</cp:lastModifiedBy>
  <cp:revision>11</cp:revision>
  <dcterms:created xsi:type="dcterms:W3CDTF">2026-01-07T17:16:00Z</dcterms:created>
  <dcterms:modified xsi:type="dcterms:W3CDTF">2026-01-08T21:07:00Z</dcterms:modified>
</cp:coreProperties>
</file>