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794C8" w14:textId="77777777" w:rsidR="00F9704E" w:rsidRPr="00F62186" w:rsidRDefault="00F9704E" w:rsidP="00F9704E">
      <w:pPr>
        <w:jc w:val="center"/>
        <w:rPr>
          <w:b/>
          <w:sz w:val="40"/>
          <w:szCs w:val="40"/>
        </w:rPr>
      </w:pPr>
      <w:bookmarkStart w:id="0" w:name="_Toc102150631"/>
    </w:p>
    <w:p w14:paraId="23699582" w14:textId="3A9C2616" w:rsidR="00F9704E" w:rsidRPr="00F62186" w:rsidRDefault="007960BF" w:rsidP="00F9704E">
      <w:pPr>
        <w:jc w:val="center"/>
        <w:rPr>
          <w:b/>
          <w:sz w:val="40"/>
          <w:szCs w:val="40"/>
        </w:rPr>
      </w:pPr>
      <w:r w:rsidRPr="00F62186">
        <w:rPr>
          <w:b/>
          <w:sz w:val="40"/>
          <w:szCs w:val="40"/>
        </w:rPr>
        <w:t xml:space="preserve">    </w:t>
      </w:r>
      <w:r w:rsidR="00427218" w:rsidRPr="00F62186">
        <w:rPr>
          <w:b/>
          <w:sz w:val="40"/>
          <w:szCs w:val="40"/>
        </w:rPr>
        <w:t>LCBB6001 International Business</w:t>
      </w:r>
      <w:r w:rsidRPr="00F62186">
        <w:rPr>
          <w:b/>
          <w:sz w:val="40"/>
          <w:szCs w:val="40"/>
        </w:rPr>
        <w:t xml:space="preserve"> </w:t>
      </w:r>
      <w:r w:rsidR="00427218" w:rsidRPr="00F62186">
        <w:rPr>
          <w:b/>
          <w:sz w:val="40"/>
          <w:szCs w:val="40"/>
        </w:rPr>
        <w:t xml:space="preserve">Communications </w:t>
      </w:r>
    </w:p>
    <w:p w14:paraId="29F93DBB" w14:textId="77777777" w:rsidR="0003739E" w:rsidRPr="00F62186" w:rsidRDefault="0003739E" w:rsidP="00F9704E">
      <w:pPr>
        <w:jc w:val="center"/>
        <w:rPr>
          <w:b/>
          <w:sz w:val="40"/>
          <w:szCs w:val="40"/>
        </w:rPr>
      </w:pPr>
    </w:p>
    <w:p w14:paraId="3D15D5E4" w14:textId="2A59311E" w:rsidR="008D256F" w:rsidRPr="00F62186" w:rsidRDefault="00F62186" w:rsidP="00F62186">
      <w:pPr>
        <w:rPr>
          <w:b/>
          <w:sz w:val="40"/>
          <w:szCs w:val="40"/>
        </w:rPr>
      </w:pPr>
      <w:r>
        <w:rPr>
          <w:b/>
          <w:sz w:val="40"/>
          <w:szCs w:val="40"/>
        </w:rPr>
        <w:t xml:space="preserve">    </w:t>
      </w:r>
      <w:r w:rsidR="0061347F">
        <w:rPr>
          <w:b/>
          <w:sz w:val="40"/>
          <w:szCs w:val="40"/>
        </w:rPr>
        <w:t xml:space="preserve"> </w:t>
      </w:r>
      <w:r w:rsidR="008D256F" w:rsidRPr="00F62186">
        <w:rPr>
          <w:b/>
          <w:sz w:val="40"/>
          <w:szCs w:val="40"/>
        </w:rPr>
        <w:t>Student Name: Nikolay Petkov</w:t>
      </w:r>
    </w:p>
    <w:p w14:paraId="7222EAC4" w14:textId="19D25CA7" w:rsidR="008D256F" w:rsidRDefault="00F9704E" w:rsidP="008D256F">
      <w:pPr>
        <w:rPr>
          <w:b/>
          <w:sz w:val="40"/>
          <w:szCs w:val="40"/>
        </w:rPr>
      </w:pPr>
      <w:r w:rsidRPr="00F62186">
        <w:rPr>
          <w:b/>
          <w:sz w:val="40"/>
          <w:szCs w:val="40"/>
        </w:rPr>
        <w:t xml:space="preserve">     </w:t>
      </w:r>
      <w:r w:rsidR="008D256F" w:rsidRPr="00F62186">
        <w:rPr>
          <w:b/>
          <w:sz w:val="40"/>
          <w:szCs w:val="40"/>
        </w:rPr>
        <w:t>Student Id: 2011288</w:t>
      </w:r>
    </w:p>
    <w:p w14:paraId="4777C353" w14:textId="7BFF98AD" w:rsidR="0061347F" w:rsidRPr="0061347F" w:rsidRDefault="0061347F" w:rsidP="0061347F">
      <w:pPr>
        <w:rPr>
          <w:b/>
          <w:sz w:val="40"/>
          <w:szCs w:val="40"/>
        </w:rPr>
      </w:pPr>
      <w:r>
        <w:rPr>
          <w:b/>
          <w:sz w:val="40"/>
          <w:szCs w:val="40"/>
        </w:rPr>
        <w:t xml:space="preserve">     </w:t>
      </w:r>
      <w:r w:rsidRPr="0061347F">
        <w:rPr>
          <w:b/>
          <w:sz w:val="40"/>
          <w:szCs w:val="40"/>
        </w:rPr>
        <w:t>Lecturers: Dr Hossein Shokri</w:t>
      </w:r>
    </w:p>
    <w:p w14:paraId="588D2EC7" w14:textId="374CBEC3" w:rsidR="0061347F" w:rsidRPr="0061347F" w:rsidRDefault="0061347F" w:rsidP="0061347F">
      <w:pPr>
        <w:rPr>
          <w:b/>
          <w:sz w:val="40"/>
          <w:szCs w:val="40"/>
        </w:rPr>
      </w:pPr>
      <w:r>
        <w:rPr>
          <w:b/>
          <w:sz w:val="40"/>
          <w:szCs w:val="40"/>
        </w:rPr>
        <w:t xml:space="preserve">     </w:t>
      </w:r>
      <w:proofErr w:type="spellStart"/>
      <w:r w:rsidRPr="0061347F">
        <w:rPr>
          <w:b/>
          <w:sz w:val="40"/>
          <w:szCs w:val="40"/>
        </w:rPr>
        <w:t>Husam</w:t>
      </w:r>
      <w:proofErr w:type="spellEnd"/>
      <w:r w:rsidRPr="0061347F">
        <w:rPr>
          <w:b/>
          <w:sz w:val="40"/>
          <w:szCs w:val="40"/>
        </w:rPr>
        <w:t xml:space="preserve"> Helm</w:t>
      </w:r>
      <w:r w:rsidR="007D233F">
        <w:rPr>
          <w:b/>
          <w:sz w:val="40"/>
          <w:szCs w:val="40"/>
        </w:rPr>
        <w:t>i</w:t>
      </w:r>
    </w:p>
    <w:p w14:paraId="3B486A26" w14:textId="63A4A359" w:rsidR="0061347F" w:rsidRPr="0061347F" w:rsidRDefault="0061347F" w:rsidP="0061347F">
      <w:pPr>
        <w:rPr>
          <w:b/>
          <w:sz w:val="40"/>
          <w:szCs w:val="40"/>
        </w:rPr>
      </w:pPr>
      <w:r>
        <w:rPr>
          <w:b/>
          <w:sz w:val="40"/>
          <w:szCs w:val="40"/>
        </w:rPr>
        <w:t xml:space="preserve">     </w:t>
      </w:r>
    </w:p>
    <w:p w14:paraId="5AD1662C" w14:textId="77777777" w:rsidR="00DC0285" w:rsidRDefault="00DC0285" w:rsidP="00427218"/>
    <w:p w14:paraId="2E498020" w14:textId="77777777" w:rsidR="00DC0285" w:rsidRDefault="00DC0285" w:rsidP="00DC0285">
      <w:pPr>
        <w:rPr>
          <w:rFonts w:eastAsiaTheme="majorEastAsia" w:cstheme="majorBidi"/>
          <w:sz w:val="32"/>
          <w:szCs w:val="32"/>
          <w:lang w:eastAsia="en-GB"/>
        </w:rPr>
      </w:pPr>
      <w:r>
        <w:br w:type="page"/>
      </w:r>
    </w:p>
    <w:sdt>
      <w:sdtPr>
        <w:rPr>
          <w:rFonts w:ascii="Times New Roman" w:eastAsiaTheme="minorHAnsi" w:hAnsi="Times New Roman" w:cstheme="minorBidi"/>
          <w:color w:val="auto"/>
          <w:sz w:val="24"/>
          <w:szCs w:val="22"/>
        </w:rPr>
        <w:id w:val="-98563316"/>
        <w:docPartObj>
          <w:docPartGallery w:val="Table of Contents"/>
          <w:docPartUnique/>
        </w:docPartObj>
      </w:sdtPr>
      <w:sdtEndPr>
        <w:rPr>
          <w:b/>
          <w:bCs/>
          <w:noProof/>
        </w:rPr>
      </w:sdtEndPr>
      <w:sdtContent>
        <w:p w14:paraId="54C512CE" w14:textId="77777777" w:rsidR="00DC0285" w:rsidRDefault="00DC0285">
          <w:pPr>
            <w:pStyle w:val="TOCHeading"/>
          </w:pPr>
          <w:r>
            <w:t>Contents</w:t>
          </w:r>
        </w:p>
        <w:p w14:paraId="276F581B" w14:textId="77777777" w:rsidR="00FA4CA8" w:rsidRDefault="00DC028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8468365" w:history="1">
            <w:r w:rsidR="00FA4CA8" w:rsidRPr="00C823F1">
              <w:rPr>
                <w:rStyle w:val="Hyperlink"/>
                <w:noProof/>
              </w:rPr>
              <w:t>Introduction</w:t>
            </w:r>
            <w:r w:rsidR="00FA4CA8">
              <w:rPr>
                <w:noProof/>
                <w:webHidden/>
              </w:rPr>
              <w:tab/>
            </w:r>
            <w:r w:rsidR="00FA4CA8">
              <w:rPr>
                <w:noProof/>
                <w:webHidden/>
              </w:rPr>
              <w:fldChar w:fldCharType="begin"/>
            </w:r>
            <w:r w:rsidR="00FA4CA8">
              <w:rPr>
                <w:noProof/>
                <w:webHidden/>
              </w:rPr>
              <w:instrText xml:space="preserve"> PAGEREF _Toc118468365 \h </w:instrText>
            </w:r>
            <w:r w:rsidR="00FA4CA8">
              <w:rPr>
                <w:noProof/>
                <w:webHidden/>
              </w:rPr>
            </w:r>
            <w:r w:rsidR="00FA4CA8">
              <w:rPr>
                <w:noProof/>
                <w:webHidden/>
              </w:rPr>
              <w:fldChar w:fldCharType="separate"/>
            </w:r>
            <w:r w:rsidR="00FA4CA8">
              <w:rPr>
                <w:noProof/>
                <w:webHidden/>
              </w:rPr>
              <w:t>3</w:t>
            </w:r>
            <w:r w:rsidR="00FA4CA8">
              <w:rPr>
                <w:noProof/>
                <w:webHidden/>
              </w:rPr>
              <w:fldChar w:fldCharType="end"/>
            </w:r>
          </w:hyperlink>
        </w:p>
        <w:p w14:paraId="7593D388" w14:textId="77777777" w:rsidR="00FA4CA8" w:rsidRDefault="00000000">
          <w:pPr>
            <w:pStyle w:val="TOC1"/>
            <w:tabs>
              <w:tab w:val="right" w:leader="dot" w:pos="9350"/>
            </w:tabs>
            <w:rPr>
              <w:rFonts w:asciiTheme="minorHAnsi" w:eastAsiaTheme="minorEastAsia" w:hAnsiTheme="minorHAnsi"/>
              <w:noProof/>
              <w:sz w:val="22"/>
            </w:rPr>
          </w:pPr>
          <w:hyperlink w:anchor="_Toc118468366" w:history="1">
            <w:r w:rsidR="00FA4CA8" w:rsidRPr="00C823F1">
              <w:rPr>
                <w:rStyle w:val="Hyperlink"/>
                <w:noProof/>
              </w:rPr>
              <w:t>Introduction of Brazil</w:t>
            </w:r>
            <w:r w:rsidR="00FA4CA8">
              <w:rPr>
                <w:noProof/>
                <w:webHidden/>
              </w:rPr>
              <w:tab/>
            </w:r>
            <w:r w:rsidR="00FA4CA8">
              <w:rPr>
                <w:noProof/>
                <w:webHidden/>
              </w:rPr>
              <w:fldChar w:fldCharType="begin"/>
            </w:r>
            <w:r w:rsidR="00FA4CA8">
              <w:rPr>
                <w:noProof/>
                <w:webHidden/>
              </w:rPr>
              <w:instrText xml:space="preserve"> PAGEREF _Toc118468366 \h </w:instrText>
            </w:r>
            <w:r w:rsidR="00FA4CA8">
              <w:rPr>
                <w:noProof/>
                <w:webHidden/>
              </w:rPr>
            </w:r>
            <w:r w:rsidR="00FA4CA8">
              <w:rPr>
                <w:noProof/>
                <w:webHidden/>
              </w:rPr>
              <w:fldChar w:fldCharType="separate"/>
            </w:r>
            <w:r w:rsidR="00FA4CA8">
              <w:rPr>
                <w:noProof/>
                <w:webHidden/>
              </w:rPr>
              <w:t>4</w:t>
            </w:r>
            <w:r w:rsidR="00FA4CA8">
              <w:rPr>
                <w:noProof/>
                <w:webHidden/>
              </w:rPr>
              <w:fldChar w:fldCharType="end"/>
            </w:r>
          </w:hyperlink>
        </w:p>
        <w:p w14:paraId="4326EC70" w14:textId="77777777" w:rsidR="00FA4CA8" w:rsidRDefault="00000000">
          <w:pPr>
            <w:pStyle w:val="TOC1"/>
            <w:tabs>
              <w:tab w:val="right" w:leader="dot" w:pos="9350"/>
            </w:tabs>
            <w:rPr>
              <w:rFonts w:asciiTheme="minorHAnsi" w:eastAsiaTheme="minorEastAsia" w:hAnsiTheme="minorHAnsi"/>
              <w:noProof/>
              <w:sz w:val="22"/>
            </w:rPr>
          </w:pPr>
          <w:hyperlink w:anchor="_Toc118468367" w:history="1">
            <w:r w:rsidR="00FA4CA8" w:rsidRPr="00C823F1">
              <w:rPr>
                <w:rStyle w:val="Hyperlink"/>
                <w:noProof/>
              </w:rPr>
              <w:t>Application of Hofsted Theories</w:t>
            </w:r>
            <w:r w:rsidR="00FA4CA8">
              <w:rPr>
                <w:noProof/>
                <w:webHidden/>
              </w:rPr>
              <w:tab/>
            </w:r>
            <w:r w:rsidR="00FA4CA8">
              <w:rPr>
                <w:noProof/>
                <w:webHidden/>
              </w:rPr>
              <w:fldChar w:fldCharType="begin"/>
            </w:r>
            <w:r w:rsidR="00FA4CA8">
              <w:rPr>
                <w:noProof/>
                <w:webHidden/>
              </w:rPr>
              <w:instrText xml:space="preserve"> PAGEREF _Toc118468367 \h </w:instrText>
            </w:r>
            <w:r w:rsidR="00FA4CA8">
              <w:rPr>
                <w:noProof/>
                <w:webHidden/>
              </w:rPr>
            </w:r>
            <w:r w:rsidR="00FA4CA8">
              <w:rPr>
                <w:noProof/>
                <w:webHidden/>
              </w:rPr>
              <w:fldChar w:fldCharType="separate"/>
            </w:r>
            <w:r w:rsidR="00FA4CA8">
              <w:rPr>
                <w:noProof/>
                <w:webHidden/>
              </w:rPr>
              <w:t>5</w:t>
            </w:r>
            <w:r w:rsidR="00FA4CA8">
              <w:rPr>
                <w:noProof/>
                <w:webHidden/>
              </w:rPr>
              <w:fldChar w:fldCharType="end"/>
            </w:r>
          </w:hyperlink>
        </w:p>
        <w:p w14:paraId="47494B0C" w14:textId="77777777" w:rsidR="00FA4CA8" w:rsidRDefault="00000000">
          <w:pPr>
            <w:pStyle w:val="TOC1"/>
            <w:tabs>
              <w:tab w:val="right" w:leader="dot" w:pos="9350"/>
            </w:tabs>
            <w:rPr>
              <w:rFonts w:asciiTheme="minorHAnsi" w:eastAsiaTheme="minorEastAsia" w:hAnsiTheme="minorHAnsi"/>
              <w:noProof/>
              <w:sz w:val="22"/>
            </w:rPr>
          </w:pPr>
          <w:hyperlink w:anchor="_Toc118468368" w:history="1">
            <w:r w:rsidR="00FA4CA8" w:rsidRPr="00C823F1">
              <w:rPr>
                <w:rStyle w:val="Hyperlink"/>
                <w:noProof/>
              </w:rPr>
              <w:t>Cultural Sensitivity</w:t>
            </w:r>
            <w:r w:rsidR="00FA4CA8">
              <w:rPr>
                <w:noProof/>
                <w:webHidden/>
              </w:rPr>
              <w:tab/>
            </w:r>
            <w:r w:rsidR="00FA4CA8">
              <w:rPr>
                <w:noProof/>
                <w:webHidden/>
              </w:rPr>
              <w:fldChar w:fldCharType="begin"/>
            </w:r>
            <w:r w:rsidR="00FA4CA8">
              <w:rPr>
                <w:noProof/>
                <w:webHidden/>
              </w:rPr>
              <w:instrText xml:space="preserve"> PAGEREF _Toc118468368 \h </w:instrText>
            </w:r>
            <w:r w:rsidR="00FA4CA8">
              <w:rPr>
                <w:noProof/>
                <w:webHidden/>
              </w:rPr>
            </w:r>
            <w:r w:rsidR="00FA4CA8">
              <w:rPr>
                <w:noProof/>
                <w:webHidden/>
              </w:rPr>
              <w:fldChar w:fldCharType="separate"/>
            </w:r>
            <w:r w:rsidR="00FA4CA8">
              <w:rPr>
                <w:noProof/>
                <w:webHidden/>
              </w:rPr>
              <w:t>7</w:t>
            </w:r>
            <w:r w:rsidR="00FA4CA8">
              <w:rPr>
                <w:noProof/>
                <w:webHidden/>
              </w:rPr>
              <w:fldChar w:fldCharType="end"/>
            </w:r>
          </w:hyperlink>
        </w:p>
        <w:p w14:paraId="61D0D456" w14:textId="77777777" w:rsidR="00FA4CA8" w:rsidRDefault="00000000">
          <w:pPr>
            <w:pStyle w:val="TOC1"/>
            <w:tabs>
              <w:tab w:val="right" w:leader="dot" w:pos="9350"/>
            </w:tabs>
            <w:rPr>
              <w:rFonts w:asciiTheme="minorHAnsi" w:eastAsiaTheme="minorEastAsia" w:hAnsiTheme="minorHAnsi"/>
              <w:noProof/>
              <w:sz w:val="22"/>
            </w:rPr>
          </w:pPr>
          <w:hyperlink w:anchor="_Toc118468369" w:history="1">
            <w:r w:rsidR="00FA4CA8" w:rsidRPr="00C823F1">
              <w:rPr>
                <w:rStyle w:val="Hyperlink"/>
                <w:noProof/>
              </w:rPr>
              <w:t>Importance of Networking</w:t>
            </w:r>
            <w:r w:rsidR="00FA4CA8">
              <w:rPr>
                <w:noProof/>
                <w:webHidden/>
              </w:rPr>
              <w:tab/>
            </w:r>
            <w:r w:rsidR="00FA4CA8">
              <w:rPr>
                <w:noProof/>
                <w:webHidden/>
              </w:rPr>
              <w:fldChar w:fldCharType="begin"/>
            </w:r>
            <w:r w:rsidR="00FA4CA8">
              <w:rPr>
                <w:noProof/>
                <w:webHidden/>
              </w:rPr>
              <w:instrText xml:space="preserve"> PAGEREF _Toc118468369 \h </w:instrText>
            </w:r>
            <w:r w:rsidR="00FA4CA8">
              <w:rPr>
                <w:noProof/>
                <w:webHidden/>
              </w:rPr>
            </w:r>
            <w:r w:rsidR="00FA4CA8">
              <w:rPr>
                <w:noProof/>
                <w:webHidden/>
              </w:rPr>
              <w:fldChar w:fldCharType="separate"/>
            </w:r>
            <w:r w:rsidR="00FA4CA8">
              <w:rPr>
                <w:noProof/>
                <w:webHidden/>
              </w:rPr>
              <w:t>8</w:t>
            </w:r>
            <w:r w:rsidR="00FA4CA8">
              <w:rPr>
                <w:noProof/>
                <w:webHidden/>
              </w:rPr>
              <w:fldChar w:fldCharType="end"/>
            </w:r>
          </w:hyperlink>
        </w:p>
        <w:p w14:paraId="236EE44D" w14:textId="77777777" w:rsidR="00FA4CA8" w:rsidRDefault="00000000">
          <w:pPr>
            <w:pStyle w:val="TOC1"/>
            <w:tabs>
              <w:tab w:val="right" w:leader="dot" w:pos="9350"/>
            </w:tabs>
            <w:rPr>
              <w:rFonts w:asciiTheme="minorHAnsi" w:eastAsiaTheme="minorEastAsia" w:hAnsiTheme="minorHAnsi"/>
              <w:noProof/>
              <w:sz w:val="22"/>
            </w:rPr>
          </w:pPr>
          <w:hyperlink w:anchor="_Toc118468370" w:history="1">
            <w:r w:rsidR="00FA4CA8" w:rsidRPr="00C823F1">
              <w:rPr>
                <w:rStyle w:val="Hyperlink"/>
                <w:noProof/>
              </w:rPr>
              <w:t>Communication Barriers</w:t>
            </w:r>
            <w:r w:rsidR="00FA4CA8">
              <w:rPr>
                <w:noProof/>
                <w:webHidden/>
              </w:rPr>
              <w:tab/>
            </w:r>
            <w:r w:rsidR="00FA4CA8">
              <w:rPr>
                <w:noProof/>
                <w:webHidden/>
              </w:rPr>
              <w:fldChar w:fldCharType="begin"/>
            </w:r>
            <w:r w:rsidR="00FA4CA8">
              <w:rPr>
                <w:noProof/>
                <w:webHidden/>
              </w:rPr>
              <w:instrText xml:space="preserve"> PAGEREF _Toc118468370 \h </w:instrText>
            </w:r>
            <w:r w:rsidR="00FA4CA8">
              <w:rPr>
                <w:noProof/>
                <w:webHidden/>
              </w:rPr>
            </w:r>
            <w:r w:rsidR="00FA4CA8">
              <w:rPr>
                <w:noProof/>
                <w:webHidden/>
              </w:rPr>
              <w:fldChar w:fldCharType="separate"/>
            </w:r>
            <w:r w:rsidR="00FA4CA8">
              <w:rPr>
                <w:noProof/>
                <w:webHidden/>
              </w:rPr>
              <w:t>9</w:t>
            </w:r>
            <w:r w:rsidR="00FA4CA8">
              <w:rPr>
                <w:noProof/>
                <w:webHidden/>
              </w:rPr>
              <w:fldChar w:fldCharType="end"/>
            </w:r>
          </w:hyperlink>
        </w:p>
        <w:p w14:paraId="70391784" w14:textId="77777777" w:rsidR="00FA4CA8" w:rsidRDefault="00000000">
          <w:pPr>
            <w:pStyle w:val="TOC1"/>
            <w:tabs>
              <w:tab w:val="right" w:leader="dot" w:pos="9350"/>
            </w:tabs>
            <w:rPr>
              <w:rFonts w:asciiTheme="minorHAnsi" w:eastAsiaTheme="minorEastAsia" w:hAnsiTheme="minorHAnsi"/>
              <w:noProof/>
              <w:sz w:val="22"/>
            </w:rPr>
          </w:pPr>
          <w:hyperlink w:anchor="_Toc118468371" w:history="1">
            <w:r w:rsidR="00FA4CA8" w:rsidRPr="00C823F1">
              <w:rPr>
                <w:rStyle w:val="Hyperlink"/>
                <w:noProof/>
              </w:rPr>
              <w:t>Strategies to Succeed in Brazil</w:t>
            </w:r>
            <w:r w:rsidR="00FA4CA8">
              <w:rPr>
                <w:noProof/>
                <w:webHidden/>
              </w:rPr>
              <w:tab/>
            </w:r>
            <w:r w:rsidR="00FA4CA8">
              <w:rPr>
                <w:noProof/>
                <w:webHidden/>
              </w:rPr>
              <w:fldChar w:fldCharType="begin"/>
            </w:r>
            <w:r w:rsidR="00FA4CA8">
              <w:rPr>
                <w:noProof/>
                <w:webHidden/>
              </w:rPr>
              <w:instrText xml:space="preserve"> PAGEREF _Toc118468371 \h </w:instrText>
            </w:r>
            <w:r w:rsidR="00FA4CA8">
              <w:rPr>
                <w:noProof/>
                <w:webHidden/>
              </w:rPr>
            </w:r>
            <w:r w:rsidR="00FA4CA8">
              <w:rPr>
                <w:noProof/>
                <w:webHidden/>
              </w:rPr>
              <w:fldChar w:fldCharType="separate"/>
            </w:r>
            <w:r w:rsidR="00FA4CA8">
              <w:rPr>
                <w:noProof/>
                <w:webHidden/>
              </w:rPr>
              <w:t>9</w:t>
            </w:r>
            <w:r w:rsidR="00FA4CA8">
              <w:rPr>
                <w:noProof/>
                <w:webHidden/>
              </w:rPr>
              <w:fldChar w:fldCharType="end"/>
            </w:r>
          </w:hyperlink>
        </w:p>
        <w:p w14:paraId="59480FF9" w14:textId="77777777" w:rsidR="00FA4CA8" w:rsidRDefault="00000000">
          <w:pPr>
            <w:pStyle w:val="TOC1"/>
            <w:tabs>
              <w:tab w:val="right" w:leader="dot" w:pos="9350"/>
            </w:tabs>
            <w:rPr>
              <w:rFonts w:asciiTheme="minorHAnsi" w:eastAsiaTheme="minorEastAsia" w:hAnsiTheme="minorHAnsi"/>
              <w:noProof/>
              <w:sz w:val="22"/>
            </w:rPr>
          </w:pPr>
          <w:hyperlink w:anchor="_Toc118468372" w:history="1">
            <w:r w:rsidR="00FA4CA8" w:rsidRPr="00C823F1">
              <w:rPr>
                <w:rStyle w:val="Hyperlink"/>
                <w:noProof/>
              </w:rPr>
              <w:t>Conclusion</w:t>
            </w:r>
            <w:r w:rsidR="00FA4CA8">
              <w:rPr>
                <w:noProof/>
                <w:webHidden/>
              </w:rPr>
              <w:tab/>
            </w:r>
            <w:r w:rsidR="00FA4CA8">
              <w:rPr>
                <w:noProof/>
                <w:webHidden/>
              </w:rPr>
              <w:fldChar w:fldCharType="begin"/>
            </w:r>
            <w:r w:rsidR="00FA4CA8">
              <w:rPr>
                <w:noProof/>
                <w:webHidden/>
              </w:rPr>
              <w:instrText xml:space="preserve"> PAGEREF _Toc118468372 \h </w:instrText>
            </w:r>
            <w:r w:rsidR="00FA4CA8">
              <w:rPr>
                <w:noProof/>
                <w:webHidden/>
              </w:rPr>
            </w:r>
            <w:r w:rsidR="00FA4CA8">
              <w:rPr>
                <w:noProof/>
                <w:webHidden/>
              </w:rPr>
              <w:fldChar w:fldCharType="separate"/>
            </w:r>
            <w:r w:rsidR="00FA4CA8">
              <w:rPr>
                <w:noProof/>
                <w:webHidden/>
              </w:rPr>
              <w:t>10</w:t>
            </w:r>
            <w:r w:rsidR="00FA4CA8">
              <w:rPr>
                <w:noProof/>
                <w:webHidden/>
              </w:rPr>
              <w:fldChar w:fldCharType="end"/>
            </w:r>
          </w:hyperlink>
        </w:p>
        <w:p w14:paraId="3C99A863" w14:textId="77777777" w:rsidR="00FA4CA8" w:rsidRDefault="00000000">
          <w:pPr>
            <w:pStyle w:val="TOC1"/>
            <w:tabs>
              <w:tab w:val="right" w:leader="dot" w:pos="9350"/>
            </w:tabs>
            <w:rPr>
              <w:rFonts w:asciiTheme="minorHAnsi" w:eastAsiaTheme="minorEastAsia" w:hAnsiTheme="minorHAnsi"/>
              <w:noProof/>
              <w:sz w:val="22"/>
            </w:rPr>
          </w:pPr>
          <w:hyperlink w:anchor="_Toc118468373" w:history="1">
            <w:r w:rsidR="00FA4CA8" w:rsidRPr="00C823F1">
              <w:rPr>
                <w:rStyle w:val="Hyperlink"/>
                <w:noProof/>
              </w:rPr>
              <w:t>References</w:t>
            </w:r>
            <w:r w:rsidR="00FA4CA8">
              <w:rPr>
                <w:noProof/>
                <w:webHidden/>
              </w:rPr>
              <w:tab/>
            </w:r>
            <w:r w:rsidR="00FA4CA8">
              <w:rPr>
                <w:noProof/>
                <w:webHidden/>
              </w:rPr>
              <w:fldChar w:fldCharType="begin"/>
            </w:r>
            <w:r w:rsidR="00FA4CA8">
              <w:rPr>
                <w:noProof/>
                <w:webHidden/>
              </w:rPr>
              <w:instrText xml:space="preserve"> PAGEREF _Toc118468373 \h </w:instrText>
            </w:r>
            <w:r w:rsidR="00FA4CA8">
              <w:rPr>
                <w:noProof/>
                <w:webHidden/>
              </w:rPr>
            </w:r>
            <w:r w:rsidR="00FA4CA8">
              <w:rPr>
                <w:noProof/>
                <w:webHidden/>
              </w:rPr>
              <w:fldChar w:fldCharType="separate"/>
            </w:r>
            <w:r w:rsidR="00FA4CA8">
              <w:rPr>
                <w:noProof/>
                <w:webHidden/>
              </w:rPr>
              <w:t>11</w:t>
            </w:r>
            <w:r w:rsidR="00FA4CA8">
              <w:rPr>
                <w:noProof/>
                <w:webHidden/>
              </w:rPr>
              <w:fldChar w:fldCharType="end"/>
            </w:r>
          </w:hyperlink>
        </w:p>
        <w:p w14:paraId="6DDDAB23" w14:textId="77777777" w:rsidR="00DC0285" w:rsidRDefault="00DC0285">
          <w:r>
            <w:rPr>
              <w:b/>
              <w:bCs/>
              <w:noProof/>
            </w:rPr>
            <w:fldChar w:fldCharType="end"/>
          </w:r>
        </w:p>
      </w:sdtContent>
    </w:sdt>
    <w:p w14:paraId="6BFB615D" w14:textId="77777777" w:rsidR="00DC0285" w:rsidRDefault="00DC0285" w:rsidP="00DC0285"/>
    <w:p w14:paraId="25D30C2C" w14:textId="77777777" w:rsidR="00DC0285" w:rsidRDefault="00DC0285" w:rsidP="00DC0285"/>
    <w:p w14:paraId="2C86B04E" w14:textId="77777777" w:rsidR="00DC0285" w:rsidRDefault="00DC0285" w:rsidP="00DC0285"/>
    <w:p w14:paraId="46265C47" w14:textId="77777777" w:rsidR="00DC0285" w:rsidRDefault="00DC0285" w:rsidP="00DC0285"/>
    <w:p w14:paraId="48AEF59F" w14:textId="77777777" w:rsidR="00DC0285" w:rsidRDefault="00DC0285" w:rsidP="00DC0285"/>
    <w:p w14:paraId="7B11A8D4" w14:textId="77777777" w:rsidR="00DC0285" w:rsidRDefault="00DC0285" w:rsidP="00DC0285"/>
    <w:p w14:paraId="6F86C593" w14:textId="77777777" w:rsidR="00DC0285" w:rsidRDefault="00DC0285" w:rsidP="00DC0285"/>
    <w:p w14:paraId="20567C49" w14:textId="77777777" w:rsidR="00DC0285" w:rsidRDefault="00DC0285" w:rsidP="00DC0285"/>
    <w:p w14:paraId="30EAB4F1" w14:textId="77777777" w:rsidR="00DC0285" w:rsidRDefault="00DC0285" w:rsidP="00DC0285"/>
    <w:p w14:paraId="372C52C6" w14:textId="77777777" w:rsidR="00DC0285" w:rsidRDefault="00DC0285" w:rsidP="00DC0285"/>
    <w:p w14:paraId="3A704BE0" w14:textId="77777777" w:rsidR="00DC0285" w:rsidRDefault="00DC0285" w:rsidP="00DC0285"/>
    <w:p w14:paraId="011B90F8" w14:textId="77777777" w:rsidR="00DC0285" w:rsidRDefault="00DC0285" w:rsidP="00DC0285"/>
    <w:p w14:paraId="19951D3D" w14:textId="77777777" w:rsidR="00DC0285" w:rsidRDefault="00DC0285" w:rsidP="00DC0285"/>
    <w:p w14:paraId="088F67E9" w14:textId="77777777" w:rsidR="006D6C98" w:rsidRDefault="006D6C98" w:rsidP="006D6C98">
      <w:pPr>
        <w:pStyle w:val="Heading1"/>
      </w:pPr>
      <w:bookmarkStart w:id="1" w:name="_Toc118468365"/>
      <w:r>
        <w:lastRenderedPageBreak/>
        <w:t>Introduction</w:t>
      </w:r>
      <w:bookmarkEnd w:id="0"/>
      <w:bookmarkEnd w:id="1"/>
    </w:p>
    <w:p w14:paraId="0091FDD9" w14:textId="77777777" w:rsidR="006D6C98" w:rsidRDefault="00FD3A70" w:rsidP="006D6C98">
      <w:r w:rsidRPr="00FD3A70">
        <w:t xml:space="preserve">The industry's worldwide industry ambitions and the country's commodities form its basic tenets. The term "international business" is used to describe commercial activities that take place across countries. In this context, "international business" refers to the buying and selling of products and commodities beyond international boundaries. In these deals, people from </w:t>
      </w:r>
      <w:proofErr w:type="gramStart"/>
      <w:r w:rsidRPr="00FD3A70">
        <w:t>all across</w:t>
      </w:r>
      <w:proofErr w:type="gramEnd"/>
      <w:r w:rsidRPr="00FD3A70">
        <w:t xml:space="preserve"> the world take part. It is crucial to have efficient and consistent communication while doing trade on a global scale. Foreign corporations have the additional challenge of maintaining open lines of interaction throughout schedules and regional divisions. Business ties lead to collaborations between individuals of different cultures. It may be challenging for businesses to communicate effectively beyond cultures and languages. Maintaining these complex economic connections is made easier with effective international corporate communication strategies. A company might lose money and possibly spark war on the world stage with ineffective methods of communication. Words and body language work together to convey meaning. Whenever a corporation expands its operations outside of its home nation, it inevitably faces manufacturing difficulties. Production was hampered due to a lack of technology, a paucity of workers, and other factors. The reader will get a deeper appreciation for the study country's culture after reading this report. Utilizing cultural concepts and archives like Hofstede's Cultural Dimensions, this study will explore a broad variety of company problems. </w:t>
      </w:r>
      <w:r w:rsidR="00EE4C98">
        <w:t>C</w:t>
      </w:r>
      <w:r w:rsidRPr="00FD3A70">
        <w:t>ultural sensitivity</w:t>
      </w:r>
      <w:r w:rsidR="00EE4C98">
        <w:t xml:space="preserve"> and </w:t>
      </w:r>
      <w:proofErr w:type="gramStart"/>
      <w:r w:rsidR="00EE4C98">
        <w:t xml:space="preserve">networking </w:t>
      </w:r>
      <w:r w:rsidRPr="00FD3A70">
        <w:t xml:space="preserve"> is</w:t>
      </w:r>
      <w:proofErr w:type="gramEnd"/>
      <w:r w:rsidR="00EE4C98">
        <w:t xml:space="preserve"> also</w:t>
      </w:r>
      <w:r w:rsidRPr="00FD3A70">
        <w:t xml:space="preserve"> examined. The final part of this article would discuss how </w:t>
      </w:r>
      <w:proofErr w:type="gramStart"/>
      <w:r w:rsidRPr="00FD3A70">
        <w:t>British</w:t>
      </w:r>
      <w:proofErr w:type="gramEnd"/>
      <w:r w:rsidRPr="00FD3A70">
        <w:t xml:space="preserve"> and Brazilians may get over their cultural boundaries.</w:t>
      </w:r>
    </w:p>
    <w:p w14:paraId="7BC41F65" w14:textId="77777777" w:rsidR="006D6C98" w:rsidRDefault="006D6C98" w:rsidP="006D6C98"/>
    <w:p w14:paraId="2DF558AC" w14:textId="77777777" w:rsidR="006D6C98" w:rsidRDefault="006D6C98" w:rsidP="006D6C98"/>
    <w:p w14:paraId="38578631" w14:textId="77777777" w:rsidR="00955A30" w:rsidRDefault="00955A30" w:rsidP="006D6C98"/>
    <w:p w14:paraId="10C3D920" w14:textId="77777777" w:rsidR="008C3CE9" w:rsidRDefault="008C3CE9" w:rsidP="006D6C98"/>
    <w:p w14:paraId="446D5380" w14:textId="77777777" w:rsidR="008C3CE9" w:rsidRDefault="008C3CE9" w:rsidP="006D6C98"/>
    <w:p w14:paraId="31293C27" w14:textId="77777777" w:rsidR="008C3CE9" w:rsidRDefault="008C3CE9" w:rsidP="006D6C98"/>
    <w:p w14:paraId="15F5782A" w14:textId="77777777" w:rsidR="008C3CE9" w:rsidRDefault="008C3CE9" w:rsidP="006D6C98"/>
    <w:p w14:paraId="050FAE7D" w14:textId="77777777" w:rsidR="00955A30" w:rsidRDefault="00955A30" w:rsidP="006D6C98"/>
    <w:p w14:paraId="45A5B2F9" w14:textId="77777777" w:rsidR="006D6C98" w:rsidRDefault="00AD133E" w:rsidP="00924F33">
      <w:pPr>
        <w:pStyle w:val="Heading1"/>
      </w:pPr>
      <w:bookmarkStart w:id="2" w:name="_Toc102150632"/>
      <w:bookmarkStart w:id="3" w:name="_Toc118468366"/>
      <w:r>
        <w:lastRenderedPageBreak/>
        <w:t xml:space="preserve">Introduction </w:t>
      </w:r>
      <w:r w:rsidR="006D6C98">
        <w:t>of Brazil</w:t>
      </w:r>
      <w:bookmarkEnd w:id="2"/>
      <w:bookmarkEnd w:id="3"/>
    </w:p>
    <w:p w14:paraId="00CFD1D4" w14:textId="77777777" w:rsidR="00E86591" w:rsidRDefault="00E86591" w:rsidP="00E86591">
      <w:r>
        <w:t>In addition to being the biggest nation in South and Latin America, Brazil is also the birthplace of football great Pelé. About 201,000,000 people live in the nation, making it the sixth most populous in the world. Brazil's growth has moved beyond an ethnocentric lens thanks to the contributions of the Portuguese, African, and indigenous Indian communities</w:t>
      </w:r>
      <w:r w:rsidR="000438BF">
        <w:t xml:space="preserve"> (Meade, 2010)</w:t>
      </w:r>
      <w:r>
        <w:t xml:space="preserve">. The dominance of Catholicism in Brazil means that the faith plays a major role in many of the country's most important events. Indeed, Brazil is home to the largest Catholic population anywhere in the globe. </w:t>
      </w:r>
      <w:proofErr w:type="gramStart"/>
      <w:r>
        <w:t>As a consequence of</w:t>
      </w:r>
      <w:proofErr w:type="gramEnd"/>
      <w:r>
        <w:t xml:space="preserve"> Portuguese rule from the time it was found in 1808 by Portuguese commercial boats until 1822, Portuguese remained the official language. Separation into educational, occupational, and geographical strata has been used to create social classes in modern societies since at least the early 1950s.</w:t>
      </w:r>
    </w:p>
    <w:p w14:paraId="3FB15D8D" w14:textId="77777777" w:rsidR="00E86591" w:rsidRDefault="00E86591" w:rsidP="00E86591">
      <w:r>
        <w:t>The history of this country is plagued by many civil wars, racial persecution, and even slavery. However, it is ruled by a lawful government at the current time. Each of the country's 27 provinces is led by a mayor. The Brazilian elite is among the world's best educated. Many of them attend highly regarded universities in the US and elsewhere for their official education. However, despite the existence of an affluent elite, education is not generally accessible in Brazil. More than half of Brazil's children have never attended a public school, and one in five adults can't read or write at all</w:t>
      </w:r>
      <w:r w:rsidR="002835DB">
        <w:t xml:space="preserve"> (Jain, 2006)</w:t>
      </w:r>
      <w:r>
        <w:t>.</w:t>
      </w:r>
    </w:p>
    <w:p w14:paraId="125EB228" w14:textId="77777777" w:rsidR="00955A30" w:rsidRDefault="00E86591" w:rsidP="00E86591">
      <w:r>
        <w:t>Over the course of history, widespread intermarriage between individuals of various ethnicities and races has led to the emergence of a wide range of cultural patterns. Physical labor, on the other hand, has long been seen as beneath the status of free whites and slaves in this society. Despite the diversification of the Brazilian middle class brought about by industrialization and urbanization, physical labor is still undervalued. Thus, our modern world is rife with incongruities and ambiguities. The African heritage of the Brazilian people is celebrated via the country's music and cuisine. Regardless, it's a class-based society in which people of different socioeconomic and racial backgrounds have different opportunities for education and work.</w:t>
      </w:r>
    </w:p>
    <w:p w14:paraId="55E575DB" w14:textId="77777777" w:rsidR="006D6C98" w:rsidRDefault="00AD133E" w:rsidP="006D6C98">
      <w:pPr>
        <w:pStyle w:val="Heading1"/>
      </w:pPr>
      <w:bookmarkStart w:id="4" w:name="_Toc118468367"/>
      <w:r>
        <w:lastRenderedPageBreak/>
        <w:t>Application of Hofsted</w:t>
      </w:r>
      <w:r w:rsidR="000A4C87">
        <w:t>e</w:t>
      </w:r>
      <w:r>
        <w:t xml:space="preserve"> Theories</w:t>
      </w:r>
      <w:bookmarkEnd w:id="4"/>
      <w:r>
        <w:t xml:space="preserve"> </w:t>
      </w:r>
    </w:p>
    <w:p w14:paraId="5EE73DC8" w14:textId="77777777" w:rsidR="006D6C98" w:rsidRDefault="00536CA7" w:rsidP="006D6C98">
      <w:r>
        <w:rPr>
          <w:noProof/>
        </w:rPr>
        <w:drawing>
          <wp:anchor distT="0" distB="0" distL="114300" distR="114300" simplePos="0" relativeHeight="251658240" behindDoc="0" locked="0" layoutInCell="1" allowOverlap="1" wp14:anchorId="0EC12AEE" wp14:editId="2398A269">
            <wp:simplePos x="0" y="0"/>
            <wp:positionH relativeFrom="column">
              <wp:posOffset>838200</wp:posOffset>
            </wp:positionH>
            <wp:positionV relativeFrom="paragraph">
              <wp:posOffset>2413000</wp:posOffset>
            </wp:positionV>
            <wp:extent cx="4594860" cy="2468880"/>
            <wp:effectExtent l="0" t="0" r="0" b="762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roofErr w:type="gramStart"/>
      <w:r w:rsidRPr="00536CA7">
        <w:t>Despite the fact that</w:t>
      </w:r>
      <w:proofErr w:type="gramEnd"/>
      <w:r w:rsidRPr="00536CA7">
        <w:t xml:space="preserve"> all Brazilians speak the same language, there are notable geographical variances within the nation. Africans, Europeans, and Native Americans all contribute to the rich diversity of Brazil's people and culture. This has an impact on societal norms and practices. Some examples of this country's illustrious past include the nova, carnival, and samba. Five cultural variables were discovered by Hofsted</w:t>
      </w:r>
      <w:r w:rsidR="000A4C87">
        <w:t>e</w:t>
      </w:r>
      <w:r w:rsidRPr="00536CA7">
        <w:t xml:space="preserve"> as potential markers of cultural background. Using the Hofstede cultural dimensions, </w:t>
      </w:r>
      <w:r w:rsidR="000A4C87">
        <w:t>people</w:t>
      </w:r>
      <w:r w:rsidRPr="00536CA7">
        <w:t xml:space="preserve"> may examine the extent to which cultural factors shape individual beliefs and behavior in Brazil</w:t>
      </w:r>
      <w:r w:rsidR="000A4C87">
        <w:t xml:space="preserve"> (Hofstede, 1984)</w:t>
      </w:r>
      <w:r w:rsidRPr="00536CA7">
        <w:t xml:space="preserve">. There are five distinct cultural factors: power distance, individualism, masculinity, uncertainty avoidance, and long-term focus. Two cultures might be </w:t>
      </w:r>
      <w:proofErr w:type="gramStart"/>
      <w:r w:rsidRPr="00536CA7">
        <w:t>compared and contrasted</w:t>
      </w:r>
      <w:proofErr w:type="gramEnd"/>
      <w:r w:rsidRPr="00536CA7">
        <w:t xml:space="preserve"> using the same five Hofsted</w:t>
      </w:r>
      <w:r w:rsidR="000A4C87">
        <w:t>e</w:t>
      </w:r>
      <w:r w:rsidRPr="00536CA7">
        <w:t xml:space="preserve"> cultural parameters.</w:t>
      </w:r>
    </w:p>
    <w:p w14:paraId="6839F8B9" w14:textId="77777777" w:rsidR="00536CA7" w:rsidRDefault="00536CA7" w:rsidP="006D6C98"/>
    <w:p w14:paraId="1307AD99" w14:textId="77777777" w:rsidR="00536CA7" w:rsidRDefault="00536CA7" w:rsidP="006D6C98"/>
    <w:p w14:paraId="289B78A3" w14:textId="77777777" w:rsidR="00536CA7" w:rsidRDefault="00536CA7" w:rsidP="006D6C98"/>
    <w:p w14:paraId="6F6FC593" w14:textId="77777777" w:rsidR="00536CA7" w:rsidRDefault="00536CA7" w:rsidP="006D6C98"/>
    <w:p w14:paraId="2DFB99BB" w14:textId="77777777" w:rsidR="00536CA7" w:rsidRDefault="00536CA7" w:rsidP="006D6C98"/>
    <w:p w14:paraId="28456231" w14:textId="77777777" w:rsidR="00536CA7" w:rsidRDefault="00536CA7" w:rsidP="006D6C98"/>
    <w:p w14:paraId="08D4C1AE" w14:textId="77777777" w:rsidR="00536CA7" w:rsidRDefault="00536CA7" w:rsidP="006D6C98"/>
    <w:p w14:paraId="6516D573" w14:textId="77777777" w:rsidR="00536CA7" w:rsidRDefault="00536CA7" w:rsidP="006D6C98">
      <w:pPr>
        <w:rPr>
          <w:b/>
        </w:rPr>
      </w:pPr>
    </w:p>
    <w:p w14:paraId="3807812F" w14:textId="77777777" w:rsidR="006D6C98" w:rsidRPr="007D3E46" w:rsidRDefault="006D6C98" w:rsidP="006D6C98">
      <w:pPr>
        <w:rPr>
          <w:b/>
          <w:sz w:val="26"/>
          <w:szCs w:val="26"/>
        </w:rPr>
      </w:pPr>
      <w:r w:rsidRPr="007B7F2F">
        <w:rPr>
          <w:b/>
          <w:sz w:val="26"/>
          <w:szCs w:val="26"/>
        </w:rPr>
        <w:t>Power Distance</w:t>
      </w:r>
    </w:p>
    <w:p w14:paraId="12F3AAD7" w14:textId="77777777" w:rsidR="00625050" w:rsidRDefault="00625050" w:rsidP="00625050">
      <w:r>
        <w:t>This factor reflects the cultural perspective on differences and reflects the fact that no two persons in society are identical. Based on this concept of authority gap, the most important leaders of a country's groups and institutions anticipate an uneven distribution of authority.</w:t>
      </w:r>
    </w:p>
    <w:p w14:paraId="28EDA784" w14:textId="77777777" w:rsidR="00D56CA2" w:rsidRDefault="00625050" w:rsidP="00625050">
      <w:r>
        <w:t xml:space="preserve">Brazilians have a deep understanding of social stratification and are willing to accept inequality amongst themselves. People with more societal influence are more likely to succeed than those with less. Elders are treated with respect in </w:t>
      </w:r>
      <w:proofErr w:type="gramStart"/>
      <w:r>
        <w:t>Brazil, since</w:t>
      </w:r>
      <w:proofErr w:type="gramEnd"/>
      <w:r>
        <w:t xml:space="preserve"> it is the culture's norm.  In Britain, there </w:t>
      </w:r>
      <w:r>
        <w:lastRenderedPageBreak/>
        <w:t>is a strong social movement to narrow the wealth disparity. Justice-seekers believe that everyone should be treated fairly.</w:t>
      </w:r>
    </w:p>
    <w:p w14:paraId="40402947" w14:textId="77777777" w:rsidR="006D6C98" w:rsidRPr="007D3E46" w:rsidRDefault="006D6C98" w:rsidP="006D6C98">
      <w:pPr>
        <w:rPr>
          <w:b/>
          <w:sz w:val="26"/>
          <w:szCs w:val="26"/>
        </w:rPr>
      </w:pPr>
      <w:r>
        <w:rPr>
          <w:b/>
          <w:sz w:val="26"/>
          <w:szCs w:val="26"/>
        </w:rPr>
        <w:t>Individualism vs. Collectivism</w:t>
      </w:r>
    </w:p>
    <w:p w14:paraId="787C56B7" w14:textId="77777777" w:rsidR="00B850E6" w:rsidRDefault="00B850E6" w:rsidP="00B850E6">
      <w:r>
        <w:t>This measure, as its name implies, assesses the degree to which individuals in a certain area are connected to one another. The answer depends on how much the individual's sense of self and community are intertwined. Individualist societies emphasize caring just for one's own family and themselves. Citizens in collectivist societies belong to "in teams" that support individuals in exchange for their loyalty and, in turn, the citizens' support</w:t>
      </w:r>
      <w:r w:rsidR="00544005">
        <w:t xml:space="preserve"> (Hofstede, 1984)</w:t>
      </w:r>
      <w:r>
        <w:t>.</w:t>
      </w:r>
    </w:p>
    <w:p w14:paraId="5517A716" w14:textId="77777777" w:rsidR="00D56CA2" w:rsidRDefault="00B850E6" w:rsidP="00B850E6">
      <w:r>
        <w:t xml:space="preserve">Individuals from this country often grow up in small, close-knit towns where their extended </w:t>
      </w:r>
      <w:proofErr w:type="gramStart"/>
      <w:r>
        <w:t>families  provide</w:t>
      </w:r>
      <w:proofErr w:type="gramEnd"/>
      <w:r>
        <w:t xml:space="preserve"> both a protective buffer and a foundation for undying loyalty. This is a major factor to think about in the business world. The Great Britain has one of the </w:t>
      </w:r>
      <w:proofErr w:type="gramStart"/>
      <w:r>
        <w:t>world</w:t>
      </w:r>
      <w:proofErr w:type="gramEnd"/>
      <w:r>
        <w:t xml:space="preserve"> 's greatest objectivist classifications, after only the USA and Australia. They value individuality and solitude highly. Students who get an </w:t>
      </w:r>
      <w:proofErr w:type="gramStart"/>
      <w:r>
        <w:t>educational services</w:t>
      </w:r>
      <w:proofErr w:type="gramEnd"/>
      <w:r>
        <w:t xml:space="preserve"> at an early age are better prepared to take on the world and find their place in it.</w:t>
      </w:r>
    </w:p>
    <w:p w14:paraId="0771D388" w14:textId="77777777" w:rsidR="006D6C98" w:rsidRPr="001C7553" w:rsidRDefault="006D6C98" w:rsidP="006D6C98">
      <w:pPr>
        <w:rPr>
          <w:b/>
        </w:rPr>
      </w:pPr>
      <w:r w:rsidRPr="007D3E46">
        <w:rPr>
          <w:b/>
        </w:rPr>
        <w:t>Avoidance of Uncertainty</w:t>
      </w:r>
    </w:p>
    <w:p w14:paraId="34CCC865" w14:textId="77777777" w:rsidR="00B850E6" w:rsidRDefault="00B850E6" w:rsidP="006D6C98">
      <w:r w:rsidRPr="00B850E6">
        <w:t xml:space="preserve">It's also about how residents in a certain area cope with the reality that they, like everyone else, have no idea what the future holds. People from many walks of life have developed various methods to alleviate the anxiety that comes with the unknown. Uncertainty Aversion may be used as a proxy for the degree to which a culture or group of people is afraid of, or is otherwise prepared to act in response </w:t>
      </w:r>
      <w:proofErr w:type="gramStart"/>
      <w:r w:rsidRPr="00B850E6">
        <w:t>to,</w:t>
      </w:r>
      <w:proofErr w:type="gramEnd"/>
      <w:r w:rsidRPr="00B850E6">
        <w:t xml:space="preserve"> complex or ambiguous situations. Nevertheless, many in Brazil lack the motivation to follow the law. Further rules may need to be established if the current ones are broken. Governance, rules, and regulations are very important in the United Kingdom, as they are in other countries with a high Uncertainty Avoidance Index. Individuals require regular opportunities to relax and enjoy the com</w:t>
      </w:r>
      <w:r>
        <w:t>pany of friends and colleagues.</w:t>
      </w:r>
    </w:p>
    <w:p w14:paraId="2F30A92D" w14:textId="77777777" w:rsidR="006D6C98" w:rsidRPr="00B331C2" w:rsidRDefault="006D6C98" w:rsidP="006D6C98">
      <w:pPr>
        <w:rPr>
          <w:b/>
          <w:sz w:val="26"/>
          <w:szCs w:val="26"/>
        </w:rPr>
      </w:pPr>
      <w:r>
        <w:rPr>
          <w:b/>
          <w:sz w:val="26"/>
          <w:szCs w:val="26"/>
        </w:rPr>
        <w:t>Masculinity vs. Femininity</w:t>
      </w:r>
    </w:p>
    <w:p w14:paraId="78D6FF0F" w14:textId="77777777" w:rsidR="00CB7D70" w:rsidRDefault="00CB7D70" w:rsidP="006D6C98">
      <w:r w:rsidRPr="00CB7D70">
        <w:t xml:space="preserve">Masculine aspects of this component include civilizations' desires for success, heroism, affirmation, and incentives. Approximately in the center of this list is Brazil. The British society places a premium on masculine traits like success and self-awareness. The seeming contradiction </w:t>
      </w:r>
      <w:r w:rsidRPr="00CB7D70">
        <w:lastRenderedPageBreak/>
        <w:t>between British culture's emphasis on restraint and restraint and the nation's basic core ethical underpinning frequently leaves foreigners scratching their heads. Reading the "small print" is a crucial skill for understanding the British. It's not always the case that words are meant to be spoken aloud</w:t>
      </w:r>
      <w:r w:rsidR="00E764D8">
        <w:t xml:space="preserve"> (Hofstede, 1984</w:t>
      </w:r>
      <w:r w:rsidR="00616A7F">
        <w:t>)</w:t>
      </w:r>
      <w:r w:rsidRPr="00CB7D70">
        <w:t>.</w:t>
      </w:r>
    </w:p>
    <w:p w14:paraId="6B03C8E0" w14:textId="77777777" w:rsidR="006D6C98" w:rsidRPr="00B331C2" w:rsidRDefault="006D6C98" w:rsidP="006D6C98">
      <w:pPr>
        <w:rPr>
          <w:b/>
        </w:rPr>
      </w:pPr>
      <w:r w:rsidRPr="00B331C2">
        <w:rPr>
          <w:b/>
        </w:rPr>
        <w:t>A Focus on the Long Term</w:t>
      </w:r>
    </w:p>
    <w:p w14:paraId="0B3E1EE8" w14:textId="77777777" w:rsidR="006D6C98" w:rsidRDefault="00253B5B" w:rsidP="006D6C98">
      <w:r w:rsidRPr="00253B5B">
        <w:t xml:space="preserve">This section demonstrates how many communities place equal emphasis on preserving connections to the past while looking forward to the future. On the other hand, prescriptive societies are reluctant to undergo significant progressive change and prefer to hold on to long-established customs and norms. Those living in areas with high scores tend to take a more practical approach, advocating for maintaining and maybe even increasing present educational efforts as a means of </w:t>
      </w:r>
      <w:proofErr w:type="gramStart"/>
      <w:r w:rsidRPr="00253B5B">
        <w:t>future-proofing</w:t>
      </w:r>
      <w:proofErr w:type="gramEnd"/>
      <w:r w:rsidRPr="00253B5B">
        <w:t>. Among other countries, Brazil ranks around in the middle. In British culture, a dominating interest cannot be developed at a moderate level.</w:t>
      </w:r>
    </w:p>
    <w:p w14:paraId="6934628D" w14:textId="77777777" w:rsidR="006D6C98" w:rsidRDefault="006D6C98" w:rsidP="006D6C98"/>
    <w:p w14:paraId="19B5A4E0" w14:textId="77777777" w:rsidR="006D6C98" w:rsidRDefault="006D6C98" w:rsidP="001C7553">
      <w:pPr>
        <w:pStyle w:val="Heading1"/>
      </w:pPr>
      <w:bookmarkStart w:id="5" w:name="_Toc102150634"/>
      <w:bookmarkStart w:id="6" w:name="_Toc118468368"/>
      <w:r>
        <w:t xml:space="preserve">Cultural </w:t>
      </w:r>
      <w:bookmarkEnd w:id="5"/>
      <w:r w:rsidR="00651FC7">
        <w:t>Sensitivity</w:t>
      </w:r>
      <w:bookmarkEnd w:id="6"/>
    </w:p>
    <w:p w14:paraId="6882DD32" w14:textId="77777777" w:rsidR="00FD3A70" w:rsidRPr="00227E38" w:rsidRDefault="00BC2B3B" w:rsidP="006D6C98">
      <w:pPr>
        <w:rPr>
          <w:b/>
        </w:rPr>
      </w:pPr>
      <w:proofErr w:type="gramStart"/>
      <w:r w:rsidRPr="00BC2B3B">
        <w:t>In order to</w:t>
      </w:r>
      <w:proofErr w:type="gramEnd"/>
      <w:r w:rsidRPr="00BC2B3B">
        <w:t xml:space="preserve"> become more culturally sensitive, one must first recognize the existence of cultural differences. The ways in which patients interact with their doctors reflect the cultural and social backgrounds of the consumers themselves. Knowing about cultural differences isn't enough to have productive interactions with people from diverse cultures. The challenge to effective interactions with wellness service providers and consumers is cultural understanding and discrimination</w:t>
      </w:r>
      <w:r w:rsidR="009957F6">
        <w:t xml:space="preserve"> (Starr-Glass, 1996)</w:t>
      </w:r>
      <w:r w:rsidRPr="00BC2B3B">
        <w:t>. Developing an open mind and heart toward other cultures is a process that requires time and energy.</w:t>
      </w:r>
      <w:r w:rsidR="00227E38">
        <w:rPr>
          <w:b/>
        </w:rPr>
        <w:t xml:space="preserve"> </w:t>
      </w:r>
      <w:r w:rsidRPr="00BC2B3B">
        <w:t xml:space="preserve">Arrangements made with Brazilians are often not kept since they have a worse grip on the idea of moment than their American counterparts. Investors should plan on spending more time than normal in Brazil for discussions and talks due to the region's various restrictions that may frequently lead activities to take lengthier than anticipated. A mealtime is a time for friends and family to gather and chat, therefore it's customary to eat slowly and enjoy every bite. Everyone </w:t>
      </w:r>
      <w:proofErr w:type="gramStart"/>
      <w:r w:rsidRPr="00BC2B3B">
        <w:t>has to</w:t>
      </w:r>
      <w:proofErr w:type="gramEnd"/>
      <w:r w:rsidRPr="00BC2B3B">
        <w:t xml:space="preserve"> remember that perseverance is a virtue, and those who are impatient or demanding should not bother coming.</w:t>
      </w:r>
    </w:p>
    <w:p w14:paraId="7F6CAD5D" w14:textId="77777777" w:rsidR="00F31E8B" w:rsidRDefault="00F31E8B" w:rsidP="00F31E8B"/>
    <w:p w14:paraId="0743BFB3" w14:textId="77777777" w:rsidR="00F31E8B" w:rsidRDefault="00F31E8B" w:rsidP="00F31E8B">
      <w:pPr>
        <w:pStyle w:val="Heading1"/>
      </w:pPr>
      <w:bookmarkStart w:id="7" w:name="_Toc118468369"/>
      <w:r>
        <w:lastRenderedPageBreak/>
        <w:t>Importance of Networking</w:t>
      </w:r>
      <w:bookmarkEnd w:id="7"/>
    </w:p>
    <w:p w14:paraId="4D1DF3B1" w14:textId="77777777" w:rsidR="00E544D8" w:rsidRDefault="00BD3FAD" w:rsidP="00E544D8">
      <w:pPr>
        <w:rPr>
          <w:lang w:eastAsia="en-GB"/>
        </w:rPr>
      </w:pPr>
      <w:r w:rsidRPr="00BD3FAD">
        <w:rPr>
          <w:lang w:eastAsia="en-GB"/>
        </w:rPr>
        <w:t>There has been a lot of talk about how business interactions with consumers may make or break sales. The intricacies of the human mind have long presented a formidable challenge to the marketing industry. An effective communication plan relies heavily on the use of appropriate terminology. Locating the most effective channels of communication with the target demographic is crucial.</w:t>
      </w:r>
      <w:bookmarkStart w:id="8" w:name="_Toc102150635"/>
    </w:p>
    <w:p w14:paraId="111AB9F3" w14:textId="77777777" w:rsidR="00227E38" w:rsidRDefault="00E544D8" w:rsidP="00E544D8">
      <w:pPr>
        <w:pStyle w:val="ListParagraph"/>
        <w:numPr>
          <w:ilvl w:val="0"/>
          <w:numId w:val="5"/>
        </w:numPr>
        <w:rPr>
          <w:lang w:eastAsia="en-GB"/>
        </w:rPr>
      </w:pPr>
      <w:r>
        <w:t xml:space="preserve">A corporation that can speak the language of its consumers more easily </w:t>
      </w:r>
      <w:proofErr w:type="gramStart"/>
      <w:r>
        <w:t>reach</w:t>
      </w:r>
      <w:proofErr w:type="gramEnd"/>
      <w:r>
        <w:t xml:space="preserve"> out to more consumers, build stronger relationships with them, and ultimately boost revenue. One can only break through to a worried market if business </w:t>
      </w:r>
      <w:proofErr w:type="gramStart"/>
      <w:r>
        <w:t>understand</w:t>
      </w:r>
      <w:proofErr w:type="gramEnd"/>
      <w:r>
        <w:t xml:space="preserve"> their dialect. Although English is spoken in many countries, many foreign consumers do not grasp the English-only webpage. They then experienced the discomfort of speaking a foreign language. </w:t>
      </w:r>
      <w:proofErr w:type="gramStart"/>
      <w:r>
        <w:t>This is why</w:t>
      </w:r>
      <w:proofErr w:type="gramEnd"/>
      <w:r>
        <w:t xml:space="preserve"> it's important to have language interpretation alternatives and provide client assistance in several languages</w:t>
      </w:r>
      <w:r w:rsidR="00841102">
        <w:t xml:space="preserve"> (Jenifer and Raman, </w:t>
      </w:r>
      <w:r w:rsidR="00841102" w:rsidRPr="00B45954">
        <w:t>2015</w:t>
      </w:r>
      <w:r w:rsidR="00841102">
        <w:t>)</w:t>
      </w:r>
      <w:r>
        <w:t>.</w:t>
      </w:r>
    </w:p>
    <w:p w14:paraId="495C614A" w14:textId="77777777" w:rsidR="00A81279" w:rsidRDefault="00A81279" w:rsidP="00A81279">
      <w:pPr>
        <w:pStyle w:val="ListParagraph"/>
        <w:numPr>
          <w:ilvl w:val="0"/>
          <w:numId w:val="5"/>
        </w:numPr>
        <w:rPr>
          <w:lang w:eastAsia="en-GB"/>
        </w:rPr>
      </w:pPr>
      <w:r w:rsidRPr="00A81279">
        <w:rPr>
          <w:lang w:eastAsia="en-GB"/>
        </w:rPr>
        <w:t xml:space="preserve">Consumers, businesses, and names all have a lot to gain by learning how to speak the same language. A consumer's faith in a company's products or services can erode if he believes his requirements will not be properly addressed. Conversing in the customer's native tongue creates a sense of familiarity and improves the likelihood of earning the </w:t>
      </w:r>
      <w:proofErr w:type="gramStart"/>
      <w:r w:rsidRPr="00A81279">
        <w:rPr>
          <w:lang w:eastAsia="en-GB"/>
        </w:rPr>
        <w:t>consumers ’</w:t>
      </w:r>
      <w:proofErr w:type="gramEnd"/>
      <w:r w:rsidRPr="00A81279">
        <w:rPr>
          <w:lang w:eastAsia="en-GB"/>
        </w:rPr>
        <w:t xml:space="preserve"> confidence.</w:t>
      </w:r>
    </w:p>
    <w:p w14:paraId="780D2EB1" w14:textId="77777777" w:rsidR="00026DE5" w:rsidRDefault="00026DE5" w:rsidP="00026DE5">
      <w:pPr>
        <w:pStyle w:val="ListParagraph"/>
        <w:numPr>
          <w:ilvl w:val="0"/>
          <w:numId w:val="5"/>
        </w:numPr>
      </w:pPr>
      <w:r w:rsidRPr="00D46EFC">
        <w:t xml:space="preserve">English is used as the key corporate language in most parts of the globe. However, Brazilians are not like the rest of the world. Portuguese is the constitutional dialect of Brazil, and its speakers make up the nation's huge percentage. Understanding Portuguese is more valuable to several Brazilians than knowing English or another dialect. In addition, individuals would go out of </w:t>
      </w:r>
      <w:proofErr w:type="gramStart"/>
      <w:r w:rsidRPr="00D46EFC">
        <w:t>their</w:t>
      </w:r>
      <w:proofErr w:type="gramEnd"/>
      <w:r w:rsidRPr="00D46EFC">
        <w:t xml:space="preserve"> to stay away from those who spoke English because they find it pretentious</w:t>
      </w:r>
      <w:r w:rsidR="0066731C">
        <w:t xml:space="preserve"> (Jain, 2006)</w:t>
      </w:r>
      <w:r w:rsidRPr="00D46EFC">
        <w:t>.</w:t>
      </w:r>
    </w:p>
    <w:p w14:paraId="2CC54233" w14:textId="77777777" w:rsidR="00867604" w:rsidRDefault="00867604" w:rsidP="00E64EA2">
      <w:pPr>
        <w:pStyle w:val="ListParagraph"/>
        <w:numPr>
          <w:ilvl w:val="0"/>
          <w:numId w:val="5"/>
        </w:numPr>
      </w:pPr>
      <w:r w:rsidRPr="000611D9">
        <w:t xml:space="preserve">There are over 6,500 languages spoken throughout the globe, and each one has its own unique culture. They </w:t>
      </w:r>
      <w:r>
        <w:t xml:space="preserve">need to keep in mind that when they are speaking </w:t>
      </w:r>
      <w:proofErr w:type="gramStart"/>
      <w:r>
        <w:t>native</w:t>
      </w:r>
      <w:proofErr w:type="gramEnd"/>
      <w:r>
        <w:t xml:space="preserve"> language they need to speak in a correct </w:t>
      </w:r>
      <w:proofErr w:type="gramStart"/>
      <w:r>
        <w:t>way</w:t>
      </w:r>
      <w:proofErr w:type="gramEnd"/>
      <w:r>
        <w:t xml:space="preserve"> or the buyer will</w:t>
      </w:r>
      <w:r w:rsidRPr="000611D9">
        <w:t xml:space="preserve"> misunderstood. </w:t>
      </w:r>
      <w:r>
        <w:t>This will create negative impact.</w:t>
      </w:r>
    </w:p>
    <w:p w14:paraId="268968C8" w14:textId="77777777" w:rsidR="00867604" w:rsidRDefault="00867604" w:rsidP="00867604"/>
    <w:p w14:paraId="00859AB9" w14:textId="77777777" w:rsidR="006D6C98" w:rsidRDefault="00A90D46" w:rsidP="00222ACE">
      <w:pPr>
        <w:pStyle w:val="Heading1"/>
      </w:pPr>
      <w:bookmarkStart w:id="9" w:name="_Toc118468370"/>
      <w:r>
        <w:lastRenderedPageBreak/>
        <w:t>C</w:t>
      </w:r>
      <w:r w:rsidR="006D6C98">
        <w:t xml:space="preserve">ommunication </w:t>
      </w:r>
      <w:bookmarkEnd w:id="8"/>
      <w:r w:rsidR="00222ACE">
        <w:t>Barriers</w:t>
      </w:r>
      <w:bookmarkEnd w:id="9"/>
    </w:p>
    <w:p w14:paraId="208D6B6C" w14:textId="77777777" w:rsidR="00BC2B3B" w:rsidRDefault="00D46EFC" w:rsidP="006D6C98">
      <w:r w:rsidRPr="00D46EFC">
        <w:t xml:space="preserve">Communication is the process of spreading knowledge with another individual by vocalization, physical gestures, or other behavioral signs. Guidelines, beliefs, and behaviors within a culture emerge primarily </w:t>
      </w:r>
      <w:proofErr w:type="gramStart"/>
      <w:r w:rsidRPr="00D46EFC">
        <w:t>as a result of</w:t>
      </w:r>
      <w:proofErr w:type="gramEnd"/>
      <w:r w:rsidRPr="00D46EFC">
        <w:t xml:space="preserve"> the transmission of information. Thus, communication is a key factor in developing cultural norms and values. The achievement or failure of every interaction or activity in commerce may hinge on the management in charge and how effectively they are able to interact with their counterparts</w:t>
      </w:r>
      <w:r w:rsidR="00611879">
        <w:t xml:space="preserve"> (</w:t>
      </w:r>
      <w:proofErr w:type="spellStart"/>
      <w:r w:rsidR="00611879">
        <w:t>Gesteland</w:t>
      </w:r>
      <w:proofErr w:type="spellEnd"/>
      <w:r w:rsidR="00611879">
        <w:t>, 2002)</w:t>
      </w:r>
      <w:r w:rsidRPr="00D46EFC">
        <w:t>. Here are some examples of how conversations vary:</w:t>
      </w:r>
    </w:p>
    <w:p w14:paraId="6C5EDB42" w14:textId="77777777" w:rsidR="00D46EFC" w:rsidRDefault="00D46EFC" w:rsidP="00D46EFC">
      <w:pPr>
        <w:pStyle w:val="ListParagraph"/>
        <w:numPr>
          <w:ilvl w:val="0"/>
          <w:numId w:val="1"/>
        </w:numPr>
      </w:pPr>
      <w:r w:rsidRPr="00D46EFC">
        <w:t xml:space="preserve">Brazilians are known for expressing more feelings in their speech, giving rise to a unique style of conversation. If a conversation is </w:t>
      </w:r>
      <w:proofErr w:type="gramStart"/>
      <w:r w:rsidRPr="00D46EFC">
        <w:t>really intense</w:t>
      </w:r>
      <w:proofErr w:type="gramEnd"/>
      <w:r w:rsidRPr="00D46EFC">
        <w:t xml:space="preserve">, Brazilians may resort to over-the-top expressions of passion. It's possible that they'll see silence as an indication of hostility or a lack of commitment to </w:t>
      </w:r>
      <w:proofErr w:type="gramStart"/>
      <w:r w:rsidRPr="00D46EFC">
        <w:t>the friendship</w:t>
      </w:r>
      <w:proofErr w:type="gramEnd"/>
      <w:r w:rsidRPr="00D46EFC">
        <w:t>, so they're more inclined to chat. In today's extremely communicative culture, it is not only tolerated but actively required to show their emotions</w:t>
      </w:r>
      <w:r w:rsidR="00952C29">
        <w:t xml:space="preserve"> (</w:t>
      </w:r>
      <w:r w:rsidR="00952C29" w:rsidRPr="004B0428">
        <w:t>Reyn</w:t>
      </w:r>
      <w:r w:rsidR="00952C29">
        <w:t xml:space="preserve">olds, Valentine, and </w:t>
      </w:r>
      <w:proofErr w:type="spellStart"/>
      <w:r w:rsidR="00952C29">
        <w:t>Munter</w:t>
      </w:r>
      <w:proofErr w:type="spellEnd"/>
      <w:r w:rsidR="00952C29">
        <w:t xml:space="preserve">, </w:t>
      </w:r>
      <w:r w:rsidR="00952C29" w:rsidRPr="004B0428">
        <w:t>2011</w:t>
      </w:r>
      <w:r w:rsidR="00952C29">
        <w:t>)</w:t>
      </w:r>
      <w:r w:rsidRPr="00D46EFC">
        <w:t>.</w:t>
      </w:r>
    </w:p>
    <w:p w14:paraId="0E0E7432" w14:textId="77777777" w:rsidR="00D46EFC" w:rsidRDefault="00D46EFC" w:rsidP="006D6C98">
      <w:pPr>
        <w:pStyle w:val="ListParagraph"/>
        <w:numPr>
          <w:ilvl w:val="0"/>
          <w:numId w:val="1"/>
        </w:numPr>
      </w:pPr>
      <w:r w:rsidRPr="00D46EFC">
        <w:t>Conversely, Brazilians aren't bashful about expressing their unique identities, and they often do so via the clothes they choose to dress. This might be seen as evidence that people in this society tend to be quite emotional about things. The culture of personal accountability in Brazil is to blame for this phenomenon. In this society, emotions were understood to be embedded within a wider social structure</w:t>
      </w:r>
      <w:r w:rsidR="00F81BD9">
        <w:t xml:space="preserve">. </w:t>
      </w:r>
      <w:r w:rsidRPr="00D46EFC">
        <w:t>Expressions of emotions and the use of emotive terminology are more widespread in the speech of a more collectivist community</w:t>
      </w:r>
      <w:r w:rsidR="008A29FC">
        <w:t xml:space="preserve"> (Jenifer and Raman, </w:t>
      </w:r>
      <w:r w:rsidR="008A29FC" w:rsidRPr="00B45954">
        <w:t>2015</w:t>
      </w:r>
      <w:r w:rsidR="008A29FC">
        <w:t>)</w:t>
      </w:r>
      <w:r w:rsidRPr="00D46EFC">
        <w:t>.</w:t>
      </w:r>
    </w:p>
    <w:p w14:paraId="5B8C4BBF" w14:textId="77777777" w:rsidR="006D6C98" w:rsidRDefault="00A01E38" w:rsidP="006D6C98">
      <w:pPr>
        <w:pStyle w:val="Heading1"/>
      </w:pPr>
      <w:bookmarkStart w:id="10" w:name="_Toc118468371"/>
      <w:r>
        <w:t>Strategies to Succeed in Brazil</w:t>
      </w:r>
      <w:bookmarkEnd w:id="10"/>
    </w:p>
    <w:p w14:paraId="3042D752" w14:textId="77777777" w:rsidR="000611D9" w:rsidRDefault="008152BE" w:rsidP="006D6C98">
      <w:r w:rsidRPr="008152BE">
        <w:t>Companies may now join international markets with unprecedented ease, but they must do more than just port over their local content to an international website. They will need to work together and learn as much as possible about their new clients and the local market if they want to successfully develop the brand abroad.</w:t>
      </w:r>
    </w:p>
    <w:p w14:paraId="0F4B4513" w14:textId="77777777" w:rsidR="000611D9" w:rsidRDefault="008152BE" w:rsidP="008152BE">
      <w:pPr>
        <w:pStyle w:val="ListParagraph"/>
        <w:numPr>
          <w:ilvl w:val="0"/>
          <w:numId w:val="2"/>
        </w:numPr>
      </w:pPr>
      <w:r w:rsidRPr="008152BE">
        <w:t xml:space="preserve">To lessen the likelihood of cultural miscommunication, businesses should foster an environment where all workers feel welcome and supported, no matter where they were </w:t>
      </w:r>
      <w:r w:rsidRPr="008152BE">
        <w:lastRenderedPageBreak/>
        <w:t>born. Before communicating with someone who is not a native English speaker, they should simplify their message and check it for errors. This lesson might be useful for many types of textual communication, not only those conducted across foreign borders.</w:t>
      </w:r>
    </w:p>
    <w:p w14:paraId="55A5AD09" w14:textId="77777777" w:rsidR="00BC6A3D" w:rsidRDefault="00BC6A3D" w:rsidP="00BC6A3D">
      <w:pPr>
        <w:pStyle w:val="ListParagraph"/>
        <w:numPr>
          <w:ilvl w:val="0"/>
          <w:numId w:val="2"/>
        </w:numPr>
      </w:pPr>
      <w:r w:rsidRPr="00BC6A3D">
        <w:t xml:space="preserve">Teams working in different parts of the world need </w:t>
      </w:r>
      <w:proofErr w:type="gramStart"/>
      <w:r w:rsidRPr="00BC6A3D">
        <w:t>learn</w:t>
      </w:r>
      <w:proofErr w:type="gramEnd"/>
      <w:r w:rsidRPr="00BC6A3D">
        <w:t xml:space="preserve"> to work together by adapting their communications to local customs and also by adhering to the standards set by the company as a whole. In this organization, cross-cultural interaction is more likely to succeed.</w:t>
      </w:r>
    </w:p>
    <w:p w14:paraId="4FEC28E1" w14:textId="77777777" w:rsidR="006D6C98" w:rsidRDefault="006D6C98" w:rsidP="006D6C98"/>
    <w:p w14:paraId="31E92E2F" w14:textId="77777777" w:rsidR="006D6C98" w:rsidRDefault="006D6C98" w:rsidP="006D6C98">
      <w:pPr>
        <w:pStyle w:val="Heading1"/>
      </w:pPr>
      <w:bookmarkStart w:id="11" w:name="_Toc102150637"/>
      <w:bookmarkStart w:id="12" w:name="_Toc118468372"/>
      <w:r>
        <w:t>Conclusion</w:t>
      </w:r>
      <w:bookmarkEnd w:id="11"/>
      <w:bookmarkEnd w:id="12"/>
    </w:p>
    <w:p w14:paraId="599D90DF" w14:textId="77777777" w:rsidR="006D6C98" w:rsidRDefault="00721A62" w:rsidP="006D6C98">
      <w:r w:rsidRPr="00721A62">
        <w:t xml:space="preserve">Companies looking to grow internationally should familiarize themselves with the cultural norms and practices of target markets beyond their own, learn to recognize and eliminate potential stumbling blocks, and develop a respect for the contributions of cultural groups other than their own. International business transactions are made more difficult by the reality that individuals of different cultures sometimes do not agree on even the most basic of points. Negotiating may have an effect on a number of factors, including the parties' level of confidence in one another, their mindset regarding each a further throughout discussions, and their ability to engage and their degree of adaptability. The drive for development or improvement is often behind a company's decision to branch out into new international markets. They may expand their business into other markets and get more income and more sales prospects. While worldwide expansion may greatly speed up a </w:t>
      </w:r>
      <w:proofErr w:type="spellStart"/>
      <w:r w:rsidRPr="00721A62">
        <w:t>company ’s</w:t>
      </w:r>
      <w:proofErr w:type="spellEnd"/>
      <w:r w:rsidRPr="00721A62">
        <w:t xml:space="preserve"> growth, it can also bring forth unexpected challenges. Helping the company overcome communication barriers by hiring interpreters, and </w:t>
      </w:r>
      <w:proofErr w:type="gramStart"/>
      <w:r w:rsidRPr="00721A62">
        <w:t>educate</w:t>
      </w:r>
      <w:proofErr w:type="gramEnd"/>
      <w:r w:rsidRPr="00721A62">
        <w:t xml:space="preserve"> themselves on the international business landscape by enrolling in a relevant course. Be well-informed on foreign affairs and broaden current media sources to better </w:t>
      </w:r>
      <w:proofErr w:type="gramStart"/>
      <w:r w:rsidRPr="00721A62">
        <w:t>ready</w:t>
      </w:r>
      <w:proofErr w:type="gramEnd"/>
      <w:r w:rsidRPr="00721A62">
        <w:t xml:space="preserve"> themselves for these kinds of crises. Organizations, whether local or global in scope, rely largely on efficient methods of corporate interaction to function successfully. With a wider customer base to draw from, expanding their company overseas may help companies make more money and cut down on expenses. Having more options to choose from is convenient for shoppers since it streamlines their experience.</w:t>
      </w:r>
    </w:p>
    <w:p w14:paraId="0CCBA603" w14:textId="77777777" w:rsidR="00DC0285" w:rsidRDefault="00DC0285" w:rsidP="00EF5738">
      <w:pPr>
        <w:rPr>
          <w:lang w:eastAsia="en-GB"/>
        </w:rPr>
      </w:pPr>
    </w:p>
    <w:p w14:paraId="7BAC8340" w14:textId="77777777" w:rsidR="00DC0285" w:rsidRDefault="00DC0285" w:rsidP="00EF5738">
      <w:pPr>
        <w:rPr>
          <w:lang w:eastAsia="en-GB"/>
        </w:rPr>
      </w:pPr>
    </w:p>
    <w:p w14:paraId="24341700" w14:textId="77777777" w:rsidR="00DC0285" w:rsidRDefault="00DC0285" w:rsidP="00DC0285">
      <w:pPr>
        <w:pStyle w:val="Heading1"/>
      </w:pPr>
      <w:bookmarkStart w:id="13" w:name="_Toc118468373"/>
      <w:r>
        <w:lastRenderedPageBreak/>
        <w:t>References</w:t>
      </w:r>
      <w:bookmarkEnd w:id="13"/>
    </w:p>
    <w:p w14:paraId="7D633270" w14:textId="77777777" w:rsidR="00193067" w:rsidRDefault="00193067" w:rsidP="00193067">
      <w:proofErr w:type="spellStart"/>
      <w:r>
        <w:t>Gesteland</w:t>
      </w:r>
      <w:proofErr w:type="spellEnd"/>
      <w:r>
        <w:t>, R.R.</w:t>
      </w:r>
      <w:r w:rsidRPr="00FE6AE1">
        <w:t xml:space="preserve"> </w:t>
      </w:r>
      <w:r>
        <w:t>(</w:t>
      </w:r>
      <w:r w:rsidRPr="00FE6AE1">
        <w:t>2002</w:t>
      </w:r>
      <w:r>
        <w:t>)</w:t>
      </w:r>
      <w:r w:rsidRPr="00FE6AE1">
        <w:t>. </w:t>
      </w:r>
      <w:r w:rsidRPr="00FE6AE1">
        <w:rPr>
          <w:i/>
          <w:iCs/>
        </w:rPr>
        <w:t>Cross-cultural business behavior</w:t>
      </w:r>
      <w:r w:rsidRPr="00FE6AE1">
        <w:t>. Copenhagen: Copenhagen business school press.</w:t>
      </w:r>
    </w:p>
    <w:p w14:paraId="6192F1EA" w14:textId="77777777" w:rsidR="00193067" w:rsidRDefault="00193067" w:rsidP="00193067">
      <w:r>
        <w:t>Hofstede, G.</w:t>
      </w:r>
      <w:r w:rsidRPr="004F6380">
        <w:t xml:space="preserve"> </w:t>
      </w:r>
      <w:r>
        <w:t>(</w:t>
      </w:r>
      <w:r w:rsidRPr="004F6380">
        <w:t>1984</w:t>
      </w:r>
      <w:r>
        <w:t>)</w:t>
      </w:r>
      <w:r w:rsidRPr="004F6380">
        <w:t>. </w:t>
      </w:r>
      <w:r w:rsidRPr="004F6380">
        <w:rPr>
          <w:i/>
          <w:iCs/>
        </w:rPr>
        <w:t>Culture's consequences: International differences in work-related values</w:t>
      </w:r>
      <w:r w:rsidRPr="004F6380">
        <w:t> (Vol. 5). sage.</w:t>
      </w:r>
    </w:p>
    <w:p w14:paraId="5D578854" w14:textId="77777777" w:rsidR="00193067" w:rsidRDefault="00193067" w:rsidP="00193067">
      <w:r>
        <w:t>Jain, S.C. ed.</w:t>
      </w:r>
      <w:r w:rsidRPr="00351176">
        <w:t xml:space="preserve"> </w:t>
      </w:r>
      <w:r>
        <w:t>(</w:t>
      </w:r>
      <w:r w:rsidRPr="00351176">
        <w:t>2006</w:t>
      </w:r>
      <w:r>
        <w:t>)</w:t>
      </w:r>
      <w:r w:rsidRPr="00351176">
        <w:t>. </w:t>
      </w:r>
      <w:r w:rsidRPr="00351176">
        <w:rPr>
          <w:i/>
          <w:iCs/>
        </w:rPr>
        <w:t xml:space="preserve">Emerging economies and the transformation of international business: Brazil, Russia, </w:t>
      </w:r>
      <w:proofErr w:type="gramStart"/>
      <w:r w:rsidRPr="00351176">
        <w:rPr>
          <w:i/>
          <w:iCs/>
        </w:rPr>
        <w:t>India</w:t>
      </w:r>
      <w:proofErr w:type="gramEnd"/>
      <w:r w:rsidRPr="00351176">
        <w:rPr>
          <w:i/>
          <w:iCs/>
        </w:rPr>
        <w:t xml:space="preserve"> and China (BRICs)</w:t>
      </w:r>
      <w:r w:rsidRPr="00351176">
        <w:t>. Edward Elgar Publishing.</w:t>
      </w:r>
    </w:p>
    <w:p w14:paraId="0215F50E" w14:textId="77777777" w:rsidR="00193067" w:rsidRDefault="00193067" w:rsidP="00193067">
      <w:r>
        <w:t xml:space="preserve">Jenifer, </w:t>
      </w:r>
      <w:proofErr w:type="gramStart"/>
      <w:r>
        <w:t>R.D.</w:t>
      </w:r>
      <w:proofErr w:type="gramEnd"/>
      <w:r>
        <w:t xml:space="preserve"> and Raman, G.P.</w:t>
      </w:r>
      <w:r w:rsidRPr="00B45954">
        <w:t xml:space="preserve"> </w:t>
      </w:r>
      <w:r>
        <w:t>(</w:t>
      </w:r>
      <w:r w:rsidRPr="00B45954">
        <w:t>2015</w:t>
      </w:r>
      <w:r>
        <w:t>)</w:t>
      </w:r>
      <w:r w:rsidRPr="00B45954">
        <w:t>. Cross-cultural communication barriers in the workplace. </w:t>
      </w:r>
      <w:r w:rsidRPr="00B45954">
        <w:rPr>
          <w:i/>
          <w:iCs/>
        </w:rPr>
        <w:t>International Journal of Management</w:t>
      </w:r>
      <w:r w:rsidRPr="00B45954">
        <w:t>, </w:t>
      </w:r>
      <w:r w:rsidRPr="00B45954">
        <w:rPr>
          <w:i/>
          <w:iCs/>
        </w:rPr>
        <w:t>6</w:t>
      </w:r>
      <w:r w:rsidRPr="00B45954">
        <w:t>(1), pp.348-351.</w:t>
      </w:r>
    </w:p>
    <w:p w14:paraId="1F66DB33" w14:textId="77777777" w:rsidR="00193067" w:rsidRDefault="00193067" w:rsidP="00193067">
      <w:r>
        <w:t>Meade, T.A.</w:t>
      </w:r>
      <w:r w:rsidRPr="00D917C4">
        <w:t xml:space="preserve"> </w:t>
      </w:r>
      <w:r>
        <w:t>(</w:t>
      </w:r>
      <w:r w:rsidRPr="00D917C4">
        <w:t>2010</w:t>
      </w:r>
      <w:r>
        <w:t>)</w:t>
      </w:r>
      <w:r w:rsidRPr="00D917C4">
        <w:t>. </w:t>
      </w:r>
      <w:r w:rsidRPr="00D917C4">
        <w:rPr>
          <w:i/>
          <w:iCs/>
        </w:rPr>
        <w:t>A brief history of Brazil</w:t>
      </w:r>
      <w:r w:rsidRPr="00D917C4">
        <w:t>. Infobase Publishing.</w:t>
      </w:r>
    </w:p>
    <w:p w14:paraId="47F40773" w14:textId="77777777" w:rsidR="00193067" w:rsidRDefault="00193067" w:rsidP="00193067">
      <w:r w:rsidRPr="004B0428">
        <w:t>Reynolds, S</w:t>
      </w:r>
      <w:r>
        <w:t xml:space="preserve">., Valentine, D. and </w:t>
      </w:r>
      <w:proofErr w:type="spellStart"/>
      <w:r>
        <w:t>Munter</w:t>
      </w:r>
      <w:proofErr w:type="spellEnd"/>
      <w:r>
        <w:t>, M.</w:t>
      </w:r>
      <w:r w:rsidRPr="004B0428">
        <w:t xml:space="preserve"> </w:t>
      </w:r>
      <w:r>
        <w:t>(</w:t>
      </w:r>
      <w:r w:rsidRPr="004B0428">
        <w:t>2011</w:t>
      </w:r>
      <w:r>
        <w:t>)</w:t>
      </w:r>
      <w:r w:rsidRPr="004B0428">
        <w:t>. </w:t>
      </w:r>
      <w:r w:rsidRPr="004B0428">
        <w:rPr>
          <w:i/>
          <w:iCs/>
        </w:rPr>
        <w:t>Cross-Cultural Communication</w:t>
      </w:r>
      <w:r w:rsidRPr="004B0428">
        <w:t>. Upper Saddle River, NJ: Pearson Education Inc.</w:t>
      </w:r>
    </w:p>
    <w:p w14:paraId="77CEA209" w14:textId="77777777" w:rsidR="00193067" w:rsidRDefault="00193067" w:rsidP="00193067">
      <w:r>
        <w:t>Starr-Glass, D.</w:t>
      </w:r>
      <w:r w:rsidRPr="006B5F71">
        <w:t xml:space="preserve"> </w:t>
      </w:r>
      <w:r>
        <w:t>(</w:t>
      </w:r>
      <w:r w:rsidRPr="006B5F71">
        <w:t>1996</w:t>
      </w:r>
      <w:r>
        <w:t>)</w:t>
      </w:r>
      <w:r w:rsidRPr="006B5F71">
        <w:t xml:space="preserve">. Development of cross-cultural sensitivity in business courses: </w:t>
      </w:r>
      <w:proofErr w:type="gramStart"/>
      <w:r w:rsidRPr="006B5F71">
        <w:t xml:space="preserve">The </w:t>
      </w:r>
      <w:proofErr w:type="spellStart"/>
      <w:r w:rsidRPr="006B5F71">
        <w:t>Culturelog</w:t>
      </w:r>
      <w:proofErr w:type="spellEnd"/>
      <w:proofErr w:type="gramEnd"/>
      <w:r w:rsidRPr="006B5F71">
        <w:t>. </w:t>
      </w:r>
      <w:r w:rsidRPr="006B5F71">
        <w:rPr>
          <w:i/>
          <w:iCs/>
        </w:rPr>
        <w:t>Journal of Teaching in International Business</w:t>
      </w:r>
      <w:r w:rsidRPr="006B5F71">
        <w:t>, </w:t>
      </w:r>
      <w:r w:rsidRPr="006B5F71">
        <w:rPr>
          <w:i/>
          <w:iCs/>
        </w:rPr>
        <w:t>7</w:t>
      </w:r>
      <w:r w:rsidRPr="006B5F71">
        <w:t>(3), pp.61-69.</w:t>
      </w:r>
    </w:p>
    <w:p w14:paraId="4D2B3C9D" w14:textId="77777777" w:rsidR="00A518F8" w:rsidRPr="00A518F8" w:rsidRDefault="00A518F8" w:rsidP="00A518F8">
      <w:pPr>
        <w:rPr>
          <w:lang w:eastAsia="en-GB"/>
        </w:rPr>
      </w:pPr>
    </w:p>
    <w:sectPr w:rsidR="00A518F8" w:rsidRPr="00A518F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2F0A" w14:textId="77777777" w:rsidR="005D2AB0" w:rsidRDefault="005D2AB0">
      <w:pPr>
        <w:spacing w:after="0" w:line="240" w:lineRule="auto"/>
      </w:pPr>
      <w:r>
        <w:separator/>
      </w:r>
    </w:p>
  </w:endnote>
  <w:endnote w:type="continuationSeparator" w:id="0">
    <w:p w14:paraId="1688B756" w14:textId="77777777" w:rsidR="005D2AB0" w:rsidRDefault="005D2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Fallback">
    <w:altName w:val="Times New Roman"/>
    <w:charset w:val="01"/>
    <w:family w:val="auto"/>
    <w:pitch w:val="variable"/>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431084"/>
      <w:docPartObj>
        <w:docPartGallery w:val="Page Numbers (Bottom of Page)"/>
        <w:docPartUnique/>
      </w:docPartObj>
    </w:sdtPr>
    <w:sdtEndPr>
      <w:rPr>
        <w:noProof/>
      </w:rPr>
    </w:sdtEndPr>
    <w:sdtContent>
      <w:p w14:paraId="1140488E" w14:textId="77777777" w:rsidR="00495D04" w:rsidRDefault="00495D04">
        <w:pPr>
          <w:pStyle w:val="Footer"/>
          <w:jc w:val="right"/>
        </w:pPr>
        <w:r>
          <w:fldChar w:fldCharType="begin"/>
        </w:r>
        <w:r>
          <w:instrText xml:space="preserve"> PAGE   \* MERGEFORMAT </w:instrText>
        </w:r>
        <w:r>
          <w:fldChar w:fldCharType="separate"/>
        </w:r>
        <w:r w:rsidR="00432FE5">
          <w:rPr>
            <w:noProof/>
          </w:rPr>
          <w:t>1</w:t>
        </w:r>
        <w:r>
          <w:rPr>
            <w:noProof/>
          </w:rPr>
          <w:fldChar w:fldCharType="end"/>
        </w:r>
      </w:p>
    </w:sdtContent>
  </w:sdt>
  <w:p w14:paraId="6A2C2D79" w14:textId="77777777" w:rsidR="00495D04" w:rsidRDefault="00495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0AD4E" w14:textId="77777777" w:rsidR="005D2AB0" w:rsidRDefault="005D2AB0">
      <w:pPr>
        <w:spacing w:after="0" w:line="240" w:lineRule="auto"/>
      </w:pPr>
      <w:r>
        <w:separator/>
      </w:r>
    </w:p>
  </w:footnote>
  <w:footnote w:type="continuationSeparator" w:id="0">
    <w:p w14:paraId="455E5FA6" w14:textId="77777777" w:rsidR="005D2AB0" w:rsidRDefault="005D2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75880"/>
    <w:multiLevelType w:val="hybridMultilevel"/>
    <w:tmpl w:val="EABE29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03DEA"/>
    <w:multiLevelType w:val="hybridMultilevel"/>
    <w:tmpl w:val="D228BE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501D21"/>
    <w:multiLevelType w:val="hybridMultilevel"/>
    <w:tmpl w:val="5CB04A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700A06"/>
    <w:multiLevelType w:val="hybridMultilevel"/>
    <w:tmpl w:val="81B68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335BF0"/>
    <w:multiLevelType w:val="hybridMultilevel"/>
    <w:tmpl w:val="7E563D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2823055">
    <w:abstractNumId w:val="3"/>
  </w:num>
  <w:num w:numId="2" w16cid:durableId="420686814">
    <w:abstractNumId w:val="2"/>
  </w:num>
  <w:num w:numId="3" w16cid:durableId="1129595289">
    <w:abstractNumId w:val="4"/>
  </w:num>
  <w:num w:numId="4" w16cid:durableId="1601335092">
    <w:abstractNumId w:val="0"/>
  </w:num>
  <w:num w:numId="5" w16cid:durableId="672103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CED"/>
    <w:rsid w:val="00026DE5"/>
    <w:rsid w:val="0003739E"/>
    <w:rsid w:val="000438BF"/>
    <w:rsid w:val="000611D9"/>
    <w:rsid w:val="000816D0"/>
    <w:rsid w:val="000A3CA5"/>
    <w:rsid w:val="000A4C87"/>
    <w:rsid w:val="000D000E"/>
    <w:rsid w:val="001675A6"/>
    <w:rsid w:val="00193067"/>
    <w:rsid w:val="001C0BC5"/>
    <w:rsid w:val="001C7553"/>
    <w:rsid w:val="001E6077"/>
    <w:rsid w:val="00222ACE"/>
    <w:rsid w:val="00227E38"/>
    <w:rsid w:val="002504F8"/>
    <w:rsid w:val="00253B5B"/>
    <w:rsid w:val="002835DB"/>
    <w:rsid w:val="002F65BD"/>
    <w:rsid w:val="00327A4F"/>
    <w:rsid w:val="00327B39"/>
    <w:rsid w:val="003348BA"/>
    <w:rsid w:val="00335F66"/>
    <w:rsid w:val="00347C68"/>
    <w:rsid w:val="00391F7A"/>
    <w:rsid w:val="003B2529"/>
    <w:rsid w:val="00403866"/>
    <w:rsid w:val="00427218"/>
    <w:rsid w:val="00432FE5"/>
    <w:rsid w:val="00462944"/>
    <w:rsid w:val="00476CED"/>
    <w:rsid w:val="00495D04"/>
    <w:rsid w:val="00536CA7"/>
    <w:rsid w:val="00544005"/>
    <w:rsid w:val="005A1C81"/>
    <w:rsid w:val="005B3287"/>
    <w:rsid w:val="005D2AB0"/>
    <w:rsid w:val="00611879"/>
    <w:rsid w:val="0061347F"/>
    <w:rsid w:val="00614111"/>
    <w:rsid w:val="0061644A"/>
    <w:rsid w:val="00616A7F"/>
    <w:rsid w:val="00624B7E"/>
    <w:rsid w:val="00625050"/>
    <w:rsid w:val="00642558"/>
    <w:rsid w:val="00651FC7"/>
    <w:rsid w:val="0066731C"/>
    <w:rsid w:val="0068246F"/>
    <w:rsid w:val="00685F22"/>
    <w:rsid w:val="006C6422"/>
    <w:rsid w:val="006D6C98"/>
    <w:rsid w:val="006F2D98"/>
    <w:rsid w:val="00721A62"/>
    <w:rsid w:val="00725D49"/>
    <w:rsid w:val="00757870"/>
    <w:rsid w:val="007960BF"/>
    <w:rsid w:val="007B30D3"/>
    <w:rsid w:val="007D233F"/>
    <w:rsid w:val="008152BE"/>
    <w:rsid w:val="00841102"/>
    <w:rsid w:val="00867604"/>
    <w:rsid w:val="008A29FC"/>
    <w:rsid w:val="008B5885"/>
    <w:rsid w:val="008C3CE9"/>
    <w:rsid w:val="008D256F"/>
    <w:rsid w:val="00903F68"/>
    <w:rsid w:val="00924F33"/>
    <w:rsid w:val="00951703"/>
    <w:rsid w:val="00952C29"/>
    <w:rsid w:val="00954483"/>
    <w:rsid w:val="00955A30"/>
    <w:rsid w:val="00972205"/>
    <w:rsid w:val="00984DF9"/>
    <w:rsid w:val="009957F6"/>
    <w:rsid w:val="009C27F3"/>
    <w:rsid w:val="009C4287"/>
    <w:rsid w:val="009D2BB3"/>
    <w:rsid w:val="00A01E38"/>
    <w:rsid w:val="00A1687D"/>
    <w:rsid w:val="00A16955"/>
    <w:rsid w:val="00A36DB2"/>
    <w:rsid w:val="00A518F8"/>
    <w:rsid w:val="00A81279"/>
    <w:rsid w:val="00A90D46"/>
    <w:rsid w:val="00AD133E"/>
    <w:rsid w:val="00B12FAA"/>
    <w:rsid w:val="00B2698F"/>
    <w:rsid w:val="00B83F61"/>
    <w:rsid w:val="00B850E6"/>
    <w:rsid w:val="00BA5FF0"/>
    <w:rsid w:val="00BC2B3B"/>
    <w:rsid w:val="00BC6A3D"/>
    <w:rsid w:val="00BD3FAD"/>
    <w:rsid w:val="00C36898"/>
    <w:rsid w:val="00C552CF"/>
    <w:rsid w:val="00CB50ED"/>
    <w:rsid w:val="00CB7D70"/>
    <w:rsid w:val="00CE748E"/>
    <w:rsid w:val="00D46EFC"/>
    <w:rsid w:val="00D47729"/>
    <w:rsid w:val="00D56CA2"/>
    <w:rsid w:val="00D664B6"/>
    <w:rsid w:val="00D818A7"/>
    <w:rsid w:val="00DC0285"/>
    <w:rsid w:val="00DF451C"/>
    <w:rsid w:val="00E544D8"/>
    <w:rsid w:val="00E764D8"/>
    <w:rsid w:val="00E86591"/>
    <w:rsid w:val="00E93282"/>
    <w:rsid w:val="00EC3A9F"/>
    <w:rsid w:val="00EE4C98"/>
    <w:rsid w:val="00EF5738"/>
    <w:rsid w:val="00F31E8B"/>
    <w:rsid w:val="00F408A3"/>
    <w:rsid w:val="00F57AF6"/>
    <w:rsid w:val="00F62186"/>
    <w:rsid w:val="00F71BB1"/>
    <w:rsid w:val="00F81BD9"/>
    <w:rsid w:val="00F9704E"/>
    <w:rsid w:val="00FA4CA8"/>
    <w:rsid w:val="00FD3A70"/>
    <w:rsid w:val="00FE55B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09C1E"/>
  <w15:chartTrackingRefBased/>
  <w15:docId w15:val="{5A08A58E-ADF4-4469-8A4C-E4EF6DBF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Droid Sans Fallback"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C98"/>
    <w:pPr>
      <w:spacing w:line="360" w:lineRule="auto"/>
      <w:jc w:val="both"/>
    </w:pPr>
    <w:rPr>
      <w:rFonts w:ascii="Times New Roman" w:eastAsiaTheme="minorHAnsi" w:hAnsi="Times New Roman"/>
      <w:sz w:val="24"/>
    </w:rPr>
  </w:style>
  <w:style w:type="paragraph" w:styleId="Heading1">
    <w:name w:val="heading 1"/>
    <w:basedOn w:val="Normal"/>
    <w:next w:val="Normal"/>
    <w:link w:val="Heading1Char"/>
    <w:uiPriority w:val="9"/>
    <w:qFormat/>
    <w:rsid w:val="00614111"/>
    <w:pPr>
      <w:keepNext/>
      <w:keepLines/>
      <w:spacing w:before="240"/>
      <w:outlineLvl w:val="0"/>
    </w:pPr>
    <w:rPr>
      <w:rFonts w:eastAsiaTheme="majorEastAsia" w:cstheme="majorBidi"/>
      <w:b/>
      <w:sz w:val="32"/>
      <w:szCs w:val="32"/>
      <w:lang w:eastAsia="en-GB"/>
    </w:rPr>
  </w:style>
  <w:style w:type="paragraph" w:styleId="Heading2">
    <w:name w:val="heading 2"/>
    <w:basedOn w:val="Normal"/>
    <w:next w:val="Normal"/>
    <w:link w:val="Heading2Char"/>
    <w:uiPriority w:val="9"/>
    <w:unhideWhenUsed/>
    <w:qFormat/>
    <w:rsid w:val="00D47729"/>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111"/>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D47729"/>
    <w:rPr>
      <w:rFonts w:ascii="Times New Roman" w:eastAsiaTheme="majorEastAsia" w:hAnsi="Times New Roman" w:cstheme="majorBidi"/>
      <w:b/>
      <w:sz w:val="28"/>
      <w:szCs w:val="26"/>
    </w:rPr>
  </w:style>
  <w:style w:type="paragraph" w:styleId="ListParagraph">
    <w:name w:val="List Paragraph"/>
    <w:basedOn w:val="Normal"/>
    <w:uiPriority w:val="34"/>
    <w:qFormat/>
    <w:rsid w:val="006D6C98"/>
    <w:pPr>
      <w:ind w:left="720"/>
      <w:contextualSpacing/>
    </w:pPr>
  </w:style>
  <w:style w:type="paragraph" w:styleId="Footer">
    <w:name w:val="footer"/>
    <w:basedOn w:val="Normal"/>
    <w:link w:val="FooterChar"/>
    <w:uiPriority w:val="99"/>
    <w:unhideWhenUsed/>
    <w:rsid w:val="006D6C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C98"/>
    <w:rPr>
      <w:rFonts w:ascii="Times New Roman" w:eastAsiaTheme="minorHAnsi" w:hAnsi="Times New Roman"/>
      <w:sz w:val="24"/>
    </w:rPr>
  </w:style>
  <w:style w:type="paragraph" w:styleId="TOCHeading">
    <w:name w:val="TOC Heading"/>
    <w:basedOn w:val="Heading1"/>
    <w:next w:val="Normal"/>
    <w:uiPriority w:val="39"/>
    <w:unhideWhenUsed/>
    <w:qFormat/>
    <w:rsid w:val="006D6C98"/>
    <w:pPr>
      <w:spacing w:line="259" w:lineRule="auto"/>
      <w:jc w:val="left"/>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6D6C98"/>
    <w:pPr>
      <w:spacing w:after="100"/>
    </w:pPr>
  </w:style>
  <w:style w:type="character" w:styleId="Hyperlink">
    <w:name w:val="Hyperlink"/>
    <w:basedOn w:val="DefaultParagraphFont"/>
    <w:uiPriority w:val="99"/>
    <w:unhideWhenUsed/>
    <w:rsid w:val="006D6C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588134">
      <w:bodyDiv w:val="1"/>
      <w:marLeft w:val="0"/>
      <w:marRight w:val="0"/>
      <w:marTop w:val="0"/>
      <w:marBottom w:val="0"/>
      <w:divBdr>
        <w:top w:val="none" w:sz="0" w:space="0" w:color="auto"/>
        <w:left w:val="none" w:sz="0" w:space="0" w:color="auto"/>
        <w:bottom w:val="none" w:sz="0" w:space="0" w:color="auto"/>
        <w:right w:val="none" w:sz="0" w:space="0" w:color="auto"/>
      </w:divBdr>
    </w:div>
    <w:div w:id="1146169884">
      <w:bodyDiv w:val="1"/>
      <w:marLeft w:val="0"/>
      <w:marRight w:val="0"/>
      <w:marTop w:val="0"/>
      <w:marBottom w:val="0"/>
      <w:divBdr>
        <w:top w:val="none" w:sz="0" w:space="0" w:color="auto"/>
        <w:left w:val="none" w:sz="0" w:space="0" w:color="auto"/>
        <w:bottom w:val="none" w:sz="0" w:space="0" w:color="auto"/>
        <w:right w:val="none" w:sz="0" w:space="0" w:color="auto"/>
      </w:divBdr>
      <w:divsChild>
        <w:div w:id="1739522580">
          <w:marLeft w:val="0"/>
          <w:marRight w:val="0"/>
          <w:marTop w:val="0"/>
          <w:marBottom w:val="0"/>
          <w:divBdr>
            <w:top w:val="none" w:sz="0" w:space="0" w:color="auto"/>
            <w:left w:val="none" w:sz="0" w:space="0" w:color="auto"/>
            <w:bottom w:val="none" w:sz="0" w:space="0" w:color="auto"/>
            <w:right w:val="none" w:sz="0" w:space="0" w:color="auto"/>
          </w:divBdr>
          <w:divsChild>
            <w:div w:id="508955678">
              <w:marLeft w:val="0"/>
              <w:marRight w:val="0"/>
              <w:marTop w:val="0"/>
              <w:marBottom w:val="0"/>
              <w:divBdr>
                <w:top w:val="none" w:sz="0" w:space="0" w:color="auto"/>
                <w:left w:val="none" w:sz="0" w:space="0" w:color="auto"/>
                <w:bottom w:val="none" w:sz="0" w:space="0" w:color="auto"/>
                <w:right w:val="none" w:sz="0" w:space="0" w:color="auto"/>
              </w:divBdr>
              <w:divsChild>
                <w:div w:id="717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82ECA6-B8FF-4123-83B8-46EE988C6C5C}" type="doc">
      <dgm:prSet loTypeId="urn:microsoft.com/office/officeart/2008/layout/RadialCluster" loCatId="cycle" qsTypeId="urn:microsoft.com/office/officeart/2005/8/quickstyle/simple1" qsCatId="simple" csTypeId="urn:microsoft.com/office/officeart/2005/8/colors/accent2_1" csCatId="accent2" phldr="1"/>
      <dgm:spPr/>
      <dgm:t>
        <a:bodyPr/>
        <a:lstStyle/>
        <a:p>
          <a:endParaRPr lang="en-US"/>
        </a:p>
      </dgm:t>
    </dgm:pt>
    <dgm:pt modelId="{79CB9BE6-35CE-4E8B-8691-EE5E7BE7C614}">
      <dgm:prSet phldrT="[Text]"/>
      <dgm:spPr>
        <a:xfrm>
          <a:off x="1932356" y="960158"/>
          <a:ext cx="730146" cy="730146"/>
        </a:xfrm>
      </dgm:spPr>
      <dgm:t>
        <a:bodyPr/>
        <a:lstStyle/>
        <a:p>
          <a:pPr algn="ctr"/>
          <a:r>
            <a:rPr lang="en-US">
              <a:latin typeface="Calibri" panose="020F0502020204030204"/>
              <a:ea typeface="+mn-ea"/>
              <a:cs typeface="+mn-cs"/>
            </a:rPr>
            <a:t>Hofstede's Cultural Dimensions</a:t>
          </a:r>
        </a:p>
      </dgm:t>
    </dgm:pt>
    <dgm:pt modelId="{FF82B2DF-EEE0-48CE-BA5B-EA56576A246D}" type="parTrans" cxnId="{F0A02A1D-2B96-492A-8D41-80DD89B05104}">
      <dgm:prSet/>
      <dgm:spPr/>
      <dgm:t>
        <a:bodyPr/>
        <a:lstStyle/>
        <a:p>
          <a:pPr algn="ctr"/>
          <a:endParaRPr lang="en-US"/>
        </a:p>
      </dgm:t>
    </dgm:pt>
    <dgm:pt modelId="{8DA7FE51-204C-4AC2-A3D5-4843F76F777A}" type="sibTrans" cxnId="{F0A02A1D-2B96-492A-8D41-80DD89B05104}">
      <dgm:prSet/>
      <dgm:spPr/>
      <dgm:t>
        <a:bodyPr/>
        <a:lstStyle/>
        <a:p>
          <a:pPr algn="ctr"/>
          <a:endParaRPr lang="en-US"/>
        </a:p>
      </dgm:t>
    </dgm:pt>
    <dgm:pt modelId="{63DDA3C3-7EDC-481E-BF0F-8BD38FD7317E}">
      <dgm:prSet phldrT="[Text]"/>
      <dgm:spPr>
        <a:xfrm>
          <a:off x="1932356" y="9380"/>
          <a:ext cx="730146" cy="730146"/>
        </a:xfrm>
      </dgm:spPr>
      <dgm:t>
        <a:bodyPr/>
        <a:lstStyle/>
        <a:p>
          <a:pPr algn="ctr"/>
          <a:r>
            <a:rPr lang="en-US">
              <a:latin typeface="Calibri" panose="020F0502020204030204"/>
              <a:ea typeface="+mn-ea"/>
              <a:cs typeface="+mn-cs"/>
            </a:rPr>
            <a:t>Power Distance</a:t>
          </a:r>
        </a:p>
      </dgm:t>
    </dgm:pt>
    <dgm:pt modelId="{AEF276B1-F2D1-4222-AC48-3038AAD4AA9C}" type="parTrans" cxnId="{929AC925-552D-48EC-8C3D-1C3C95B82775}">
      <dgm:prSet/>
      <dgm:spPr>
        <a:xfrm rot="16200000">
          <a:off x="2187114" y="835540"/>
          <a:ext cx="220631" cy="28602"/>
        </a:xfrm>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F6B07D0E-1770-4C68-8759-516557E183BD}" type="sibTrans" cxnId="{929AC925-552D-48EC-8C3D-1C3C95B82775}">
      <dgm:prSet/>
      <dgm:spPr>
        <a:xfrm>
          <a:off x="1280645" y="304625"/>
          <a:ext cx="2033568" cy="2033568"/>
        </a:xfrm>
        <a:prstGeom prst="blockArc">
          <a:avLst>
            <a:gd name="adj1" fmla="val 16200000"/>
            <a:gd name="adj2" fmla="val 20520000"/>
            <a:gd name="adj3" fmla="val 4637"/>
          </a:avLst>
        </a:prstGeom>
      </dgm:spPr>
      <dgm:t>
        <a:bodyPr/>
        <a:lstStyle/>
        <a:p>
          <a:pPr algn="ctr"/>
          <a:endParaRPr lang="en-US"/>
        </a:p>
      </dgm:t>
    </dgm:pt>
    <dgm:pt modelId="{F302CF6C-176C-4142-8B30-06F5F7CF7AC7}">
      <dgm:prSet phldrT="[Text]"/>
      <dgm:spPr>
        <a:xfrm>
          <a:off x="1373503" y="1729353"/>
          <a:ext cx="730146" cy="730146"/>
        </a:xfrm>
      </dgm:spPr>
      <dgm:t>
        <a:bodyPr/>
        <a:lstStyle/>
        <a:p>
          <a:pPr algn="ctr"/>
          <a:r>
            <a:rPr lang="en-US">
              <a:latin typeface="Calibri" panose="020F0502020204030204"/>
              <a:ea typeface="+mn-ea"/>
              <a:cs typeface="+mn-cs"/>
            </a:rPr>
            <a:t>Masculinity vs </a:t>
          </a:r>
        </a:p>
        <a:p>
          <a:pPr algn="ctr"/>
          <a:r>
            <a:rPr lang="en-US">
              <a:latin typeface="Calibri" panose="020F0502020204030204"/>
              <a:ea typeface="+mn-ea"/>
              <a:cs typeface="+mn-cs"/>
            </a:rPr>
            <a:t>Feminity</a:t>
          </a:r>
        </a:p>
      </dgm:t>
    </dgm:pt>
    <dgm:pt modelId="{786323C3-26D6-42B0-A96C-413A219EE48F}" type="parTrans" cxnId="{C9620B3E-6A6D-48A6-BFB6-36E594CC03F4}">
      <dgm:prSet/>
      <dgm:spPr>
        <a:xfrm rot="7560000">
          <a:off x="1907687" y="1695527"/>
          <a:ext cx="220631" cy="28602"/>
        </a:xfrm>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AB66354C-10E4-4D2F-91CE-CE7B2EA90252}" type="sibTrans" cxnId="{C9620B3E-6A6D-48A6-BFB6-36E594CC03F4}">
      <dgm:prSet/>
      <dgm:spPr>
        <a:xfrm>
          <a:off x="1280645" y="304625"/>
          <a:ext cx="2033568" cy="2033568"/>
        </a:xfrm>
        <a:prstGeom prst="blockArc">
          <a:avLst>
            <a:gd name="adj1" fmla="val 7560000"/>
            <a:gd name="adj2" fmla="val 11880000"/>
            <a:gd name="adj3" fmla="val 4637"/>
          </a:avLst>
        </a:prstGeom>
      </dgm:spPr>
      <dgm:t>
        <a:bodyPr/>
        <a:lstStyle/>
        <a:p>
          <a:pPr algn="ctr"/>
          <a:endParaRPr lang="en-US"/>
        </a:p>
      </dgm:t>
    </dgm:pt>
    <dgm:pt modelId="{35303BC8-9266-4C34-BFC2-B606DD6E2DE2}">
      <dgm:prSet phldrT="[Text]"/>
      <dgm:spPr>
        <a:xfrm>
          <a:off x="1028113" y="666351"/>
          <a:ext cx="730146" cy="730146"/>
        </a:xfrm>
      </dgm:spPr>
      <dgm:t>
        <a:bodyPr/>
        <a:lstStyle/>
        <a:p>
          <a:pPr algn="ctr"/>
          <a:r>
            <a:rPr lang="en-US">
              <a:latin typeface="Calibri" panose="020F0502020204030204"/>
              <a:ea typeface="+mn-ea"/>
              <a:cs typeface="+mn-cs"/>
            </a:rPr>
            <a:t>Long Term Orientation</a:t>
          </a:r>
        </a:p>
      </dgm:t>
    </dgm:pt>
    <dgm:pt modelId="{70C2E7EF-CD8A-401A-96DF-CD3742FC6BB9}" type="parTrans" cxnId="{F9AC5710-DACB-47D7-8A39-28E096AB398E}">
      <dgm:prSet/>
      <dgm:spPr>
        <a:xfrm rot="11880000">
          <a:off x="1734992" y="1164026"/>
          <a:ext cx="220631" cy="28602"/>
        </a:xfrm>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F4E19B87-5B96-438E-B560-5941079D6F28}" type="sibTrans" cxnId="{F9AC5710-DACB-47D7-8A39-28E096AB398E}">
      <dgm:prSet/>
      <dgm:spPr>
        <a:xfrm>
          <a:off x="1280645" y="304625"/>
          <a:ext cx="2033568" cy="2033568"/>
        </a:xfrm>
        <a:prstGeom prst="blockArc">
          <a:avLst>
            <a:gd name="adj1" fmla="val 11880000"/>
            <a:gd name="adj2" fmla="val 16200000"/>
            <a:gd name="adj3" fmla="val 4637"/>
          </a:avLst>
        </a:prstGeom>
      </dgm:spPr>
      <dgm:t>
        <a:bodyPr/>
        <a:lstStyle/>
        <a:p>
          <a:pPr algn="ctr"/>
          <a:endParaRPr lang="en-US"/>
        </a:p>
      </dgm:t>
    </dgm:pt>
    <dgm:pt modelId="{669E2D90-DD56-417D-BF71-AC8CA52E4086}">
      <dgm:prSet/>
      <dgm:spPr>
        <a:xfrm>
          <a:off x="2491209" y="1729353"/>
          <a:ext cx="730146" cy="730146"/>
        </a:xfrm>
      </dgm:spPr>
      <dgm:t>
        <a:bodyPr/>
        <a:lstStyle/>
        <a:p>
          <a:pPr algn="ctr"/>
          <a:r>
            <a:rPr lang="en-US">
              <a:latin typeface="Calibri" panose="020F0502020204030204"/>
              <a:ea typeface="+mn-ea"/>
              <a:cs typeface="+mn-cs"/>
            </a:rPr>
            <a:t>Uncertaibty Avoidance</a:t>
          </a:r>
        </a:p>
      </dgm:t>
    </dgm:pt>
    <dgm:pt modelId="{01D729F2-685F-41C1-9A67-7E55B80DB88F}" type="parTrans" cxnId="{236EF0E1-5C2E-4BB6-9F1B-217D9E673A8D}">
      <dgm:prSet/>
      <dgm:spPr>
        <a:xfrm rot="3240000">
          <a:off x="2466540" y="1695527"/>
          <a:ext cx="220631" cy="28602"/>
        </a:xfrm>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A720EF17-C294-4C08-9ACC-5836A048CE32}" type="sibTrans" cxnId="{236EF0E1-5C2E-4BB6-9F1B-217D9E673A8D}">
      <dgm:prSet/>
      <dgm:spPr>
        <a:xfrm>
          <a:off x="1280645" y="304625"/>
          <a:ext cx="2033568" cy="2033568"/>
        </a:xfrm>
        <a:prstGeom prst="blockArc">
          <a:avLst>
            <a:gd name="adj1" fmla="val 3240000"/>
            <a:gd name="adj2" fmla="val 7560000"/>
            <a:gd name="adj3" fmla="val 4637"/>
          </a:avLst>
        </a:prstGeom>
      </dgm:spPr>
      <dgm:t>
        <a:bodyPr/>
        <a:lstStyle/>
        <a:p>
          <a:pPr algn="ctr"/>
          <a:endParaRPr lang="en-US"/>
        </a:p>
      </dgm:t>
    </dgm:pt>
    <dgm:pt modelId="{1FC73736-32CD-40BE-B916-34D79928511D}">
      <dgm:prSet/>
      <dgm:spPr>
        <a:xfrm>
          <a:off x="2836600" y="666351"/>
          <a:ext cx="730146" cy="730146"/>
        </a:xfrm>
      </dgm:spPr>
      <dgm:t>
        <a:bodyPr/>
        <a:lstStyle/>
        <a:p>
          <a:pPr algn="ctr"/>
          <a:r>
            <a:rPr lang="en-GB">
              <a:latin typeface="Calibri" panose="020F0502020204030204"/>
              <a:ea typeface="+mn-ea"/>
              <a:cs typeface="+mn-cs"/>
            </a:rPr>
            <a:t>Individualism vs</a:t>
          </a:r>
        </a:p>
        <a:p>
          <a:pPr algn="ctr"/>
          <a:r>
            <a:rPr lang="en-GB">
              <a:latin typeface="Calibri" panose="020F0502020204030204"/>
              <a:ea typeface="+mn-ea"/>
              <a:cs typeface="+mn-cs"/>
            </a:rPr>
            <a:t>Collectivism </a:t>
          </a:r>
        </a:p>
        <a:p>
          <a:pPr algn="ctr"/>
          <a:r>
            <a:rPr lang="en-GB">
              <a:latin typeface="Calibri" panose="020F0502020204030204"/>
              <a:ea typeface="+mn-ea"/>
              <a:cs typeface="+mn-cs"/>
            </a:rPr>
            <a:t> </a:t>
          </a:r>
          <a:endParaRPr lang="en-US">
            <a:latin typeface="Calibri" panose="020F0502020204030204"/>
            <a:ea typeface="+mn-ea"/>
            <a:cs typeface="+mn-cs"/>
          </a:endParaRPr>
        </a:p>
      </dgm:t>
    </dgm:pt>
    <dgm:pt modelId="{7467DB94-86D9-4541-B8E1-4CE7B58257EB}" type="parTrans" cxnId="{31861B42-AF40-4BA1-8CAB-F8509DEF5CD8}">
      <dgm:prSet/>
      <dgm:spPr>
        <a:xfrm rot="20520000">
          <a:off x="2639235" y="1164026"/>
          <a:ext cx="220631" cy="28602"/>
        </a:xfrm>
      </dgm:spPr>
      <dgm:t>
        <a:bodyPr/>
        <a:lstStyle/>
        <a:p>
          <a:pPr algn="ctr"/>
          <a:endParaRPr lang="en-US">
            <a:solidFill>
              <a:sysClr val="windowText" lastClr="000000">
                <a:hueOff val="0"/>
                <a:satOff val="0"/>
                <a:lumOff val="0"/>
                <a:alphaOff val="0"/>
              </a:sysClr>
            </a:solidFill>
            <a:latin typeface="Calibri" panose="020F0502020204030204"/>
            <a:ea typeface="+mn-ea"/>
            <a:cs typeface="+mn-cs"/>
          </a:endParaRPr>
        </a:p>
      </dgm:t>
    </dgm:pt>
    <dgm:pt modelId="{848C6A23-D076-4D84-B48B-FE85CB141011}" type="sibTrans" cxnId="{31861B42-AF40-4BA1-8CAB-F8509DEF5CD8}">
      <dgm:prSet/>
      <dgm:spPr>
        <a:xfrm>
          <a:off x="1280645" y="304625"/>
          <a:ext cx="2033568" cy="2033568"/>
        </a:xfrm>
        <a:prstGeom prst="blockArc">
          <a:avLst>
            <a:gd name="adj1" fmla="val 20520000"/>
            <a:gd name="adj2" fmla="val 3240000"/>
            <a:gd name="adj3" fmla="val 4637"/>
          </a:avLst>
        </a:prstGeom>
      </dgm:spPr>
      <dgm:t>
        <a:bodyPr/>
        <a:lstStyle/>
        <a:p>
          <a:pPr algn="ctr"/>
          <a:endParaRPr lang="en-US"/>
        </a:p>
      </dgm:t>
    </dgm:pt>
    <dgm:pt modelId="{B72EB5FC-C5D2-4995-B7CC-59B356CDF685}" type="pres">
      <dgm:prSet presAssocID="{1882ECA6-B8FF-4123-83B8-46EE988C6C5C}" presName="Name0" presStyleCnt="0">
        <dgm:presLayoutVars>
          <dgm:chMax val="1"/>
          <dgm:chPref val="1"/>
          <dgm:dir/>
          <dgm:animOne val="branch"/>
          <dgm:animLvl val="lvl"/>
        </dgm:presLayoutVars>
      </dgm:prSet>
      <dgm:spPr/>
    </dgm:pt>
    <dgm:pt modelId="{1E78BA4F-019B-405B-88BD-6686591D8FD6}" type="pres">
      <dgm:prSet presAssocID="{79CB9BE6-35CE-4E8B-8691-EE5E7BE7C614}" presName="singleCycle" presStyleCnt="0"/>
      <dgm:spPr/>
    </dgm:pt>
    <dgm:pt modelId="{48143A8C-E249-40CF-9C68-07ED75A142AF}" type="pres">
      <dgm:prSet presAssocID="{79CB9BE6-35CE-4E8B-8691-EE5E7BE7C614}" presName="singleCenter" presStyleLbl="node1" presStyleIdx="0" presStyleCnt="6">
        <dgm:presLayoutVars>
          <dgm:chMax val="7"/>
          <dgm:chPref val="7"/>
        </dgm:presLayoutVars>
      </dgm:prSet>
      <dgm:spPr/>
    </dgm:pt>
    <dgm:pt modelId="{86AB1E2C-BF26-4166-83C5-B74D614976B0}" type="pres">
      <dgm:prSet presAssocID="{AEF276B1-F2D1-4222-AC48-3038AAD4AA9C}" presName="Name56" presStyleLbl="parChTrans1D2" presStyleIdx="0" presStyleCnt="5"/>
      <dgm:spPr/>
    </dgm:pt>
    <dgm:pt modelId="{987F651E-114E-40FC-9FD2-F15A56F97231}" type="pres">
      <dgm:prSet presAssocID="{63DDA3C3-7EDC-481E-BF0F-8BD38FD7317E}" presName="text0" presStyleLbl="node1" presStyleIdx="1" presStyleCnt="6">
        <dgm:presLayoutVars>
          <dgm:bulletEnabled val="1"/>
        </dgm:presLayoutVars>
      </dgm:prSet>
      <dgm:spPr/>
    </dgm:pt>
    <dgm:pt modelId="{C337EDC2-75E9-4A17-986A-1C0740491EAF}" type="pres">
      <dgm:prSet presAssocID="{7467DB94-86D9-4541-B8E1-4CE7B58257EB}" presName="Name56" presStyleLbl="parChTrans1D2" presStyleIdx="1" presStyleCnt="5"/>
      <dgm:spPr/>
    </dgm:pt>
    <dgm:pt modelId="{5872746A-6905-48AA-8BAA-FDB047D17C66}" type="pres">
      <dgm:prSet presAssocID="{1FC73736-32CD-40BE-B916-34D79928511D}" presName="text0" presStyleLbl="node1" presStyleIdx="2" presStyleCnt="6">
        <dgm:presLayoutVars>
          <dgm:bulletEnabled val="1"/>
        </dgm:presLayoutVars>
      </dgm:prSet>
      <dgm:spPr/>
    </dgm:pt>
    <dgm:pt modelId="{92327B2E-87DE-403D-BDFC-E0840C4AACE3}" type="pres">
      <dgm:prSet presAssocID="{01D729F2-685F-41C1-9A67-7E55B80DB88F}" presName="Name56" presStyleLbl="parChTrans1D2" presStyleIdx="2" presStyleCnt="5"/>
      <dgm:spPr/>
    </dgm:pt>
    <dgm:pt modelId="{2DDC71DB-E4CB-427E-81A7-C15B602DED8B}" type="pres">
      <dgm:prSet presAssocID="{669E2D90-DD56-417D-BF71-AC8CA52E4086}" presName="text0" presStyleLbl="node1" presStyleIdx="3" presStyleCnt="6">
        <dgm:presLayoutVars>
          <dgm:bulletEnabled val="1"/>
        </dgm:presLayoutVars>
      </dgm:prSet>
      <dgm:spPr/>
    </dgm:pt>
    <dgm:pt modelId="{051DEBB0-334C-4F14-8FBC-7A8A1511FFE2}" type="pres">
      <dgm:prSet presAssocID="{786323C3-26D6-42B0-A96C-413A219EE48F}" presName="Name56" presStyleLbl="parChTrans1D2" presStyleIdx="3" presStyleCnt="5"/>
      <dgm:spPr/>
    </dgm:pt>
    <dgm:pt modelId="{87FAFB55-0186-4718-B7D2-688BDE3C005C}" type="pres">
      <dgm:prSet presAssocID="{F302CF6C-176C-4142-8B30-06F5F7CF7AC7}" presName="text0" presStyleLbl="node1" presStyleIdx="4" presStyleCnt="6">
        <dgm:presLayoutVars>
          <dgm:bulletEnabled val="1"/>
        </dgm:presLayoutVars>
      </dgm:prSet>
      <dgm:spPr/>
    </dgm:pt>
    <dgm:pt modelId="{6CCB21A3-C402-4B87-9678-B3679F06D55E}" type="pres">
      <dgm:prSet presAssocID="{70C2E7EF-CD8A-401A-96DF-CD3742FC6BB9}" presName="Name56" presStyleLbl="parChTrans1D2" presStyleIdx="4" presStyleCnt="5"/>
      <dgm:spPr/>
    </dgm:pt>
    <dgm:pt modelId="{E4296359-1099-4ADB-8F8E-D742F4D712A8}" type="pres">
      <dgm:prSet presAssocID="{35303BC8-9266-4C34-BFC2-B606DD6E2DE2}" presName="text0" presStyleLbl="node1" presStyleIdx="5" presStyleCnt="6">
        <dgm:presLayoutVars>
          <dgm:bulletEnabled val="1"/>
        </dgm:presLayoutVars>
      </dgm:prSet>
      <dgm:spPr/>
    </dgm:pt>
  </dgm:ptLst>
  <dgm:cxnLst>
    <dgm:cxn modelId="{B95AC201-0908-4B36-913C-B9436EE3CDF0}" type="presOf" srcId="{01D729F2-685F-41C1-9A67-7E55B80DB88F}" destId="{92327B2E-87DE-403D-BDFC-E0840C4AACE3}" srcOrd="0" destOrd="0" presId="urn:microsoft.com/office/officeart/2008/layout/RadialCluster"/>
    <dgm:cxn modelId="{F9AC5710-DACB-47D7-8A39-28E096AB398E}" srcId="{79CB9BE6-35CE-4E8B-8691-EE5E7BE7C614}" destId="{35303BC8-9266-4C34-BFC2-B606DD6E2DE2}" srcOrd="4" destOrd="0" parTransId="{70C2E7EF-CD8A-401A-96DF-CD3742FC6BB9}" sibTransId="{F4E19B87-5B96-438E-B560-5941079D6F28}"/>
    <dgm:cxn modelId="{F0A02A1D-2B96-492A-8D41-80DD89B05104}" srcId="{1882ECA6-B8FF-4123-83B8-46EE988C6C5C}" destId="{79CB9BE6-35CE-4E8B-8691-EE5E7BE7C614}" srcOrd="0" destOrd="0" parTransId="{FF82B2DF-EEE0-48CE-BA5B-EA56576A246D}" sibTransId="{8DA7FE51-204C-4AC2-A3D5-4843F76F777A}"/>
    <dgm:cxn modelId="{929AC925-552D-48EC-8C3D-1C3C95B82775}" srcId="{79CB9BE6-35CE-4E8B-8691-EE5E7BE7C614}" destId="{63DDA3C3-7EDC-481E-BF0F-8BD38FD7317E}" srcOrd="0" destOrd="0" parTransId="{AEF276B1-F2D1-4222-AC48-3038AAD4AA9C}" sibTransId="{F6B07D0E-1770-4C68-8759-516557E183BD}"/>
    <dgm:cxn modelId="{C9620B3E-6A6D-48A6-BFB6-36E594CC03F4}" srcId="{79CB9BE6-35CE-4E8B-8691-EE5E7BE7C614}" destId="{F302CF6C-176C-4142-8B30-06F5F7CF7AC7}" srcOrd="3" destOrd="0" parTransId="{786323C3-26D6-42B0-A96C-413A219EE48F}" sibTransId="{AB66354C-10E4-4D2F-91CE-CE7B2EA90252}"/>
    <dgm:cxn modelId="{31861B42-AF40-4BA1-8CAB-F8509DEF5CD8}" srcId="{79CB9BE6-35CE-4E8B-8691-EE5E7BE7C614}" destId="{1FC73736-32CD-40BE-B916-34D79928511D}" srcOrd="1" destOrd="0" parTransId="{7467DB94-86D9-4541-B8E1-4CE7B58257EB}" sibTransId="{848C6A23-D076-4D84-B48B-FE85CB141011}"/>
    <dgm:cxn modelId="{58A68646-F282-412E-A61C-3D237226AB91}" type="presOf" srcId="{AEF276B1-F2D1-4222-AC48-3038AAD4AA9C}" destId="{86AB1E2C-BF26-4166-83C5-B74D614976B0}" srcOrd="0" destOrd="0" presId="urn:microsoft.com/office/officeart/2008/layout/RadialCluster"/>
    <dgm:cxn modelId="{3135FD66-AB54-41C6-A290-9D37D9F79277}" type="presOf" srcId="{79CB9BE6-35CE-4E8B-8691-EE5E7BE7C614}" destId="{48143A8C-E249-40CF-9C68-07ED75A142AF}" srcOrd="0" destOrd="0" presId="urn:microsoft.com/office/officeart/2008/layout/RadialCluster"/>
    <dgm:cxn modelId="{FE9B9469-55BF-45DE-AA85-A6BF9C057893}" type="presOf" srcId="{1882ECA6-B8FF-4123-83B8-46EE988C6C5C}" destId="{B72EB5FC-C5D2-4995-B7CC-59B356CDF685}" srcOrd="0" destOrd="0" presId="urn:microsoft.com/office/officeart/2008/layout/RadialCluster"/>
    <dgm:cxn modelId="{7EF03C53-7F70-4551-A69D-7CA77FA2CAB0}" type="presOf" srcId="{35303BC8-9266-4C34-BFC2-B606DD6E2DE2}" destId="{E4296359-1099-4ADB-8F8E-D742F4D712A8}" srcOrd="0" destOrd="0" presId="urn:microsoft.com/office/officeart/2008/layout/RadialCluster"/>
    <dgm:cxn modelId="{B097EC54-3397-45A1-BA97-46DCD6094F81}" type="presOf" srcId="{786323C3-26D6-42B0-A96C-413A219EE48F}" destId="{051DEBB0-334C-4F14-8FBC-7A8A1511FFE2}" srcOrd="0" destOrd="0" presId="urn:microsoft.com/office/officeart/2008/layout/RadialCluster"/>
    <dgm:cxn modelId="{76BE577B-F4ED-4D42-88FD-2DF4BF3B1B8E}" type="presOf" srcId="{1FC73736-32CD-40BE-B916-34D79928511D}" destId="{5872746A-6905-48AA-8BAA-FDB047D17C66}" srcOrd="0" destOrd="0" presId="urn:microsoft.com/office/officeart/2008/layout/RadialCluster"/>
    <dgm:cxn modelId="{12C9867C-DB0C-4DEE-8445-91A6211CFA1D}" type="presOf" srcId="{63DDA3C3-7EDC-481E-BF0F-8BD38FD7317E}" destId="{987F651E-114E-40FC-9FD2-F15A56F97231}" srcOrd="0" destOrd="0" presId="urn:microsoft.com/office/officeart/2008/layout/RadialCluster"/>
    <dgm:cxn modelId="{9DD3FD85-0F12-4353-96C1-F0644963D204}" type="presOf" srcId="{F302CF6C-176C-4142-8B30-06F5F7CF7AC7}" destId="{87FAFB55-0186-4718-B7D2-688BDE3C005C}" srcOrd="0" destOrd="0" presId="urn:microsoft.com/office/officeart/2008/layout/RadialCluster"/>
    <dgm:cxn modelId="{820874C6-17B7-4E62-BE8C-C21D85D90ECC}" type="presOf" srcId="{70C2E7EF-CD8A-401A-96DF-CD3742FC6BB9}" destId="{6CCB21A3-C402-4B87-9678-B3679F06D55E}" srcOrd="0" destOrd="0" presId="urn:microsoft.com/office/officeart/2008/layout/RadialCluster"/>
    <dgm:cxn modelId="{2A6890D4-FA6C-4D13-BCCE-6F0A9C9935B9}" type="presOf" srcId="{7467DB94-86D9-4541-B8E1-4CE7B58257EB}" destId="{C337EDC2-75E9-4A17-986A-1C0740491EAF}" srcOrd="0" destOrd="0" presId="urn:microsoft.com/office/officeart/2008/layout/RadialCluster"/>
    <dgm:cxn modelId="{236EF0E1-5C2E-4BB6-9F1B-217D9E673A8D}" srcId="{79CB9BE6-35CE-4E8B-8691-EE5E7BE7C614}" destId="{669E2D90-DD56-417D-BF71-AC8CA52E4086}" srcOrd="2" destOrd="0" parTransId="{01D729F2-685F-41C1-9A67-7E55B80DB88F}" sibTransId="{A720EF17-C294-4C08-9ACC-5836A048CE32}"/>
    <dgm:cxn modelId="{9662ABF5-EF55-4681-B1C9-A498ED0DECF5}" type="presOf" srcId="{669E2D90-DD56-417D-BF71-AC8CA52E4086}" destId="{2DDC71DB-E4CB-427E-81A7-C15B602DED8B}" srcOrd="0" destOrd="0" presId="urn:microsoft.com/office/officeart/2008/layout/RadialCluster"/>
    <dgm:cxn modelId="{2639E54D-7B60-4779-B1AD-8539F768788E}" type="presParOf" srcId="{B72EB5FC-C5D2-4995-B7CC-59B356CDF685}" destId="{1E78BA4F-019B-405B-88BD-6686591D8FD6}" srcOrd="0" destOrd="0" presId="urn:microsoft.com/office/officeart/2008/layout/RadialCluster"/>
    <dgm:cxn modelId="{73B3DBA6-4DA4-43F5-A81B-4902DDACB539}" type="presParOf" srcId="{1E78BA4F-019B-405B-88BD-6686591D8FD6}" destId="{48143A8C-E249-40CF-9C68-07ED75A142AF}" srcOrd="0" destOrd="0" presId="urn:microsoft.com/office/officeart/2008/layout/RadialCluster"/>
    <dgm:cxn modelId="{CDF40AB0-85FD-4B30-A13C-D2270E41EFBB}" type="presParOf" srcId="{1E78BA4F-019B-405B-88BD-6686591D8FD6}" destId="{86AB1E2C-BF26-4166-83C5-B74D614976B0}" srcOrd="1" destOrd="0" presId="urn:microsoft.com/office/officeart/2008/layout/RadialCluster"/>
    <dgm:cxn modelId="{EA146676-64DC-4C74-BD39-23BE78156653}" type="presParOf" srcId="{1E78BA4F-019B-405B-88BD-6686591D8FD6}" destId="{987F651E-114E-40FC-9FD2-F15A56F97231}" srcOrd="2" destOrd="0" presId="urn:microsoft.com/office/officeart/2008/layout/RadialCluster"/>
    <dgm:cxn modelId="{1EA6F2D2-4231-4F67-B627-698FA900D9AE}" type="presParOf" srcId="{1E78BA4F-019B-405B-88BD-6686591D8FD6}" destId="{C337EDC2-75E9-4A17-986A-1C0740491EAF}" srcOrd="3" destOrd="0" presId="urn:microsoft.com/office/officeart/2008/layout/RadialCluster"/>
    <dgm:cxn modelId="{2CE3C72A-F210-44D7-B035-5AD88DD44080}" type="presParOf" srcId="{1E78BA4F-019B-405B-88BD-6686591D8FD6}" destId="{5872746A-6905-48AA-8BAA-FDB047D17C66}" srcOrd="4" destOrd="0" presId="urn:microsoft.com/office/officeart/2008/layout/RadialCluster"/>
    <dgm:cxn modelId="{AE8463C5-076B-4B7E-AAFB-1FFBC4BA43DB}" type="presParOf" srcId="{1E78BA4F-019B-405B-88BD-6686591D8FD6}" destId="{92327B2E-87DE-403D-BDFC-E0840C4AACE3}" srcOrd="5" destOrd="0" presId="urn:microsoft.com/office/officeart/2008/layout/RadialCluster"/>
    <dgm:cxn modelId="{897D9003-CBED-488D-8045-063438F1F1A3}" type="presParOf" srcId="{1E78BA4F-019B-405B-88BD-6686591D8FD6}" destId="{2DDC71DB-E4CB-427E-81A7-C15B602DED8B}" srcOrd="6" destOrd="0" presId="urn:microsoft.com/office/officeart/2008/layout/RadialCluster"/>
    <dgm:cxn modelId="{B9562C98-3F86-4D83-957D-ACB455B5B8EF}" type="presParOf" srcId="{1E78BA4F-019B-405B-88BD-6686591D8FD6}" destId="{051DEBB0-334C-4F14-8FBC-7A8A1511FFE2}" srcOrd="7" destOrd="0" presId="urn:microsoft.com/office/officeart/2008/layout/RadialCluster"/>
    <dgm:cxn modelId="{06AFA3F7-2481-4BE9-82F3-0A39A0EC9D8B}" type="presParOf" srcId="{1E78BA4F-019B-405B-88BD-6686591D8FD6}" destId="{87FAFB55-0186-4718-B7D2-688BDE3C005C}" srcOrd="8" destOrd="0" presId="urn:microsoft.com/office/officeart/2008/layout/RadialCluster"/>
    <dgm:cxn modelId="{7661E4E4-2841-461F-9DD9-868310D2F691}" type="presParOf" srcId="{1E78BA4F-019B-405B-88BD-6686591D8FD6}" destId="{6CCB21A3-C402-4B87-9678-B3679F06D55E}" srcOrd="9" destOrd="0" presId="urn:microsoft.com/office/officeart/2008/layout/RadialCluster"/>
    <dgm:cxn modelId="{AF68890E-44EB-4E07-8648-6483E7B894C3}" type="presParOf" srcId="{1E78BA4F-019B-405B-88BD-6686591D8FD6}" destId="{E4296359-1099-4ADB-8F8E-D742F4D712A8}" srcOrd="10"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143A8C-E249-40CF-9C68-07ED75A142AF}">
      <dsp:nvSpPr>
        <dsp:cNvPr id="0" name=""/>
        <dsp:cNvSpPr/>
      </dsp:nvSpPr>
      <dsp:spPr>
        <a:xfrm>
          <a:off x="1927098" y="963107"/>
          <a:ext cx="740664" cy="74066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kern="1200">
              <a:latin typeface="Calibri" panose="020F0502020204030204"/>
              <a:ea typeface="+mn-ea"/>
              <a:cs typeface="+mn-cs"/>
            </a:rPr>
            <a:t>Hofstede's Cultural Dimensions</a:t>
          </a:r>
        </a:p>
      </dsp:txBody>
      <dsp:txXfrm>
        <a:off x="1963254" y="999263"/>
        <a:ext cx="668352" cy="668352"/>
      </dsp:txXfrm>
    </dsp:sp>
    <dsp:sp modelId="{86AB1E2C-BF26-4166-83C5-B74D614976B0}">
      <dsp:nvSpPr>
        <dsp:cNvPr id="0" name=""/>
        <dsp:cNvSpPr/>
      </dsp:nvSpPr>
      <dsp:spPr>
        <a:xfrm rot="16200000">
          <a:off x="2088288" y="753966"/>
          <a:ext cx="418282" cy="0"/>
        </a:xfrm>
        <a:custGeom>
          <a:avLst/>
          <a:gdLst/>
          <a:ahLst/>
          <a:cxnLst/>
          <a:rect l="0" t="0" r="0" b="0"/>
          <a:pathLst>
            <a:path>
              <a:moveTo>
                <a:pt x="0" y="0"/>
              </a:moveTo>
              <a:lnTo>
                <a:pt x="418282"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7F651E-114E-40FC-9FD2-F15A56F97231}">
      <dsp:nvSpPr>
        <dsp:cNvPr id="0" name=""/>
        <dsp:cNvSpPr/>
      </dsp:nvSpPr>
      <dsp:spPr>
        <a:xfrm>
          <a:off x="2049307" y="48580"/>
          <a:ext cx="496244" cy="49624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kern="1200">
              <a:latin typeface="Calibri" panose="020F0502020204030204"/>
              <a:ea typeface="+mn-ea"/>
              <a:cs typeface="+mn-cs"/>
            </a:rPr>
            <a:t>Power Distance</a:t>
          </a:r>
        </a:p>
      </dsp:txBody>
      <dsp:txXfrm>
        <a:off x="2073532" y="72805"/>
        <a:ext cx="447794" cy="447794"/>
      </dsp:txXfrm>
    </dsp:sp>
    <dsp:sp modelId="{C337EDC2-75E9-4A17-986A-1C0740491EAF}">
      <dsp:nvSpPr>
        <dsp:cNvPr id="0" name=""/>
        <dsp:cNvSpPr/>
      </dsp:nvSpPr>
      <dsp:spPr>
        <a:xfrm rot="20520000">
          <a:off x="2658304" y="1153400"/>
          <a:ext cx="386455" cy="0"/>
        </a:xfrm>
        <a:custGeom>
          <a:avLst/>
          <a:gdLst/>
          <a:ahLst/>
          <a:cxnLst/>
          <a:rect l="0" t="0" r="0" b="0"/>
          <a:pathLst>
            <a:path>
              <a:moveTo>
                <a:pt x="0" y="0"/>
              </a:moveTo>
              <a:lnTo>
                <a:pt x="386455"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72746A-6905-48AA-8BAA-FDB047D17C66}">
      <dsp:nvSpPr>
        <dsp:cNvPr id="0" name=""/>
        <dsp:cNvSpPr/>
      </dsp:nvSpPr>
      <dsp:spPr>
        <a:xfrm>
          <a:off x="3035302" y="764947"/>
          <a:ext cx="496244" cy="49624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266700">
            <a:lnSpc>
              <a:spcPct val="90000"/>
            </a:lnSpc>
            <a:spcBef>
              <a:spcPct val="0"/>
            </a:spcBef>
            <a:spcAft>
              <a:spcPct val="35000"/>
            </a:spcAft>
            <a:buNone/>
          </a:pPr>
          <a:r>
            <a:rPr lang="en-GB" sz="600" kern="1200">
              <a:latin typeface="Calibri" panose="020F0502020204030204"/>
              <a:ea typeface="+mn-ea"/>
              <a:cs typeface="+mn-cs"/>
            </a:rPr>
            <a:t>Individualism vs</a:t>
          </a:r>
        </a:p>
        <a:p>
          <a:pPr marL="0" lvl="0" indent="0" algn="ctr" defTabSz="266700">
            <a:lnSpc>
              <a:spcPct val="90000"/>
            </a:lnSpc>
            <a:spcBef>
              <a:spcPct val="0"/>
            </a:spcBef>
            <a:spcAft>
              <a:spcPct val="35000"/>
            </a:spcAft>
            <a:buNone/>
          </a:pPr>
          <a:r>
            <a:rPr lang="en-GB" sz="600" kern="1200">
              <a:latin typeface="Calibri" panose="020F0502020204030204"/>
              <a:ea typeface="+mn-ea"/>
              <a:cs typeface="+mn-cs"/>
            </a:rPr>
            <a:t>Collectivism </a:t>
          </a:r>
        </a:p>
        <a:p>
          <a:pPr marL="0" lvl="0" indent="0" algn="ctr" defTabSz="266700">
            <a:lnSpc>
              <a:spcPct val="90000"/>
            </a:lnSpc>
            <a:spcBef>
              <a:spcPct val="0"/>
            </a:spcBef>
            <a:spcAft>
              <a:spcPct val="35000"/>
            </a:spcAft>
            <a:buNone/>
          </a:pPr>
          <a:r>
            <a:rPr lang="en-GB" sz="600" kern="1200">
              <a:latin typeface="Calibri" panose="020F0502020204030204"/>
              <a:ea typeface="+mn-ea"/>
              <a:cs typeface="+mn-cs"/>
            </a:rPr>
            <a:t> </a:t>
          </a:r>
          <a:endParaRPr lang="en-US" sz="600" kern="1200">
            <a:latin typeface="Calibri" panose="020F0502020204030204"/>
            <a:ea typeface="+mn-ea"/>
            <a:cs typeface="+mn-cs"/>
          </a:endParaRPr>
        </a:p>
      </dsp:txBody>
      <dsp:txXfrm>
        <a:off x="3059527" y="789172"/>
        <a:ext cx="447794" cy="447794"/>
      </dsp:txXfrm>
    </dsp:sp>
    <dsp:sp modelId="{92327B2E-87DE-403D-BDFC-E0840C4AACE3}">
      <dsp:nvSpPr>
        <dsp:cNvPr id="0" name=""/>
        <dsp:cNvSpPr/>
      </dsp:nvSpPr>
      <dsp:spPr>
        <a:xfrm rot="3240000">
          <a:off x="2510372" y="1813913"/>
          <a:ext cx="272284" cy="0"/>
        </a:xfrm>
        <a:custGeom>
          <a:avLst/>
          <a:gdLst/>
          <a:ahLst/>
          <a:cxnLst/>
          <a:rect l="0" t="0" r="0" b="0"/>
          <a:pathLst>
            <a:path>
              <a:moveTo>
                <a:pt x="0" y="0"/>
              </a:moveTo>
              <a:lnTo>
                <a:pt x="272284"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DC71DB-E4CB-427E-81A7-C15B602DED8B}">
      <dsp:nvSpPr>
        <dsp:cNvPr id="0" name=""/>
        <dsp:cNvSpPr/>
      </dsp:nvSpPr>
      <dsp:spPr>
        <a:xfrm>
          <a:off x="2658686" y="1924054"/>
          <a:ext cx="496244" cy="49624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266700">
            <a:lnSpc>
              <a:spcPct val="90000"/>
            </a:lnSpc>
            <a:spcBef>
              <a:spcPct val="0"/>
            </a:spcBef>
            <a:spcAft>
              <a:spcPct val="35000"/>
            </a:spcAft>
            <a:buNone/>
          </a:pPr>
          <a:r>
            <a:rPr lang="en-US" sz="600" kern="1200">
              <a:latin typeface="Calibri" panose="020F0502020204030204"/>
              <a:ea typeface="+mn-ea"/>
              <a:cs typeface="+mn-cs"/>
            </a:rPr>
            <a:t>Uncertaibty Avoidance</a:t>
          </a:r>
        </a:p>
      </dsp:txBody>
      <dsp:txXfrm>
        <a:off x="2682911" y="1948279"/>
        <a:ext cx="447794" cy="447794"/>
      </dsp:txXfrm>
    </dsp:sp>
    <dsp:sp modelId="{051DEBB0-334C-4F14-8FBC-7A8A1511FFE2}">
      <dsp:nvSpPr>
        <dsp:cNvPr id="0" name=""/>
        <dsp:cNvSpPr/>
      </dsp:nvSpPr>
      <dsp:spPr>
        <a:xfrm rot="7560000">
          <a:off x="1812203" y="1813913"/>
          <a:ext cx="272284" cy="0"/>
        </a:xfrm>
        <a:custGeom>
          <a:avLst/>
          <a:gdLst/>
          <a:ahLst/>
          <a:cxnLst/>
          <a:rect l="0" t="0" r="0" b="0"/>
          <a:pathLst>
            <a:path>
              <a:moveTo>
                <a:pt x="0" y="0"/>
              </a:moveTo>
              <a:lnTo>
                <a:pt x="272284"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FAFB55-0186-4718-B7D2-688BDE3C005C}">
      <dsp:nvSpPr>
        <dsp:cNvPr id="0" name=""/>
        <dsp:cNvSpPr/>
      </dsp:nvSpPr>
      <dsp:spPr>
        <a:xfrm>
          <a:off x="1439929" y="1924054"/>
          <a:ext cx="496244" cy="49624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266700">
            <a:lnSpc>
              <a:spcPct val="90000"/>
            </a:lnSpc>
            <a:spcBef>
              <a:spcPct val="0"/>
            </a:spcBef>
            <a:spcAft>
              <a:spcPct val="35000"/>
            </a:spcAft>
            <a:buNone/>
          </a:pPr>
          <a:r>
            <a:rPr lang="en-US" sz="600" kern="1200">
              <a:latin typeface="Calibri" panose="020F0502020204030204"/>
              <a:ea typeface="+mn-ea"/>
              <a:cs typeface="+mn-cs"/>
            </a:rPr>
            <a:t>Masculinity vs </a:t>
          </a:r>
        </a:p>
        <a:p>
          <a:pPr marL="0" lvl="0" indent="0" algn="ctr" defTabSz="266700">
            <a:lnSpc>
              <a:spcPct val="90000"/>
            </a:lnSpc>
            <a:spcBef>
              <a:spcPct val="0"/>
            </a:spcBef>
            <a:spcAft>
              <a:spcPct val="35000"/>
            </a:spcAft>
            <a:buNone/>
          </a:pPr>
          <a:r>
            <a:rPr lang="en-US" sz="600" kern="1200">
              <a:latin typeface="Calibri" panose="020F0502020204030204"/>
              <a:ea typeface="+mn-ea"/>
              <a:cs typeface="+mn-cs"/>
            </a:rPr>
            <a:t>Feminity</a:t>
          </a:r>
        </a:p>
      </dsp:txBody>
      <dsp:txXfrm>
        <a:off x="1464154" y="1948279"/>
        <a:ext cx="447794" cy="447794"/>
      </dsp:txXfrm>
    </dsp:sp>
    <dsp:sp modelId="{6CCB21A3-C402-4B87-9678-B3679F06D55E}">
      <dsp:nvSpPr>
        <dsp:cNvPr id="0" name=""/>
        <dsp:cNvSpPr/>
      </dsp:nvSpPr>
      <dsp:spPr>
        <a:xfrm rot="11880000">
          <a:off x="1550099" y="1153400"/>
          <a:ext cx="386455" cy="0"/>
        </a:xfrm>
        <a:custGeom>
          <a:avLst/>
          <a:gdLst/>
          <a:ahLst/>
          <a:cxnLst/>
          <a:rect l="0" t="0" r="0" b="0"/>
          <a:pathLst>
            <a:path>
              <a:moveTo>
                <a:pt x="0" y="0"/>
              </a:moveTo>
              <a:lnTo>
                <a:pt x="386455" y="0"/>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296359-1099-4ADB-8F8E-D742F4D712A8}">
      <dsp:nvSpPr>
        <dsp:cNvPr id="0" name=""/>
        <dsp:cNvSpPr/>
      </dsp:nvSpPr>
      <dsp:spPr>
        <a:xfrm>
          <a:off x="1063312" y="764947"/>
          <a:ext cx="496244" cy="49624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266700">
            <a:lnSpc>
              <a:spcPct val="90000"/>
            </a:lnSpc>
            <a:spcBef>
              <a:spcPct val="0"/>
            </a:spcBef>
            <a:spcAft>
              <a:spcPct val="35000"/>
            </a:spcAft>
            <a:buNone/>
          </a:pPr>
          <a:r>
            <a:rPr lang="en-US" sz="600" kern="1200">
              <a:latin typeface="Calibri" panose="020F0502020204030204"/>
              <a:ea typeface="+mn-ea"/>
              <a:cs typeface="+mn-cs"/>
            </a:rPr>
            <a:t>Long Term Orientation</a:t>
          </a:r>
        </a:p>
      </dsp:txBody>
      <dsp:txXfrm>
        <a:off x="1087537" y="789172"/>
        <a:ext cx="447794" cy="447794"/>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4DC3B-3C6B-4E36-852E-164D7F1B3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Nikolay Petkov</cp:lastModifiedBy>
  <cp:revision>111</cp:revision>
  <dcterms:created xsi:type="dcterms:W3CDTF">2022-11-03T14:55:00Z</dcterms:created>
  <dcterms:modified xsi:type="dcterms:W3CDTF">2023-01-08T10:09:00Z</dcterms:modified>
</cp:coreProperties>
</file>