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02F47" w14:textId="77777777" w:rsidR="001B3FC9" w:rsidRPr="00294880" w:rsidRDefault="001B3FC9">
      <w:pPr>
        <w:spacing w:line="360" w:lineRule="auto"/>
        <w:jc w:val="center"/>
        <w:rPr>
          <w:rFonts w:ascii="Times New Roman" w:eastAsia="Times New Roman" w:hAnsi="Times New Roman" w:cs="Times New Roman"/>
          <w:b/>
          <w:sz w:val="32"/>
          <w:szCs w:val="32"/>
        </w:rPr>
      </w:pPr>
    </w:p>
    <w:p w14:paraId="59AD36CE" w14:textId="77777777" w:rsidR="001B3FC9" w:rsidRPr="00294880" w:rsidRDefault="001B3FC9">
      <w:pPr>
        <w:spacing w:line="360" w:lineRule="auto"/>
        <w:jc w:val="center"/>
        <w:rPr>
          <w:rFonts w:ascii="Times New Roman" w:eastAsia="Times New Roman" w:hAnsi="Times New Roman" w:cs="Times New Roman"/>
          <w:b/>
          <w:sz w:val="32"/>
          <w:szCs w:val="32"/>
        </w:rPr>
      </w:pPr>
    </w:p>
    <w:p w14:paraId="0CC58A8C" w14:textId="77777777" w:rsidR="001B3FC9" w:rsidRPr="00294880" w:rsidRDefault="001B3FC9">
      <w:pPr>
        <w:spacing w:line="360" w:lineRule="auto"/>
        <w:jc w:val="center"/>
        <w:rPr>
          <w:rFonts w:ascii="Times New Roman" w:eastAsia="Times New Roman" w:hAnsi="Times New Roman" w:cs="Times New Roman"/>
          <w:b/>
          <w:sz w:val="32"/>
          <w:szCs w:val="32"/>
        </w:rPr>
      </w:pPr>
    </w:p>
    <w:p w14:paraId="4A78A12A" w14:textId="77777777" w:rsidR="001B3FC9" w:rsidRPr="00294880" w:rsidRDefault="001B3FC9">
      <w:pPr>
        <w:spacing w:line="360" w:lineRule="auto"/>
        <w:jc w:val="center"/>
        <w:rPr>
          <w:rFonts w:ascii="Times New Roman" w:eastAsia="Times New Roman" w:hAnsi="Times New Roman" w:cs="Times New Roman"/>
          <w:b/>
          <w:sz w:val="32"/>
          <w:szCs w:val="32"/>
        </w:rPr>
      </w:pPr>
    </w:p>
    <w:p w14:paraId="6E5B9328" w14:textId="77777777" w:rsidR="001B3FC9" w:rsidRPr="00294880" w:rsidRDefault="001B3FC9">
      <w:pPr>
        <w:spacing w:line="360" w:lineRule="auto"/>
        <w:jc w:val="center"/>
        <w:rPr>
          <w:rFonts w:ascii="Times New Roman" w:eastAsia="Times New Roman" w:hAnsi="Times New Roman" w:cs="Times New Roman"/>
          <w:b/>
          <w:sz w:val="32"/>
          <w:szCs w:val="32"/>
        </w:rPr>
      </w:pPr>
    </w:p>
    <w:p w14:paraId="310590E9" w14:textId="77777777" w:rsidR="001B3FC9" w:rsidRPr="00294880" w:rsidRDefault="001B3FC9">
      <w:pPr>
        <w:spacing w:line="360" w:lineRule="auto"/>
        <w:jc w:val="center"/>
        <w:rPr>
          <w:rFonts w:ascii="Times New Roman" w:eastAsia="Times New Roman" w:hAnsi="Times New Roman" w:cs="Times New Roman"/>
          <w:b/>
          <w:sz w:val="32"/>
          <w:szCs w:val="32"/>
        </w:rPr>
      </w:pPr>
    </w:p>
    <w:p w14:paraId="18F2653C" w14:textId="77777777" w:rsidR="001B3FC9" w:rsidRPr="00294880" w:rsidRDefault="001B3FC9">
      <w:pPr>
        <w:spacing w:line="360" w:lineRule="auto"/>
        <w:jc w:val="center"/>
        <w:rPr>
          <w:rFonts w:ascii="Times New Roman" w:eastAsia="Times New Roman" w:hAnsi="Times New Roman" w:cs="Times New Roman"/>
          <w:b/>
          <w:sz w:val="32"/>
          <w:szCs w:val="32"/>
        </w:rPr>
      </w:pPr>
    </w:p>
    <w:p w14:paraId="102F4875" w14:textId="77777777" w:rsidR="001B3FC9" w:rsidRPr="00294880" w:rsidRDefault="001B3FC9">
      <w:pPr>
        <w:spacing w:line="360" w:lineRule="auto"/>
        <w:jc w:val="center"/>
        <w:rPr>
          <w:rFonts w:ascii="Times New Roman" w:eastAsia="Times New Roman" w:hAnsi="Times New Roman" w:cs="Times New Roman"/>
          <w:b/>
          <w:sz w:val="32"/>
          <w:szCs w:val="32"/>
        </w:rPr>
      </w:pPr>
    </w:p>
    <w:p w14:paraId="32819677" w14:textId="77777777" w:rsidR="001B3FC9" w:rsidRPr="00294880" w:rsidRDefault="001B3FC9">
      <w:pPr>
        <w:spacing w:line="360" w:lineRule="auto"/>
        <w:jc w:val="center"/>
        <w:rPr>
          <w:rFonts w:ascii="Times New Roman" w:eastAsia="Times New Roman" w:hAnsi="Times New Roman" w:cs="Times New Roman"/>
          <w:b/>
          <w:sz w:val="32"/>
          <w:szCs w:val="32"/>
        </w:rPr>
      </w:pPr>
    </w:p>
    <w:p w14:paraId="642F96B0" w14:textId="02D14CF2" w:rsidR="001B3FC9" w:rsidRDefault="009316A4">
      <w:pPr>
        <w:spacing w:line="360" w:lineRule="auto"/>
        <w:jc w:val="center"/>
        <w:rPr>
          <w:rFonts w:ascii="Times New Roman" w:eastAsia="Times New Roman" w:hAnsi="Times New Roman" w:cs="Times New Roman"/>
          <w:b/>
          <w:sz w:val="32"/>
          <w:szCs w:val="32"/>
        </w:rPr>
      </w:pPr>
      <w:r w:rsidRPr="00294880">
        <w:rPr>
          <w:rFonts w:ascii="Times New Roman" w:eastAsia="Times New Roman" w:hAnsi="Times New Roman" w:cs="Times New Roman"/>
          <w:b/>
          <w:sz w:val="32"/>
          <w:szCs w:val="32"/>
        </w:rPr>
        <w:t>A comparison of the marketing methods of two multinational hotel brand</w:t>
      </w:r>
    </w:p>
    <w:p w14:paraId="28112530" w14:textId="652D9A8F" w:rsidR="0005030B" w:rsidRPr="00294880" w:rsidRDefault="0005030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Six Senses and Holiday Inn </w:t>
      </w:r>
    </w:p>
    <w:p w14:paraId="581041EB" w14:textId="60AA1535" w:rsidR="001B3FC9" w:rsidRPr="00294880" w:rsidRDefault="001B3FC9" w:rsidP="001B3FC9">
      <w:pPr>
        <w:spacing w:line="360" w:lineRule="auto"/>
        <w:jc w:val="center"/>
        <w:rPr>
          <w:rFonts w:ascii="Times New Roman" w:hAnsi="Times New Roman" w:cs="Times New Roman"/>
          <w:b/>
          <w:bCs/>
          <w:sz w:val="28"/>
          <w:szCs w:val="28"/>
        </w:rPr>
      </w:pPr>
      <w:proofErr w:type="spellStart"/>
      <w:proofErr w:type="gramStart"/>
      <w:r w:rsidRPr="00294880">
        <w:rPr>
          <w:rFonts w:ascii="Times New Roman" w:hAnsi="Times New Roman" w:cs="Times New Roman"/>
          <w:b/>
          <w:bCs/>
          <w:sz w:val="28"/>
          <w:szCs w:val="28"/>
        </w:rPr>
        <w:t>Name:</w:t>
      </w:r>
      <w:r w:rsidR="0005030B">
        <w:rPr>
          <w:rFonts w:ascii="Times New Roman" w:hAnsi="Times New Roman" w:cs="Times New Roman"/>
          <w:b/>
          <w:bCs/>
          <w:sz w:val="28"/>
          <w:szCs w:val="28"/>
        </w:rPr>
        <w:t>Mario</w:t>
      </w:r>
      <w:proofErr w:type="spellEnd"/>
      <w:proofErr w:type="gramEnd"/>
      <w:r w:rsidR="0005030B">
        <w:rPr>
          <w:rFonts w:ascii="Times New Roman" w:hAnsi="Times New Roman" w:cs="Times New Roman"/>
          <w:b/>
          <w:bCs/>
          <w:sz w:val="28"/>
          <w:szCs w:val="28"/>
        </w:rPr>
        <w:t xml:space="preserve"> Nicolas Gheorghe</w:t>
      </w:r>
    </w:p>
    <w:p w14:paraId="02BDBAF4" w14:textId="6FEFF89B" w:rsidR="001B3FC9" w:rsidRPr="00294880" w:rsidRDefault="001B3FC9" w:rsidP="001B3FC9">
      <w:pPr>
        <w:spacing w:line="360" w:lineRule="auto"/>
        <w:jc w:val="center"/>
        <w:rPr>
          <w:rFonts w:ascii="Times New Roman" w:hAnsi="Times New Roman" w:cs="Times New Roman"/>
          <w:b/>
          <w:bCs/>
          <w:sz w:val="28"/>
          <w:szCs w:val="28"/>
        </w:rPr>
      </w:pPr>
      <w:r w:rsidRPr="00294880">
        <w:rPr>
          <w:rFonts w:ascii="Times New Roman" w:hAnsi="Times New Roman" w:cs="Times New Roman"/>
          <w:b/>
          <w:bCs/>
          <w:sz w:val="28"/>
          <w:szCs w:val="28"/>
        </w:rPr>
        <w:t>Student ID number:</w:t>
      </w:r>
      <w:r w:rsidR="0005030B">
        <w:rPr>
          <w:rFonts w:ascii="Times New Roman" w:hAnsi="Times New Roman" w:cs="Times New Roman"/>
          <w:b/>
          <w:bCs/>
          <w:sz w:val="28"/>
          <w:szCs w:val="28"/>
        </w:rPr>
        <w:t>2241875</w:t>
      </w:r>
    </w:p>
    <w:p w14:paraId="43B9C94E" w14:textId="4668A151" w:rsidR="001B3FC9" w:rsidRPr="00294880" w:rsidRDefault="001B3FC9" w:rsidP="001B3FC9">
      <w:pPr>
        <w:spacing w:line="360" w:lineRule="auto"/>
        <w:jc w:val="center"/>
        <w:rPr>
          <w:rFonts w:ascii="Times New Roman" w:hAnsi="Times New Roman" w:cs="Times New Roman"/>
          <w:b/>
          <w:bCs/>
          <w:sz w:val="28"/>
          <w:szCs w:val="28"/>
        </w:rPr>
      </w:pPr>
      <w:r w:rsidRPr="00294880">
        <w:rPr>
          <w:rFonts w:ascii="Times New Roman" w:hAnsi="Times New Roman" w:cs="Times New Roman"/>
          <w:b/>
          <w:bCs/>
          <w:sz w:val="28"/>
          <w:szCs w:val="28"/>
        </w:rPr>
        <w:t xml:space="preserve">Module </w:t>
      </w:r>
      <w:proofErr w:type="spellStart"/>
      <w:proofErr w:type="gramStart"/>
      <w:r w:rsidRPr="00294880">
        <w:rPr>
          <w:rFonts w:ascii="Times New Roman" w:hAnsi="Times New Roman" w:cs="Times New Roman"/>
          <w:b/>
          <w:bCs/>
          <w:sz w:val="28"/>
          <w:szCs w:val="28"/>
        </w:rPr>
        <w:t>title:</w:t>
      </w:r>
      <w:r w:rsidR="0005030B">
        <w:rPr>
          <w:rFonts w:ascii="Times New Roman" w:hAnsi="Times New Roman" w:cs="Times New Roman"/>
          <w:b/>
          <w:bCs/>
          <w:sz w:val="28"/>
          <w:szCs w:val="28"/>
        </w:rPr>
        <w:t>Marketing</w:t>
      </w:r>
      <w:proofErr w:type="spellEnd"/>
      <w:proofErr w:type="gramEnd"/>
      <w:r w:rsidR="0005030B">
        <w:rPr>
          <w:rFonts w:ascii="Times New Roman" w:hAnsi="Times New Roman" w:cs="Times New Roman"/>
          <w:b/>
          <w:bCs/>
          <w:sz w:val="28"/>
          <w:szCs w:val="28"/>
        </w:rPr>
        <w:t xml:space="preserve"> Essentials BMIH4005</w:t>
      </w:r>
    </w:p>
    <w:p w14:paraId="496C84B0" w14:textId="48CAEFF6" w:rsidR="001B3FC9" w:rsidRPr="00294880" w:rsidRDefault="001B3FC9" w:rsidP="001B3FC9">
      <w:pPr>
        <w:spacing w:line="360" w:lineRule="auto"/>
        <w:jc w:val="center"/>
        <w:rPr>
          <w:rFonts w:ascii="Times New Roman" w:hAnsi="Times New Roman" w:cs="Times New Roman"/>
          <w:b/>
          <w:bCs/>
          <w:sz w:val="28"/>
          <w:szCs w:val="28"/>
        </w:rPr>
      </w:pPr>
      <w:r w:rsidRPr="00294880">
        <w:rPr>
          <w:rFonts w:ascii="Times New Roman" w:hAnsi="Times New Roman" w:cs="Times New Roman"/>
          <w:b/>
          <w:bCs/>
          <w:sz w:val="28"/>
          <w:szCs w:val="28"/>
        </w:rPr>
        <w:t>Lecturer’s name:</w:t>
      </w:r>
      <w:r w:rsidR="0005030B">
        <w:rPr>
          <w:rFonts w:ascii="Times New Roman" w:hAnsi="Times New Roman" w:cs="Times New Roman"/>
          <w:b/>
          <w:bCs/>
          <w:sz w:val="28"/>
          <w:szCs w:val="28"/>
        </w:rPr>
        <w:t>|Scott James</w:t>
      </w:r>
    </w:p>
    <w:p w14:paraId="00000001" w14:textId="18CCC5E9" w:rsidR="00A61174" w:rsidRPr="00294880" w:rsidRDefault="001B3FC9" w:rsidP="001B3FC9">
      <w:pPr>
        <w:spacing w:line="360" w:lineRule="auto"/>
        <w:jc w:val="center"/>
        <w:rPr>
          <w:rFonts w:ascii="Times New Roman" w:eastAsia="Times New Roman" w:hAnsi="Times New Roman" w:cs="Times New Roman"/>
          <w:b/>
          <w:sz w:val="32"/>
          <w:szCs w:val="32"/>
        </w:rPr>
      </w:pPr>
      <w:r w:rsidRPr="00294880">
        <w:rPr>
          <w:rFonts w:ascii="Times New Roman" w:hAnsi="Times New Roman" w:cs="Times New Roman"/>
          <w:b/>
          <w:bCs/>
          <w:sz w:val="28"/>
          <w:szCs w:val="28"/>
        </w:rPr>
        <w:t>Word Count: 1560</w:t>
      </w:r>
      <w:r w:rsidR="009316A4" w:rsidRPr="00294880">
        <w:br w:type="page"/>
      </w:r>
    </w:p>
    <w:p w14:paraId="00000002" w14:textId="77777777" w:rsidR="00A61174" w:rsidRPr="00294880" w:rsidRDefault="009316A4">
      <w:pPr>
        <w:spacing w:line="360" w:lineRule="auto"/>
        <w:jc w:val="both"/>
        <w:rPr>
          <w:rFonts w:ascii="Times New Roman" w:eastAsia="Times New Roman" w:hAnsi="Times New Roman" w:cs="Times New Roman"/>
          <w:b/>
          <w:sz w:val="28"/>
          <w:szCs w:val="28"/>
        </w:rPr>
      </w:pPr>
      <w:r w:rsidRPr="00294880">
        <w:rPr>
          <w:rFonts w:ascii="Times New Roman" w:eastAsia="Times New Roman" w:hAnsi="Times New Roman" w:cs="Times New Roman"/>
          <w:b/>
          <w:sz w:val="28"/>
          <w:szCs w:val="28"/>
        </w:rPr>
        <w:lastRenderedPageBreak/>
        <w:t>Introduction</w:t>
      </w:r>
    </w:p>
    <w:p w14:paraId="00000003" w14:textId="77777777" w:rsidR="00A61174" w:rsidRPr="00294880" w:rsidRDefault="009316A4">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The Six Senses brand has a particular focus on offering exclusive and luxurious hospitality amenities including top-notch resorts, wellness spas and highly-rated hotels. This particular brand has gained recognition for its one-of-a-kind fashion that is both genuine, individual and environmentally friendly. Holiday Inn, which originated in Memphis, Tennessee, in 1952, was established by Kemmons Wilson and Wallace Johnson as a series of hotels across America. With over 2,650 hotels spanning the US, the company achieved significant growth and established itself as a prominent and widely known name in the American hospitality industry. Using a variety of analytical frameworks such as Pestle, Swot, Marketing Mix and STP, this essay will undertake a comparative analysis of Six Senses and Holiday Inn.</w:t>
      </w:r>
    </w:p>
    <w:p w14:paraId="00FEED72" w14:textId="50630E5B" w:rsidR="002C175C" w:rsidRPr="00294880" w:rsidRDefault="002C175C" w:rsidP="002C175C">
      <w:pPr>
        <w:spacing w:line="360" w:lineRule="auto"/>
        <w:jc w:val="both"/>
        <w:rPr>
          <w:rFonts w:ascii="Times New Roman" w:eastAsia="Times New Roman" w:hAnsi="Times New Roman" w:cs="Times New Roman"/>
          <w:b/>
          <w:sz w:val="28"/>
          <w:szCs w:val="28"/>
        </w:rPr>
      </w:pPr>
      <w:r w:rsidRPr="00294880">
        <w:rPr>
          <w:rFonts w:ascii="Times New Roman" w:eastAsia="Times New Roman" w:hAnsi="Times New Roman" w:cs="Times New Roman"/>
          <w:b/>
          <w:sz w:val="28"/>
          <w:szCs w:val="28"/>
        </w:rPr>
        <w:t>Comparing the marketing methods and strategy of two multinational hotel</w:t>
      </w:r>
    </w:p>
    <w:p w14:paraId="7CF167CC" w14:textId="54280853" w:rsidR="002C175C" w:rsidRPr="00294880" w:rsidRDefault="002C175C" w:rsidP="002C175C">
      <w:pPr>
        <w:spacing w:line="360" w:lineRule="auto"/>
        <w:jc w:val="both"/>
        <w:rPr>
          <w:rFonts w:ascii="Times New Roman" w:eastAsia="Times New Roman" w:hAnsi="Times New Roman" w:cs="Times New Roman"/>
          <w:b/>
          <w:sz w:val="28"/>
          <w:szCs w:val="28"/>
        </w:rPr>
      </w:pPr>
      <w:r w:rsidRPr="00294880">
        <w:rPr>
          <w:rFonts w:ascii="Times New Roman" w:eastAsia="Times New Roman" w:hAnsi="Times New Roman" w:cs="Times New Roman"/>
          <w:b/>
          <w:sz w:val="28"/>
          <w:szCs w:val="28"/>
        </w:rPr>
        <w:t>brands</w:t>
      </w:r>
    </w:p>
    <w:p w14:paraId="00000005" w14:textId="2F702969" w:rsidR="00A61174" w:rsidRPr="00294880" w:rsidRDefault="009316A4" w:rsidP="002C175C">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The hospitality industry</w:t>
      </w:r>
      <w:r w:rsidR="001B3FC9" w:rsidRPr="00294880">
        <w:rPr>
          <w:rFonts w:ascii="Times New Roman" w:eastAsia="Times New Roman" w:hAnsi="Times New Roman" w:cs="Times New Roman"/>
          <w:bCs/>
          <w:sz w:val="24"/>
          <w:szCs w:val="24"/>
        </w:rPr>
        <w:t>’</w:t>
      </w:r>
      <w:r w:rsidRPr="00294880">
        <w:rPr>
          <w:rFonts w:ascii="Times New Roman" w:eastAsia="Times New Roman" w:hAnsi="Times New Roman" w:cs="Times New Roman"/>
          <w:bCs/>
          <w:sz w:val="24"/>
          <w:szCs w:val="24"/>
        </w:rPr>
        <w:t xml:space="preserve">s growth and success </w:t>
      </w:r>
      <w:r w:rsidR="001B3FC9" w:rsidRPr="00294880">
        <w:rPr>
          <w:rFonts w:ascii="Times New Roman" w:eastAsia="Times New Roman" w:hAnsi="Times New Roman" w:cs="Times New Roman"/>
          <w:bCs/>
          <w:sz w:val="24"/>
          <w:szCs w:val="24"/>
        </w:rPr>
        <w:t>hea</w:t>
      </w:r>
      <w:r w:rsidRPr="00294880">
        <w:rPr>
          <w:rFonts w:ascii="Times New Roman" w:eastAsia="Times New Roman" w:hAnsi="Times New Roman" w:cs="Times New Roman"/>
          <w:bCs/>
          <w:sz w:val="24"/>
          <w:szCs w:val="24"/>
        </w:rPr>
        <w:t>vily rely on the influence of the political environment (Jobber and Ellis-Chadwick, 2020). A government that is reliable in supporting the industry can enhance numerous prospects for development. The US government acknowledges the income generated by tourism in the hospitality sector and provides assistance for its growth.</w:t>
      </w:r>
    </w:p>
    <w:p w14:paraId="00000006" w14:textId="75A65D0F"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The economic factor involves various elements including the degree of taxation, inflation rates, trade balance, currency exchange rates, unemployment rates, interest costs and the accessibility of financial resources. Several variables have the potential to affect the progress and advancement of the hospitality sector</w:t>
      </w:r>
      <w:r w:rsidR="00A820BB">
        <w:rPr>
          <w:rFonts w:ascii="Times New Roman" w:eastAsia="Times New Roman" w:hAnsi="Times New Roman" w:cs="Times New Roman"/>
          <w:bCs/>
          <w:sz w:val="24"/>
          <w:szCs w:val="24"/>
        </w:rPr>
        <w:t xml:space="preserve"> [Refer to appendix 2]</w:t>
      </w:r>
      <w:r w:rsidRPr="00294880">
        <w:rPr>
          <w:rFonts w:ascii="Times New Roman" w:eastAsia="Times New Roman" w:hAnsi="Times New Roman" w:cs="Times New Roman"/>
          <w:bCs/>
          <w:sz w:val="24"/>
          <w:szCs w:val="24"/>
        </w:rPr>
        <w:t>. An economic decline may result in decreased purchasing power among individuals, resulting in underperformance within the hospitality sector, especially in areas such as tourism and hotels.</w:t>
      </w:r>
    </w:p>
    <w:p w14:paraId="00000007"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The hospitality industry can be significantly influenced by aspects of society such as population characteristics, cultural shifts and individual choices in living (Bowie et al. 2017). Older demographics may demand alternative services and provisions in contrast to younger age groups. Moreover, the surge in health-conscious individuals has resulted in a greater need for hotels and amenities that prioritize wellness.</w:t>
      </w:r>
    </w:p>
    <w:p w14:paraId="00000008"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The hospitality industry can leverage technological progress to optimize operations, elevate customer satisfaction and introduce unique offerings (Smith &amp; Zook, 2020). Hotels can leverage technology to simplify the check-in procedures, offer customized recommendations and adopt eco-</w:t>
      </w:r>
      <w:r w:rsidRPr="00294880">
        <w:rPr>
          <w:rFonts w:ascii="Times New Roman" w:eastAsia="Times New Roman" w:hAnsi="Times New Roman" w:cs="Times New Roman"/>
          <w:bCs/>
          <w:sz w:val="24"/>
          <w:szCs w:val="24"/>
        </w:rPr>
        <w:lastRenderedPageBreak/>
        <w:t>friendly practices as well. The rapid technological advancements require the industry to embrace changes in order to maintain competitiveness.</w:t>
      </w:r>
    </w:p>
    <w:p w14:paraId="00000009" w14:textId="1861B948"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The functioning of the hospitality sector can be influenced by legal elements such as laws and regulations. Examples of factors that can impact the way hotels and other </w:t>
      </w:r>
      <w:r w:rsidR="001B3FC9" w:rsidRPr="00294880">
        <w:rPr>
          <w:rFonts w:ascii="Times New Roman" w:eastAsia="Times New Roman" w:hAnsi="Times New Roman" w:cs="Times New Roman"/>
          <w:bCs/>
          <w:sz w:val="24"/>
          <w:szCs w:val="24"/>
        </w:rPr>
        <w:t>business’s</w:t>
      </w:r>
      <w:r w:rsidRPr="00294880">
        <w:rPr>
          <w:rFonts w:ascii="Times New Roman" w:eastAsia="Times New Roman" w:hAnsi="Times New Roman" w:cs="Times New Roman"/>
          <w:bCs/>
          <w:sz w:val="24"/>
          <w:szCs w:val="24"/>
        </w:rPr>
        <w:t xml:space="preserve"> function include regulations pertaining to </w:t>
      </w:r>
      <w:r w:rsidR="001B3FC9" w:rsidRPr="00294880">
        <w:rPr>
          <w:rFonts w:ascii="Times New Roman" w:eastAsia="Times New Roman" w:hAnsi="Times New Roman" w:cs="Times New Roman"/>
          <w:bCs/>
          <w:sz w:val="24"/>
          <w:szCs w:val="24"/>
        </w:rPr>
        <w:t>labour</w:t>
      </w:r>
      <w:r w:rsidRPr="00294880">
        <w:rPr>
          <w:rFonts w:ascii="Times New Roman" w:eastAsia="Times New Roman" w:hAnsi="Times New Roman" w:cs="Times New Roman"/>
          <w:bCs/>
          <w:sz w:val="24"/>
          <w:szCs w:val="24"/>
        </w:rPr>
        <w:t xml:space="preserve"> as well as those related to health and safety and zoning restrictions. Furthermore, the sector is obligated to conform to a range of regulations concerning securing the rights of customers and ensuring the confidentiality of their information.</w:t>
      </w:r>
    </w:p>
    <w:p w14:paraId="0000000A"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The hospitality industry may be impacted by environmental factors like climate change and weather patterns (Kotler et al. 2020). Adverse weather conditions have the potential to dissuade tourists and reduce the need for certain amenities. Hotels are facing mounting pressure from both governments and environmental activists to reduce their carbon emissions and implement eco-friendly methods.</w:t>
      </w:r>
    </w:p>
    <w:p w14:paraId="0000000B" w14:textId="0381B1C2"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Six senses </w:t>
      </w:r>
      <w:r w:rsidR="001B3FC9" w:rsidRPr="00294880">
        <w:rPr>
          <w:rFonts w:ascii="Times New Roman" w:eastAsia="Times New Roman" w:hAnsi="Times New Roman" w:cs="Times New Roman"/>
          <w:bCs/>
          <w:sz w:val="24"/>
          <w:szCs w:val="24"/>
        </w:rPr>
        <w:t>stand</w:t>
      </w:r>
      <w:r w:rsidRPr="00294880">
        <w:rPr>
          <w:rFonts w:ascii="Times New Roman" w:eastAsia="Times New Roman" w:hAnsi="Times New Roman" w:cs="Times New Roman"/>
          <w:bCs/>
          <w:sz w:val="24"/>
          <w:szCs w:val="24"/>
        </w:rPr>
        <w:t xml:space="preserve"> out with their distinctive approach, emphasis on sustainability and luxury accommodations with spas (Clow &amp; Baack, 2013). In contrast, Holiday Inn possesses outstanding brand awareness and a solid reputation, possessing numerous global locations with diverse lodging alternatives, encompassing hotels and resorts</w:t>
      </w:r>
      <w:r w:rsidR="00A820BB">
        <w:rPr>
          <w:rFonts w:ascii="Times New Roman" w:eastAsia="Times New Roman" w:hAnsi="Times New Roman" w:cs="Times New Roman"/>
          <w:bCs/>
          <w:sz w:val="24"/>
          <w:szCs w:val="24"/>
        </w:rPr>
        <w:t>, t</w:t>
      </w:r>
      <w:r w:rsidRPr="00294880">
        <w:rPr>
          <w:rFonts w:ascii="Times New Roman" w:eastAsia="Times New Roman" w:hAnsi="Times New Roman" w:cs="Times New Roman"/>
          <w:bCs/>
          <w:sz w:val="24"/>
          <w:szCs w:val="24"/>
        </w:rPr>
        <w:t>hese are their strengths</w:t>
      </w:r>
      <w:r w:rsidR="00A820BB">
        <w:rPr>
          <w:rFonts w:ascii="Times New Roman" w:eastAsia="Times New Roman" w:hAnsi="Times New Roman" w:cs="Times New Roman"/>
          <w:bCs/>
          <w:sz w:val="24"/>
          <w:szCs w:val="24"/>
        </w:rPr>
        <w:t xml:space="preserve"> [Refer to appendix 3]</w:t>
      </w:r>
      <w:r w:rsidRPr="00294880">
        <w:rPr>
          <w:rFonts w:ascii="Times New Roman" w:eastAsia="Times New Roman" w:hAnsi="Times New Roman" w:cs="Times New Roman"/>
          <w:bCs/>
          <w:sz w:val="24"/>
          <w:szCs w:val="24"/>
        </w:rPr>
        <w:t>.</w:t>
      </w:r>
    </w:p>
    <w:p w14:paraId="0000000C" w14:textId="38C00C33"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Six senses may have a relatively limited customer base due to their high pricing and limited locations when contrasted with larger hotel chains. On the other hand, Holiday Inn might be viewed as a conventional and uninvolved hotel chain that does not prioritize luxurious or high-end offerings</w:t>
      </w:r>
      <w:r w:rsidR="002C175C" w:rsidRPr="00294880">
        <w:rPr>
          <w:rFonts w:ascii="Times New Roman" w:eastAsia="Times New Roman" w:hAnsi="Times New Roman" w:cs="Times New Roman"/>
          <w:bCs/>
          <w:sz w:val="24"/>
          <w:szCs w:val="24"/>
        </w:rPr>
        <w:t xml:space="preserve"> and t</w:t>
      </w:r>
      <w:r w:rsidRPr="00294880">
        <w:rPr>
          <w:rFonts w:ascii="Times New Roman" w:eastAsia="Times New Roman" w:hAnsi="Times New Roman" w:cs="Times New Roman"/>
          <w:bCs/>
          <w:sz w:val="24"/>
          <w:szCs w:val="24"/>
        </w:rPr>
        <w:t>hese are their weaknesses.</w:t>
      </w:r>
    </w:p>
    <w:p w14:paraId="0000000D" w14:textId="590B72BE"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Both Six Senses and Holiday Inn are presented with the chance to enter new markets and meet the increasing demand for sustainable tourism</w:t>
      </w:r>
      <w:r w:rsidR="00A820BB">
        <w:rPr>
          <w:rFonts w:ascii="Times New Roman" w:eastAsia="Times New Roman" w:hAnsi="Times New Roman" w:cs="Times New Roman"/>
          <w:bCs/>
          <w:sz w:val="24"/>
          <w:szCs w:val="24"/>
        </w:rPr>
        <w:t>, t</w:t>
      </w:r>
      <w:r w:rsidRPr="00294880">
        <w:rPr>
          <w:rFonts w:ascii="Times New Roman" w:eastAsia="Times New Roman" w:hAnsi="Times New Roman" w:cs="Times New Roman"/>
          <w:bCs/>
          <w:sz w:val="24"/>
          <w:szCs w:val="24"/>
        </w:rPr>
        <w:t>hese are their opportunities</w:t>
      </w:r>
      <w:r w:rsidR="00EE5E5D">
        <w:rPr>
          <w:rFonts w:ascii="Times New Roman" w:eastAsia="Times New Roman" w:hAnsi="Times New Roman" w:cs="Times New Roman"/>
          <w:bCs/>
          <w:sz w:val="24"/>
          <w:szCs w:val="24"/>
        </w:rPr>
        <w:t xml:space="preserve"> [Refer to appendix 1]</w:t>
      </w:r>
      <w:r w:rsidRPr="00294880">
        <w:rPr>
          <w:rFonts w:ascii="Times New Roman" w:eastAsia="Times New Roman" w:hAnsi="Times New Roman" w:cs="Times New Roman"/>
          <w:bCs/>
          <w:sz w:val="24"/>
          <w:szCs w:val="24"/>
        </w:rPr>
        <w:t>.</w:t>
      </w:r>
    </w:p>
    <w:p w14:paraId="0000000E" w14:textId="7AE96BF8"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Both Six senses and Holiday Inn face the possibility of increased competition from other major hotel chains as well as the negative impact of economic downturns on the tourism industry</w:t>
      </w:r>
      <w:r w:rsidR="00A820BB">
        <w:rPr>
          <w:rFonts w:ascii="Times New Roman" w:eastAsia="Times New Roman" w:hAnsi="Times New Roman" w:cs="Times New Roman"/>
          <w:bCs/>
          <w:sz w:val="24"/>
          <w:szCs w:val="24"/>
        </w:rPr>
        <w:t>, t</w:t>
      </w:r>
      <w:r w:rsidRPr="00294880">
        <w:rPr>
          <w:rFonts w:ascii="Times New Roman" w:eastAsia="Times New Roman" w:hAnsi="Times New Roman" w:cs="Times New Roman"/>
          <w:bCs/>
          <w:sz w:val="24"/>
          <w:szCs w:val="24"/>
        </w:rPr>
        <w:t>hese are their threats.</w:t>
      </w:r>
    </w:p>
    <w:p w14:paraId="0000000F"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While Six Senses and Holiday Inn possess different strengths and weaknesses, they face similar opportunities and threats (Chaffey and Ellis- Chadwick, 2019).</w:t>
      </w:r>
    </w:p>
    <w:p w14:paraId="00000010"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The services and experiences that Six Senses extends to its clients comprises excellent lodgings, indulgent spa treatments, luxury dining options and invigorating outdoor pursuits (Ghauri, 2014). These services are customized to satisfy the demands and inclinations of their intended client with attention paid to their design, characteristics and standard. The hotel rooms and amenities are the </w:t>
      </w:r>
      <w:r w:rsidRPr="00294880">
        <w:rPr>
          <w:rFonts w:ascii="Times New Roman" w:eastAsia="Times New Roman" w:hAnsi="Times New Roman" w:cs="Times New Roman"/>
          <w:bCs/>
          <w:sz w:val="24"/>
          <w:szCs w:val="24"/>
        </w:rPr>
        <w:lastRenderedPageBreak/>
        <w:t>core product of Holiday Inn. Holiday Inn could enhance its product by providing a wider arrangement of distinctive and exclusive accommodations such as suites or themed rooms that possess specific characteristics.</w:t>
      </w:r>
    </w:p>
    <w:p w14:paraId="00000011" w14:textId="5CE5A63B"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Six Senses employs pricing strategies that personify the brand</w:t>
      </w:r>
      <w:r w:rsidR="001B3FC9" w:rsidRPr="00294880">
        <w:rPr>
          <w:rFonts w:ascii="Times New Roman" w:eastAsia="Times New Roman" w:hAnsi="Times New Roman" w:cs="Times New Roman"/>
          <w:bCs/>
          <w:sz w:val="24"/>
          <w:szCs w:val="24"/>
        </w:rPr>
        <w:t>’</w:t>
      </w:r>
      <w:r w:rsidRPr="00294880">
        <w:rPr>
          <w:rFonts w:ascii="Times New Roman" w:eastAsia="Times New Roman" w:hAnsi="Times New Roman" w:cs="Times New Roman"/>
          <w:bCs/>
          <w:sz w:val="24"/>
          <w:szCs w:val="24"/>
        </w:rPr>
        <w:t>s luxurious and exclusive positioning (Housden, 2008). The company offers top-notch services and experiences at a high cost, catering to clients who are willing to pay for an exceptional experience. It is important for Holiday Inn to set their prices in line with those of other hotels operating within the same market. In order to attract more customers during off seasons, they have the option to provide special deals and incentives</w:t>
      </w:r>
      <w:r w:rsidR="008F0A5D">
        <w:rPr>
          <w:rFonts w:ascii="Times New Roman" w:eastAsia="Times New Roman" w:hAnsi="Times New Roman" w:cs="Times New Roman"/>
          <w:bCs/>
          <w:sz w:val="24"/>
          <w:szCs w:val="24"/>
        </w:rPr>
        <w:t xml:space="preserve"> [Refer to Appendix 5]</w:t>
      </w:r>
      <w:r w:rsidRPr="00294880">
        <w:rPr>
          <w:rFonts w:ascii="Times New Roman" w:eastAsia="Times New Roman" w:hAnsi="Times New Roman" w:cs="Times New Roman"/>
          <w:bCs/>
          <w:sz w:val="24"/>
          <w:szCs w:val="24"/>
        </w:rPr>
        <w:t>.</w:t>
      </w:r>
    </w:p>
    <w:p w14:paraId="00000012" w14:textId="5C1FA34C"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Six Senses employs various methods such as advertising, public relations and social media campaigns to effectively connect with its desired audience (Kotler and Kartajaya, 2017). The company leverages influencer marketing and collaborations with other high-end brands to market its services and offerings. Holiday Inn engages in marketing strategies like television ads and social media promotions to enhance brand visibility</w:t>
      </w:r>
      <w:r w:rsidR="00EE5E5D">
        <w:rPr>
          <w:rFonts w:ascii="Times New Roman" w:eastAsia="Times New Roman" w:hAnsi="Times New Roman" w:cs="Times New Roman"/>
          <w:bCs/>
          <w:sz w:val="24"/>
          <w:szCs w:val="24"/>
        </w:rPr>
        <w:t xml:space="preserve"> [Refer to appendix 2]</w:t>
      </w:r>
      <w:r w:rsidRPr="00294880">
        <w:rPr>
          <w:rFonts w:ascii="Times New Roman" w:eastAsia="Times New Roman" w:hAnsi="Times New Roman" w:cs="Times New Roman"/>
          <w:bCs/>
          <w:sz w:val="24"/>
          <w:szCs w:val="24"/>
        </w:rPr>
        <w:t>. Holiday Inn employs email marketing and targeted advertising as means of reaching out to prospective clients.</w:t>
      </w:r>
    </w:p>
    <w:p w14:paraId="00000013" w14:textId="77777777"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Six Senses possesses a worldwide reach with its hotels and resorts situated in highly beneficial locations around the globe (Ryan, 2012). The organization employs various modes of distribution to connect with its clientele such as utilizing travel websites and permitting clients to make reservations directly on its website. The success of Holiday Inn can be attributed significantly to its strategic location. Holiday Inn thoughtfully chooses its sites to ensure convenient accessibility and proximity to sought-after tourist spots.</w:t>
      </w:r>
    </w:p>
    <w:p w14:paraId="00000014" w14:textId="7926ABDE"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Six Senses prioritizes its staff, providing them with extensive training to facilitate outstanding customer service and unique guest experiences (Morgan et al. 2019). The organization also recruits individuals from the nearby area to encourage environmental friendliness and provide aid to the </w:t>
      </w:r>
      <w:r w:rsidR="001B3FC9" w:rsidRPr="00294880">
        <w:rPr>
          <w:rFonts w:ascii="Times New Roman" w:eastAsia="Times New Roman" w:hAnsi="Times New Roman" w:cs="Times New Roman"/>
          <w:bCs/>
          <w:sz w:val="24"/>
          <w:szCs w:val="24"/>
        </w:rPr>
        <w:t>neighbouring</w:t>
      </w:r>
      <w:r w:rsidRPr="00294880">
        <w:rPr>
          <w:rFonts w:ascii="Times New Roman" w:eastAsia="Times New Roman" w:hAnsi="Times New Roman" w:cs="Times New Roman"/>
          <w:bCs/>
          <w:sz w:val="24"/>
          <w:szCs w:val="24"/>
        </w:rPr>
        <w:t xml:space="preserve"> community. The success of Holiday Inn is heavily reliant on the contributions of its staff members. Holiday Inn makes significant investments in training and development initiatives with the intent of guaranteeing exceptional service. Holiday Inn motivates its employees to offer top-notch service by offering bonuses and recognition programs.</w:t>
      </w:r>
    </w:p>
    <w:p w14:paraId="00000015" w14:textId="421A318A"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Six Senses has a determined focus on promoting sustainability and utilizing eco-friendly methods, with a view to reducing their environmental impact (Tien et al. 2019). The organization employs innovative technology to improve the overall satisfaction of its customers such as implementing </w:t>
      </w:r>
      <w:r w:rsidRPr="00294880">
        <w:rPr>
          <w:rFonts w:ascii="Times New Roman" w:eastAsia="Times New Roman" w:hAnsi="Times New Roman" w:cs="Times New Roman"/>
          <w:bCs/>
          <w:sz w:val="24"/>
          <w:szCs w:val="24"/>
        </w:rPr>
        <w:lastRenderedPageBreak/>
        <w:t>mobile applications and incorporating advanced technologies in the guest rooms. Holiday Inn</w:t>
      </w:r>
      <w:r w:rsidR="001B3FC9" w:rsidRPr="00294880">
        <w:rPr>
          <w:rFonts w:ascii="Times New Roman" w:eastAsia="Times New Roman" w:hAnsi="Times New Roman" w:cs="Times New Roman"/>
          <w:bCs/>
          <w:sz w:val="24"/>
          <w:szCs w:val="24"/>
        </w:rPr>
        <w:t>’</w:t>
      </w:r>
      <w:r w:rsidRPr="00294880">
        <w:rPr>
          <w:rFonts w:ascii="Times New Roman" w:eastAsia="Times New Roman" w:hAnsi="Times New Roman" w:cs="Times New Roman"/>
          <w:bCs/>
          <w:sz w:val="24"/>
          <w:szCs w:val="24"/>
        </w:rPr>
        <w:t>s booking procedures are hassle-free and user-friendly for clientele. Holiday Inn provides customers with the convenience of booking and checking in through the internet to elevate their overall satisfaction. Holiday Inn optimizes its housekeeping and maintenance procedures in order to decrease interruptions and enhance efficacy.</w:t>
      </w:r>
    </w:p>
    <w:p w14:paraId="00000016" w14:textId="3AA67776"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At Six Senses, great importance is placed on the visual appeal and layout of their hotels and resorts (Desai and Vidyapeeth, 2019). They are carefully crafted to balance with the surrounding natural surroundings and offer tourists an exceptional and unforgettable stay. Holiday Inn</w:t>
      </w:r>
      <w:r w:rsidR="001B3FC9" w:rsidRPr="00294880">
        <w:rPr>
          <w:rFonts w:ascii="Times New Roman" w:eastAsia="Times New Roman" w:hAnsi="Times New Roman" w:cs="Times New Roman"/>
          <w:bCs/>
          <w:sz w:val="24"/>
          <w:szCs w:val="24"/>
        </w:rPr>
        <w:t>’</w:t>
      </w:r>
      <w:r w:rsidRPr="00294880">
        <w:rPr>
          <w:rFonts w:ascii="Times New Roman" w:eastAsia="Times New Roman" w:hAnsi="Times New Roman" w:cs="Times New Roman"/>
          <w:bCs/>
          <w:sz w:val="24"/>
          <w:szCs w:val="24"/>
        </w:rPr>
        <w:t>s physical evidence consists of its hotel services and features. Holiday Inn elevates its physical evidence by investing in superior decorations. They also enhance their presence and navigation to simplify the process of facility exploration for their clients.</w:t>
      </w:r>
    </w:p>
    <w:p w14:paraId="00000017" w14:textId="677FBC6B"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The categorization of Six Senses can be done by targeting luxurious tourists who prioritize environmental conservation and well-being. Their leadership is dedicated to promoting community, sustainability, wellness and design while also aiming to suppress the use of disposable plastics from their operations by 2022. Holiday Inn can segment its customer base by targeting budget-conscious individuals seeking comfortable accommodation. They provide economical and </w:t>
      </w:r>
      <w:r w:rsidR="001B3FC9" w:rsidRPr="00294880">
        <w:rPr>
          <w:rFonts w:ascii="Times New Roman" w:eastAsia="Times New Roman" w:hAnsi="Times New Roman" w:cs="Times New Roman"/>
          <w:bCs/>
          <w:sz w:val="24"/>
          <w:szCs w:val="24"/>
        </w:rPr>
        <w:t>cosy</w:t>
      </w:r>
      <w:r w:rsidRPr="00294880">
        <w:rPr>
          <w:rFonts w:ascii="Times New Roman" w:eastAsia="Times New Roman" w:hAnsi="Times New Roman" w:cs="Times New Roman"/>
          <w:bCs/>
          <w:sz w:val="24"/>
          <w:szCs w:val="24"/>
        </w:rPr>
        <w:t xml:space="preserve"> accommodation choices for tourists seeking a spot to relax</w:t>
      </w:r>
      <w:r w:rsidR="008F0A5D">
        <w:rPr>
          <w:rFonts w:ascii="Times New Roman" w:eastAsia="Times New Roman" w:hAnsi="Times New Roman" w:cs="Times New Roman"/>
          <w:bCs/>
          <w:sz w:val="24"/>
          <w:szCs w:val="24"/>
        </w:rPr>
        <w:t xml:space="preserve"> [Refer to Appendix 6]</w:t>
      </w:r>
      <w:r w:rsidRPr="00294880">
        <w:rPr>
          <w:rFonts w:ascii="Times New Roman" w:eastAsia="Times New Roman" w:hAnsi="Times New Roman" w:cs="Times New Roman"/>
          <w:bCs/>
          <w:sz w:val="24"/>
          <w:szCs w:val="24"/>
        </w:rPr>
        <w:t>.</w:t>
      </w:r>
    </w:p>
    <w:p w14:paraId="00000018" w14:textId="0FFDAF76"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Six Senses caters to high-end tourists who are prepared to spend more for an original, personalized and eco-friendly journey (Paul, 2019). They provide high-end vacation getaways such as luxury resorts, great spas and top-rated hotels in various destinations worldwide. Holiday Inn caters to </w:t>
      </w:r>
      <w:r w:rsidR="001B3FC9" w:rsidRPr="00294880">
        <w:rPr>
          <w:rFonts w:ascii="Times New Roman" w:eastAsia="Times New Roman" w:hAnsi="Times New Roman" w:cs="Times New Roman"/>
          <w:bCs/>
          <w:sz w:val="24"/>
          <w:szCs w:val="24"/>
        </w:rPr>
        <w:t>travellers</w:t>
      </w:r>
      <w:r w:rsidRPr="00294880">
        <w:rPr>
          <w:rFonts w:ascii="Times New Roman" w:eastAsia="Times New Roman" w:hAnsi="Times New Roman" w:cs="Times New Roman"/>
          <w:bCs/>
          <w:sz w:val="24"/>
          <w:szCs w:val="24"/>
        </w:rPr>
        <w:t xml:space="preserve"> who prioritize affordability and seek comfortable lodging. They provide reasonably priced and </w:t>
      </w:r>
      <w:r w:rsidR="001B3FC9" w:rsidRPr="00294880">
        <w:rPr>
          <w:rFonts w:ascii="Times New Roman" w:eastAsia="Times New Roman" w:hAnsi="Times New Roman" w:cs="Times New Roman"/>
          <w:bCs/>
          <w:sz w:val="24"/>
          <w:szCs w:val="24"/>
        </w:rPr>
        <w:t>cosy</w:t>
      </w:r>
      <w:r w:rsidRPr="00294880">
        <w:rPr>
          <w:rFonts w:ascii="Times New Roman" w:eastAsia="Times New Roman" w:hAnsi="Times New Roman" w:cs="Times New Roman"/>
          <w:bCs/>
          <w:sz w:val="24"/>
          <w:szCs w:val="24"/>
        </w:rPr>
        <w:t xml:space="preserve"> accommodation choices for individuals who require a spot to relax.</w:t>
      </w:r>
    </w:p>
    <w:p w14:paraId="00000019" w14:textId="39523048" w:rsidR="00A61174" w:rsidRPr="00294880" w:rsidRDefault="009316A4">
      <w:pPr>
        <w:spacing w:line="360" w:lineRule="auto"/>
        <w:jc w:val="both"/>
        <w:rPr>
          <w:rFonts w:ascii="Times New Roman" w:eastAsia="Times New Roman" w:hAnsi="Times New Roman" w:cs="Times New Roman"/>
          <w:bCs/>
          <w:sz w:val="24"/>
          <w:szCs w:val="24"/>
        </w:rPr>
      </w:pPr>
      <w:r w:rsidRPr="00294880">
        <w:rPr>
          <w:rFonts w:ascii="Times New Roman" w:eastAsia="Times New Roman" w:hAnsi="Times New Roman" w:cs="Times New Roman"/>
          <w:bCs/>
          <w:sz w:val="24"/>
          <w:szCs w:val="24"/>
        </w:rPr>
        <w:t xml:space="preserve">Six Senses is a premium brand that places great importance on sustainability and promoting well-being (Grewal et al. 2020). Their lodging options provide a one-of-a-kind and genuine encounter that prioritizes individual wellness and ecological responsibility. The brand of Holiday Inn markets itself as a cost-effective option for </w:t>
      </w:r>
      <w:r w:rsidR="001B3FC9" w:rsidRPr="00294880">
        <w:rPr>
          <w:rFonts w:ascii="Times New Roman" w:eastAsia="Times New Roman" w:hAnsi="Times New Roman" w:cs="Times New Roman"/>
          <w:bCs/>
          <w:sz w:val="24"/>
          <w:szCs w:val="24"/>
        </w:rPr>
        <w:t>travellers</w:t>
      </w:r>
      <w:r w:rsidRPr="00294880">
        <w:rPr>
          <w:rFonts w:ascii="Times New Roman" w:eastAsia="Times New Roman" w:hAnsi="Times New Roman" w:cs="Times New Roman"/>
          <w:bCs/>
          <w:sz w:val="24"/>
          <w:szCs w:val="24"/>
        </w:rPr>
        <w:t xml:space="preserve"> seeking peaceful accommodation. Their main priority is to offer cost-effective and user-friendly alternatives to tourists who expect to discover their desired location without spending excessively.</w:t>
      </w:r>
    </w:p>
    <w:p w14:paraId="0000001A" w14:textId="77777777" w:rsidR="00A61174" w:rsidRPr="00294880" w:rsidRDefault="009316A4">
      <w:pPr>
        <w:spacing w:line="360" w:lineRule="auto"/>
        <w:jc w:val="both"/>
        <w:rPr>
          <w:rFonts w:ascii="Times New Roman" w:eastAsia="Times New Roman" w:hAnsi="Times New Roman" w:cs="Times New Roman"/>
          <w:b/>
          <w:sz w:val="28"/>
          <w:szCs w:val="28"/>
        </w:rPr>
      </w:pPr>
      <w:r w:rsidRPr="00294880">
        <w:rPr>
          <w:rFonts w:ascii="Times New Roman" w:eastAsia="Times New Roman" w:hAnsi="Times New Roman" w:cs="Times New Roman"/>
          <w:b/>
          <w:sz w:val="28"/>
          <w:szCs w:val="28"/>
        </w:rPr>
        <w:t>Conclusion</w:t>
      </w:r>
    </w:p>
    <w:p w14:paraId="0000001B" w14:textId="3571884C" w:rsidR="00A61174" w:rsidRPr="00294880" w:rsidRDefault="009316A4">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 xml:space="preserve">The Six Senses brand is known for its high-end resorts and wellness spas, whereas Holiday Inn is a moderately-priced hotel chain serving both corporate and recreational guests. The cost of lodging </w:t>
      </w:r>
      <w:r w:rsidRPr="00294880">
        <w:rPr>
          <w:rFonts w:ascii="Times New Roman" w:eastAsia="Times New Roman" w:hAnsi="Times New Roman" w:cs="Times New Roman"/>
          <w:sz w:val="24"/>
          <w:szCs w:val="24"/>
        </w:rPr>
        <w:lastRenderedPageBreak/>
        <w:t>at Six Senses hotels is higher than that of Holiday Inn hotels due to the former</w:t>
      </w:r>
      <w:r w:rsidR="001B3FC9" w:rsidRPr="00294880">
        <w:rPr>
          <w:rFonts w:ascii="Times New Roman" w:eastAsia="Times New Roman" w:hAnsi="Times New Roman" w:cs="Times New Roman"/>
          <w:sz w:val="24"/>
          <w:szCs w:val="24"/>
        </w:rPr>
        <w:t>’</w:t>
      </w:r>
      <w:r w:rsidRPr="00294880">
        <w:rPr>
          <w:rFonts w:ascii="Times New Roman" w:eastAsia="Times New Roman" w:hAnsi="Times New Roman" w:cs="Times New Roman"/>
          <w:sz w:val="24"/>
          <w:szCs w:val="24"/>
        </w:rPr>
        <w:t xml:space="preserve">s provision of a more upscale and luxurious stay. It can simply be concluded that Six Senses and Holiday Inn are distinct hospitality franchises catering to diverse groups of guests. Six Senses possesses luxurious and genuine offerings that prioritizes well-being, whereas in crowded areas, Holiday Inn provides </w:t>
      </w:r>
      <w:r w:rsidR="001B3FC9" w:rsidRPr="00294880">
        <w:rPr>
          <w:rFonts w:ascii="Times New Roman" w:eastAsia="Times New Roman" w:hAnsi="Times New Roman" w:cs="Times New Roman"/>
          <w:sz w:val="24"/>
          <w:szCs w:val="24"/>
        </w:rPr>
        <w:t>cosy</w:t>
      </w:r>
      <w:r w:rsidRPr="00294880">
        <w:rPr>
          <w:rFonts w:ascii="Times New Roman" w:eastAsia="Times New Roman" w:hAnsi="Times New Roman" w:cs="Times New Roman"/>
          <w:sz w:val="24"/>
          <w:szCs w:val="24"/>
        </w:rPr>
        <w:t xml:space="preserve"> and reasonably priced lodging.</w:t>
      </w:r>
      <w:r w:rsidRPr="00294880">
        <w:br w:type="page"/>
      </w:r>
    </w:p>
    <w:p w14:paraId="0AD15768" w14:textId="703EEE07" w:rsidR="00C86217" w:rsidRPr="00C86217" w:rsidRDefault="009316A4" w:rsidP="00C86217">
      <w:pPr>
        <w:spacing w:line="360" w:lineRule="auto"/>
        <w:jc w:val="both"/>
        <w:rPr>
          <w:rFonts w:ascii="Times New Roman" w:eastAsia="Times New Roman" w:hAnsi="Times New Roman" w:cs="Times New Roman"/>
          <w:b/>
          <w:sz w:val="28"/>
          <w:szCs w:val="28"/>
        </w:rPr>
      </w:pPr>
      <w:r w:rsidRPr="00294880">
        <w:rPr>
          <w:rFonts w:ascii="Times New Roman" w:eastAsia="Times New Roman" w:hAnsi="Times New Roman" w:cs="Times New Roman"/>
          <w:b/>
          <w:sz w:val="28"/>
          <w:szCs w:val="28"/>
        </w:rPr>
        <w:lastRenderedPageBreak/>
        <w:t>References</w:t>
      </w:r>
    </w:p>
    <w:p w14:paraId="1C12E9F4" w14:textId="77777777" w:rsidR="00C86217" w:rsidRPr="00294880" w:rsidRDefault="00C86217" w:rsidP="001B3FC9">
      <w:pPr>
        <w:spacing w:line="360" w:lineRule="auto"/>
        <w:jc w:val="both"/>
        <w:rPr>
          <w:rFonts w:ascii="Times New Roman" w:eastAsia="Times New Roman" w:hAnsi="Times New Roman" w:cs="Times New Roman"/>
          <w:sz w:val="24"/>
          <w:szCs w:val="24"/>
        </w:rPr>
      </w:pPr>
      <w:proofErr w:type="gramStart"/>
      <w:r w:rsidRPr="00294880">
        <w:rPr>
          <w:rFonts w:ascii="Times New Roman" w:eastAsia="Times New Roman" w:hAnsi="Times New Roman" w:cs="Times New Roman"/>
          <w:sz w:val="24"/>
          <w:szCs w:val="24"/>
        </w:rPr>
        <w:t>Bowie,D.</w:t>
      </w:r>
      <w:proofErr w:type="gramEnd"/>
      <w:r w:rsidRPr="00294880">
        <w:rPr>
          <w:rFonts w:ascii="Times New Roman" w:eastAsia="Times New Roman" w:hAnsi="Times New Roman" w:cs="Times New Roman"/>
          <w:sz w:val="24"/>
          <w:szCs w:val="24"/>
        </w:rPr>
        <w:t xml:space="preserve"> Buttle,F. Brookes,M &amp; Mariussen,A (2017), Hospitality Marketing. 3 rd ed, Routledge, London</w:t>
      </w:r>
    </w:p>
    <w:p w14:paraId="1CA5FFD2"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Chaffey, D and Ellis- Chadwick, F. (2019) Digital Marketing. 7 th ed, Pearsons, London.</w:t>
      </w:r>
    </w:p>
    <w:p w14:paraId="2753EE63"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Clow, K &amp; Baack, D (2013), Integrated Advertising, Promotion and Marketing Communications. 6 th ed, Pearson, London</w:t>
      </w:r>
    </w:p>
    <w:p w14:paraId="59ED104C" w14:textId="77777777" w:rsidR="00C86217" w:rsidRPr="00294880" w:rsidRDefault="00C86217" w:rsidP="001B3FC9">
      <w:pPr>
        <w:spacing w:line="360" w:lineRule="auto"/>
        <w:jc w:val="both"/>
        <w:rPr>
          <w:rFonts w:ascii="Times New Roman" w:hAnsi="Times New Roman" w:cs="Times New Roman"/>
          <w:color w:val="222222"/>
          <w:sz w:val="24"/>
          <w:szCs w:val="24"/>
          <w:highlight w:val="white"/>
        </w:rPr>
      </w:pPr>
      <w:r w:rsidRPr="00294880">
        <w:rPr>
          <w:rFonts w:ascii="Times New Roman" w:hAnsi="Times New Roman" w:cs="Times New Roman"/>
          <w:color w:val="222222"/>
          <w:sz w:val="24"/>
          <w:szCs w:val="24"/>
          <w:highlight w:val="white"/>
        </w:rPr>
        <w:t>Desai, V. and Vidyapeeth, B., 2019. Digital marketing: A review. International Journal of Trend in Scientific Research and Development, 5(5), pp.196-200.</w:t>
      </w:r>
    </w:p>
    <w:p w14:paraId="7697269F" w14:textId="77777777" w:rsidR="00C86217" w:rsidRPr="00294880" w:rsidRDefault="00C86217" w:rsidP="001B3FC9">
      <w:pPr>
        <w:spacing w:line="360" w:lineRule="auto"/>
        <w:jc w:val="both"/>
        <w:rPr>
          <w:rFonts w:ascii="Times New Roman" w:eastAsia="Times New Roman" w:hAnsi="Times New Roman" w:cs="Times New Roman"/>
          <w:sz w:val="24"/>
          <w:szCs w:val="24"/>
        </w:rPr>
      </w:pPr>
      <w:proofErr w:type="spellStart"/>
      <w:r w:rsidRPr="00294880">
        <w:rPr>
          <w:rFonts w:ascii="Times New Roman" w:eastAsia="Times New Roman" w:hAnsi="Times New Roman" w:cs="Times New Roman"/>
          <w:sz w:val="24"/>
          <w:szCs w:val="24"/>
        </w:rPr>
        <w:t>Ghauri</w:t>
      </w:r>
      <w:proofErr w:type="spellEnd"/>
      <w:r w:rsidRPr="00294880">
        <w:rPr>
          <w:rFonts w:ascii="Times New Roman" w:eastAsia="Times New Roman" w:hAnsi="Times New Roman" w:cs="Times New Roman"/>
          <w:sz w:val="24"/>
          <w:szCs w:val="24"/>
        </w:rPr>
        <w:t>, P N (2014) International Marketing, 4 th Ed, McGraw Hill, London</w:t>
      </w:r>
    </w:p>
    <w:p w14:paraId="1FB19AFF" w14:textId="77777777" w:rsidR="00C86217" w:rsidRPr="00294880" w:rsidRDefault="00C86217" w:rsidP="001B3FC9">
      <w:pPr>
        <w:spacing w:line="360" w:lineRule="auto"/>
        <w:jc w:val="both"/>
        <w:rPr>
          <w:rFonts w:ascii="Times New Roman" w:hAnsi="Times New Roman" w:cs="Times New Roman"/>
          <w:color w:val="222222"/>
          <w:sz w:val="24"/>
          <w:szCs w:val="24"/>
          <w:highlight w:val="white"/>
        </w:rPr>
      </w:pPr>
      <w:r w:rsidRPr="00294880">
        <w:rPr>
          <w:rFonts w:ascii="Times New Roman" w:hAnsi="Times New Roman" w:cs="Times New Roman"/>
          <w:color w:val="222222"/>
          <w:sz w:val="24"/>
          <w:szCs w:val="24"/>
          <w:highlight w:val="white"/>
        </w:rPr>
        <w:t>Grewal, D., Hulland, J., Kopalle, P.K. and Karahanna, E., 2020. The future of technology and marketing: A multidisciplinary perspective. Journal of the Academy of Marketing Science, 48, pp.1-8.</w:t>
      </w:r>
    </w:p>
    <w:p w14:paraId="7B93FE93" w14:textId="77777777" w:rsidR="00C86217" w:rsidRPr="00294880" w:rsidRDefault="00C86217" w:rsidP="001B3FC9">
      <w:pPr>
        <w:spacing w:line="360" w:lineRule="auto"/>
        <w:jc w:val="both"/>
        <w:rPr>
          <w:rFonts w:ascii="Times New Roman" w:eastAsia="Times New Roman" w:hAnsi="Times New Roman" w:cs="Times New Roman"/>
          <w:sz w:val="24"/>
          <w:szCs w:val="24"/>
        </w:rPr>
      </w:pPr>
      <w:proofErr w:type="spellStart"/>
      <w:r w:rsidRPr="00294880">
        <w:rPr>
          <w:rFonts w:ascii="Times New Roman" w:eastAsia="Times New Roman" w:hAnsi="Times New Roman" w:cs="Times New Roman"/>
          <w:sz w:val="24"/>
          <w:szCs w:val="24"/>
        </w:rPr>
        <w:t>Housden</w:t>
      </w:r>
      <w:proofErr w:type="spellEnd"/>
      <w:r w:rsidRPr="00294880">
        <w:rPr>
          <w:rFonts w:ascii="Times New Roman" w:eastAsia="Times New Roman" w:hAnsi="Times New Roman" w:cs="Times New Roman"/>
          <w:sz w:val="24"/>
          <w:szCs w:val="24"/>
        </w:rPr>
        <w:t xml:space="preserve"> M (2008), Marketing Research &amp;amp; Information, Butterworth Heinemann, Oxford.</w:t>
      </w:r>
    </w:p>
    <w:p w14:paraId="779A5AB7"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Jobber, D. and Ellis-Chadwick, F (2020), Principles and practice of marketing. 9th ed. London:</w:t>
      </w:r>
    </w:p>
    <w:p w14:paraId="77970E7F"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Kotler, P., Armstrong, G., Harris, L. and He, H., 2020. Principles of marketing. 8 th European ed, London: Pearson Education Limited.</w:t>
      </w:r>
    </w:p>
    <w:p w14:paraId="79140D41" w14:textId="77777777" w:rsidR="00C86217" w:rsidRPr="00294880" w:rsidRDefault="00C86217" w:rsidP="001B3FC9">
      <w:pPr>
        <w:spacing w:line="360" w:lineRule="auto"/>
        <w:jc w:val="both"/>
        <w:rPr>
          <w:rFonts w:ascii="Times New Roman" w:eastAsia="Times New Roman" w:hAnsi="Times New Roman" w:cs="Times New Roman"/>
          <w:sz w:val="24"/>
          <w:szCs w:val="24"/>
        </w:rPr>
      </w:pPr>
      <w:proofErr w:type="spellStart"/>
      <w:proofErr w:type="gramStart"/>
      <w:r w:rsidRPr="00294880">
        <w:rPr>
          <w:rFonts w:ascii="Times New Roman" w:eastAsia="Times New Roman" w:hAnsi="Times New Roman" w:cs="Times New Roman"/>
          <w:sz w:val="24"/>
          <w:szCs w:val="24"/>
        </w:rPr>
        <w:t>Kotler,P</w:t>
      </w:r>
      <w:proofErr w:type="spellEnd"/>
      <w:proofErr w:type="gramEnd"/>
      <w:r w:rsidRPr="00294880">
        <w:rPr>
          <w:rFonts w:ascii="Times New Roman" w:eastAsia="Times New Roman" w:hAnsi="Times New Roman" w:cs="Times New Roman"/>
          <w:sz w:val="24"/>
          <w:szCs w:val="24"/>
        </w:rPr>
        <w:t xml:space="preserve"> and </w:t>
      </w:r>
      <w:proofErr w:type="spellStart"/>
      <w:r w:rsidRPr="00294880">
        <w:rPr>
          <w:rFonts w:ascii="Times New Roman" w:eastAsia="Times New Roman" w:hAnsi="Times New Roman" w:cs="Times New Roman"/>
          <w:sz w:val="24"/>
          <w:szCs w:val="24"/>
        </w:rPr>
        <w:t>Kartajaya</w:t>
      </w:r>
      <w:proofErr w:type="spellEnd"/>
      <w:r w:rsidRPr="00294880">
        <w:rPr>
          <w:rFonts w:ascii="Times New Roman" w:eastAsia="Times New Roman" w:hAnsi="Times New Roman" w:cs="Times New Roman"/>
          <w:sz w:val="24"/>
          <w:szCs w:val="24"/>
        </w:rPr>
        <w:t>, H. Marketing 4.0 Moving from Traditional to Digital (2017) Wiley. New York.</w:t>
      </w:r>
    </w:p>
    <w:p w14:paraId="114D5ED7" w14:textId="77777777" w:rsidR="00C86217" w:rsidRPr="00294880" w:rsidRDefault="00C86217" w:rsidP="001B3FC9">
      <w:pPr>
        <w:spacing w:line="360" w:lineRule="auto"/>
        <w:jc w:val="both"/>
        <w:rPr>
          <w:rFonts w:ascii="Times New Roman" w:hAnsi="Times New Roman" w:cs="Times New Roman"/>
          <w:color w:val="222222"/>
          <w:sz w:val="24"/>
          <w:szCs w:val="24"/>
          <w:highlight w:val="white"/>
        </w:rPr>
      </w:pPr>
      <w:r w:rsidRPr="00294880">
        <w:rPr>
          <w:rFonts w:ascii="Times New Roman" w:hAnsi="Times New Roman" w:cs="Times New Roman"/>
          <w:color w:val="222222"/>
          <w:sz w:val="24"/>
          <w:szCs w:val="24"/>
          <w:highlight w:val="white"/>
        </w:rPr>
        <w:t xml:space="preserve">Morgan, N.A., </w:t>
      </w:r>
      <w:proofErr w:type="spellStart"/>
      <w:r w:rsidRPr="00294880">
        <w:rPr>
          <w:rFonts w:ascii="Times New Roman" w:hAnsi="Times New Roman" w:cs="Times New Roman"/>
          <w:color w:val="222222"/>
          <w:sz w:val="24"/>
          <w:szCs w:val="24"/>
          <w:highlight w:val="white"/>
        </w:rPr>
        <w:t>Whitler</w:t>
      </w:r>
      <w:proofErr w:type="spellEnd"/>
      <w:r w:rsidRPr="00294880">
        <w:rPr>
          <w:rFonts w:ascii="Times New Roman" w:hAnsi="Times New Roman" w:cs="Times New Roman"/>
          <w:color w:val="222222"/>
          <w:sz w:val="24"/>
          <w:szCs w:val="24"/>
          <w:highlight w:val="white"/>
        </w:rPr>
        <w:t>, K.A., Feng, H. and Chari, S., 2019. Research in marketing strategy. Journal of the Academy of Marketing Science, 47, pp.4-29.</w:t>
      </w:r>
    </w:p>
    <w:p w14:paraId="603C2B0E" w14:textId="77777777" w:rsidR="00C86217" w:rsidRPr="00294880" w:rsidRDefault="00C86217" w:rsidP="001B3FC9">
      <w:pPr>
        <w:spacing w:line="360" w:lineRule="auto"/>
        <w:jc w:val="both"/>
        <w:rPr>
          <w:rFonts w:ascii="Times New Roman" w:hAnsi="Times New Roman" w:cs="Times New Roman"/>
          <w:color w:val="222222"/>
          <w:sz w:val="24"/>
          <w:szCs w:val="24"/>
          <w:highlight w:val="white"/>
        </w:rPr>
      </w:pPr>
      <w:r w:rsidRPr="00294880">
        <w:rPr>
          <w:rFonts w:ascii="Times New Roman" w:hAnsi="Times New Roman" w:cs="Times New Roman"/>
          <w:color w:val="222222"/>
          <w:sz w:val="24"/>
          <w:szCs w:val="24"/>
          <w:highlight w:val="white"/>
        </w:rPr>
        <w:t>Paul, J., 2019. Marketing in emerging markets: A review, theoretical synthesis and extension. International Journal of Emerging Markets, 15(3), pp.446-468.</w:t>
      </w:r>
    </w:p>
    <w:p w14:paraId="7F4CA6D4"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 xml:space="preserve">Ryan, D. (2012) Understanding Digital marketing: Marketing Strategies for Engaging </w:t>
      </w:r>
      <w:proofErr w:type="gramStart"/>
      <w:r w:rsidRPr="00294880">
        <w:rPr>
          <w:rFonts w:ascii="Times New Roman" w:eastAsia="Times New Roman" w:hAnsi="Times New Roman" w:cs="Times New Roman"/>
          <w:sz w:val="24"/>
          <w:szCs w:val="24"/>
        </w:rPr>
        <w:t>The</w:t>
      </w:r>
      <w:proofErr w:type="gramEnd"/>
      <w:r w:rsidRPr="00294880">
        <w:rPr>
          <w:rFonts w:ascii="Times New Roman" w:eastAsia="Times New Roman" w:hAnsi="Times New Roman" w:cs="Times New Roman"/>
          <w:sz w:val="24"/>
          <w:szCs w:val="24"/>
        </w:rPr>
        <w:t xml:space="preserve"> Digital Generation. Kogan Page, London.</w:t>
      </w:r>
    </w:p>
    <w:p w14:paraId="3AA8FEB0" w14:textId="77777777" w:rsidR="00C86217" w:rsidRPr="00294880" w:rsidRDefault="00C86217" w:rsidP="001B3FC9">
      <w:pPr>
        <w:spacing w:line="360" w:lineRule="auto"/>
        <w:jc w:val="both"/>
        <w:rPr>
          <w:rFonts w:ascii="Times New Roman" w:eastAsia="Times New Roman" w:hAnsi="Times New Roman" w:cs="Times New Roman"/>
          <w:sz w:val="24"/>
          <w:szCs w:val="24"/>
        </w:rPr>
      </w:pPr>
      <w:r w:rsidRPr="00294880">
        <w:rPr>
          <w:rFonts w:ascii="Times New Roman" w:eastAsia="Times New Roman" w:hAnsi="Times New Roman" w:cs="Times New Roman"/>
          <w:sz w:val="24"/>
          <w:szCs w:val="24"/>
        </w:rPr>
        <w:t>Smith PR &amp; Zook ZE (2020) Marketing Communications. 7 th ed, Kogan Page, London</w:t>
      </w:r>
    </w:p>
    <w:p w14:paraId="003F8088" w14:textId="77777777" w:rsidR="00C86217" w:rsidRPr="00294880" w:rsidRDefault="00C86217" w:rsidP="001B3FC9">
      <w:pPr>
        <w:spacing w:line="360" w:lineRule="auto"/>
        <w:jc w:val="both"/>
        <w:rPr>
          <w:rFonts w:ascii="Times New Roman" w:hAnsi="Times New Roman" w:cs="Times New Roman"/>
          <w:color w:val="222222"/>
          <w:sz w:val="24"/>
          <w:szCs w:val="24"/>
          <w:highlight w:val="white"/>
        </w:rPr>
      </w:pPr>
      <w:r w:rsidRPr="00294880">
        <w:rPr>
          <w:rFonts w:ascii="Times New Roman" w:hAnsi="Times New Roman" w:cs="Times New Roman"/>
          <w:color w:val="222222"/>
          <w:sz w:val="24"/>
          <w:szCs w:val="24"/>
          <w:highlight w:val="white"/>
        </w:rPr>
        <w:t xml:space="preserve">Tien, N.H., </w:t>
      </w:r>
      <w:proofErr w:type="spellStart"/>
      <w:r w:rsidRPr="00294880">
        <w:rPr>
          <w:rFonts w:ascii="Times New Roman" w:hAnsi="Times New Roman" w:cs="Times New Roman"/>
          <w:color w:val="222222"/>
          <w:sz w:val="24"/>
          <w:szCs w:val="24"/>
          <w:highlight w:val="white"/>
        </w:rPr>
        <w:t>Phu</w:t>
      </w:r>
      <w:proofErr w:type="spellEnd"/>
      <w:r w:rsidRPr="00294880">
        <w:rPr>
          <w:rFonts w:ascii="Times New Roman" w:hAnsi="Times New Roman" w:cs="Times New Roman"/>
          <w:color w:val="222222"/>
          <w:sz w:val="24"/>
          <w:szCs w:val="24"/>
          <w:highlight w:val="white"/>
        </w:rPr>
        <w:t>, P.P. and Chi, D.T.P., 2019. The role of international marketing in international business strategy. International journal of research in marketing management and sales, 1(2), pp.134-138.</w:t>
      </w:r>
    </w:p>
    <w:p w14:paraId="2965022C" w14:textId="77777777" w:rsidR="00C86217" w:rsidRDefault="00C86217">
      <w:pPr>
        <w:rPr>
          <w:rFonts w:ascii="Times New Roman" w:hAnsi="Times New Roman" w:cs="Times New Roman"/>
          <w:b/>
          <w:bCs/>
          <w:color w:val="222222"/>
          <w:sz w:val="28"/>
          <w:szCs w:val="28"/>
          <w:highlight w:val="white"/>
        </w:rPr>
      </w:pPr>
      <w:r>
        <w:rPr>
          <w:rFonts w:ascii="Times New Roman" w:hAnsi="Times New Roman" w:cs="Times New Roman"/>
          <w:b/>
          <w:bCs/>
          <w:color w:val="222222"/>
          <w:sz w:val="28"/>
          <w:szCs w:val="28"/>
          <w:highlight w:val="white"/>
        </w:rPr>
        <w:br w:type="page"/>
      </w:r>
    </w:p>
    <w:p w14:paraId="0376040A" w14:textId="393E62E7" w:rsidR="001B3FC9" w:rsidRPr="00294880" w:rsidRDefault="00F54D45" w:rsidP="001B3FC9">
      <w:pPr>
        <w:spacing w:line="360" w:lineRule="auto"/>
        <w:jc w:val="both"/>
        <w:rPr>
          <w:rFonts w:ascii="Times New Roman" w:hAnsi="Times New Roman" w:cs="Times New Roman"/>
          <w:b/>
          <w:bCs/>
          <w:color w:val="222222"/>
          <w:sz w:val="28"/>
          <w:szCs w:val="28"/>
          <w:highlight w:val="white"/>
        </w:rPr>
      </w:pPr>
      <w:r w:rsidRPr="00294880">
        <w:rPr>
          <w:rFonts w:ascii="Times New Roman" w:hAnsi="Times New Roman" w:cs="Times New Roman"/>
          <w:b/>
          <w:bCs/>
          <w:color w:val="222222"/>
          <w:sz w:val="28"/>
          <w:szCs w:val="28"/>
          <w:highlight w:val="white"/>
        </w:rPr>
        <w:lastRenderedPageBreak/>
        <w:t>Appendices</w:t>
      </w:r>
    </w:p>
    <w:p w14:paraId="5F26DDAB" w14:textId="27E74CE2"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t>Appendix 1: Six Senses</w:t>
      </w:r>
    </w:p>
    <w:p w14:paraId="6F7D403B" w14:textId="0FAE960C" w:rsidR="00F54D45" w:rsidRPr="00294880" w:rsidRDefault="00F54D45" w:rsidP="00F54D45">
      <w:pPr>
        <w:spacing w:line="360" w:lineRule="auto"/>
        <w:jc w:val="center"/>
        <w:rPr>
          <w:rFonts w:ascii="Times New Roman" w:hAnsi="Times New Roman" w:cs="Times New Roman"/>
          <w:b/>
          <w:bCs/>
          <w:color w:val="222222"/>
          <w:sz w:val="24"/>
          <w:szCs w:val="24"/>
          <w:highlight w:val="white"/>
        </w:rPr>
      </w:pPr>
      <w:r w:rsidRPr="00294880">
        <w:rPr>
          <w:noProof/>
        </w:rPr>
        <w:drawing>
          <wp:inline distT="0" distB="0" distL="0" distR="0" wp14:anchorId="29622100" wp14:editId="3CFBD66C">
            <wp:extent cx="3167482" cy="3167482"/>
            <wp:effectExtent l="0" t="0" r="0" b="0"/>
            <wp:docPr id="1" name="Picture 1" descr="Luxury Lifestyle Resort &amp; Hotel Locations | Six Se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xury Lifestyle Resort &amp; Hotel Locations | Six Se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72865" cy="3172865"/>
                    </a:xfrm>
                    <a:prstGeom prst="rect">
                      <a:avLst/>
                    </a:prstGeom>
                    <a:noFill/>
                    <a:ln>
                      <a:noFill/>
                    </a:ln>
                  </pic:spPr>
                </pic:pic>
              </a:graphicData>
            </a:graphic>
          </wp:inline>
        </w:drawing>
      </w:r>
    </w:p>
    <w:p w14:paraId="71ED2A61" w14:textId="704A5943"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t>Appendix 2: Holiday Inn</w:t>
      </w:r>
    </w:p>
    <w:p w14:paraId="3CBF14AB" w14:textId="3980D3E2" w:rsidR="00F54D45" w:rsidRPr="00294880" w:rsidRDefault="00F54D45" w:rsidP="00F54D45">
      <w:pPr>
        <w:spacing w:line="360" w:lineRule="auto"/>
        <w:jc w:val="center"/>
        <w:rPr>
          <w:rFonts w:ascii="Times New Roman" w:hAnsi="Times New Roman" w:cs="Times New Roman"/>
          <w:b/>
          <w:bCs/>
          <w:color w:val="222222"/>
          <w:sz w:val="24"/>
          <w:szCs w:val="24"/>
          <w:highlight w:val="white"/>
        </w:rPr>
      </w:pPr>
      <w:r w:rsidRPr="00294880">
        <w:rPr>
          <w:noProof/>
        </w:rPr>
        <w:drawing>
          <wp:inline distT="0" distB="0" distL="0" distR="0" wp14:anchorId="36EE30C8" wp14:editId="55D334A2">
            <wp:extent cx="3445459" cy="2583358"/>
            <wp:effectExtent l="0" t="0" r="3175" b="7620"/>
            <wp:docPr id="2" name="Picture 2" descr="Holiday Inn Express/Suites South - US 23- Tourist Class Brighton, MI  Hotels- GDS Reservation Codes: Travel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liday Inn Express/Suites South - US 23- Tourist Class Brighton, MI  Hotels- GDS Reservation Codes: Travel Weekl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52538" cy="2588666"/>
                    </a:xfrm>
                    <a:prstGeom prst="rect">
                      <a:avLst/>
                    </a:prstGeom>
                    <a:noFill/>
                    <a:ln>
                      <a:noFill/>
                    </a:ln>
                  </pic:spPr>
                </pic:pic>
              </a:graphicData>
            </a:graphic>
          </wp:inline>
        </w:drawing>
      </w:r>
    </w:p>
    <w:p w14:paraId="230E8C66" w14:textId="28E0CCE1"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t>Appendix 3: Pestle</w:t>
      </w:r>
    </w:p>
    <w:p w14:paraId="1964ABE7" w14:textId="1E19ACD5" w:rsidR="00F54D45" w:rsidRPr="00294880" w:rsidRDefault="000B2616" w:rsidP="000B2616">
      <w:pPr>
        <w:spacing w:line="360" w:lineRule="auto"/>
        <w:jc w:val="center"/>
        <w:rPr>
          <w:rFonts w:ascii="Times New Roman" w:hAnsi="Times New Roman" w:cs="Times New Roman"/>
          <w:b/>
          <w:bCs/>
          <w:color w:val="222222"/>
          <w:sz w:val="24"/>
          <w:szCs w:val="24"/>
          <w:highlight w:val="white"/>
        </w:rPr>
      </w:pPr>
      <w:r w:rsidRPr="00294880">
        <w:rPr>
          <w:noProof/>
        </w:rPr>
        <w:lastRenderedPageBreak/>
        <w:drawing>
          <wp:inline distT="0" distB="0" distL="0" distR="0" wp14:anchorId="075F8A3F" wp14:editId="054BC53B">
            <wp:extent cx="3416198" cy="2570543"/>
            <wp:effectExtent l="0" t="0" r="0" b="1270"/>
            <wp:docPr id="3" name="Picture 3" descr="PESTLE and mortar your rivals (in a nice, non-lethal way) - Dream End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d mortar your rivals (in a nice, non-lethal way) - Dream End Sta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21002" cy="2574158"/>
                    </a:xfrm>
                    <a:prstGeom prst="rect">
                      <a:avLst/>
                    </a:prstGeom>
                    <a:noFill/>
                    <a:ln>
                      <a:noFill/>
                    </a:ln>
                  </pic:spPr>
                </pic:pic>
              </a:graphicData>
            </a:graphic>
          </wp:inline>
        </w:drawing>
      </w:r>
    </w:p>
    <w:p w14:paraId="2F53AAAD" w14:textId="46DA1265"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t>Appendix 4: Swot</w:t>
      </w:r>
    </w:p>
    <w:p w14:paraId="3700873D" w14:textId="239C263F" w:rsidR="000B2616" w:rsidRPr="00294880" w:rsidRDefault="000B2616" w:rsidP="000B2616">
      <w:pPr>
        <w:spacing w:line="360" w:lineRule="auto"/>
        <w:jc w:val="center"/>
        <w:rPr>
          <w:rFonts w:ascii="Times New Roman" w:hAnsi="Times New Roman" w:cs="Times New Roman"/>
          <w:b/>
          <w:bCs/>
          <w:color w:val="222222"/>
          <w:sz w:val="24"/>
          <w:szCs w:val="24"/>
          <w:highlight w:val="white"/>
        </w:rPr>
      </w:pPr>
      <w:r w:rsidRPr="00294880">
        <w:rPr>
          <w:noProof/>
        </w:rPr>
        <w:drawing>
          <wp:inline distT="0" distB="0" distL="0" distR="0" wp14:anchorId="33D225A5" wp14:editId="3C25A03C">
            <wp:extent cx="2757830" cy="2757830"/>
            <wp:effectExtent l="0" t="0" r="4445" b="4445"/>
            <wp:docPr id="4" name="Picture 4"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VID 19 SWOT Analysis: SWOT Analysis in a Pandem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784" cy="2762784"/>
                    </a:xfrm>
                    <a:prstGeom prst="rect">
                      <a:avLst/>
                    </a:prstGeom>
                    <a:noFill/>
                    <a:ln>
                      <a:noFill/>
                    </a:ln>
                  </pic:spPr>
                </pic:pic>
              </a:graphicData>
            </a:graphic>
          </wp:inline>
        </w:drawing>
      </w:r>
    </w:p>
    <w:p w14:paraId="5A3C4508" w14:textId="0A80ED00"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t>Appendix 5: 7 p’s of marketing Mix</w:t>
      </w:r>
    </w:p>
    <w:p w14:paraId="0F10CC41" w14:textId="7CDF82BC" w:rsidR="000B2616" w:rsidRPr="00294880" w:rsidRDefault="000B2616" w:rsidP="000B2616">
      <w:pPr>
        <w:spacing w:line="360" w:lineRule="auto"/>
        <w:jc w:val="center"/>
        <w:rPr>
          <w:rFonts w:ascii="Times New Roman" w:hAnsi="Times New Roman" w:cs="Times New Roman"/>
          <w:b/>
          <w:bCs/>
          <w:color w:val="222222"/>
          <w:sz w:val="24"/>
          <w:szCs w:val="24"/>
          <w:highlight w:val="white"/>
        </w:rPr>
      </w:pPr>
      <w:r w:rsidRPr="00294880">
        <w:rPr>
          <w:noProof/>
        </w:rPr>
        <w:drawing>
          <wp:inline distT="0" distB="0" distL="0" distR="0" wp14:anchorId="27759BC2" wp14:editId="53EA1144">
            <wp:extent cx="3877056" cy="2170074"/>
            <wp:effectExtent l="0" t="0" r="0" b="1905"/>
            <wp:docPr id="5" name="Picture 5"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use the 7Ps Marketing Mix strategy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82431" cy="2173082"/>
                    </a:xfrm>
                    <a:prstGeom prst="rect">
                      <a:avLst/>
                    </a:prstGeom>
                    <a:noFill/>
                    <a:ln>
                      <a:noFill/>
                    </a:ln>
                  </pic:spPr>
                </pic:pic>
              </a:graphicData>
            </a:graphic>
          </wp:inline>
        </w:drawing>
      </w:r>
    </w:p>
    <w:p w14:paraId="700F5497" w14:textId="55A543FB" w:rsidR="00F54D45" w:rsidRPr="00294880" w:rsidRDefault="00F54D45" w:rsidP="001B3FC9">
      <w:pPr>
        <w:spacing w:line="360" w:lineRule="auto"/>
        <w:jc w:val="both"/>
        <w:rPr>
          <w:rFonts w:ascii="Times New Roman" w:hAnsi="Times New Roman" w:cs="Times New Roman"/>
          <w:b/>
          <w:bCs/>
          <w:color w:val="222222"/>
          <w:sz w:val="24"/>
          <w:szCs w:val="24"/>
          <w:highlight w:val="white"/>
        </w:rPr>
      </w:pPr>
      <w:r w:rsidRPr="00294880">
        <w:rPr>
          <w:rFonts w:ascii="Times New Roman" w:hAnsi="Times New Roman" w:cs="Times New Roman"/>
          <w:b/>
          <w:bCs/>
          <w:color w:val="222222"/>
          <w:sz w:val="24"/>
          <w:szCs w:val="24"/>
          <w:highlight w:val="white"/>
        </w:rPr>
        <w:lastRenderedPageBreak/>
        <w:t xml:space="preserve">Appendix 6: </w:t>
      </w:r>
      <w:r w:rsidR="000B2616" w:rsidRPr="00294880">
        <w:rPr>
          <w:rFonts w:ascii="Times New Roman" w:hAnsi="Times New Roman" w:cs="Times New Roman"/>
          <w:b/>
          <w:bCs/>
          <w:color w:val="222222"/>
          <w:sz w:val="24"/>
          <w:szCs w:val="24"/>
          <w:highlight w:val="white"/>
        </w:rPr>
        <w:t>STP</w:t>
      </w:r>
    </w:p>
    <w:p w14:paraId="402DCBB3" w14:textId="5202C93F" w:rsidR="000B2616" w:rsidRPr="00294880" w:rsidRDefault="000B2616" w:rsidP="000B2616">
      <w:pPr>
        <w:spacing w:line="360" w:lineRule="auto"/>
        <w:jc w:val="center"/>
        <w:rPr>
          <w:rFonts w:ascii="Times New Roman" w:hAnsi="Times New Roman" w:cs="Times New Roman"/>
          <w:b/>
          <w:bCs/>
          <w:color w:val="222222"/>
          <w:sz w:val="24"/>
          <w:szCs w:val="24"/>
          <w:highlight w:val="white"/>
        </w:rPr>
      </w:pPr>
      <w:r w:rsidRPr="00294880">
        <w:rPr>
          <w:noProof/>
        </w:rPr>
        <w:drawing>
          <wp:inline distT="0" distB="0" distL="0" distR="0" wp14:anchorId="45CAFC5B" wp14:editId="7D2ACBF8">
            <wp:extent cx="4045306" cy="1962578"/>
            <wp:effectExtent l="0" t="0" r="0" b="0"/>
            <wp:docPr id="6" name="Picture 6" descr="Segmentation, Targeting and Positioning (STP) Model - Dimitrios G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gmentation, Targeting and Positioning (STP) Model - Dimitrios Gogo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4847" cy="1967207"/>
                    </a:xfrm>
                    <a:prstGeom prst="rect">
                      <a:avLst/>
                    </a:prstGeom>
                    <a:noFill/>
                    <a:ln>
                      <a:noFill/>
                    </a:ln>
                  </pic:spPr>
                </pic:pic>
              </a:graphicData>
            </a:graphic>
          </wp:inline>
        </w:drawing>
      </w:r>
    </w:p>
    <w:sectPr w:rsidR="000B2616" w:rsidRPr="00294880" w:rsidSect="001B3FC9">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96DA9" w14:textId="77777777" w:rsidR="0064598A" w:rsidRDefault="0064598A" w:rsidP="001B3FC9">
      <w:pPr>
        <w:spacing w:line="240" w:lineRule="auto"/>
      </w:pPr>
      <w:r>
        <w:separator/>
      </w:r>
    </w:p>
  </w:endnote>
  <w:endnote w:type="continuationSeparator" w:id="0">
    <w:p w14:paraId="65ECB1EB" w14:textId="77777777" w:rsidR="0064598A" w:rsidRDefault="0064598A" w:rsidP="001B3F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159177"/>
      <w:docPartObj>
        <w:docPartGallery w:val="Page Numbers (Bottom of Page)"/>
        <w:docPartUnique/>
      </w:docPartObj>
    </w:sdtPr>
    <w:sdtEndPr>
      <w:rPr>
        <w:noProof/>
      </w:rPr>
    </w:sdtEndPr>
    <w:sdtContent>
      <w:p w14:paraId="59E9FEBB" w14:textId="65700DB2" w:rsidR="001B3FC9" w:rsidRDefault="001B3F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5AFAD" w14:textId="77777777" w:rsidR="001B3FC9" w:rsidRDefault="001B3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BBADF" w14:textId="77777777" w:rsidR="0064598A" w:rsidRDefault="0064598A" w:rsidP="001B3FC9">
      <w:pPr>
        <w:spacing w:line="240" w:lineRule="auto"/>
      </w:pPr>
      <w:r>
        <w:separator/>
      </w:r>
    </w:p>
  </w:footnote>
  <w:footnote w:type="continuationSeparator" w:id="0">
    <w:p w14:paraId="12B85B00" w14:textId="77777777" w:rsidR="0064598A" w:rsidRDefault="0064598A" w:rsidP="001B3F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174"/>
    <w:rsid w:val="0005030B"/>
    <w:rsid w:val="000B2616"/>
    <w:rsid w:val="001B3FC9"/>
    <w:rsid w:val="00294880"/>
    <w:rsid w:val="002C175C"/>
    <w:rsid w:val="003B127F"/>
    <w:rsid w:val="0064598A"/>
    <w:rsid w:val="008F0A5D"/>
    <w:rsid w:val="009316A4"/>
    <w:rsid w:val="00A61174"/>
    <w:rsid w:val="00A820BB"/>
    <w:rsid w:val="00AB6BF5"/>
    <w:rsid w:val="00C86217"/>
    <w:rsid w:val="00EE5E5D"/>
    <w:rsid w:val="00F54D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24F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B3FC9"/>
    <w:pPr>
      <w:tabs>
        <w:tab w:val="center" w:pos="4513"/>
        <w:tab w:val="right" w:pos="9026"/>
      </w:tabs>
      <w:spacing w:line="240" w:lineRule="auto"/>
    </w:pPr>
  </w:style>
  <w:style w:type="character" w:customStyle="1" w:styleId="HeaderChar">
    <w:name w:val="Header Char"/>
    <w:basedOn w:val="DefaultParagraphFont"/>
    <w:link w:val="Header"/>
    <w:uiPriority w:val="99"/>
    <w:rsid w:val="001B3FC9"/>
  </w:style>
  <w:style w:type="paragraph" w:styleId="Footer">
    <w:name w:val="footer"/>
    <w:basedOn w:val="Normal"/>
    <w:link w:val="FooterChar"/>
    <w:uiPriority w:val="99"/>
    <w:unhideWhenUsed/>
    <w:rsid w:val="001B3FC9"/>
    <w:pPr>
      <w:tabs>
        <w:tab w:val="center" w:pos="4513"/>
        <w:tab w:val="right" w:pos="9026"/>
      </w:tabs>
      <w:spacing w:line="240" w:lineRule="auto"/>
    </w:pPr>
  </w:style>
  <w:style w:type="character" w:customStyle="1" w:styleId="FooterChar">
    <w:name w:val="Footer Char"/>
    <w:basedOn w:val="DefaultParagraphFont"/>
    <w:link w:val="Footer"/>
    <w:uiPriority w:val="99"/>
    <w:rsid w:val="001B3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2023-05-18T14:04:00Z</dcterms:created>
  <dcterms:modified xsi:type="dcterms:W3CDTF">2023-05-19T17:15:00Z</dcterms:modified>
</cp:coreProperties>
</file>