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35014" w14:textId="7E04EDBF" w:rsidR="00201B96" w:rsidRPr="00963259" w:rsidRDefault="00201B96" w:rsidP="00201B9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Quantitative </w:t>
      </w:r>
      <w:r w:rsidRPr="00963259">
        <w:rPr>
          <w:rFonts w:ascii="Times New Roman" w:hAnsi="Times New Roman" w:cs="Times New Roman"/>
          <w:b/>
          <w:bCs/>
          <w:sz w:val="24"/>
          <w:szCs w:val="24"/>
        </w:rPr>
        <w:t>Research</w:t>
      </w:r>
      <w:r w:rsidR="00332710">
        <w:rPr>
          <w:rFonts w:ascii="Times New Roman" w:hAnsi="Times New Roman" w:cs="Times New Roman"/>
          <w:b/>
          <w:bCs/>
          <w:sz w:val="24"/>
          <w:szCs w:val="24"/>
        </w:rPr>
        <w:t xml:space="preserve"> Methods</w:t>
      </w:r>
      <w:r w:rsidRPr="00963259">
        <w:rPr>
          <w:rFonts w:ascii="Times New Roman" w:hAnsi="Times New Roman" w:cs="Times New Roman"/>
          <w:b/>
          <w:bCs/>
          <w:sz w:val="24"/>
          <w:szCs w:val="24"/>
        </w:rPr>
        <w:t>:</w:t>
      </w:r>
    </w:p>
    <w:p w14:paraId="0773D2B4" w14:textId="7E45A363" w:rsidR="00201B96" w:rsidRPr="00750379" w:rsidRDefault="00201B96" w:rsidP="00750379">
      <w:pPr>
        <w:spacing w:before="100" w:beforeAutospacing="1" w:after="100" w:afterAutospacing="1" w:line="240" w:lineRule="auto"/>
        <w:rPr>
          <w:rFonts w:ascii="Times New Roman" w:eastAsia="Times New Roman" w:hAnsi="Times New Roman" w:cs="Times New Roman"/>
          <w:sz w:val="24"/>
          <w:szCs w:val="24"/>
          <w:lang w:eastAsia="sv-SE"/>
        </w:rPr>
      </w:pPr>
      <w:r w:rsidRPr="00963259">
        <w:rPr>
          <w:rFonts w:ascii="Times New Roman" w:hAnsi="Times New Roman" w:cs="Times New Roman"/>
          <w:b/>
          <w:bCs/>
          <w:sz w:val="24"/>
          <w:szCs w:val="24"/>
        </w:rPr>
        <w:t>Title:</w:t>
      </w:r>
      <w:r w:rsidR="00750379" w:rsidRPr="00750379">
        <w:rPr>
          <w:rFonts w:ascii="Times New Roman" w:eastAsia="Times New Roman" w:hAnsi="Times New Roman" w:cs="Times New Roman"/>
          <w:sz w:val="24"/>
          <w:szCs w:val="24"/>
          <w:lang w:eastAsia="sv-SE"/>
        </w:rPr>
        <w:t xml:space="preserve"> Disability Type and Participation in Post-Secondary Education: A Quantitative Analysis of Educational Transitions in Sweden</w:t>
      </w:r>
      <w:r w:rsidR="00750379">
        <w:rPr>
          <w:rFonts w:ascii="Times New Roman" w:eastAsia="Times New Roman" w:hAnsi="Times New Roman" w:cs="Times New Roman"/>
          <w:sz w:val="24"/>
          <w:szCs w:val="24"/>
          <w:lang w:eastAsia="sv-SE"/>
        </w:rPr>
        <w:t xml:space="preserve"> between 2018-2020</w:t>
      </w:r>
    </w:p>
    <w:p w14:paraId="01670927" w14:textId="77777777" w:rsidR="00201B96" w:rsidRPr="00963259" w:rsidRDefault="00201B96" w:rsidP="00201B96">
      <w:pPr>
        <w:spacing w:line="360" w:lineRule="auto"/>
        <w:jc w:val="both"/>
        <w:rPr>
          <w:rFonts w:ascii="Times New Roman" w:hAnsi="Times New Roman" w:cs="Times New Roman"/>
          <w:b/>
          <w:bCs/>
          <w:sz w:val="24"/>
          <w:szCs w:val="24"/>
        </w:rPr>
      </w:pPr>
      <w:r w:rsidRPr="00963259">
        <w:rPr>
          <w:rFonts w:ascii="Times New Roman" w:hAnsi="Times New Roman" w:cs="Times New Roman"/>
          <w:b/>
          <w:bCs/>
          <w:sz w:val="24"/>
          <w:szCs w:val="24"/>
        </w:rPr>
        <w:t xml:space="preserve">Name: </w:t>
      </w:r>
      <w:r w:rsidRPr="00963259">
        <w:rPr>
          <w:rFonts w:ascii="Times New Roman" w:hAnsi="Times New Roman" w:cs="Times New Roman"/>
          <w:sz w:val="24"/>
          <w:szCs w:val="24"/>
        </w:rPr>
        <w:t>Arthur Emmanuel Nkalubo</w:t>
      </w:r>
    </w:p>
    <w:p w14:paraId="68D6D4C3" w14:textId="77777777" w:rsidR="00201B96" w:rsidRPr="00963259" w:rsidRDefault="00201B96" w:rsidP="00201B96">
      <w:pPr>
        <w:spacing w:line="360" w:lineRule="auto"/>
        <w:jc w:val="both"/>
        <w:rPr>
          <w:rFonts w:ascii="Times New Roman" w:hAnsi="Times New Roman" w:cs="Times New Roman"/>
          <w:b/>
          <w:bCs/>
          <w:sz w:val="24"/>
          <w:szCs w:val="24"/>
        </w:rPr>
      </w:pPr>
      <w:r w:rsidRPr="00963259">
        <w:rPr>
          <w:rFonts w:ascii="Times New Roman" w:hAnsi="Times New Roman" w:cs="Times New Roman"/>
          <w:b/>
          <w:bCs/>
          <w:sz w:val="24"/>
          <w:szCs w:val="24"/>
        </w:rPr>
        <w:t xml:space="preserve">Student number: </w:t>
      </w:r>
      <w:r w:rsidRPr="00963259">
        <w:rPr>
          <w:rFonts w:ascii="Times New Roman" w:hAnsi="Times New Roman" w:cs="Times New Roman"/>
          <w:sz w:val="24"/>
          <w:szCs w:val="24"/>
        </w:rPr>
        <w:t>2211172</w:t>
      </w:r>
    </w:p>
    <w:p w14:paraId="2C4B2782" w14:textId="064F0BB8" w:rsidR="0053434A" w:rsidRDefault="00201B96" w:rsidP="00382E37">
      <w:pPr>
        <w:spacing w:line="360" w:lineRule="auto"/>
        <w:jc w:val="both"/>
        <w:rPr>
          <w:rFonts w:ascii="Times New Roman" w:hAnsi="Times New Roman" w:cs="Times New Roman"/>
          <w:sz w:val="24"/>
          <w:szCs w:val="24"/>
        </w:rPr>
      </w:pPr>
      <w:r w:rsidRPr="00963259">
        <w:rPr>
          <w:rFonts w:ascii="Times New Roman" w:hAnsi="Times New Roman" w:cs="Times New Roman"/>
          <w:b/>
          <w:bCs/>
          <w:sz w:val="24"/>
          <w:szCs w:val="24"/>
        </w:rPr>
        <w:t xml:space="preserve">Course: </w:t>
      </w:r>
      <w:r w:rsidR="00332710">
        <w:rPr>
          <w:rFonts w:ascii="Times New Roman" w:hAnsi="Times New Roman" w:cs="Times New Roman"/>
          <w:sz w:val="24"/>
          <w:szCs w:val="24"/>
        </w:rPr>
        <w:t>Quantitative Research Methods</w:t>
      </w:r>
      <w:r w:rsidRPr="00963259">
        <w:rPr>
          <w:rFonts w:ascii="Times New Roman" w:hAnsi="Times New Roman" w:cs="Times New Roman"/>
          <w:sz w:val="24"/>
          <w:szCs w:val="24"/>
        </w:rPr>
        <w:t xml:space="preserve"> (BMDP700</w:t>
      </w:r>
      <w:r w:rsidR="00332710">
        <w:rPr>
          <w:rFonts w:ascii="Times New Roman" w:hAnsi="Times New Roman" w:cs="Times New Roman"/>
          <w:sz w:val="24"/>
          <w:szCs w:val="24"/>
        </w:rPr>
        <w:t>9</w:t>
      </w:r>
      <w:r w:rsidRPr="00963259">
        <w:rPr>
          <w:rFonts w:ascii="Times New Roman" w:hAnsi="Times New Roman" w:cs="Times New Roman"/>
          <w:sz w:val="24"/>
          <w:szCs w:val="24"/>
        </w:rPr>
        <w:t>)</w:t>
      </w:r>
    </w:p>
    <w:p w14:paraId="07617C97" w14:textId="15744360" w:rsidR="00D51969" w:rsidRPr="00D51969" w:rsidRDefault="00D51969" w:rsidP="00382E37">
      <w:pPr>
        <w:spacing w:line="360" w:lineRule="auto"/>
        <w:jc w:val="both"/>
        <w:rPr>
          <w:rFonts w:ascii="Times New Roman" w:hAnsi="Times New Roman" w:cs="Times New Roman"/>
          <w:b/>
          <w:bCs/>
          <w:sz w:val="24"/>
          <w:szCs w:val="24"/>
        </w:rPr>
      </w:pPr>
      <w:r w:rsidRPr="00D51969">
        <w:rPr>
          <w:rFonts w:ascii="Times New Roman" w:hAnsi="Times New Roman" w:cs="Times New Roman"/>
          <w:b/>
          <w:bCs/>
          <w:sz w:val="24"/>
          <w:szCs w:val="24"/>
        </w:rPr>
        <w:t>Word count:</w:t>
      </w:r>
      <w:r w:rsidR="00FF5D29">
        <w:rPr>
          <w:rFonts w:ascii="Times New Roman" w:hAnsi="Times New Roman" w:cs="Times New Roman"/>
          <w:b/>
          <w:bCs/>
          <w:sz w:val="24"/>
          <w:szCs w:val="24"/>
        </w:rPr>
        <w:t xml:space="preserve"> </w:t>
      </w:r>
      <w:r w:rsidR="00A152F2">
        <w:rPr>
          <w:rFonts w:ascii="Times New Roman" w:hAnsi="Times New Roman" w:cs="Times New Roman"/>
          <w:sz w:val="24"/>
          <w:szCs w:val="24"/>
        </w:rPr>
        <w:t>7</w:t>
      </w:r>
      <w:r w:rsidR="00647CDD">
        <w:rPr>
          <w:rFonts w:ascii="Times New Roman" w:hAnsi="Times New Roman" w:cs="Times New Roman"/>
          <w:sz w:val="24"/>
          <w:szCs w:val="24"/>
        </w:rPr>
        <w:t>482</w:t>
      </w:r>
    </w:p>
    <w:p w14:paraId="5A561D7E" w14:textId="77777777" w:rsidR="00382E37" w:rsidRPr="00382E37" w:rsidRDefault="00382E37" w:rsidP="00382E37">
      <w:pPr>
        <w:spacing w:line="360" w:lineRule="auto"/>
        <w:jc w:val="both"/>
        <w:rPr>
          <w:rFonts w:ascii="Times New Roman" w:hAnsi="Times New Roman" w:cs="Times New Roman"/>
          <w:sz w:val="24"/>
          <w:szCs w:val="24"/>
        </w:rPr>
      </w:pPr>
    </w:p>
    <w:p w14:paraId="62C65398" w14:textId="77777777" w:rsidR="00B9317B" w:rsidRDefault="00332710" w:rsidP="00B9317B">
      <w:pPr>
        <w:rPr>
          <w:rFonts w:ascii="Times New Roman" w:hAnsi="Times New Roman" w:cs="Times New Roman"/>
          <w:b/>
          <w:bCs/>
          <w:sz w:val="24"/>
          <w:szCs w:val="24"/>
        </w:rPr>
      </w:pPr>
      <w:r w:rsidRPr="00382E37">
        <w:rPr>
          <w:rFonts w:ascii="Times New Roman" w:hAnsi="Times New Roman" w:cs="Times New Roman"/>
          <w:b/>
          <w:bCs/>
          <w:sz w:val="24"/>
          <w:szCs w:val="24"/>
        </w:rPr>
        <w:t>Abstract</w:t>
      </w:r>
    </w:p>
    <w:p w14:paraId="1082FE73" w14:textId="77777777" w:rsidR="00FB7309" w:rsidRDefault="009B6E4D" w:rsidP="008D2525">
      <w:pPr>
        <w:pStyle w:val="isselectedend"/>
        <w:spacing w:line="360" w:lineRule="auto"/>
        <w:jc w:val="both"/>
        <w:rPr>
          <w:lang w:val="en-GB"/>
        </w:rPr>
      </w:pPr>
      <w:r w:rsidRPr="009B6E4D">
        <w:rPr>
          <w:lang w:val="en-GB"/>
        </w:rPr>
        <w:t xml:space="preserve">Despite increased efforts to widen participation in post-secondary education, inequalities in educational participation among disabled students persist. Although inclusion policies have sought to promote equal educational opportunities, limited research has examined how post-secondary participation varies according to disability status, disability type, gender, and the period following completion of secondary education. This study therefore examines patterns and differences in post-secondary education participation among students with and without disabilities in Sweden between 2018 and 2020. The main research question is: How did post-secondary education participation vary by disability status or type and gender between 2018 and 2020? </w:t>
      </w:r>
    </w:p>
    <w:p w14:paraId="52F3CF3C" w14:textId="0D62E995" w:rsidR="008D2525" w:rsidRDefault="000E7B27" w:rsidP="008D2525">
      <w:pPr>
        <w:pStyle w:val="isselectedend"/>
        <w:spacing w:line="360" w:lineRule="auto"/>
        <w:jc w:val="both"/>
        <w:rPr>
          <w:lang w:val="en-GB"/>
        </w:rPr>
      </w:pPr>
      <w:r>
        <w:rPr>
          <w:lang w:val="en-GB"/>
        </w:rPr>
        <w:t>Further</w:t>
      </w:r>
      <w:r w:rsidR="008D2525">
        <w:rPr>
          <w:lang w:val="en-GB"/>
        </w:rPr>
        <w:t xml:space="preserve">, the study adopts the capability approach as the theoretical framework adopting a </w:t>
      </w:r>
      <w:r w:rsidR="009B6E4D" w:rsidRPr="009B6E4D">
        <w:rPr>
          <w:lang w:val="en-GB"/>
        </w:rPr>
        <w:t xml:space="preserve">quantitative research design using data on students who participated in post-secondary education during the period 2018-2020. Descriptive statistics were used to examine participation patterns by disability status, type, gender, and year. Inferential statistical analyses, including one-way ANOVA and a paired-samples </w:t>
      </w:r>
      <w:r w:rsidR="009B6E4D" w:rsidRPr="009B6E4D">
        <w:rPr>
          <w:rStyle w:val="Betoning"/>
          <w:lang w:val="en-GB"/>
        </w:rPr>
        <w:t>t</w:t>
      </w:r>
      <w:r w:rsidR="009B6E4D" w:rsidRPr="009B6E4D">
        <w:rPr>
          <w:lang w:val="en-GB"/>
        </w:rPr>
        <w:t>-test, were used to examine differences in participation across the first three years following completion of secondary education and changes between the first and third years.</w:t>
      </w:r>
    </w:p>
    <w:p w14:paraId="494E546A" w14:textId="4264BFC5" w:rsidR="009B6E4D" w:rsidRPr="009B6E4D" w:rsidRDefault="009B6E4D" w:rsidP="008D2525">
      <w:pPr>
        <w:pStyle w:val="isselectedend"/>
        <w:spacing w:line="360" w:lineRule="auto"/>
        <w:jc w:val="both"/>
        <w:rPr>
          <w:lang w:val="en-GB"/>
        </w:rPr>
      </w:pPr>
      <w:r w:rsidRPr="009B6E4D">
        <w:rPr>
          <w:lang w:val="en-GB"/>
        </w:rPr>
        <w:t xml:space="preserve">The findings indicate that participation in post-secondary education increased across the disability and gender groups examined between 2018 and 2020. Participation was consistently higher among students without disabilities than among disabled students, while female students generally recorded higher participation rates than male students. The one-way ANOVA showed </w:t>
      </w:r>
      <w:r w:rsidRPr="009B6E4D">
        <w:rPr>
          <w:lang w:val="en-GB"/>
        </w:rPr>
        <w:lastRenderedPageBreak/>
        <w:t xml:space="preserve">that differences in participation across the first, second, and third years following completion of secondary education were not statistically significant, </w:t>
      </w:r>
      <w:r w:rsidR="009D7A70" w:rsidRPr="009B6E4D">
        <w:rPr>
          <w:rStyle w:val="Betoning"/>
          <w:lang w:val="en-GB"/>
        </w:rPr>
        <w:t>F</w:t>
      </w:r>
      <w:r w:rsidR="009D7A70" w:rsidRPr="009B6E4D">
        <w:rPr>
          <w:lang w:val="en-GB"/>
        </w:rPr>
        <w:t>(</w:t>
      </w:r>
      <w:r w:rsidRPr="009B6E4D">
        <w:rPr>
          <w:lang w:val="en-GB"/>
        </w:rPr>
        <w:t xml:space="preserve">2, 15) = 2.20, </w:t>
      </w:r>
      <w:r w:rsidRPr="009B6E4D">
        <w:rPr>
          <w:rStyle w:val="Betoning"/>
          <w:lang w:val="en-GB"/>
        </w:rPr>
        <w:t>p</w:t>
      </w:r>
      <w:r w:rsidRPr="009B6E4D">
        <w:rPr>
          <w:lang w:val="en-GB"/>
        </w:rPr>
        <w:t xml:space="preserve"> = .145. However, the paired-samples </w:t>
      </w:r>
      <w:r w:rsidRPr="009B6E4D">
        <w:rPr>
          <w:rStyle w:val="Betoning"/>
          <w:lang w:val="en-GB"/>
        </w:rPr>
        <w:t>t</w:t>
      </w:r>
      <w:r w:rsidRPr="009B6E4D">
        <w:rPr>
          <w:lang w:val="en-GB"/>
        </w:rPr>
        <w:t xml:space="preserve">-test indicated a statistically significant increase in participation between the first and third years, </w:t>
      </w:r>
      <w:r w:rsidRPr="009B6E4D">
        <w:rPr>
          <w:rStyle w:val="Betoning"/>
          <w:lang w:val="en-GB"/>
        </w:rPr>
        <w:t>t</w:t>
      </w:r>
      <w:r w:rsidRPr="009B6E4D">
        <w:rPr>
          <w:lang w:val="en-GB"/>
        </w:rPr>
        <w:t xml:space="preserve">(13) = −6.93, </w:t>
      </w:r>
      <w:r w:rsidRPr="009B6E4D">
        <w:rPr>
          <w:rStyle w:val="Betoning"/>
          <w:lang w:val="en-GB"/>
        </w:rPr>
        <w:t>p</w:t>
      </w:r>
      <w:r w:rsidRPr="009B6E4D">
        <w:rPr>
          <w:lang w:val="en-GB"/>
        </w:rPr>
        <w:t xml:space="preserve"> &lt; .001. Descriptive comparisons further revealed variation in participation across disability types and gender</w:t>
      </w:r>
      <w:r w:rsidR="00422D33">
        <w:rPr>
          <w:lang w:val="en-GB"/>
        </w:rPr>
        <w:t xml:space="preserve"> with</w:t>
      </w:r>
      <w:r w:rsidRPr="009B6E4D">
        <w:rPr>
          <w:lang w:val="en-GB"/>
        </w:rPr>
        <w:t xml:space="preserve"> gender differences differing across disability categories. Overall, the findings highlight persistent disparities in post-secondary participation and demonstrate the importance of considering disability status, disability type, gender, and the timing of educational transition when examining inequalities in post-secondary education participation.</w:t>
      </w:r>
    </w:p>
    <w:p w14:paraId="35027227" w14:textId="7EE5C59D" w:rsidR="00C71F79" w:rsidRPr="007B51DA" w:rsidRDefault="007A77EC">
      <w:pPr>
        <w:rPr>
          <w:rFonts w:ascii="Times New Roman" w:hAnsi="Times New Roman" w:cs="Times New Roman"/>
          <w:b/>
          <w:bCs/>
          <w:sz w:val="24"/>
          <w:szCs w:val="24"/>
        </w:rPr>
      </w:pPr>
      <w:r w:rsidRPr="007B51DA">
        <w:rPr>
          <w:rFonts w:ascii="Times New Roman" w:hAnsi="Times New Roman" w:cs="Times New Roman"/>
          <w:b/>
          <w:bCs/>
          <w:sz w:val="24"/>
          <w:szCs w:val="24"/>
        </w:rPr>
        <w:t>Introduction</w:t>
      </w:r>
    </w:p>
    <w:p w14:paraId="15B2DFF4" w14:textId="2318D5DF" w:rsidR="0054560B" w:rsidRPr="0054560B" w:rsidRDefault="002B1BB4" w:rsidP="007D074E">
      <w:pPr>
        <w:pStyle w:val="isselectedend"/>
        <w:spacing w:line="360" w:lineRule="auto"/>
        <w:jc w:val="both"/>
        <w:rPr>
          <w:lang w:val="en-GB"/>
        </w:rPr>
      </w:pPr>
      <w:r w:rsidRPr="002B1BB4">
        <w:rPr>
          <w:lang w:val="en-GB"/>
        </w:rPr>
        <w:t>Disability has historically contributed to educational exclusion through inadequate access and support across education systems (Lid, 2026). Despite the expansion of inclusive education policies, disabled students continue to face barriers to participation and educational progress (Stefánsdóttir &amp; Björnsdóttir, 2016). Post-secondary education is particularly important because it can strengthen employment opportunities and social participation (Pandey, 2021). Widening participation therefore requires more than formal access; it requires conditions that enable disabled students to participate on an equitable basis</w:t>
      </w:r>
      <w:r w:rsidR="00C1595A">
        <w:rPr>
          <w:lang w:val="en-GB"/>
        </w:rPr>
        <w:t>.</w:t>
      </w:r>
    </w:p>
    <w:p w14:paraId="0A463EF4" w14:textId="7A46F70A" w:rsidR="0054560B" w:rsidRPr="0054560B" w:rsidRDefault="00357947" w:rsidP="00661635">
      <w:pPr>
        <w:pStyle w:val="isselectedend"/>
        <w:spacing w:line="360" w:lineRule="auto"/>
        <w:jc w:val="both"/>
        <w:rPr>
          <w:lang w:val="en-GB"/>
        </w:rPr>
      </w:pPr>
      <w:r w:rsidRPr="00357947">
        <w:rPr>
          <w:lang w:val="en-GB"/>
        </w:rPr>
        <w:t xml:space="preserve">Disability is a complex, multidimensional phenomenon understood and constructed differently across social, cultural, and historical contexts. The barriers experienced by people with disabilities can restrict their full and equal participation in society (Moriña &amp; Carnerero, 2020). </w:t>
      </w:r>
      <w:r w:rsidRPr="00260A9A">
        <w:rPr>
          <w:lang w:val="en-GB"/>
        </w:rPr>
        <w:t>Therefore, inequalities in educational participation should be understood not only in relation to individual impairments but also to the opportunities and barriers within education and wider s</w:t>
      </w:r>
    </w:p>
    <w:p w14:paraId="43E9C9AB" w14:textId="0595E392" w:rsidR="0054560B" w:rsidRPr="007D074E" w:rsidRDefault="0054560B" w:rsidP="00D75634">
      <w:pPr>
        <w:pStyle w:val="isselectedend"/>
        <w:spacing w:line="360" w:lineRule="auto"/>
        <w:jc w:val="both"/>
        <w:rPr>
          <w:lang w:val="en-GB"/>
        </w:rPr>
      </w:pPr>
      <w:r w:rsidRPr="0054560B">
        <w:rPr>
          <w:lang w:val="en-GB"/>
        </w:rPr>
        <w:t>The right to education provides basis for addressing these inequalities. Internationally, Article 24 of the United Nations Convention on the Rights of Persons with Disabilities recognises the right of persons with disabilities to education without discrimination (Lid, 2026).</w:t>
      </w:r>
      <w:r w:rsidR="001131FA" w:rsidRPr="001131FA">
        <w:rPr>
          <w:lang w:val="en-GB"/>
        </w:rPr>
        <w:t xml:space="preserve"> In Sweden, inclusion, equality, respect for diversity, and protection from discrimination are central curriculum principles. Schools are expected to promote empathy, understanding, and dignity for all learners, including those with disabilities (Skolverket,2026).</w:t>
      </w:r>
      <w:r w:rsidRPr="0054560B">
        <w:rPr>
          <w:lang w:val="en-GB"/>
        </w:rPr>
        <w:t xml:space="preserve"> </w:t>
      </w:r>
      <w:r w:rsidRPr="007D074E">
        <w:rPr>
          <w:lang w:val="en-GB"/>
        </w:rPr>
        <w:t xml:space="preserve">These principles are particularly important during the transition from secondary education to post-school </w:t>
      </w:r>
      <w:r w:rsidR="00CD2C24">
        <w:rPr>
          <w:lang w:val="en-GB"/>
        </w:rPr>
        <w:t>life</w:t>
      </w:r>
      <w:r w:rsidRPr="007D074E">
        <w:rPr>
          <w:lang w:val="en-GB"/>
        </w:rPr>
        <w:t xml:space="preserve"> (Pandey, 2021).</w:t>
      </w:r>
    </w:p>
    <w:p w14:paraId="7AEA7358" w14:textId="6061EF34" w:rsidR="0054560B" w:rsidRPr="007D074E" w:rsidRDefault="00D97935" w:rsidP="00251645">
      <w:pPr>
        <w:pStyle w:val="isselectedend"/>
        <w:spacing w:line="360" w:lineRule="auto"/>
        <w:jc w:val="both"/>
        <w:rPr>
          <w:lang w:val="en-GB"/>
        </w:rPr>
      </w:pPr>
      <w:r w:rsidRPr="00D97935">
        <w:rPr>
          <w:lang w:val="en-GB"/>
        </w:rPr>
        <w:lastRenderedPageBreak/>
        <w:t>Despite these policy commitments, inequalities in educational participation persist. Research has often focused on stigma, perceptions, and disabled students' educational experiences, with less attention to differences across disability categories (Akin &amp; Huang, 2019). Since disability is not a homogeneous category</w:t>
      </w:r>
      <w:r w:rsidR="00214B45">
        <w:rPr>
          <w:lang w:val="en-GB"/>
        </w:rPr>
        <w:t>,</w:t>
      </w:r>
      <w:r w:rsidRPr="00D97935">
        <w:rPr>
          <w:lang w:val="en-GB"/>
        </w:rPr>
        <w:t xml:space="preserve"> students may face different barriers and support needs</w:t>
      </w:r>
      <w:r w:rsidR="00CE6C17">
        <w:rPr>
          <w:lang w:val="en-GB"/>
        </w:rPr>
        <w:t>.</w:t>
      </w:r>
      <w:r w:rsidRPr="00D97935">
        <w:rPr>
          <w:lang w:val="en-GB"/>
        </w:rPr>
        <w:t xml:space="preserve"> </w:t>
      </w:r>
      <w:r w:rsidR="00766A94">
        <w:rPr>
          <w:lang w:val="en-GB"/>
        </w:rPr>
        <w:t>Besides, t</w:t>
      </w:r>
      <w:r w:rsidRPr="00D97935">
        <w:rPr>
          <w:lang w:val="en-GB"/>
        </w:rPr>
        <w:t xml:space="preserve">reating disability as a single category </w:t>
      </w:r>
      <w:r w:rsidR="00766A94">
        <w:rPr>
          <w:lang w:val="en-GB"/>
        </w:rPr>
        <w:t>may</w:t>
      </w:r>
      <w:r w:rsidRPr="00D97935">
        <w:rPr>
          <w:lang w:val="en-GB"/>
        </w:rPr>
        <w:t xml:space="preserve"> obscure important participation differences</w:t>
      </w:r>
      <w:r w:rsidR="00CE6C17">
        <w:rPr>
          <w:lang w:val="en-GB"/>
        </w:rPr>
        <w:t xml:space="preserve"> </w:t>
      </w:r>
      <w:r w:rsidR="00CE6C17" w:rsidRPr="00D97935">
        <w:rPr>
          <w:lang w:val="en-GB"/>
        </w:rPr>
        <w:t>(Keung &amp; Ho, 2020)</w:t>
      </w:r>
      <w:r w:rsidR="00CE6C17">
        <w:rPr>
          <w:lang w:val="en-GB"/>
        </w:rPr>
        <w:t>.</w:t>
      </w:r>
      <w:r w:rsidR="00CE6C17" w:rsidRPr="00D97935">
        <w:rPr>
          <w:lang w:val="en-GB"/>
        </w:rPr>
        <w:t xml:space="preserve"> </w:t>
      </w:r>
      <w:r w:rsidRPr="00D97935">
        <w:rPr>
          <w:lang w:val="en-GB"/>
        </w:rPr>
        <w:t xml:space="preserve"> </w:t>
      </w:r>
      <w:r w:rsidR="00766A94">
        <w:rPr>
          <w:lang w:val="en-GB"/>
        </w:rPr>
        <w:t>Further, g</w:t>
      </w:r>
      <w:r w:rsidRPr="00D97935">
        <w:rPr>
          <w:lang w:val="en-GB"/>
        </w:rPr>
        <w:t>ender may also intersect with disability to shape distinct participation patterns (Moriña &amp; Carnerero, 2020), highlighting the need to examine these dimensions together</w:t>
      </w:r>
      <w:r w:rsidR="00766A94">
        <w:rPr>
          <w:lang w:val="en-GB"/>
        </w:rPr>
        <w:t>.</w:t>
      </w:r>
    </w:p>
    <w:p w14:paraId="0F57E916" w14:textId="0CC54295" w:rsidR="0054560B" w:rsidRPr="007D074E" w:rsidRDefault="0054560B" w:rsidP="00AF73A3">
      <w:pPr>
        <w:pStyle w:val="isselectedend"/>
        <w:spacing w:line="360" w:lineRule="auto"/>
        <w:jc w:val="both"/>
        <w:rPr>
          <w:lang w:val="en-GB"/>
        </w:rPr>
      </w:pPr>
      <w:r w:rsidRPr="007D074E">
        <w:rPr>
          <w:lang w:val="en-GB"/>
        </w:rPr>
        <w:t>The scale of disability further demonstrates the importance of this issue</w:t>
      </w:r>
      <w:r w:rsidR="0054560A">
        <w:rPr>
          <w:lang w:val="en-GB"/>
        </w:rPr>
        <w:t xml:space="preserve"> since </w:t>
      </w:r>
      <w:r w:rsidR="001F678D">
        <w:rPr>
          <w:lang w:val="en-GB"/>
        </w:rPr>
        <w:t>28.4</w:t>
      </w:r>
      <w:r w:rsidR="0054560A">
        <w:rPr>
          <w:lang w:val="en-GB"/>
        </w:rPr>
        <w:t>% of the</w:t>
      </w:r>
      <w:r w:rsidR="00C440F7">
        <w:rPr>
          <w:lang w:val="en-GB"/>
        </w:rPr>
        <w:t xml:space="preserve"> p</w:t>
      </w:r>
      <w:r w:rsidRPr="007D074E">
        <w:rPr>
          <w:lang w:val="en-GB"/>
        </w:rPr>
        <w:t>eople with disabilities within the E</w:t>
      </w:r>
      <w:r w:rsidR="00C440F7">
        <w:rPr>
          <w:lang w:val="en-GB"/>
        </w:rPr>
        <w:t>U risk exclusion</w:t>
      </w:r>
      <w:r w:rsidR="00ED45DF">
        <w:rPr>
          <w:lang w:val="en-GB"/>
        </w:rPr>
        <w:t xml:space="preserve"> </w:t>
      </w:r>
      <w:r w:rsidR="004C67F6" w:rsidRPr="00ED45DF">
        <w:rPr>
          <w:lang w:val="en-GB"/>
        </w:rPr>
        <w:t>(European Commission, 2025)</w:t>
      </w:r>
      <w:r w:rsidR="00ED45DF">
        <w:rPr>
          <w:lang w:val="en-GB"/>
        </w:rPr>
        <w:t>. Ensurin</w:t>
      </w:r>
      <w:r w:rsidRPr="007D074E">
        <w:rPr>
          <w:lang w:val="en-GB"/>
        </w:rPr>
        <w:t xml:space="preserve">g equitable educational opportunities </w:t>
      </w:r>
      <w:r w:rsidR="0030289B">
        <w:rPr>
          <w:lang w:val="en-GB"/>
        </w:rPr>
        <w:t>here</w:t>
      </w:r>
      <w:r w:rsidR="00DA1ADA">
        <w:rPr>
          <w:lang w:val="en-GB"/>
        </w:rPr>
        <w:t xml:space="preserve"> extends beyond education </w:t>
      </w:r>
      <w:r w:rsidR="00687DD1">
        <w:rPr>
          <w:lang w:val="en-GB"/>
        </w:rPr>
        <w:t xml:space="preserve">to </w:t>
      </w:r>
      <w:r w:rsidRPr="007D074E">
        <w:rPr>
          <w:lang w:val="en-GB"/>
        </w:rPr>
        <w:t>social justice. Nevertheless, despite increasing policy attention to inclusion, knowledge about the participation and educational trajectories of disabled students remains limited (Madaus et al., 2018).</w:t>
      </w:r>
    </w:p>
    <w:p w14:paraId="3A95BD0C" w14:textId="493FDAB8" w:rsidR="0054560B" w:rsidRPr="007D074E" w:rsidRDefault="0054560B" w:rsidP="00ED03F7">
      <w:pPr>
        <w:pStyle w:val="isselectedend"/>
        <w:spacing w:line="360" w:lineRule="auto"/>
        <w:jc w:val="both"/>
        <w:rPr>
          <w:lang w:val="en-GB"/>
        </w:rPr>
      </w:pPr>
      <w:r w:rsidRPr="007D074E">
        <w:rPr>
          <w:lang w:val="en-GB"/>
        </w:rPr>
        <w:t>The</w:t>
      </w:r>
      <w:r w:rsidR="00017555">
        <w:rPr>
          <w:lang w:val="en-GB"/>
        </w:rPr>
        <w:t>refore, the</w:t>
      </w:r>
      <w:r w:rsidRPr="007D074E">
        <w:rPr>
          <w:lang w:val="en-GB"/>
        </w:rPr>
        <w:t xml:space="preserve"> </w:t>
      </w:r>
      <w:r w:rsidRPr="00017555">
        <w:rPr>
          <w:rStyle w:val="Stark"/>
          <w:b w:val="0"/>
          <w:bCs w:val="0"/>
          <w:lang w:val="en-GB"/>
        </w:rPr>
        <w:t>capability approach</w:t>
      </w:r>
      <w:r w:rsidRPr="007D074E">
        <w:rPr>
          <w:lang w:val="en-GB"/>
        </w:rPr>
        <w:t>, associated with Amartya Sen and Martha Nussbaum, provides a useful theoretical perspective for examining these inequalities. Rather than focusing only on whether students have access to educational resources, the capability approach considers whether individuals have genuine opportunities to achieve outcomes th</w:t>
      </w:r>
      <w:r w:rsidR="00D25CF6">
        <w:rPr>
          <w:lang w:val="en-GB"/>
        </w:rPr>
        <w:t xml:space="preserve">ey can </w:t>
      </w:r>
      <w:r w:rsidRPr="007D074E">
        <w:rPr>
          <w:lang w:val="en-GB"/>
        </w:rPr>
        <w:t xml:space="preserve">value (Keung &amp; Ho, 2020). Sen distinguishes between </w:t>
      </w:r>
      <w:r w:rsidRPr="00B46633">
        <w:rPr>
          <w:rStyle w:val="Betoning"/>
          <w:i w:val="0"/>
          <w:iCs w:val="0"/>
          <w:lang w:val="en-GB"/>
        </w:rPr>
        <w:t>functionings</w:t>
      </w:r>
      <w:r w:rsidRPr="007D074E">
        <w:rPr>
          <w:lang w:val="en-GB"/>
        </w:rPr>
        <w:t xml:space="preserve">, which refer to what a person </w:t>
      </w:r>
      <w:r w:rsidR="00B46633" w:rsidRPr="007D074E">
        <w:rPr>
          <w:lang w:val="en-GB"/>
        </w:rPr>
        <w:t>does</w:t>
      </w:r>
      <w:r w:rsidRPr="007D074E">
        <w:rPr>
          <w:lang w:val="en-GB"/>
        </w:rPr>
        <w:t xml:space="preserve"> or is, and </w:t>
      </w:r>
      <w:r w:rsidRPr="00B46633">
        <w:rPr>
          <w:rStyle w:val="Betoning"/>
          <w:i w:val="0"/>
          <w:iCs w:val="0"/>
          <w:lang w:val="en-GB"/>
        </w:rPr>
        <w:t>capabilities</w:t>
      </w:r>
      <w:r w:rsidRPr="00B46633">
        <w:rPr>
          <w:i/>
          <w:iCs/>
          <w:lang w:val="en-GB"/>
        </w:rPr>
        <w:t>,</w:t>
      </w:r>
      <w:r w:rsidRPr="007D074E">
        <w:rPr>
          <w:lang w:val="en-GB"/>
        </w:rPr>
        <w:t xml:space="preserve"> which refer to the real opportunities or freedoms a person </w:t>
      </w:r>
      <w:r w:rsidR="00B46633" w:rsidRPr="007D074E">
        <w:rPr>
          <w:lang w:val="en-GB"/>
        </w:rPr>
        <w:t>must</w:t>
      </w:r>
      <w:r w:rsidRPr="007D074E">
        <w:rPr>
          <w:lang w:val="en-GB"/>
        </w:rPr>
        <w:t xml:space="preserve"> achieve</w:t>
      </w:r>
      <w:r w:rsidR="00BE4B36">
        <w:rPr>
          <w:lang w:val="en-GB"/>
        </w:rPr>
        <w:t xml:space="preserve"> </w:t>
      </w:r>
      <w:r w:rsidRPr="007D074E">
        <w:rPr>
          <w:lang w:val="en-GB"/>
        </w:rPr>
        <w:t xml:space="preserve">(Jandhyala, 2021). Capabilities therefore concern substantive freedoms and opportunities to live a </w:t>
      </w:r>
      <w:r w:rsidR="001E2BAD">
        <w:rPr>
          <w:lang w:val="en-GB"/>
        </w:rPr>
        <w:t xml:space="preserve">reasonable and valued </w:t>
      </w:r>
      <w:r w:rsidRPr="007D074E">
        <w:rPr>
          <w:lang w:val="en-GB"/>
        </w:rPr>
        <w:t>life (Barros &amp; Diniz, 2025).</w:t>
      </w:r>
    </w:p>
    <w:p w14:paraId="1D8236D9" w14:textId="46CE9925" w:rsidR="0054560B" w:rsidRPr="007D074E" w:rsidRDefault="0054560B" w:rsidP="00B46633">
      <w:pPr>
        <w:pStyle w:val="isselectedend"/>
        <w:spacing w:line="360" w:lineRule="auto"/>
        <w:jc w:val="both"/>
        <w:rPr>
          <w:lang w:val="en-GB"/>
        </w:rPr>
      </w:pPr>
      <w:r w:rsidRPr="007D074E">
        <w:rPr>
          <w:lang w:val="en-GB"/>
        </w:rPr>
        <w:t>Th</w:t>
      </w:r>
      <w:r w:rsidR="002B1BB4">
        <w:rPr>
          <w:lang w:val="en-GB"/>
        </w:rPr>
        <w:t>e</w:t>
      </w:r>
      <w:r w:rsidR="0053758A">
        <w:rPr>
          <w:lang w:val="en-GB"/>
        </w:rPr>
        <w:t xml:space="preserve"> </w:t>
      </w:r>
      <w:r w:rsidR="004506AA">
        <w:rPr>
          <w:lang w:val="en-GB"/>
        </w:rPr>
        <w:t xml:space="preserve">capability approach </w:t>
      </w:r>
      <w:r w:rsidR="0053758A">
        <w:rPr>
          <w:lang w:val="en-GB"/>
        </w:rPr>
        <w:t>theory</w:t>
      </w:r>
      <w:r w:rsidRPr="007D074E">
        <w:rPr>
          <w:lang w:val="en-GB"/>
        </w:rPr>
        <w:t xml:space="preserve"> is particularly relevant to disabled students because equal provision of educational resources does not necessarily result in equal opportunities to partic</w:t>
      </w:r>
      <w:r w:rsidR="000B555D">
        <w:rPr>
          <w:lang w:val="en-GB"/>
        </w:rPr>
        <w:t xml:space="preserve">ipate </w:t>
      </w:r>
      <w:r w:rsidR="00DA1185" w:rsidRPr="00DA1185">
        <w:rPr>
          <w:lang w:val="en-GB"/>
        </w:rPr>
        <w:t>(Nef et al., 2023).</w:t>
      </w:r>
      <w:r w:rsidR="000B555D">
        <w:rPr>
          <w:lang w:val="en-GB"/>
        </w:rPr>
        <w:t xml:space="preserve"> </w:t>
      </w:r>
      <w:r w:rsidR="00771079">
        <w:rPr>
          <w:lang w:val="en-GB"/>
        </w:rPr>
        <w:t>I</w:t>
      </w:r>
      <w:r w:rsidRPr="007D074E">
        <w:rPr>
          <w:lang w:val="en-GB"/>
        </w:rPr>
        <w:t>nclusion can also be understood in capability terms as the opportunity to participate fully in social, intellectual</w:t>
      </w:r>
      <w:r w:rsidR="003C128E">
        <w:rPr>
          <w:lang w:val="en-GB"/>
        </w:rPr>
        <w:t xml:space="preserve"> </w:t>
      </w:r>
      <w:r w:rsidRPr="007D074E">
        <w:rPr>
          <w:lang w:val="en-GB"/>
        </w:rPr>
        <w:t>and personal life</w:t>
      </w:r>
      <w:r w:rsidR="00A94AD8">
        <w:rPr>
          <w:lang w:val="en-GB"/>
        </w:rPr>
        <w:t xml:space="preserve"> while</w:t>
      </w:r>
      <w:r w:rsidRPr="007D074E">
        <w:rPr>
          <w:lang w:val="en-GB"/>
        </w:rPr>
        <w:t xml:space="preserve"> experienc</w:t>
      </w:r>
      <w:r w:rsidR="00A94AD8">
        <w:rPr>
          <w:lang w:val="en-GB"/>
        </w:rPr>
        <w:t>ing</w:t>
      </w:r>
      <w:r w:rsidRPr="007D074E">
        <w:rPr>
          <w:lang w:val="en-GB"/>
        </w:rPr>
        <w:t xml:space="preserve"> belongin</w:t>
      </w:r>
      <w:r w:rsidR="003C128E">
        <w:rPr>
          <w:lang w:val="en-GB"/>
        </w:rPr>
        <w:t xml:space="preserve">g </w:t>
      </w:r>
      <w:r w:rsidRPr="007D074E">
        <w:rPr>
          <w:lang w:val="en-GB"/>
        </w:rPr>
        <w:t>(Rasse &amp; Sevilla, 2023). Thus, examining participation rates across disability status, type, gender, and the period following secondary education provides an opportunity to identify differences in the educational opportunities.</w:t>
      </w:r>
    </w:p>
    <w:p w14:paraId="6110E4F6" w14:textId="6F1DF815" w:rsidR="00337B3B" w:rsidRPr="00724E61" w:rsidRDefault="0054560B" w:rsidP="00724E61">
      <w:pPr>
        <w:pStyle w:val="Normalwebb"/>
        <w:spacing w:line="360" w:lineRule="auto"/>
        <w:jc w:val="both"/>
        <w:rPr>
          <w:lang w:val="en-GB"/>
        </w:rPr>
      </w:pPr>
      <w:r w:rsidRPr="007D074E">
        <w:rPr>
          <w:lang w:val="en-GB"/>
        </w:rPr>
        <w:t xml:space="preserve">Against this background, this study examines patterns and differences in post-secondary education participation among students with and without disabilities in Sweden between 2018 </w:t>
      </w:r>
      <w:r w:rsidR="003233FC">
        <w:rPr>
          <w:lang w:val="en-GB"/>
        </w:rPr>
        <w:lastRenderedPageBreak/>
        <w:t>until</w:t>
      </w:r>
      <w:r w:rsidRPr="007D074E">
        <w:rPr>
          <w:lang w:val="en-GB"/>
        </w:rPr>
        <w:t xml:space="preserve"> 2020. </w:t>
      </w:r>
      <w:r w:rsidR="00FF1050" w:rsidRPr="00FF1050">
        <w:rPr>
          <w:lang w:val="en-GB"/>
        </w:rPr>
        <w:t xml:space="preserve">Further, the study </w:t>
      </w:r>
      <w:r w:rsidR="00875770">
        <w:rPr>
          <w:lang w:val="en-GB"/>
        </w:rPr>
        <w:t xml:space="preserve">specifically </w:t>
      </w:r>
      <w:r w:rsidR="00FF1050" w:rsidRPr="00FF1050">
        <w:rPr>
          <w:lang w:val="en-GB"/>
        </w:rPr>
        <w:t>examines differences by disability status, type, gender, and year of participation</w:t>
      </w:r>
      <w:r w:rsidR="00505317" w:rsidRPr="00505317">
        <w:rPr>
          <w:lang w:val="en-GB"/>
        </w:rPr>
        <w:t xml:space="preserve"> </w:t>
      </w:r>
      <w:r w:rsidR="00171F3E">
        <w:rPr>
          <w:lang w:val="en-GB"/>
        </w:rPr>
        <w:t>after</w:t>
      </w:r>
      <w:r w:rsidR="00505317">
        <w:rPr>
          <w:lang w:val="en-GB"/>
        </w:rPr>
        <w:t xml:space="preserve"> secondary school</w:t>
      </w:r>
      <w:r w:rsidR="00FF1050" w:rsidRPr="00FF1050">
        <w:rPr>
          <w:lang w:val="en-GB"/>
        </w:rPr>
        <w:t xml:space="preserve"> through the </w:t>
      </w:r>
      <w:r w:rsidR="008331FA">
        <w:rPr>
          <w:lang w:val="en-GB"/>
        </w:rPr>
        <w:t>c</w:t>
      </w:r>
      <w:r w:rsidR="00FF1050" w:rsidRPr="00FF1050">
        <w:rPr>
          <w:lang w:val="en-GB"/>
        </w:rPr>
        <w:t xml:space="preserve">apability </w:t>
      </w:r>
      <w:r w:rsidR="008331FA">
        <w:rPr>
          <w:lang w:val="en-GB"/>
        </w:rPr>
        <w:t>a</w:t>
      </w:r>
      <w:r w:rsidR="00FF1050" w:rsidRPr="00FF1050">
        <w:rPr>
          <w:lang w:val="en-GB"/>
        </w:rPr>
        <w:t>pproach</w:t>
      </w:r>
      <w:r w:rsidR="00AF10D4">
        <w:rPr>
          <w:lang w:val="en-GB"/>
        </w:rPr>
        <w:t xml:space="preserve"> theory</w:t>
      </w:r>
      <w:r w:rsidR="00171F3E">
        <w:rPr>
          <w:lang w:val="en-GB"/>
        </w:rPr>
        <w:t xml:space="preserve"> lens</w:t>
      </w:r>
      <w:r w:rsidR="00FF1050" w:rsidRPr="00FF1050">
        <w:rPr>
          <w:lang w:val="en-GB"/>
        </w:rPr>
        <w:t>.</w:t>
      </w:r>
    </w:p>
    <w:p w14:paraId="05BFCC7C" w14:textId="77777777" w:rsidR="00D22F44" w:rsidRPr="00D22F44" w:rsidRDefault="00D22F44" w:rsidP="00D22F44">
      <w:pPr>
        <w:spacing w:line="360" w:lineRule="auto"/>
        <w:jc w:val="both"/>
        <w:rPr>
          <w:rFonts w:ascii="Times New Roman" w:eastAsia="Times New Roman" w:hAnsi="Times New Roman" w:cs="Times New Roman"/>
          <w:b/>
          <w:bCs/>
          <w:sz w:val="24"/>
          <w:szCs w:val="24"/>
          <w:lang w:eastAsia="sv-SE"/>
        </w:rPr>
      </w:pPr>
      <w:r w:rsidRPr="00D22F44">
        <w:rPr>
          <w:rFonts w:ascii="Times New Roman" w:eastAsia="Times New Roman" w:hAnsi="Times New Roman" w:cs="Times New Roman"/>
          <w:b/>
          <w:bCs/>
          <w:sz w:val="24"/>
          <w:szCs w:val="24"/>
          <w:lang w:eastAsia="sv-SE"/>
        </w:rPr>
        <w:t>Theoretical Framework</w:t>
      </w:r>
    </w:p>
    <w:p w14:paraId="4D894105" w14:textId="62D668C6" w:rsidR="00B83701" w:rsidRPr="00B83701" w:rsidRDefault="00B83701" w:rsidP="00B83701">
      <w:pPr>
        <w:pStyle w:val="isselectedend"/>
        <w:spacing w:line="360" w:lineRule="auto"/>
        <w:jc w:val="both"/>
        <w:rPr>
          <w:lang w:val="en-GB"/>
        </w:rPr>
      </w:pPr>
      <w:r w:rsidRPr="00B83701">
        <w:rPr>
          <w:lang w:val="en-GB"/>
        </w:rPr>
        <w:t xml:space="preserve">This study is grounded in the </w:t>
      </w:r>
      <w:r w:rsidR="005A69EA">
        <w:rPr>
          <w:lang w:val="en-GB"/>
        </w:rPr>
        <w:t>c</w:t>
      </w:r>
      <w:r w:rsidRPr="00B83701">
        <w:rPr>
          <w:lang w:val="en-GB"/>
        </w:rPr>
        <w:t xml:space="preserve">apability </w:t>
      </w:r>
      <w:r w:rsidR="005A69EA">
        <w:rPr>
          <w:lang w:val="en-GB"/>
        </w:rPr>
        <w:t>a</w:t>
      </w:r>
      <w:r w:rsidRPr="00B83701">
        <w:rPr>
          <w:lang w:val="en-GB"/>
        </w:rPr>
        <w:t xml:space="preserve">pproach, primarily associated with Amartya Sen and Martha Nussbaum. </w:t>
      </w:r>
      <w:r>
        <w:rPr>
          <w:lang w:val="en-GB"/>
        </w:rPr>
        <w:t>This theory</w:t>
      </w:r>
      <w:r w:rsidRPr="00B83701">
        <w:rPr>
          <w:lang w:val="en-GB"/>
        </w:rPr>
        <w:t xml:space="preserve"> provides a critical framework for examining educational inequality by shifting attention from equal access to resources towards whether individuals have genuine opportunities to achieve valued outcomes (Jandhyala, 2021). It recognises that socio-cultural and institutional conditions affect how individuals convert resources into meaningful opportunities (Keung &amp; Ho, 2020).</w:t>
      </w:r>
    </w:p>
    <w:p w14:paraId="7E8B3004" w14:textId="5AF8076B" w:rsidR="009921B2" w:rsidRPr="00B83701" w:rsidRDefault="006C669C" w:rsidP="00B83701">
      <w:pPr>
        <w:pStyle w:val="isselectedend"/>
        <w:spacing w:line="360" w:lineRule="auto"/>
        <w:jc w:val="both"/>
        <w:rPr>
          <w:highlight w:val="yellow"/>
          <w:lang w:val="en-GB"/>
        </w:rPr>
      </w:pPr>
      <w:r>
        <w:rPr>
          <w:lang w:val="en-GB"/>
        </w:rPr>
        <w:t>The</w:t>
      </w:r>
      <w:r w:rsidR="00B83701" w:rsidRPr="00B83701">
        <w:rPr>
          <w:lang w:val="en-GB"/>
        </w:rPr>
        <w:t xml:space="preserve"> central distinction is between capabilities and functionings. Functionings refer to what individuals achieve or are, while capabilities represent the substantive freedoms and opportunities to pursue valued functionings (Jandhyala, 2021; Barros &amp; Diniz, 2025). In education, this distinction highlights that access to post-secondary education does not necessarily ensure equal opportunities to participate, succeed, or progress. Participation may therefore reflect both individual choices and the conditions that enable or constrain </w:t>
      </w:r>
      <w:r w:rsidR="00785D0F">
        <w:rPr>
          <w:lang w:val="en-GB"/>
        </w:rPr>
        <w:t>choices</w:t>
      </w:r>
      <w:r w:rsidR="00B83701" w:rsidRPr="00B83701">
        <w:rPr>
          <w:lang w:val="en-GB"/>
        </w:rPr>
        <w:t xml:space="preserve"> (Rasse &amp; Sevilla, 2023).</w:t>
      </w:r>
    </w:p>
    <w:p w14:paraId="1020D5EC" w14:textId="77777777" w:rsidR="00C03A32" w:rsidRPr="00C03A32" w:rsidRDefault="00C03A32" w:rsidP="003B497B">
      <w:pPr>
        <w:pStyle w:val="isselectedend"/>
        <w:spacing w:line="360" w:lineRule="auto"/>
        <w:jc w:val="both"/>
        <w:rPr>
          <w:lang w:val="en-GB"/>
        </w:rPr>
      </w:pPr>
      <w:r w:rsidRPr="00C03A32">
        <w:rPr>
          <w:lang w:val="en-GB"/>
        </w:rPr>
        <w:t>Sen views education as a means of expanding capabilities, agency, and freedom rather than simply providing resources (Keung &amp; Ho, 2020). Nussbaum extends this perspective by emphasising central human capabilities and governments’ responsibility to secure minimum thresholds consistent with human dignity (Jandhyala, 2021). Together, these perspectives frame equitable educational participation as an issue of social justice rather than formal access alone (Hart &amp; Brando, 2018).</w:t>
      </w:r>
    </w:p>
    <w:p w14:paraId="56BB72BC" w14:textId="41D47E1C" w:rsidR="00C03A32" w:rsidRPr="00C03A32" w:rsidRDefault="00C03A32" w:rsidP="003B497B">
      <w:pPr>
        <w:pStyle w:val="Normalwebb"/>
        <w:spacing w:line="360" w:lineRule="auto"/>
        <w:jc w:val="both"/>
        <w:rPr>
          <w:lang w:val="en-GB"/>
        </w:rPr>
      </w:pPr>
      <w:r w:rsidRPr="00C03A32">
        <w:rPr>
          <w:lang w:val="en-GB"/>
        </w:rPr>
        <w:t xml:space="preserve">The </w:t>
      </w:r>
      <w:r w:rsidR="005A69EA">
        <w:rPr>
          <w:lang w:val="en-GB"/>
        </w:rPr>
        <w:t>c</w:t>
      </w:r>
      <w:r w:rsidRPr="00C03A32">
        <w:rPr>
          <w:lang w:val="en-GB"/>
        </w:rPr>
        <w:t xml:space="preserve">apability </w:t>
      </w:r>
      <w:r w:rsidR="005A69EA">
        <w:rPr>
          <w:lang w:val="en-GB"/>
        </w:rPr>
        <w:t>a</w:t>
      </w:r>
      <w:r w:rsidRPr="00C03A32">
        <w:rPr>
          <w:lang w:val="en-GB"/>
        </w:rPr>
        <w:t xml:space="preserve">pproach is particularly relevant to post-secondary transitions. Contextual capability and academic ability can support progression into further education, but these opportunities are shaped by </w:t>
      </w:r>
      <w:r w:rsidR="00C07D5B">
        <w:rPr>
          <w:lang w:val="en-GB"/>
        </w:rPr>
        <w:t>broader</w:t>
      </w:r>
      <w:r w:rsidRPr="00C03A32">
        <w:rPr>
          <w:lang w:val="en-GB"/>
        </w:rPr>
        <w:t xml:space="preserve"> institutional and social conditions (Keung &amp; Ho, 2020). For students with disabilities, inaccessible environments, limited support, and institutional practices may restrict the conversion of resources into educational opportunities (Madaus et al., 2018). Thus, differences in participation should not be attributed to disability alone but </w:t>
      </w:r>
      <w:r w:rsidRPr="00C03A32">
        <w:rPr>
          <w:lang w:val="en-GB"/>
        </w:rPr>
        <w:lastRenderedPageBreak/>
        <w:t>understood in relation to the conditions shaping students’ opportunities and inclusion (Barros &amp; Diniz, 2025).</w:t>
      </w:r>
    </w:p>
    <w:p w14:paraId="22F916AC" w14:textId="4C5F14A8" w:rsidR="006E1D59" w:rsidRPr="006E1D59" w:rsidRDefault="006E1D59" w:rsidP="005A69EA">
      <w:pPr>
        <w:pStyle w:val="isselectedend"/>
        <w:spacing w:line="360" w:lineRule="auto"/>
        <w:jc w:val="both"/>
        <w:rPr>
          <w:lang w:val="en-GB"/>
        </w:rPr>
      </w:pPr>
      <w:r w:rsidRPr="006E1D59">
        <w:rPr>
          <w:lang w:val="en-GB"/>
        </w:rPr>
        <w:t xml:space="preserve">Inclusion aligns closely with the </w:t>
      </w:r>
      <w:r w:rsidR="0035786F">
        <w:rPr>
          <w:lang w:val="en-GB"/>
        </w:rPr>
        <w:t>c</w:t>
      </w:r>
      <w:r w:rsidRPr="006E1D59">
        <w:rPr>
          <w:lang w:val="en-GB"/>
        </w:rPr>
        <w:t xml:space="preserve">apability </w:t>
      </w:r>
      <w:r w:rsidR="0035786F">
        <w:rPr>
          <w:lang w:val="en-GB"/>
        </w:rPr>
        <w:t>a</w:t>
      </w:r>
      <w:r w:rsidRPr="006E1D59">
        <w:rPr>
          <w:lang w:val="en-GB"/>
        </w:rPr>
        <w:t>pproach because it emphasi</w:t>
      </w:r>
      <w:r w:rsidR="0035786F">
        <w:rPr>
          <w:lang w:val="en-GB"/>
        </w:rPr>
        <w:t>z</w:t>
      </w:r>
      <w:r w:rsidRPr="006E1D59">
        <w:rPr>
          <w:lang w:val="en-GB"/>
        </w:rPr>
        <w:t>es opportunities for participation, belonging, and engagement in socio-cultural life (Biagiotti et al., 2026). Post-secondary participation can therefore be viewed as an important dimension of inclusion and a pathway to valued educational and future outcomes (Keung &amp; Ho, 2020).</w:t>
      </w:r>
    </w:p>
    <w:p w14:paraId="48E7836D" w14:textId="4522B947" w:rsidR="006E1D59" w:rsidRPr="006E1D59" w:rsidRDefault="006E1D59" w:rsidP="0035786F">
      <w:pPr>
        <w:pStyle w:val="Normalwebb"/>
        <w:spacing w:line="360" w:lineRule="auto"/>
        <w:jc w:val="both"/>
        <w:rPr>
          <w:lang w:val="en-GB"/>
        </w:rPr>
      </w:pPr>
      <w:r w:rsidRPr="006E1D59">
        <w:rPr>
          <w:lang w:val="en-GB"/>
        </w:rPr>
        <w:t xml:space="preserve">In this study, the </w:t>
      </w:r>
      <w:r w:rsidR="0035786F">
        <w:rPr>
          <w:lang w:val="en-GB"/>
        </w:rPr>
        <w:t>c</w:t>
      </w:r>
      <w:r w:rsidRPr="006E1D59">
        <w:rPr>
          <w:lang w:val="en-GB"/>
        </w:rPr>
        <w:t xml:space="preserve">apability </w:t>
      </w:r>
      <w:r w:rsidR="0035786F">
        <w:rPr>
          <w:lang w:val="en-GB"/>
        </w:rPr>
        <w:t>a</w:t>
      </w:r>
      <w:r w:rsidRPr="006E1D59">
        <w:rPr>
          <w:lang w:val="en-GB"/>
        </w:rPr>
        <w:t>pproach is used as a theoretical lens rather than a direct measurement framework. Participation rates are not treated as measures of individual capabilities but as indicators of potentially unequal educational opportunities. This perspective supports examining differences by disability status, disability type, gender, and time after secondary education, while considering the social and educational conditions that enable or constrain participation.</w:t>
      </w:r>
    </w:p>
    <w:p w14:paraId="482EFDED" w14:textId="17B6753E" w:rsidR="00850B53" w:rsidRPr="00DE630C" w:rsidRDefault="00850B53" w:rsidP="00914099">
      <w:pPr>
        <w:spacing w:before="100" w:beforeAutospacing="1" w:after="100" w:afterAutospacing="1" w:line="240" w:lineRule="auto"/>
        <w:rPr>
          <w:rFonts w:ascii="Times New Roman" w:eastAsia="Times New Roman" w:hAnsi="Times New Roman" w:cs="Times New Roman"/>
          <w:b/>
          <w:bCs/>
          <w:sz w:val="24"/>
          <w:szCs w:val="24"/>
          <w:lang w:eastAsia="sv-SE"/>
        </w:rPr>
      </w:pPr>
      <w:r w:rsidRPr="00DE630C">
        <w:rPr>
          <w:rFonts w:ascii="Times New Roman" w:eastAsia="Times New Roman" w:hAnsi="Times New Roman" w:cs="Times New Roman"/>
          <w:b/>
          <w:bCs/>
          <w:sz w:val="24"/>
          <w:szCs w:val="24"/>
          <w:lang w:eastAsia="sv-SE"/>
        </w:rPr>
        <w:t>Resear</w:t>
      </w:r>
      <w:r w:rsidR="00AF05BE" w:rsidRPr="00DE630C">
        <w:rPr>
          <w:rFonts w:ascii="Times New Roman" w:eastAsia="Times New Roman" w:hAnsi="Times New Roman" w:cs="Times New Roman"/>
          <w:b/>
          <w:bCs/>
          <w:sz w:val="24"/>
          <w:szCs w:val="24"/>
          <w:lang w:eastAsia="sv-SE"/>
        </w:rPr>
        <w:t>ch Problem</w:t>
      </w:r>
      <w:r w:rsidRPr="00DE630C">
        <w:rPr>
          <w:rFonts w:ascii="Times New Roman" w:eastAsia="Times New Roman" w:hAnsi="Times New Roman" w:cs="Times New Roman"/>
          <w:b/>
          <w:bCs/>
          <w:sz w:val="24"/>
          <w:szCs w:val="24"/>
          <w:lang w:eastAsia="sv-SE"/>
        </w:rPr>
        <w:t>:</w:t>
      </w:r>
    </w:p>
    <w:p w14:paraId="5C8407B0" w14:textId="69114931" w:rsidR="00E86346" w:rsidRPr="00794494" w:rsidRDefault="0095665D" w:rsidP="00C92C21">
      <w:pPr>
        <w:spacing w:before="100" w:beforeAutospacing="1" w:after="100" w:afterAutospacing="1" w:line="360" w:lineRule="auto"/>
        <w:jc w:val="both"/>
        <w:rPr>
          <w:rFonts w:ascii="Times New Roman" w:eastAsia="Times New Roman" w:hAnsi="Times New Roman" w:cs="Times New Roman"/>
          <w:sz w:val="24"/>
          <w:szCs w:val="24"/>
          <w:lang w:eastAsia="sv-SE"/>
        </w:rPr>
      </w:pPr>
      <w:r w:rsidRPr="00794494">
        <w:rPr>
          <w:rFonts w:ascii="Times New Roman" w:eastAsia="Times New Roman" w:hAnsi="Times New Roman" w:cs="Times New Roman"/>
          <w:sz w:val="24"/>
          <w:szCs w:val="24"/>
          <w:lang w:eastAsia="sv-SE"/>
        </w:rPr>
        <w:t xml:space="preserve">Despite efforts to promote inclusive access to post-secondary education, disabled students </w:t>
      </w:r>
      <w:r w:rsidR="00A755E0">
        <w:rPr>
          <w:rFonts w:ascii="Times New Roman" w:eastAsia="Times New Roman" w:hAnsi="Times New Roman" w:cs="Times New Roman"/>
          <w:sz w:val="24"/>
          <w:szCs w:val="24"/>
          <w:lang w:eastAsia="sv-SE"/>
        </w:rPr>
        <w:t xml:space="preserve">may </w:t>
      </w:r>
      <w:r w:rsidRPr="00794494">
        <w:rPr>
          <w:rFonts w:ascii="Times New Roman" w:eastAsia="Times New Roman" w:hAnsi="Times New Roman" w:cs="Times New Roman"/>
          <w:sz w:val="24"/>
          <w:szCs w:val="24"/>
          <w:lang w:eastAsia="sv-SE"/>
        </w:rPr>
        <w:t>continue to experience inequalities in educational participation</w:t>
      </w:r>
      <w:r w:rsidR="00D148C2" w:rsidRPr="00794494">
        <w:rPr>
          <w:rFonts w:ascii="Times New Roman" w:eastAsia="Times New Roman" w:hAnsi="Times New Roman" w:cs="Times New Roman"/>
          <w:sz w:val="24"/>
          <w:szCs w:val="24"/>
          <w:lang w:eastAsia="sv-SE"/>
        </w:rPr>
        <w:t xml:space="preserve"> (</w:t>
      </w:r>
      <w:r w:rsidR="00F755AD" w:rsidRPr="00794494">
        <w:rPr>
          <w:rFonts w:ascii="Times New Roman" w:eastAsia="Times New Roman" w:hAnsi="Times New Roman" w:cs="Times New Roman"/>
          <w:sz w:val="24"/>
          <w:szCs w:val="24"/>
          <w:lang w:eastAsia="sv-SE"/>
        </w:rPr>
        <w:t>Carballo et al., 2019).</w:t>
      </w:r>
      <w:r w:rsidRPr="00794494">
        <w:rPr>
          <w:rFonts w:ascii="Times New Roman" w:eastAsia="Times New Roman" w:hAnsi="Times New Roman" w:cs="Times New Roman"/>
          <w:sz w:val="24"/>
          <w:szCs w:val="24"/>
          <w:lang w:eastAsia="sv-SE"/>
        </w:rPr>
        <w:t xml:space="preserve"> However, limited attention has been given to how participation varies across disability status, type, gender, and the period </w:t>
      </w:r>
      <w:r w:rsidR="005357BC">
        <w:rPr>
          <w:rFonts w:ascii="Times New Roman" w:eastAsia="Times New Roman" w:hAnsi="Times New Roman" w:cs="Times New Roman"/>
          <w:sz w:val="24"/>
          <w:szCs w:val="24"/>
          <w:lang w:eastAsia="sv-SE"/>
        </w:rPr>
        <w:t xml:space="preserve">after </w:t>
      </w:r>
      <w:r w:rsidRPr="00794494">
        <w:rPr>
          <w:rFonts w:ascii="Times New Roman" w:eastAsia="Times New Roman" w:hAnsi="Times New Roman" w:cs="Times New Roman"/>
          <w:sz w:val="24"/>
          <w:szCs w:val="24"/>
          <w:lang w:eastAsia="sv-SE"/>
        </w:rPr>
        <w:t xml:space="preserve">secondary education. Examining these patterns is important because differences in participation may reflect unequal educational opportunities and barriers to further education. This study therefore investigates patterns and statistically significant differences in post-secondary education participation across disability and gender groups </w:t>
      </w:r>
      <w:r w:rsidR="009D3F58">
        <w:rPr>
          <w:rFonts w:ascii="Times New Roman" w:eastAsia="Times New Roman" w:hAnsi="Times New Roman" w:cs="Times New Roman"/>
          <w:sz w:val="24"/>
          <w:szCs w:val="24"/>
          <w:lang w:eastAsia="sv-SE"/>
        </w:rPr>
        <w:t>in</w:t>
      </w:r>
      <w:r w:rsidRPr="00794494">
        <w:rPr>
          <w:rFonts w:ascii="Times New Roman" w:eastAsia="Times New Roman" w:hAnsi="Times New Roman" w:cs="Times New Roman"/>
          <w:sz w:val="24"/>
          <w:szCs w:val="24"/>
          <w:lang w:eastAsia="sv-SE"/>
        </w:rPr>
        <w:t xml:space="preserve"> the first three years </w:t>
      </w:r>
      <w:r w:rsidR="00073679">
        <w:rPr>
          <w:rFonts w:ascii="Times New Roman" w:eastAsia="Times New Roman" w:hAnsi="Times New Roman" w:cs="Times New Roman"/>
          <w:sz w:val="24"/>
          <w:szCs w:val="24"/>
          <w:lang w:eastAsia="sv-SE"/>
        </w:rPr>
        <w:t>after</w:t>
      </w:r>
      <w:r w:rsidRPr="00794494">
        <w:rPr>
          <w:rFonts w:ascii="Times New Roman" w:eastAsia="Times New Roman" w:hAnsi="Times New Roman" w:cs="Times New Roman"/>
          <w:sz w:val="24"/>
          <w:szCs w:val="24"/>
          <w:lang w:eastAsia="sv-SE"/>
        </w:rPr>
        <w:t xml:space="preserve"> secondary education.</w:t>
      </w:r>
    </w:p>
    <w:p w14:paraId="78827ED1" w14:textId="51CDBACC" w:rsidR="0087451F" w:rsidRPr="00794494" w:rsidRDefault="0087451F" w:rsidP="00C92C21">
      <w:pPr>
        <w:spacing w:before="100" w:beforeAutospacing="1" w:after="100" w:afterAutospacing="1" w:line="360" w:lineRule="auto"/>
        <w:jc w:val="both"/>
        <w:rPr>
          <w:rFonts w:ascii="Times New Roman" w:eastAsia="Times New Roman" w:hAnsi="Times New Roman" w:cs="Times New Roman"/>
          <w:b/>
          <w:bCs/>
          <w:sz w:val="24"/>
          <w:szCs w:val="24"/>
          <w:lang w:eastAsia="sv-SE"/>
        </w:rPr>
      </w:pPr>
      <w:r w:rsidRPr="00794494">
        <w:rPr>
          <w:rFonts w:ascii="Times New Roman" w:eastAsia="Times New Roman" w:hAnsi="Times New Roman" w:cs="Times New Roman"/>
          <w:b/>
          <w:bCs/>
          <w:sz w:val="24"/>
          <w:szCs w:val="24"/>
          <w:lang w:eastAsia="sv-SE"/>
        </w:rPr>
        <w:t>Aim</w:t>
      </w:r>
    </w:p>
    <w:p w14:paraId="49CB60B5" w14:textId="5D6940F2" w:rsidR="0076564B" w:rsidRPr="00DD0560" w:rsidRDefault="00904857" w:rsidP="00DD0560">
      <w:pPr>
        <w:spacing w:before="100" w:beforeAutospacing="1" w:after="100" w:afterAutospacing="1" w:line="360" w:lineRule="auto"/>
        <w:jc w:val="both"/>
        <w:rPr>
          <w:rFonts w:ascii="Times New Roman" w:eastAsia="Times New Roman" w:hAnsi="Times New Roman" w:cs="Times New Roman"/>
          <w:sz w:val="24"/>
          <w:szCs w:val="24"/>
          <w:lang w:eastAsia="sv-SE"/>
        </w:rPr>
      </w:pPr>
      <w:r w:rsidRPr="007F05F5">
        <w:t>T</w:t>
      </w:r>
      <w:r w:rsidR="0095665D" w:rsidRPr="007F05F5">
        <w:rPr>
          <w:rFonts w:ascii="Times New Roman" w:eastAsia="Times New Roman" w:hAnsi="Times New Roman" w:cs="Times New Roman"/>
          <w:sz w:val="24"/>
          <w:szCs w:val="24"/>
          <w:lang w:eastAsia="sv-SE"/>
        </w:rPr>
        <w:t>h</w:t>
      </w:r>
      <w:r w:rsidR="002126AD" w:rsidRPr="007F05F5">
        <w:rPr>
          <w:rFonts w:ascii="Times New Roman" w:eastAsia="Times New Roman" w:hAnsi="Times New Roman" w:cs="Times New Roman"/>
          <w:sz w:val="24"/>
          <w:szCs w:val="24"/>
          <w:lang w:eastAsia="sv-SE"/>
        </w:rPr>
        <w:t>is study</w:t>
      </w:r>
      <w:r w:rsidR="0095665D" w:rsidRPr="007F05F5">
        <w:rPr>
          <w:rFonts w:ascii="Times New Roman" w:eastAsia="Times New Roman" w:hAnsi="Times New Roman" w:cs="Times New Roman"/>
          <w:sz w:val="24"/>
          <w:szCs w:val="24"/>
          <w:lang w:eastAsia="sv-SE"/>
        </w:rPr>
        <w:t xml:space="preserve"> aim</w:t>
      </w:r>
      <w:r w:rsidR="002126AD" w:rsidRPr="007F05F5">
        <w:rPr>
          <w:rFonts w:ascii="Times New Roman" w:eastAsia="Times New Roman" w:hAnsi="Times New Roman" w:cs="Times New Roman"/>
          <w:sz w:val="24"/>
          <w:szCs w:val="24"/>
          <w:lang w:eastAsia="sv-SE"/>
        </w:rPr>
        <w:t>s at</w:t>
      </w:r>
      <w:r w:rsidR="0095665D" w:rsidRPr="007F05F5">
        <w:rPr>
          <w:rFonts w:ascii="Times New Roman" w:eastAsia="Times New Roman" w:hAnsi="Times New Roman" w:cs="Times New Roman"/>
          <w:sz w:val="24"/>
          <w:szCs w:val="24"/>
          <w:lang w:eastAsia="sv-SE"/>
        </w:rPr>
        <w:t xml:space="preserve"> examin</w:t>
      </w:r>
      <w:r w:rsidR="002126AD" w:rsidRPr="007F05F5">
        <w:rPr>
          <w:rFonts w:ascii="Times New Roman" w:eastAsia="Times New Roman" w:hAnsi="Times New Roman" w:cs="Times New Roman"/>
          <w:sz w:val="24"/>
          <w:szCs w:val="24"/>
          <w:lang w:eastAsia="sv-SE"/>
        </w:rPr>
        <w:t>ing</w:t>
      </w:r>
      <w:r w:rsidR="0095665D" w:rsidRPr="007F05F5">
        <w:rPr>
          <w:rFonts w:ascii="Times New Roman" w:eastAsia="Times New Roman" w:hAnsi="Times New Roman" w:cs="Times New Roman"/>
          <w:sz w:val="24"/>
          <w:szCs w:val="24"/>
          <w:lang w:eastAsia="sv-SE"/>
        </w:rPr>
        <w:t xml:space="preserve"> patterns and differences in post-secondary education participation among students with and without disabilities in Sweden between 2018 and 2020. Specifically, the study examines variation in participation by disability status, type, and gender</w:t>
      </w:r>
      <w:r w:rsidR="00DD0560">
        <w:rPr>
          <w:rFonts w:ascii="Times New Roman" w:eastAsia="Times New Roman" w:hAnsi="Times New Roman" w:cs="Times New Roman"/>
          <w:sz w:val="24"/>
          <w:szCs w:val="24"/>
          <w:lang w:eastAsia="sv-SE"/>
        </w:rPr>
        <w:t xml:space="preserve"> and</w:t>
      </w:r>
      <w:r w:rsidR="0095665D" w:rsidRPr="007F05F5">
        <w:rPr>
          <w:rFonts w:ascii="Times New Roman" w:eastAsia="Times New Roman" w:hAnsi="Times New Roman" w:cs="Times New Roman"/>
          <w:sz w:val="24"/>
          <w:szCs w:val="24"/>
          <w:lang w:eastAsia="sv-SE"/>
        </w:rPr>
        <w:t xml:space="preserve"> changes in participation during the first three years </w:t>
      </w:r>
      <w:r w:rsidR="000B1687">
        <w:rPr>
          <w:rFonts w:ascii="Times New Roman" w:eastAsia="Times New Roman" w:hAnsi="Times New Roman" w:cs="Times New Roman"/>
          <w:sz w:val="24"/>
          <w:szCs w:val="24"/>
          <w:lang w:eastAsia="sv-SE"/>
        </w:rPr>
        <w:t xml:space="preserve">after </w:t>
      </w:r>
      <w:r w:rsidR="0095665D" w:rsidRPr="007F05F5">
        <w:rPr>
          <w:rFonts w:ascii="Times New Roman" w:eastAsia="Times New Roman" w:hAnsi="Times New Roman" w:cs="Times New Roman"/>
          <w:sz w:val="24"/>
          <w:szCs w:val="24"/>
          <w:lang w:eastAsia="sv-SE"/>
        </w:rPr>
        <w:t>secondary education.</w:t>
      </w:r>
    </w:p>
    <w:p w14:paraId="6B0E1EFE" w14:textId="435FB5B9" w:rsidR="0087451F" w:rsidRPr="0087451F" w:rsidRDefault="0087451F" w:rsidP="0095665D">
      <w:pPr>
        <w:spacing w:before="100" w:beforeAutospacing="1" w:after="100" w:afterAutospacing="1" w:line="240" w:lineRule="auto"/>
        <w:rPr>
          <w:rFonts w:ascii="Times New Roman" w:eastAsia="Times New Roman" w:hAnsi="Times New Roman" w:cs="Times New Roman"/>
          <w:b/>
          <w:bCs/>
          <w:sz w:val="24"/>
          <w:szCs w:val="24"/>
          <w:lang w:eastAsia="sv-SE"/>
        </w:rPr>
      </w:pPr>
      <w:r w:rsidRPr="0087451F">
        <w:rPr>
          <w:rFonts w:ascii="Times New Roman" w:eastAsia="Times New Roman" w:hAnsi="Times New Roman" w:cs="Times New Roman"/>
          <w:b/>
          <w:bCs/>
          <w:sz w:val="24"/>
          <w:szCs w:val="24"/>
          <w:lang w:eastAsia="sv-SE"/>
        </w:rPr>
        <w:t>Research question</w:t>
      </w:r>
    </w:p>
    <w:p w14:paraId="5EBA8236" w14:textId="1D88D7E3" w:rsidR="002707FA" w:rsidRDefault="0095665D" w:rsidP="002707FA">
      <w:pPr>
        <w:spacing w:before="100" w:beforeAutospacing="1" w:after="100" w:afterAutospacing="1" w:line="240" w:lineRule="auto"/>
        <w:rPr>
          <w:rFonts w:ascii="Times New Roman" w:eastAsia="Times New Roman" w:hAnsi="Times New Roman" w:cs="Times New Roman"/>
          <w:sz w:val="24"/>
          <w:szCs w:val="24"/>
          <w:lang w:eastAsia="sv-SE"/>
        </w:rPr>
      </w:pPr>
      <w:r w:rsidRPr="0095665D">
        <w:rPr>
          <w:rFonts w:ascii="Times New Roman" w:eastAsia="Times New Roman" w:hAnsi="Times New Roman" w:cs="Times New Roman"/>
          <w:sz w:val="24"/>
          <w:szCs w:val="24"/>
          <w:lang w:eastAsia="sv-SE"/>
        </w:rPr>
        <w:t>How did post-secondary education participation var</w:t>
      </w:r>
      <w:r w:rsidR="000A6F02">
        <w:rPr>
          <w:rFonts w:ascii="Times New Roman" w:eastAsia="Times New Roman" w:hAnsi="Times New Roman" w:cs="Times New Roman"/>
          <w:sz w:val="24"/>
          <w:szCs w:val="24"/>
          <w:lang w:eastAsia="sv-SE"/>
        </w:rPr>
        <w:t>y</w:t>
      </w:r>
      <w:r w:rsidRPr="0095665D">
        <w:rPr>
          <w:rFonts w:ascii="Times New Roman" w:eastAsia="Times New Roman" w:hAnsi="Times New Roman" w:cs="Times New Roman"/>
          <w:sz w:val="24"/>
          <w:szCs w:val="24"/>
          <w:lang w:eastAsia="sv-SE"/>
        </w:rPr>
        <w:t xml:space="preserve"> by disability status</w:t>
      </w:r>
      <w:r w:rsidR="002707FA">
        <w:rPr>
          <w:rFonts w:ascii="Times New Roman" w:eastAsia="Times New Roman" w:hAnsi="Times New Roman" w:cs="Times New Roman"/>
          <w:sz w:val="24"/>
          <w:szCs w:val="24"/>
          <w:lang w:eastAsia="sv-SE"/>
        </w:rPr>
        <w:t xml:space="preserve"> or </w:t>
      </w:r>
      <w:r w:rsidRPr="0095665D">
        <w:rPr>
          <w:rFonts w:ascii="Times New Roman" w:eastAsia="Times New Roman" w:hAnsi="Times New Roman" w:cs="Times New Roman"/>
          <w:sz w:val="24"/>
          <w:szCs w:val="24"/>
          <w:lang w:eastAsia="sv-SE"/>
        </w:rPr>
        <w:t>type, and gender between 2018 and 2020</w:t>
      </w:r>
      <w:r w:rsidR="002707FA">
        <w:rPr>
          <w:rFonts w:ascii="Times New Roman" w:eastAsia="Times New Roman" w:hAnsi="Times New Roman" w:cs="Times New Roman"/>
          <w:sz w:val="24"/>
          <w:szCs w:val="24"/>
          <w:lang w:eastAsia="sv-SE"/>
        </w:rPr>
        <w:t>?</w:t>
      </w:r>
    </w:p>
    <w:p w14:paraId="2A40207D" w14:textId="2A7738E8" w:rsidR="0087451F" w:rsidRPr="002707FA" w:rsidRDefault="0087451F" w:rsidP="002707FA">
      <w:pPr>
        <w:spacing w:before="100" w:beforeAutospacing="1" w:after="100" w:afterAutospacing="1" w:line="240" w:lineRule="auto"/>
        <w:rPr>
          <w:rFonts w:ascii="Times New Roman" w:eastAsia="Times New Roman" w:hAnsi="Times New Roman" w:cs="Times New Roman"/>
          <w:b/>
          <w:bCs/>
          <w:sz w:val="24"/>
          <w:szCs w:val="24"/>
          <w:lang w:eastAsia="sv-SE"/>
        </w:rPr>
      </w:pPr>
      <w:r w:rsidRPr="002707FA">
        <w:rPr>
          <w:rFonts w:ascii="Times New Roman" w:eastAsia="Times New Roman" w:hAnsi="Times New Roman" w:cs="Times New Roman"/>
          <w:b/>
          <w:bCs/>
          <w:sz w:val="27"/>
          <w:szCs w:val="27"/>
          <w:lang w:val="sv-SE" w:eastAsia="sv-SE"/>
        </w:rPr>
        <w:lastRenderedPageBreak/>
        <w:t xml:space="preserve">Secondary </w:t>
      </w:r>
      <w:r w:rsidR="002707FA" w:rsidRPr="002707FA">
        <w:rPr>
          <w:rFonts w:ascii="Times New Roman" w:eastAsia="Times New Roman" w:hAnsi="Times New Roman" w:cs="Times New Roman"/>
          <w:b/>
          <w:bCs/>
          <w:sz w:val="27"/>
          <w:szCs w:val="27"/>
          <w:lang w:val="sv-SE" w:eastAsia="sv-SE"/>
        </w:rPr>
        <w:t>Research Questions</w:t>
      </w:r>
    </w:p>
    <w:p w14:paraId="0B54B478" w14:textId="77777777" w:rsidR="0095665D" w:rsidRPr="0095665D" w:rsidRDefault="0095665D" w:rsidP="002816EE">
      <w:pPr>
        <w:numPr>
          <w:ilvl w:val="0"/>
          <w:numId w:val="6"/>
        </w:numPr>
        <w:spacing w:before="100" w:beforeAutospacing="1" w:after="100" w:afterAutospacing="1" w:line="360" w:lineRule="auto"/>
        <w:jc w:val="both"/>
        <w:rPr>
          <w:rFonts w:ascii="Times New Roman" w:eastAsia="Times New Roman" w:hAnsi="Times New Roman" w:cs="Times New Roman"/>
          <w:sz w:val="24"/>
          <w:szCs w:val="24"/>
          <w:lang w:eastAsia="sv-SE"/>
        </w:rPr>
      </w:pPr>
      <w:r w:rsidRPr="0095665D">
        <w:rPr>
          <w:rFonts w:ascii="Times New Roman" w:eastAsia="Times New Roman" w:hAnsi="Times New Roman" w:cs="Times New Roman"/>
          <w:sz w:val="24"/>
          <w:szCs w:val="24"/>
          <w:lang w:eastAsia="sv-SE"/>
        </w:rPr>
        <w:t>Did post-secondary education participation differ significantly across the first three years following completion of secondary education?</w:t>
      </w:r>
    </w:p>
    <w:p w14:paraId="4B9C17A4" w14:textId="77777777" w:rsidR="0095665D" w:rsidRPr="0095665D" w:rsidRDefault="0095665D" w:rsidP="002816EE">
      <w:pPr>
        <w:numPr>
          <w:ilvl w:val="0"/>
          <w:numId w:val="6"/>
        </w:numPr>
        <w:spacing w:before="100" w:beforeAutospacing="1" w:after="100" w:afterAutospacing="1" w:line="360" w:lineRule="auto"/>
        <w:jc w:val="both"/>
        <w:rPr>
          <w:rFonts w:ascii="Times New Roman" w:eastAsia="Times New Roman" w:hAnsi="Times New Roman" w:cs="Times New Roman"/>
          <w:sz w:val="24"/>
          <w:szCs w:val="24"/>
          <w:lang w:eastAsia="sv-SE"/>
        </w:rPr>
      </w:pPr>
      <w:r w:rsidRPr="0095665D">
        <w:rPr>
          <w:rFonts w:ascii="Times New Roman" w:eastAsia="Times New Roman" w:hAnsi="Times New Roman" w:cs="Times New Roman"/>
          <w:sz w:val="24"/>
          <w:szCs w:val="24"/>
          <w:lang w:eastAsia="sv-SE"/>
        </w:rPr>
        <w:t>Did post-secondary education participation change significantly between the first and third years following completion of secondary education?</w:t>
      </w:r>
    </w:p>
    <w:p w14:paraId="3E43C353" w14:textId="77777777" w:rsidR="0095665D" w:rsidRPr="0095665D" w:rsidRDefault="0095665D" w:rsidP="002816EE">
      <w:pPr>
        <w:numPr>
          <w:ilvl w:val="0"/>
          <w:numId w:val="6"/>
        </w:numPr>
        <w:spacing w:before="100" w:beforeAutospacing="1" w:after="100" w:afterAutospacing="1" w:line="360" w:lineRule="auto"/>
        <w:jc w:val="both"/>
        <w:rPr>
          <w:rFonts w:ascii="Times New Roman" w:eastAsia="Times New Roman" w:hAnsi="Times New Roman" w:cs="Times New Roman"/>
          <w:sz w:val="24"/>
          <w:szCs w:val="24"/>
          <w:lang w:eastAsia="sv-SE"/>
        </w:rPr>
      </w:pPr>
      <w:r w:rsidRPr="0095665D">
        <w:rPr>
          <w:rFonts w:ascii="Times New Roman" w:eastAsia="Times New Roman" w:hAnsi="Times New Roman" w:cs="Times New Roman"/>
          <w:sz w:val="24"/>
          <w:szCs w:val="24"/>
          <w:lang w:eastAsia="sv-SE"/>
        </w:rPr>
        <w:t>How did post-secondary education participation vary across different disability types?</w:t>
      </w:r>
    </w:p>
    <w:p w14:paraId="3C281264" w14:textId="5C01D787" w:rsidR="0095665D" w:rsidRPr="00514FC7" w:rsidRDefault="0095665D" w:rsidP="00590B5E">
      <w:pPr>
        <w:numPr>
          <w:ilvl w:val="0"/>
          <w:numId w:val="6"/>
        </w:numPr>
        <w:spacing w:before="100" w:beforeAutospacing="1" w:after="100" w:afterAutospacing="1" w:line="360" w:lineRule="auto"/>
        <w:jc w:val="both"/>
        <w:rPr>
          <w:rFonts w:ascii="Times New Roman" w:eastAsia="Times New Roman" w:hAnsi="Times New Roman" w:cs="Times New Roman"/>
          <w:sz w:val="24"/>
          <w:szCs w:val="24"/>
          <w:lang w:eastAsia="sv-SE"/>
        </w:rPr>
      </w:pPr>
      <w:r w:rsidRPr="0095665D">
        <w:rPr>
          <w:rFonts w:ascii="Times New Roman" w:eastAsia="Times New Roman" w:hAnsi="Times New Roman" w:cs="Times New Roman"/>
          <w:sz w:val="24"/>
          <w:szCs w:val="24"/>
          <w:lang w:eastAsia="sv-SE"/>
        </w:rPr>
        <w:t>What patterns of disparity in post-secondary education participation can be identified across disability types and gender</w:t>
      </w:r>
      <w:r w:rsidRPr="0095665D">
        <w:rPr>
          <w:rFonts w:ascii="Times New Roman" w:eastAsia="Times New Roman" w:hAnsi="Times New Roman" w:cs="Times New Roman"/>
          <w:b/>
          <w:bCs/>
          <w:sz w:val="24"/>
          <w:szCs w:val="24"/>
          <w:lang w:eastAsia="sv-SE"/>
        </w:rPr>
        <w:t>?</w:t>
      </w:r>
    </w:p>
    <w:p w14:paraId="0EF2B65A" w14:textId="1DF4982E" w:rsidR="002D7203" w:rsidRPr="00C759F0" w:rsidRDefault="007114FD" w:rsidP="00C759F0">
      <w:pPr>
        <w:spacing w:before="100" w:beforeAutospacing="1" w:after="100" w:afterAutospacing="1" w:line="240" w:lineRule="auto"/>
        <w:rPr>
          <w:rFonts w:ascii="Times New Roman" w:eastAsia="Times New Roman" w:hAnsi="Times New Roman" w:cs="Times New Roman"/>
          <w:b/>
          <w:bCs/>
          <w:sz w:val="24"/>
          <w:szCs w:val="24"/>
          <w:lang w:eastAsia="sv-SE"/>
        </w:rPr>
      </w:pPr>
      <w:r w:rsidRPr="00ED26DA">
        <w:rPr>
          <w:rFonts w:ascii="Times New Roman" w:eastAsia="Times New Roman" w:hAnsi="Times New Roman" w:cs="Times New Roman"/>
          <w:b/>
          <w:bCs/>
          <w:sz w:val="24"/>
          <w:szCs w:val="24"/>
          <w:lang w:eastAsia="sv-SE"/>
        </w:rPr>
        <w:t xml:space="preserve">Literature </w:t>
      </w:r>
      <w:r w:rsidR="004B7AA5" w:rsidRPr="00ED26DA">
        <w:rPr>
          <w:rFonts w:ascii="Times New Roman" w:eastAsia="Times New Roman" w:hAnsi="Times New Roman" w:cs="Times New Roman"/>
          <w:b/>
          <w:bCs/>
          <w:sz w:val="24"/>
          <w:szCs w:val="24"/>
          <w:lang w:eastAsia="sv-SE"/>
        </w:rPr>
        <w:t>Review</w:t>
      </w:r>
    </w:p>
    <w:p w14:paraId="535BA9AB" w14:textId="77777777" w:rsidR="0031336A" w:rsidRDefault="00C759F0" w:rsidP="0031336A">
      <w:pPr>
        <w:spacing w:before="100" w:beforeAutospacing="1" w:after="100" w:afterAutospacing="1" w:line="360" w:lineRule="auto"/>
        <w:jc w:val="both"/>
        <w:rPr>
          <w:rFonts w:ascii="Times New Roman" w:eastAsia="Times New Roman" w:hAnsi="Times New Roman" w:cs="Times New Roman"/>
          <w:b/>
          <w:bCs/>
          <w:sz w:val="24"/>
          <w:szCs w:val="24"/>
          <w:lang w:eastAsia="sv-SE"/>
        </w:rPr>
      </w:pPr>
      <w:r w:rsidRPr="00A433B9">
        <w:rPr>
          <w:rFonts w:ascii="Times New Roman" w:eastAsia="Times New Roman" w:hAnsi="Times New Roman" w:cs="Times New Roman"/>
          <w:b/>
          <w:bCs/>
          <w:sz w:val="24"/>
          <w:szCs w:val="24"/>
          <w:lang w:eastAsia="sv-SE"/>
        </w:rPr>
        <w:t>The Capability Approach and Educational Participation</w:t>
      </w:r>
    </w:p>
    <w:p w14:paraId="0248DF1B" w14:textId="3053E51C" w:rsidR="00362906" w:rsidRPr="00362906" w:rsidRDefault="00362906" w:rsidP="00362906">
      <w:pPr>
        <w:pStyle w:val="isselectedend"/>
        <w:spacing w:line="360" w:lineRule="auto"/>
        <w:jc w:val="both"/>
        <w:rPr>
          <w:lang w:val="en-GB"/>
        </w:rPr>
      </w:pPr>
      <w:r w:rsidRPr="00362906">
        <w:rPr>
          <w:lang w:val="en-GB"/>
        </w:rPr>
        <w:t xml:space="preserve">Swedish educational policy emphasises equal educational opportunities and inclusion for students with diverse needs (Skolverket, 2026). However, formal equality does not necessarily ensure equal opportunities to participate in post-secondary education. Disabled students may experience different educational, social, and institutional conditions that affect their access to and participation in further education (Rasse &amp; Sevilla, 2023). The </w:t>
      </w:r>
      <w:r w:rsidR="0055334A">
        <w:rPr>
          <w:lang w:val="en-GB"/>
        </w:rPr>
        <w:t>c</w:t>
      </w:r>
      <w:r w:rsidRPr="00362906">
        <w:rPr>
          <w:lang w:val="en-GB"/>
        </w:rPr>
        <w:t xml:space="preserve">apability </w:t>
      </w:r>
      <w:r w:rsidR="0055334A">
        <w:rPr>
          <w:lang w:val="en-GB"/>
        </w:rPr>
        <w:t>a</w:t>
      </w:r>
      <w:r w:rsidRPr="00362906">
        <w:rPr>
          <w:lang w:val="en-GB"/>
        </w:rPr>
        <w:t>pproach is useful for examining these differences by shifting attention from equal resource distribution to whether individuals have genuine opportunities to convert resources into valued outcomes (Jandhyala, 2021).</w:t>
      </w:r>
    </w:p>
    <w:p w14:paraId="40A3B266" w14:textId="0600A585" w:rsidR="00362906" w:rsidRPr="00362906" w:rsidRDefault="00362906" w:rsidP="0081612D">
      <w:pPr>
        <w:pStyle w:val="Normalwebb"/>
        <w:spacing w:line="360" w:lineRule="auto"/>
        <w:jc w:val="both"/>
        <w:rPr>
          <w:lang w:val="en-GB"/>
        </w:rPr>
      </w:pPr>
      <w:r w:rsidRPr="00362906">
        <w:rPr>
          <w:lang w:val="en-GB"/>
        </w:rPr>
        <w:t xml:space="preserve">Individuals may not benefit from the same resources in the same way (Nef et al., 2023). </w:t>
      </w:r>
      <w:r w:rsidR="00A77F56">
        <w:rPr>
          <w:lang w:val="en-GB"/>
        </w:rPr>
        <w:t>Additionally, e</w:t>
      </w:r>
      <w:r w:rsidRPr="00362906">
        <w:rPr>
          <w:lang w:val="en-GB"/>
        </w:rPr>
        <w:t xml:space="preserve">ducational transitions are shaped by structural and contextual factors </w:t>
      </w:r>
      <w:r w:rsidR="00125D0F">
        <w:rPr>
          <w:lang w:val="en-GB"/>
        </w:rPr>
        <w:t>which</w:t>
      </w:r>
      <w:r w:rsidRPr="00362906">
        <w:rPr>
          <w:lang w:val="en-GB"/>
        </w:rPr>
        <w:t xml:space="preserve"> influence students' opportunities to pursue post-secondary education (Keung &amp; Ho, 2020). For disabled students, institutional practices, accessibility, social attitudes, and available support may further shape participation (Lid, 2026). Thus, educational inequality should be considered not only in terms of formal access but also the conditions that enable or constrain participation.</w:t>
      </w:r>
    </w:p>
    <w:p w14:paraId="7D3CAEBD" w14:textId="679C2BC6" w:rsidR="00DF6885" w:rsidRPr="00DF6885" w:rsidRDefault="00DF6885" w:rsidP="00924646">
      <w:pPr>
        <w:pStyle w:val="isselectedend"/>
        <w:spacing w:line="360" w:lineRule="auto"/>
        <w:jc w:val="both"/>
        <w:rPr>
          <w:lang w:val="en-GB"/>
        </w:rPr>
      </w:pPr>
      <w:r w:rsidRPr="00DF6885">
        <w:rPr>
          <w:lang w:val="en-GB"/>
        </w:rPr>
        <w:t xml:space="preserve">Sen distinguishes between </w:t>
      </w:r>
      <w:r w:rsidRPr="00DF6885">
        <w:rPr>
          <w:rStyle w:val="Stark"/>
          <w:b w:val="0"/>
          <w:bCs w:val="0"/>
          <w:lang w:val="en-GB"/>
        </w:rPr>
        <w:t>capabilities</w:t>
      </w:r>
      <w:r w:rsidRPr="00DF6885">
        <w:rPr>
          <w:lang w:val="en-GB"/>
        </w:rPr>
        <w:t xml:space="preserve">, the genuine opportunities or freedoms to achieve valued outcomes, and </w:t>
      </w:r>
      <w:r w:rsidRPr="00DF6885">
        <w:rPr>
          <w:rStyle w:val="Stark"/>
          <w:b w:val="0"/>
          <w:bCs w:val="0"/>
          <w:lang w:val="en-GB"/>
        </w:rPr>
        <w:t>functionings</w:t>
      </w:r>
      <w:r w:rsidRPr="00DF6885">
        <w:rPr>
          <w:lang w:val="en-GB"/>
        </w:rPr>
        <w:t xml:space="preserve">, what individuals </w:t>
      </w:r>
      <w:r w:rsidR="00924646" w:rsidRPr="00DF6885">
        <w:rPr>
          <w:lang w:val="en-GB"/>
        </w:rPr>
        <w:t>achieve</w:t>
      </w:r>
      <w:r w:rsidRPr="00DF6885">
        <w:rPr>
          <w:lang w:val="en-GB"/>
        </w:rPr>
        <w:t xml:space="preserve"> or do (Jandhyala, 2021). </w:t>
      </w:r>
      <w:r w:rsidR="00FF7CDA">
        <w:rPr>
          <w:lang w:val="en-GB"/>
        </w:rPr>
        <w:t>Applied</w:t>
      </w:r>
      <w:r w:rsidRPr="00DF6885">
        <w:rPr>
          <w:lang w:val="en-GB"/>
        </w:rPr>
        <w:t xml:space="preserve"> to post-secondary education, participation can be understood as a functioning, while capability concerns whether students have genuine opportunities to participate (Rasse &amp; Sevilla, 2023).</w:t>
      </w:r>
      <w:r w:rsidR="006A682A">
        <w:rPr>
          <w:lang w:val="en-GB"/>
        </w:rPr>
        <w:t xml:space="preserve"> </w:t>
      </w:r>
      <w:r w:rsidRPr="00DF6885">
        <w:rPr>
          <w:lang w:val="en-GB"/>
        </w:rPr>
        <w:t xml:space="preserve">Nussbaum extends this perspective by arguing that individuals should have access to minimum thresholds of central capabilities necessary for a life consistent with human dignity (Jandhyala, </w:t>
      </w:r>
      <w:r w:rsidRPr="00DF6885">
        <w:rPr>
          <w:lang w:val="en-GB"/>
        </w:rPr>
        <w:lastRenderedPageBreak/>
        <w:t xml:space="preserve">2021). </w:t>
      </w:r>
      <w:r w:rsidR="00DF32C7">
        <w:rPr>
          <w:lang w:val="en-GB"/>
        </w:rPr>
        <w:t>Further, t</w:t>
      </w:r>
      <w:r w:rsidRPr="00DF6885">
        <w:rPr>
          <w:lang w:val="en-GB"/>
        </w:rPr>
        <w:t xml:space="preserve">his is particularly relevant to disability because equal treatment does not necessarily produce equitable outcomes (Riddle, 2020). Thus, lower participation among students with disabilities should not automatically be attributed to lower aspirations or individual </w:t>
      </w:r>
      <w:r w:rsidR="007B2118" w:rsidRPr="00DF6885">
        <w:rPr>
          <w:lang w:val="en-GB"/>
        </w:rPr>
        <w:t>limitations but</w:t>
      </w:r>
      <w:r w:rsidRPr="00DF6885">
        <w:rPr>
          <w:lang w:val="en-GB"/>
        </w:rPr>
        <w:t xml:space="preserve"> may reflect differences in the conditions through which educational capabilities are developed and converted into participation (Keung &amp; Ho, 2020).</w:t>
      </w:r>
    </w:p>
    <w:p w14:paraId="1C0875C2" w14:textId="329EB40D" w:rsidR="00DF6885" w:rsidRPr="00DF6885" w:rsidRDefault="00DF6885" w:rsidP="005D7A6C">
      <w:pPr>
        <w:pStyle w:val="Normalwebb"/>
        <w:spacing w:line="360" w:lineRule="auto"/>
        <w:jc w:val="both"/>
        <w:rPr>
          <w:lang w:val="en-GB"/>
        </w:rPr>
      </w:pPr>
      <w:r w:rsidRPr="00DF6885">
        <w:rPr>
          <w:lang w:val="en-GB"/>
        </w:rPr>
        <w:t xml:space="preserve">The </w:t>
      </w:r>
      <w:r w:rsidR="00966DB8">
        <w:rPr>
          <w:lang w:val="en-GB"/>
        </w:rPr>
        <w:t>c</w:t>
      </w:r>
      <w:r w:rsidRPr="00DF6885">
        <w:rPr>
          <w:lang w:val="en-GB"/>
        </w:rPr>
        <w:t xml:space="preserve">apability </w:t>
      </w:r>
      <w:r w:rsidR="00966DB8">
        <w:rPr>
          <w:lang w:val="en-GB"/>
        </w:rPr>
        <w:t>a</w:t>
      </w:r>
      <w:r w:rsidRPr="00DF6885">
        <w:rPr>
          <w:lang w:val="en-GB"/>
        </w:rPr>
        <w:t>pproach also supports examining gender as a dimension of educational inequality. Social structures, including gender, can influence access to resources and opportunities (Nef et al., 2023), while educational expectations may vary by gender across contexts (Keung &amp; Ho, 2020). Disability and gender may therefore interact to produce different participation patterns (Moriña &amp; Carnerero, 2020). Examining gender within disability categories enables this study to identify whether participation patterns differ between female and male students and across disability types.</w:t>
      </w:r>
    </w:p>
    <w:p w14:paraId="5B5A4BE2" w14:textId="6C61E569" w:rsidR="00982D6A" w:rsidRPr="00432FBD" w:rsidRDefault="00432FBD" w:rsidP="00EB27AC">
      <w:pPr>
        <w:pStyle w:val="isselectedend"/>
        <w:spacing w:line="360" w:lineRule="auto"/>
        <w:jc w:val="both"/>
        <w:rPr>
          <w:lang w:val="en-GB"/>
        </w:rPr>
      </w:pPr>
      <w:r>
        <w:rPr>
          <w:lang w:val="en-GB"/>
        </w:rPr>
        <w:t>Further, t</w:t>
      </w:r>
      <w:r w:rsidR="00982D6A" w:rsidRPr="00982D6A">
        <w:rPr>
          <w:lang w:val="en-GB"/>
        </w:rPr>
        <w:t>h</w:t>
      </w:r>
      <w:r>
        <w:rPr>
          <w:lang w:val="en-GB"/>
        </w:rPr>
        <w:t xml:space="preserve">is </w:t>
      </w:r>
      <w:r w:rsidR="00EB27AC">
        <w:rPr>
          <w:lang w:val="en-GB"/>
        </w:rPr>
        <w:t xml:space="preserve">theory </w:t>
      </w:r>
      <w:r w:rsidR="00EB27AC" w:rsidRPr="00982D6A">
        <w:rPr>
          <w:lang w:val="en-GB"/>
        </w:rPr>
        <w:t>is</w:t>
      </w:r>
      <w:r w:rsidR="00982D6A" w:rsidRPr="00982D6A">
        <w:rPr>
          <w:lang w:val="en-GB"/>
        </w:rPr>
        <w:t xml:space="preserve"> </w:t>
      </w:r>
      <w:r>
        <w:rPr>
          <w:lang w:val="en-GB"/>
        </w:rPr>
        <w:t>as well</w:t>
      </w:r>
      <w:r w:rsidR="00982D6A" w:rsidRPr="00982D6A">
        <w:rPr>
          <w:lang w:val="en-GB"/>
        </w:rPr>
        <w:t xml:space="preserve"> relevant to social inclusion. Education can support socio-cultural, intellectual, and personal participation, while educational institutions may also reproduce existing inequalities (Rasse &amp; Sevilla, 2023). </w:t>
      </w:r>
      <w:r w:rsidR="00982D6A" w:rsidRPr="00432FBD">
        <w:rPr>
          <w:lang w:val="en-GB"/>
        </w:rPr>
        <w:t>Educational quality should therefore be considered not only through academic outcomes or retention but also through participation and equitable opportunities (Hart &amp; Brando, 2018). This supports treating participation as an important educational outcome.</w:t>
      </w:r>
    </w:p>
    <w:p w14:paraId="321E14FD" w14:textId="53274507" w:rsidR="00982D6A" w:rsidRPr="00432FBD" w:rsidRDefault="00982D6A" w:rsidP="00F14808">
      <w:pPr>
        <w:pStyle w:val="Normalwebb"/>
        <w:spacing w:line="360" w:lineRule="auto"/>
        <w:jc w:val="both"/>
        <w:rPr>
          <w:lang w:val="en-GB"/>
        </w:rPr>
      </w:pPr>
      <w:r w:rsidRPr="00432FBD">
        <w:rPr>
          <w:lang w:val="en-GB"/>
        </w:rPr>
        <w:t xml:space="preserve">However, the </w:t>
      </w:r>
      <w:r w:rsidR="00F14808">
        <w:rPr>
          <w:lang w:val="en-GB"/>
        </w:rPr>
        <w:t>c</w:t>
      </w:r>
      <w:r w:rsidRPr="00432FBD">
        <w:rPr>
          <w:lang w:val="en-GB"/>
        </w:rPr>
        <w:t xml:space="preserve">apability </w:t>
      </w:r>
      <w:r w:rsidR="00F14808">
        <w:rPr>
          <w:lang w:val="en-GB"/>
        </w:rPr>
        <w:t>a</w:t>
      </w:r>
      <w:r w:rsidRPr="00432FBD">
        <w:rPr>
          <w:lang w:val="en-GB"/>
        </w:rPr>
        <w:t>pproach has limitations. Capabilities are difficult to define and measure because there is limited agreement on how they should be evaluated (Bartolomei et al., 2024). Jandhyala (2021) similarly highlights challenges in relating different forms of education to capabilities such as senses, imagination, and thought. These limitations are relevant to this study because participation rates capture observed educational outcomes but do not directly measure individual capabilities or experienced barriers. Participation differences are therefore interpreted as indicators of unequal educational outcomes rather than direct measures of capability</w:t>
      </w:r>
    </w:p>
    <w:p w14:paraId="71DF8AAD" w14:textId="77777777" w:rsidR="003A6973" w:rsidRPr="003A6973" w:rsidRDefault="003A6973" w:rsidP="003A6973">
      <w:pPr>
        <w:spacing w:before="100" w:beforeAutospacing="1" w:after="100" w:afterAutospacing="1" w:line="240" w:lineRule="auto"/>
        <w:rPr>
          <w:rFonts w:ascii="Times New Roman" w:eastAsia="Times New Roman" w:hAnsi="Times New Roman" w:cs="Times New Roman"/>
          <w:b/>
          <w:bCs/>
          <w:sz w:val="24"/>
          <w:szCs w:val="24"/>
          <w:lang w:eastAsia="sv-SE"/>
        </w:rPr>
      </w:pPr>
      <w:r w:rsidRPr="00C248D3">
        <w:rPr>
          <w:rFonts w:ascii="Times New Roman" w:eastAsia="Times New Roman" w:hAnsi="Times New Roman" w:cs="Times New Roman"/>
          <w:b/>
          <w:bCs/>
          <w:sz w:val="24"/>
          <w:szCs w:val="24"/>
          <w:lang w:eastAsia="sv-SE"/>
        </w:rPr>
        <w:t>Educational Opportunities and Participation</w:t>
      </w:r>
    </w:p>
    <w:p w14:paraId="57FD794B" w14:textId="77777777" w:rsidR="00C70FD7" w:rsidRPr="00C248D3" w:rsidRDefault="00C70FD7" w:rsidP="00C248D3">
      <w:pPr>
        <w:pStyle w:val="isselectedend"/>
        <w:spacing w:line="360" w:lineRule="auto"/>
        <w:jc w:val="both"/>
        <w:rPr>
          <w:lang w:val="en-GB"/>
        </w:rPr>
      </w:pPr>
      <w:r w:rsidRPr="00C70FD7">
        <w:rPr>
          <w:lang w:val="en-GB"/>
        </w:rPr>
        <w:t xml:space="preserve">Post-secondary education is increasingly important for individuals’ long-term educational, economic, and social opportunities (Kutscher &amp; Tuckwiller, 2019). For students with disabilities, it can support employment, inclusion, and personal development (Biagiotti et al., </w:t>
      </w:r>
      <w:r w:rsidRPr="00C70FD7">
        <w:rPr>
          <w:lang w:val="en-GB"/>
        </w:rPr>
        <w:lastRenderedPageBreak/>
        <w:t xml:space="preserve">2026). </w:t>
      </w:r>
      <w:r w:rsidRPr="00C248D3">
        <w:rPr>
          <w:lang w:val="en-GB"/>
        </w:rPr>
        <w:t>However, equitable participation remains challenging despite efforts to widen educational opportunities (Carballo et al., 2019).</w:t>
      </w:r>
    </w:p>
    <w:p w14:paraId="32231CA5" w14:textId="7D9E1E52" w:rsidR="00C70FD7" w:rsidRPr="00C248D3" w:rsidRDefault="00DE4012" w:rsidP="007C1BA8">
      <w:pPr>
        <w:pStyle w:val="isselectedend"/>
        <w:spacing w:line="360" w:lineRule="auto"/>
        <w:jc w:val="both"/>
        <w:rPr>
          <w:lang w:val="en-GB"/>
        </w:rPr>
      </w:pPr>
      <w:r>
        <w:rPr>
          <w:lang w:val="en-GB"/>
        </w:rPr>
        <w:t>P</w:t>
      </w:r>
      <w:r w:rsidR="00C70FD7" w:rsidRPr="00C248D3">
        <w:rPr>
          <w:lang w:val="en-GB"/>
        </w:rPr>
        <w:t>articularly</w:t>
      </w:r>
      <w:r>
        <w:rPr>
          <w:lang w:val="en-GB"/>
        </w:rPr>
        <w:t>, this is</w:t>
      </w:r>
      <w:r w:rsidR="00C70FD7" w:rsidRPr="00C248D3">
        <w:rPr>
          <w:lang w:val="en-GB"/>
        </w:rPr>
        <w:t xml:space="preserve"> relevant when disability is understood through a social and relational perspective. Disability may arise through interactions between impairment and societal barriers that restrict full and equal participation (Lid, 2026). Stigma, disclosure concerns, and limited understanding within education can also affect students’ experiences (Biagiotti et al., 2026). The transition from secondary to post-secondary education is therefore a period in which educational opportunities may expand or become constrained (Keung &amp; Ho, 2020).</w:t>
      </w:r>
    </w:p>
    <w:p w14:paraId="080EBD16" w14:textId="7D840F95" w:rsidR="00C70FD7" w:rsidRPr="00A17332" w:rsidRDefault="00C70FD7" w:rsidP="0047635A">
      <w:pPr>
        <w:pStyle w:val="Normalwebb"/>
        <w:spacing w:line="360" w:lineRule="auto"/>
        <w:jc w:val="both"/>
        <w:rPr>
          <w:lang w:val="en-GB"/>
        </w:rPr>
      </w:pPr>
      <w:r w:rsidRPr="00C248D3">
        <w:rPr>
          <w:lang w:val="en-GB"/>
        </w:rPr>
        <w:t xml:space="preserve">Participation </w:t>
      </w:r>
      <w:r w:rsidR="0047635A">
        <w:rPr>
          <w:lang w:val="en-GB"/>
        </w:rPr>
        <w:t>immediately</w:t>
      </w:r>
      <w:r w:rsidRPr="00C248D3">
        <w:rPr>
          <w:lang w:val="en-GB"/>
        </w:rPr>
        <w:t xml:space="preserve"> after secondary education may not capture the full transition, as some students enter post-secondary education later. Examining participation over three years can therefore provide a more complete picture of educational pathways, particularly for students with disabilities (Keung &amp; Ho, 2020). Accordingly, this study examines participation across the first three years after secondary education and whether it changes between the first and third </w:t>
      </w:r>
      <w:r w:rsidRPr="00A17332">
        <w:rPr>
          <w:lang w:val="en-GB"/>
        </w:rPr>
        <w:t>years.</w:t>
      </w:r>
    </w:p>
    <w:p w14:paraId="549EFF79" w14:textId="77777777" w:rsidR="003C2B9E" w:rsidRPr="003C2B9E" w:rsidRDefault="003C2B9E" w:rsidP="002D7203">
      <w:pPr>
        <w:spacing w:before="100" w:beforeAutospacing="1" w:after="100" w:afterAutospacing="1" w:line="240" w:lineRule="auto"/>
        <w:rPr>
          <w:rFonts w:ascii="Times New Roman" w:eastAsia="Times New Roman" w:hAnsi="Times New Roman" w:cs="Times New Roman"/>
          <w:b/>
          <w:bCs/>
          <w:sz w:val="24"/>
          <w:szCs w:val="24"/>
          <w:lang w:eastAsia="sv-SE"/>
        </w:rPr>
      </w:pPr>
      <w:r w:rsidRPr="00B80328">
        <w:rPr>
          <w:rFonts w:ascii="Times New Roman" w:eastAsia="Times New Roman" w:hAnsi="Times New Roman" w:cs="Times New Roman"/>
          <w:b/>
          <w:bCs/>
          <w:sz w:val="24"/>
          <w:szCs w:val="24"/>
          <w:lang w:eastAsia="sv-SE"/>
        </w:rPr>
        <w:t>Educational Inequality Across Disability and Gender</w:t>
      </w:r>
    </w:p>
    <w:p w14:paraId="68E0934F" w14:textId="14B4DFBC" w:rsidR="005479E3" w:rsidRPr="0038399B" w:rsidRDefault="005479E3" w:rsidP="0038399B">
      <w:pPr>
        <w:pStyle w:val="isselectedend"/>
        <w:spacing w:line="360" w:lineRule="auto"/>
        <w:jc w:val="both"/>
        <w:rPr>
          <w:lang w:val="en-GB"/>
        </w:rPr>
      </w:pPr>
      <w:r w:rsidRPr="005479E3">
        <w:rPr>
          <w:lang w:val="en-GB"/>
        </w:rPr>
        <w:t xml:space="preserve">Research consistently identifies inequalities in educational participation between students with and without disabilities (Rasse &amp; Sevilla, 2023). </w:t>
      </w:r>
      <w:r w:rsidRPr="0038399B">
        <w:rPr>
          <w:lang w:val="en-GB"/>
        </w:rPr>
        <w:t>Disabled students remain underrepresented</w:t>
      </w:r>
      <w:r w:rsidR="0038399B">
        <w:rPr>
          <w:lang w:val="en-GB"/>
        </w:rPr>
        <w:t xml:space="preserve"> though</w:t>
      </w:r>
      <w:r w:rsidRPr="0038399B">
        <w:rPr>
          <w:lang w:val="en-GB"/>
        </w:rPr>
        <w:t xml:space="preserve"> in post-secondary education and may experience lower completion rates despite increased enrolment, suggesting that expanding access alone may not ensure educational equality (Bettencourt et al., 2022; Kutscher &amp; Tuckwiller, 2019).</w:t>
      </w:r>
    </w:p>
    <w:p w14:paraId="0A801F42" w14:textId="77777777" w:rsidR="005479E3" w:rsidRPr="0038399B" w:rsidRDefault="005479E3" w:rsidP="00553B80">
      <w:pPr>
        <w:pStyle w:val="isselectedend"/>
        <w:spacing w:line="360" w:lineRule="auto"/>
        <w:jc w:val="both"/>
        <w:rPr>
          <w:lang w:val="en-GB"/>
        </w:rPr>
      </w:pPr>
      <w:r w:rsidRPr="0038399B">
        <w:rPr>
          <w:lang w:val="en-GB"/>
        </w:rPr>
        <w:t>The Swedish context further highlights the need to examine these inequalities. Statistics Sweden (2023) reports greater educational challenges among children with disabilities and long-term health problems, but national evidence does not show how these challenges translate into post-secondary participation. Examining participation by disability status and type can therefore provide a more differentiated understanding of educational pathways.</w:t>
      </w:r>
    </w:p>
    <w:p w14:paraId="703BED7B" w14:textId="6B5E4AB1" w:rsidR="005479E3" w:rsidRPr="0038399B" w:rsidRDefault="005479E3" w:rsidP="004E259A">
      <w:pPr>
        <w:pStyle w:val="isselectedend"/>
        <w:spacing w:line="360" w:lineRule="auto"/>
        <w:jc w:val="both"/>
        <w:rPr>
          <w:lang w:val="en-GB"/>
        </w:rPr>
      </w:pPr>
      <w:r w:rsidRPr="0038399B">
        <w:rPr>
          <w:lang w:val="en-GB"/>
        </w:rPr>
        <w:t>Disability is not a homogeneous category, and participation may vary according to socioeconomic circumstances and educational expectations (Moriña &amp; Carnerero, 2020; Wells, 2026). Disability may</w:t>
      </w:r>
      <w:r w:rsidR="002C6167">
        <w:rPr>
          <w:lang w:val="en-GB"/>
        </w:rPr>
        <w:t xml:space="preserve"> as well</w:t>
      </w:r>
      <w:r w:rsidRPr="0038399B">
        <w:rPr>
          <w:lang w:val="en-GB"/>
        </w:rPr>
        <w:t xml:space="preserve"> interact with broader structural and educational conditions rather than operate as a uniform predictor of outcomes (Keung &amp; Ho, 2020). Examining disability types therefore helps identify differences that aggregate comparisons may obscure.</w:t>
      </w:r>
    </w:p>
    <w:p w14:paraId="461284F7" w14:textId="77777777" w:rsidR="005479E3" w:rsidRPr="0038399B" w:rsidRDefault="005479E3" w:rsidP="00AA334A">
      <w:pPr>
        <w:pStyle w:val="isselectedend"/>
        <w:spacing w:line="360" w:lineRule="auto"/>
        <w:jc w:val="both"/>
        <w:rPr>
          <w:lang w:val="en-GB"/>
        </w:rPr>
      </w:pPr>
      <w:r w:rsidRPr="0038399B">
        <w:rPr>
          <w:lang w:val="en-GB"/>
        </w:rPr>
        <w:lastRenderedPageBreak/>
        <w:t>Gender provides an additional dimension of inequality. Gender and disability can influence social positions and access to resources, while educational expectations may also differ by gender across contexts (Nef et al., 2023; Keung &amp; Ho, 2020). Examining gender within disability categories may therefore reveal patterns not evident when disability is considered alone (Rasse &amp; Sevilla, 2023).</w:t>
      </w:r>
    </w:p>
    <w:p w14:paraId="4F83C62E" w14:textId="77777777" w:rsidR="005479E3" w:rsidRPr="0038399B" w:rsidRDefault="005479E3" w:rsidP="005B7A81">
      <w:pPr>
        <w:pStyle w:val="Normalwebb"/>
        <w:spacing w:line="360" w:lineRule="auto"/>
        <w:jc w:val="both"/>
        <w:rPr>
          <w:lang w:val="en-GB"/>
        </w:rPr>
      </w:pPr>
      <w:r w:rsidRPr="0038399B">
        <w:rPr>
          <w:lang w:val="en-GB"/>
        </w:rPr>
        <w:t>From a Capability Approach perspective, these disparities should not be attributed solely to individual characteristics but considered in relation to the conditions that enable or constrain genuine educational opportunities. Inclusion requires addressing barriers to access and participation (Ainscow, 2019), while accessibility is central to educational equity (Azmoodeh et al., 2023). Moreover, equality of opportunity does not necessarily produce equality of outcomes (Smeplass et al., 2024), and education can both promote inclusion and reproduce inequalities (Rasse &amp; Sevilla, 2023). Examining participation across disability type, gender, and time is therefore important for assessing how educational opportunities are experienced in practice.</w:t>
      </w:r>
    </w:p>
    <w:p w14:paraId="5733B0B0" w14:textId="77777777" w:rsidR="0001760D" w:rsidRPr="00283BD4" w:rsidRDefault="0001760D" w:rsidP="002D7203">
      <w:pPr>
        <w:spacing w:before="100" w:beforeAutospacing="1" w:after="100" w:afterAutospacing="1" w:line="240" w:lineRule="auto"/>
        <w:rPr>
          <w:rFonts w:ascii="Times New Roman" w:eastAsia="Times New Roman" w:hAnsi="Times New Roman" w:cs="Times New Roman"/>
          <w:b/>
          <w:bCs/>
          <w:sz w:val="24"/>
          <w:szCs w:val="24"/>
          <w:lang w:eastAsia="sv-SE"/>
        </w:rPr>
      </w:pPr>
      <w:r w:rsidRPr="00283BD4">
        <w:rPr>
          <w:rFonts w:ascii="Times New Roman" w:eastAsia="Times New Roman" w:hAnsi="Times New Roman" w:cs="Times New Roman"/>
          <w:b/>
          <w:bCs/>
          <w:sz w:val="24"/>
          <w:szCs w:val="24"/>
          <w:lang w:eastAsia="sv-SE"/>
        </w:rPr>
        <w:t>Research gap and relevance to the study</w:t>
      </w:r>
    </w:p>
    <w:p w14:paraId="121C9BFC" w14:textId="1CD77EAB" w:rsidR="00283BD4" w:rsidRPr="00283BD4" w:rsidRDefault="00283BD4" w:rsidP="00EB533F">
      <w:pPr>
        <w:pStyle w:val="isselectedend"/>
        <w:spacing w:line="360" w:lineRule="auto"/>
        <w:jc w:val="both"/>
        <w:rPr>
          <w:lang w:val="en-GB"/>
        </w:rPr>
      </w:pPr>
      <w:r w:rsidRPr="00283BD4">
        <w:rPr>
          <w:lang w:val="en-GB"/>
        </w:rPr>
        <w:t>The literature shows that post-secondary participation among students with disabilities depends on more than formal access</w:t>
      </w:r>
      <w:r w:rsidR="009B5371">
        <w:rPr>
          <w:lang w:val="en-GB"/>
        </w:rPr>
        <w:t xml:space="preserve"> to education</w:t>
      </w:r>
      <w:r w:rsidRPr="00283BD4">
        <w:rPr>
          <w:lang w:val="en-GB"/>
        </w:rPr>
        <w:t>. The Capability Approach highlights how resources are converted into genuine educational opportunities, while research on educational inequality emphasises disability, gender, social context, and accessibility (Rasse &amp; Sevilla, 2023). However, disability is heterogeneous, and participation may vary across groups and circumstances.</w:t>
      </w:r>
    </w:p>
    <w:p w14:paraId="6E98D7C7" w14:textId="7774EF2B" w:rsidR="00283BD4" w:rsidRPr="00283BD4" w:rsidRDefault="00F4254E" w:rsidP="00F4254E">
      <w:pPr>
        <w:pStyle w:val="isselectedend"/>
        <w:spacing w:line="360" w:lineRule="auto"/>
        <w:jc w:val="both"/>
        <w:rPr>
          <w:lang w:val="en-GB"/>
        </w:rPr>
      </w:pPr>
      <w:r>
        <w:rPr>
          <w:lang w:val="en-GB"/>
        </w:rPr>
        <w:t>Further, l</w:t>
      </w:r>
      <w:r w:rsidR="00283BD4" w:rsidRPr="00283BD4">
        <w:rPr>
          <w:lang w:val="en-GB"/>
        </w:rPr>
        <w:t>ess attention has been given to how participation changes during the period following secondary education. Focusing only on overall enrolment may therefore obscure differences in the timing of educational transitions. This study addresses this gap by examining post-secondary participation among students with and without disabilities in Sweden between 2018 and 2020, focusing on disability type, gender, and participation during the first three years after secondary education.</w:t>
      </w:r>
    </w:p>
    <w:p w14:paraId="789AE733" w14:textId="7614D0B5" w:rsidR="00283BD4" w:rsidRPr="00283BD4" w:rsidRDefault="00283BD4" w:rsidP="00A450E9">
      <w:pPr>
        <w:pStyle w:val="Normalwebb"/>
        <w:spacing w:line="360" w:lineRule="auto"/>
        <w:jc w:val="both"/>
        <w:rPr>
          <w:lang w:val="en-GB"/>
        </w:rPr>
      </w:pPr>
      <w:r w:rsidRPr="00283BD4">
        <w:rPr>
          <w:lang w:val="en-GB"/>
        </w:rPr>
        <w:t>The Capability Approach provides the theoretical lens for interpreting these patterns. Participation rates are not treated as direct measures of capability but as indicators of potentially unequal educational opportunities and the conditions that enable or constrain participation (Keung &amp; Ho, 2020; Riddle, 2020). Th</w:t>
      </w:r>
      <w:r w:rsidR="00530947">
        <w:rPr>
          <w:lang w:val="en-GB"/>
        </w:rPr>
        <w:t>is</w:t>
      </w:r>
      <w:r w:rsidRPr="00283BD4">
        <w:rPr>
          <w:lang w:val="en-GB"/>
        </w:rPr>
        <w:t xml:space="preserve"> study therefore contributes empirical evidence on </w:t>
      </w:r>
      <w:r w:rsidRPr="00283BD4">
        <w:rPr>
          <w:lang w:val="en-GB"/>
        </w:rPr>
        <w:lastRenderedPageBreak/>
        <w:t>educational inequalities while recognising the broader social and institutional conditions shaping participation. The following section presents the methodology used to examine these patterns.</w:t>
      </w:r>
    </w:p>
    <w:p w14:paraId="27AADC67" w14:textId="27996526" w:rsidR="00372494" w:rsidRPr="00736455" w:rsidRDefault="00372494" w:rsidP="00472B4F">
      <w:pPr>
        <w:spacing w:before="100" w:beforeAutospacing="1" w:after="100" w:afterAutospacing="1" w:line="240" w:lineRule="auto"/>
        <w:rPr>
          <w:rFonts w:ascii="Times New Roman" w:eastAsia="Times New Roman" w:hAnsi="Times New Roman" w:cs="Times New Roman"/>
          <w:b/>
          <w:bCs/>
          <w:sz w:val="24"/>
          <w:szCs w:val="24"/>
          <w:lang w:eastAsia="sv-SE"/>
        </w:rPr>
      </w:pPr>
      <w:r w:rsidRPr="00736455">
        <w:rPr>
          <w:rFonts w:ascii="Times New Roman" w:eastAsia="Times New Roman" w:hAnsi="Times New Roman" w:cs="Times New Roman"/>
          <w:b/>
          <w:bCs/>
          <w:sz w:val="24"/>
          <w:szCs w:val="24"/>
          <w:lang w:eastAsia="sv-SE"/>
        </w:rPr>
        <w:t>Methodolog</w:t>
      </w:r>
      <w:r w:rsidR="00E52386">
        <w:rPr>
          <w:rFonts w:ascii="Times New Roman" w:eastAsia="Times New Roman" w:hAnsi="Times New Roman" w:cs="Times New Roman"/>
          <w:b/>
          <w:bCs/>
          <w:sz w:val="24"/>
          <w:szCs w:val="24"/>
          <w:lang w:eastAsia="sv-SE"/>
        </w:rPr>
        <w:t>y</w:t>
      </w:r>
    </w:p>
    <w:p w14:paraId="2BD18F10" w14:textId="40556906" w:rsidR="00472B4F" w:rsidRPr="008E0912" w:rsidRDefault="00472B4F" w:rsidP="000276C9">
      <w:pPr>
        <w:spacing w:before="100" w:beforeAutospacing="1" w:after="100" w:afterAutospacing="1" w:line="360" w:lineRule="auto"/>
        <w:jc w:val="both"/>
        <w:rPr>
          <w:rFonts w:ascii="Times New Roman" w:eastAsia="Times New Roman" w:hAnsi="Times New Roman" w:cs="Times New Roman"/>
          <w:b/>
          <w:bCs/>
          <w:sz w:val="24"/>
          <w:szCs w:val="24"/>
          <w:lang w:eastAsia="sv-SE"/>
        </w:rPr>
      </w:pPr>
      <w:r w:rsidRPr="008E0912">
        <w:rPr>
          <w:rFonts w:ascii="Times New Roman" w:eastAsia="Times New Roman" w:hAnsi="Times New Roman" w:cs="Times New Roman"/>
          <w:b/>
          <w:bCs/>
          <w:sz w:val="24"/>
          <w:szCs w:val="24"/>
          <w:lang w:eastAsia="sv-SE"/>
        </w:rPr>
        <w:t>Research Design</w:t>
      </w:r>
    </w:p>
    <w:p w14:paraId="0785AA22" w14:textId="77777777" w:rsidR="00390863" w:rsidRPr="00FA3EF6" w:rsidRDefault="00390863" w:rsidP="00FA3EF6">
      <w:pPr>
        <w:pStyle w:val="isselectedend"/>
        <w:spacing w:line="360" w:lineRule="auto"/>
        <w:jc w:val="both"/>
        <w:rPr>
          <w:lang w:val="en-GB"/>
        </w:rPr>
      </w:pPr>
      <w:r w:rsidRPr="00390863">
        <w:rPr>
          <w:lang w:val="en-GB"/>
        </w:rPr>
        <w:t xml:space="preserve">This study employed a quantitative, explanatory, non-experimental research design using national register data from Statistics Sweden (SCB, 2024). </w:t>
      </w:r>
      <w:r w:rsidRPr="00FA3EF6">
        <w:rPr>
          <w:lang w:val="en-GB"/>
        </w:rPr>
        <w:t>It examined patterns and differences in post-secondary education participation among students with and without disabilities in Sweden between 2018 and 2020, focusing on disability status, disability type, gender, and participation during the first three years following secondary education. A quantitative design was appropriate for analysing numerical data, identifying participation patterns, and assessing whether observed differences were statistically significant (Boeren, 2018).</w:t>
      </w:r>
    </w:p>
    <w:p w14:paraId="2DDCA129" w14:textId="5107C8D8" w:rsidR="00390863" w:rsidRPr="00FA3EF6" w:rsidRDefault="00102CBD" w:rsidP="00FA3EF6">
      <w:pPr>
        <w:pStyle w:val="isselectedend"/>
        <w:spacing w:line="360" w:lineRule="auto"/>
        <w:jc w:val="both"/>
        <w:rPr>
          <w:lang w:val="en-GB"/>
        </w:rPr>
      </w:pPr>
      <w:r>
        <w:rPr>
          <w:lang w:val="en-GB"/>
        </w:rPr>
        <w:t>Further</w:t>
      </w:r>
      <w:r w:rsidR="00FA3EF6">
        <w:rPr>
          <w:lang w:val="en-GB"/>
        </w:rPr>
        <w:t>, th</w:t>
      </w:r>
      <w:r>
        <w:rPr>
          <w:lang w:val="en-GB"/>
        </w:rPr>
        <w:t xml:space="preserve">e </w:t>
      </w:r>
      <w:r w:rsidR="00390863" w:rsidRPr="00FA3EF6">
        <w:rPr>
          <w:lang w:val="en-GB"/>
        </w:rPr>
        <w:t xml:space="preserve">study was non-experimental because it used existing register data without manipulating variables or assigning participants to groups. Non-experimental designs examine naturally occurring variables and relationships and therefore cannot establish causal relationships (Creswell &amp; Creswell, 2018). The analysis can identify differences and associations in participation but cannot demonstrate that disability caused these differences. </w:t>
      </w:r>
      <w:r w:rsidR="00A25BA1">
        <w:rPr>
          <w:lang w:val="en-GB"/>
        </w:rPr>
        <w:t>Instead, the o</w:t>
      </w:r>
      <w:r w:rsidR="00390863" w:rsidRPr="00FA3EF6">
        <w:rPr>
          <w:lang w:val="en-GB"/>
        </w:rPr>
        <w:t xml:space="preserve">bserved disparities may reflect </w:t>
      </w:r>
      <w:r w:rsidR="00827C0C">
        <w:rPr>
          <w:lang w:val="en-GB"/>
        </w:rPr>
        <w:t>broader</w:t>
      </w:r>
      <w:r w:rsidR="00390863" w:rsidRPr="00FA3EF6">
        <w:rPr>
          <w:lang w:val="en-GB"/>
        </w:rPr>
        <w:t xml:space="preserve"> social, institutional, and educational conditions.</w:t>
      </w:r>
    </w:p>
    <w:p w14:paraId="041F6E53" w14:textId="28A319EC" w:rsidR="00390863" w:rsidRPr="00FA3EF6" w:rsidRDefault="00390863" w:rsidP="00FA3EF6">
      <w:pPr>
        <w:pStyle w:val="isselectedend"/>
        <w:spacing w:line="360" w:lineRule="auto"/>
        <w:jc w:val="both"/>
        <w:rPr>
          <w:lang w:val="en-GB"/>
        </w:rPr>
      </w:pPr>
      <w:r w:rsidRPr="00FA3EF6">
        <w:rPr>
          <w:lang w:val="en-GB"/>
        </w:rPr>
        <w:t xml:space="preserve">The study </w:t>
      </w:r>
      <w:r w:rsidR="00827C0C">
        <w:rPr>
          <w:lang w:val="en-GB"/>
        </w:rPr>
        <w:t>was</w:t>
      </w:r>
      <w:r w:rsidRPr="00FA3EF6">
        <w:rPr>
          <w:lang w:val="en-GB"/>
        </w:rPr>
        <w:t xml:space="preserve"> theoretically informed by the </w:t>
      </w:r>
      <w:r w:rsidR="00827C0C">
        <w:rPr>
          <w:lang w:val="en-GB"/>
        </w:rPr>
        <w:t>c</w:t>
      </w:r>
      <w:r w:rsidRPr="00FA3EF6">
        <w:rPr>
          <w:lang w:val="en-GB"/>
        </w:rPr>
        <w:t xml:space="preserve">apability </w:t>
      </w:r>
      <w:r w:rsidR="00827C0C">
        <w:rPr>
          <w:lang w:val="en-GB"/>
        </w:rPr>
        <w:t>a</w:t>
      </w:r>
      <w:r w:rsidRPr="00FA3EF6">
        <w:rPr>
          <w:lang w:val="en-GB"/>
        </w:rPr>
        <w:t>pproach, which provide</w:t>
      </w:r>
      <w:r w:rsidR="00D93B14">
        <w:rPr>
          <w:lang w:val="en-GB"/>
        </w:rPr>
        <w:t>d</w:t>
      </w:r>
      <w:r w:rsidRPr="00FA3EF6">
        <w:rPr>
          <w:lang w:val="en-GB"/>
        </w:rPr>
        <w:t xml:space="preserve"> a framework for interpreting educational participation in terms of individuals’ real opportunities to pursue valued educational outcomes (Riddle, 2020). Participation </w:t>
      </w:r>
      <w:r w:rsidR="00D93B14">
        <w:rPr>
          <w:lang w:val="en-GB"/>
        </w:rPr>
        <w:t>was</w:t>
      </w:r>
      <w:r w:rsidRPr="00FA3EF6">
        <w:rPr>
          <w:lang w:val="en-GB"/>
        </w:rPr>
        <w:t xml:space="preserve"> not treated as a direct measure of capability; rather, differences in participation may indicate unequal opportunities to convert educational resources and support into further educational pathways (Keung &amp; Ho, 2020). Thus, the </w:t>
      </w:r>
      <w:r w:rsidR="00D93B14">
        <w:rPr>
          <w:lang w:val="en-GB"/>
        </w:rPr>
        <w:t>c</w:t>
      </w:r>
      <w:r w:rsidRPr="00FA3EF6">
        <w:rPr>
          <w:lang w:val="en-GB"/>
        </w:rPr>
        <w:t xml:space="preserve">apability </w:t>
      </w:r>
      <w:r w:rsidR="00D93B14">
        <w:rPr>
          <w:lang w:val="en-GB"/>
        </w:rPr>
        <w:t>a</w:t>
      </w:r>
      <w:r w:rsidRPr="00FA3EF6">
        <w:rPr>
          <w:lang w:val="en-GB"/>
        </w:rPr>
        <w:t>pproach inform</w:t>
      </w:r>
      <w:r w:rsidR="00D93B14">
        <w:rPr>
          <w:lang w:val="en-GB"/>
        </w:rPr>
        <w:t>ed</w:t>
      </w:r>
      <w:r w:rsidRPr="00FA3EF6">
        <w:rPr>
          <w:lang w:val="en-GB"/>
        </w:rPr>
        <w:t xml:space="preserve"> the interpretation of the findings rather than functioning as a variable in the statistical analysis.</w:t>
      </w:r>
    </w:p>
    <w:p w14:paraId="13C7047F" w14:textId="70889DFC" w:rsidR="0007642E" w:rsidRPr="00837601" w:rsidRDefault="00837601" w:rsidP="00837601">
      <w:pPr>
        <w:pStyle w:val="Normalwebb"/>
        <w:spacing w:line="360" w:lineRule="auto"/>
        <w:jc w:val="both"/>
        <w:rPr>
          <w:lang w:val="en-GB"/>
        </w:rPr>
      </w:pPr>
      <w:r>
        <w:rPr>
          <w:lang w:val="en-GB"/>
        </w:rPr>
        <w:t>Relatedly</w:t>
      </w:r>
      <w:r w:rsidR="00B96F19">
        <w:rPr>
          <w:lang w:val="en-GB"/>
        </w:rPr>
        <w:t>, c</w:t>
      </w:r>
      <w:r w:rsidR="00390863" w:rsidRPr="00FA3EF6">
        <w:rPr>
          <w:lang w:val="en-GB"/>
        </w:rPr>
        <w:t>onsistent with a social model understanding of disability, the study primarily uses the term “students with disabilities”, while “disabled students” is used where appropriate. Both terms recognise that disability-related inequalities may arise not only from impairment but also from social and institutional barriers to participation (Shaw, 2025).</w:t>
      </w:r>
    </w:p>
    <w:p w14:paraId="3E2BB136" w14:textId="28E92897" w:rsidR="007623EA" w:rsidRPr="005649AF" w:rsidRDefault="00CF47EB" w:rsidP="00736455">
      <w:pPr>
        <w:spacing w:before="100" w:beforeAutospacing="1" w:after="100" w:afterAutospacing="1" w:line="240" w:lineRule="auto"/>
        <w:rPr>
          <w:rFonts w:ascii="Times New Roman" w:eastAsia="Times New Roman" w:hAnsi="Times New Roman" w:cs="Times New Roman"/>
          <w:b/>
          <w:bCs/>
          <w:sz w:val="24"/>
          <w:szCs w:val="24"/>
          <w:lang w:eastAsia="sv-SE"/>
        </w:rPr>
      </w:pPr>
      <w:r w:rsidRPr="005649AF">
        <w:rPr>
          <w:rFonts w:ascii="Times New Roman" w:eastAsia="Times New Roman" w:hAnsi="Times New Roman" w:cs="Times New Roman"/>
          <w:b/>
          <w:bCs/>
          <w:sz w:val="24"/>
          <w:szCs w:val="24"/>
          <w:lang w:eastAsia="sv-SE"/>
        </w:rPr>
        <w:lastRenderedPageBreak/>
        <w:t xml:space="preserve">Population and </w:t>
      </w:r>
      <w:r w:rsidR="007623EA" w:rsidRPr="005649AF">
        <w:rPr>
          <w:rFonts w:ascii="Times New Roman" w:eastAsia="Times New Roman" w:hAnsi="Times New Roman" w:cs="Times New Roman"/>
          <w:b/>
          <w:bCs/>
          <w:sz w:val="24"/>
          <w:szCs w:val="24"/>
          <w:lang w:eastAsia="sv-SE"/>
        </w:rPr>
        <w:t>Data Source</w:t>
      </w:r>
    </w:p>
    <w:p w14:paraId="08E30ACF" w14:textId="2B68BCF0" w:rsidR="0042281E" w:rsidRPr="0042281E" w:rsidRDefault="0042281E" w:rsidP="0042281E">
      <w:pPr>
        <w:pStyle w:val="isselectedend"/>
        <w:spacing w:line="360" w:lineRule="auto"/>
        <w:jc w:val="both"/>
        <w:rPr>
          <w:lang w:val="en-GB"/>
        </w:rPr>
      </w:pPr>
      <w:r w:rsidRPr="0042281E">
        <w:rPr>
          <w:lang w:val="en-GB"/>
        </w:rPr>
        <w:t>The study used national register data from Statistics Sweden (SCB, 2024). The population of interest comprised students with and without disabilities represented in the available register data for 2018–2020. Defining the target population is important for clarifying the group to which findings are intended to apply (Albers, 2017). The</w:t>
      </w:r>
      <w:r w:rsidR="00F00DB3">
        <w:rPr>
          <w:lang w:val="en-GB"/>
        </w:rPr>
        <w:t>refore, the</w:t>
      </w:r>
      <w:r w:rsidRPr="0042281E">
        <w:rPr>
          <w:lang w:val="en-GB"/>
        </w:rPr>
        <w:t xml:space="preserve"> analysis focused specifically on post-secondary education participation.</w:t>
      </w:r>
    </w:p>
    <w:p w14:paraId="09224B9F" w14:textId="715A8E71" w:rsidR="0042281E" w:rsidRPr="0042281E" w:rsidRDefault="0042281E" w:rsidP="00836EAD">
      <w:pPr>
        <w:pStyle w:val="Normalwebb"/>
        <w:spacing w:line="360" w:lineRule="auto"/>
        <w:jc w:val="both"/>
        <w:rPr>
          <w:lang w:val="en-GB"/>
        </w:rPr>
      </w:pPr>
      <w:r w:rsidRPr="0042281E">
        <w:rPr>
          <w:lang w:val="en-GB"/>
        </w:rPr>
        <w:t>The primary outcome variable was post-secondary education participation, measured as the percentage of students participating within relevant groups and periods. Disability status was the main grouping variable, with further analysis by disability type where available. Gender was examined as an additional grouping variable, while year was used to assess changes in participation over time. These variables correspond</w:t>
      </w:r>
      <w:r w:rsidR="009D08CC">
        <w:rPr>
          <w:lang w:val="en-GB"/>
        </w:rPr>
        <w:t>ed</w:t>
      </w:r>
      <w:r w:rsidRPr="0042281E">
        <w:rPr>
          <w:lang w:val="en-GB"/>
        </w:rPr>
        <w:t xml:space="preserve"> directly to the research questions and provide</w:t>
      </w:r>
      <w:r w:rsidR="009D08CC">
        <w:rPr>
          <w:lang w:val="en-GB"/>
        </w:rPr>
        <w:t>d</w:t>
      </w:r>
      <w:r w:rsidRPr="0042281E">
        <w:rPr>
          <w:lang w:val="en-GB"/>
        </w:rPr>
        <w:t xml:space="preserve"> the basis for examining participation differences by disability status, disability type, and gender, as well as changes across the study period.</w:t>
      </w:r>
    </w:p>
    <w:p w14:paraId="6F98602D" w14:textId="012C83FF" w:rsidR="00F8133A" w:rsidRPr="00F8133A" w:rsidRDefault="00F8133A" w:rsidP="00F8133A">
      <w:pPr>
        <w:spacing w:before="100" w:beforeAutospacing="1" w:after="100" w:afterAutospacing="1" w:line="360" w:lineRule="auto"/>
        <w:jc w:val="both"/>
        <w:rPr>
          <w:rFonts w:ascii="Times New Roman" w:eastAsia="Times New Roman" w:hAnsi="Times New Roman" w:cs="Times New Roman"/>
          <w:b/>
          <w:bCs/>
          <w:sz w:val="24"/>
          <w:szCs w:val="24"/>
          <w:lang w:eastAsia="sv-SE"/>
        </w:rPr>
      </w:pPr>
      <w:r w:rsidRPr="00F8133A">
        <w:rPr>
          <w:rFonts w:ascii="Times New Roman" w:eastAsia="Times New Roman" w:hAnsi="Times New Roman" w:cs="Times New Roman"/>
          <w:b/>
          <w:bCs/>
          <w:sz w:val="24"/>
          <w:szCs w:val="24"/>
          <w:lang w:eastAsia="sv-SE"/>
        </w:rPr>
        <w:t>Hypotheses</w:t>
      </w:r>
    </w:p>
    <w:p w14:paraId="7445EEA8" w14:textId="4D8C5D0C" w:rsidR="00E83500" w:rsidRPr="00EA0870" w:rsidRDefault="00E83500" w:rsidP="00B84F76">
      <w:pPr>
        <w:spacing w:before="100" w:beforeAutospacing="1" w:after="100" w:afterAutospacing="1" w:line="360" w:lineRule="auto"/>
        <w:jc w:val="both"/>
        <w:rPr>
          <w:rFonts w:ascii="Times New Roman" w:eastAsia="Times New Roman" w:hAnsi="Times New Roman" w:cs="Times New Roman"/>
          <w:sz w:val="24"/>
          <w:szCs w:val="24"/>
          <w:lang w:eastAsia="sv-SE"/>
        </w:rPr>
      </w:pPr>
      <w:r w:rsidRPr="00EA0870">
        <w:rPr>
          <w:rFonts w:ascii="Times New Roman" w:eastAsia="Times New Roman" w:hAnsi="Times New Roman" w:cs="Times New Roman"/>
          <w:sz w:val="24"/>
          <w:szCs w:val="24"/>
          <w:lang w:eastAsia="sv-SE"/>
        </w:rPr>
        <w:t xml:space="preserve">The hypotheses were developed from the research questions and informed by the </w:t>
      </w:r>
      <w:r w:rsidR="00EA0870" w:rsidRPr="00EA0870">
        <w:rPr>
          <w:rFonts w:ascii="Times New Roman" w:eastAsia="Times New Roman" w:hAnsi="Times New Roman" w:cs="Times New Roman"/>
          <w:sz w:val="24"/>
          <w:szCs w:val="24"/>
          <w:lang w:eastAsia="sv-SE"/>
        </w:rPr>
        <w:t>c</w:t>
      </w:r>
      <w:r w:rsidRPr="00EA0870">
        <w:rPr>
          <w:rFonts w:ascii="Times New Roman" w:eastAsia="Times New Roman" w:hAnsi="Times New Roman" w:cs="Times New Roman"/>
          <w:sz w:val="24"/>
          <w:szCs w:val="24"/>
          <w:lang w:eastAsia="sv-SE"/>
        </w:rPr>
        <w:t xml:space="preserve">apability </w:t>
      </w:r>
      <w:r w:rsidR="00EA0870" w:rsidRPr="00EA0870">
        <w:rPr>
          <w:rFonts w:ascii="Times New Roman" w:eastAsia="Times New Roman" w:hAnsi="Times New Roman" w:cs="Times New Roman"/>
          <w:sz w:val="24"/>
          <w:szCs w:val="24"/>
          <w:lang w:eastAsia="sv-SE"/>
        </w:rPr>
        <w:t>a</w:t>
      </w:r>
      <w:r w:rsidRPr="00EA0870">
        <w:rPr>
          <w:rFonts w:ascii="Times New Roman" w:eastAsia="Times New Roman" w:hAnsi="Times New Roman" w:cs="Times New Roman"/>
          <w:sz w:val="24"/>
          <w:szCs w:val="24"/>
          <w:lang w:eastAsia="sv-SE"/>
        </w:rPr>
        <w:t>pproach, which suggests that differences in social and educational conditions may shape students’ opportunities to participate in post-secondary education. Hypothesis testing provides a systematic basis for determining whether observed differences are statistically significant rather than likely to reflect random variation (Kotronoulas et al., 2023).</w:t>
      </w:r>
    </w:p>
    <w:p w14:paraId="1CBF3201" w14:textId="1B79153E" w:rsidR="00736455" w:rsidRPr="00736455" w:rsidRDefault="00736455" w:rsidP="00B84F76">
      <w:pPr>
        <w:spacing w:before="100" w:beforeAutospacing="1" w:after="100" w:afterAutospacing="1" w:line="360" w:lineRule="auto"/>
        <w:jc w:val="both"/>
        <w:rPr>
          <w:rFonts w:ascii="Times New Roman" w:eastAsia="Times New Roman" w:hAnsi="Times New Roman" w:cs="Times New Roman"/>
          <w:sz w:val="24"/>
          <w:szCs w:val="24"/>
          <w:lang w:eastAsia="sv-SE"/>
        </w:rPr>
      </w:pPr>
      <w:r w:rsidRPr="00736455">
        <w:rPr>
          <w:rFonts w:ascii="Times New Roman" w:eastAsia="Times New Roman" w:hAnsi="Times New Roman" w:cs="Times New Roman"/>
          <w:sz w:val="24"/>
          <w:szCs w:val="24"/>
          <w:lang w:eastAsia="sv-SE"/>
        </w:rPr>
        <w:t>The study tested the following hypotheses:</w:t>
      </w:r>
    </w:p>
    <w:p w14:paraId="6DEE0B08" w14:textId="77777777" w:rsidR="00736455" w:rsidRPr="00736455" w:rsidRDefault="00736455" w:rsidP="00B84F76">
      <w:pPr>
        <w:spacing w:before="100" w:beforeAutospacing="1" w:after="100" w:afterAutospacing="1" w:line="360" w:lineRule="auto"/>
        <w:jc w:val="both"/>
        <w:rPr>
          <w:rFonts w:ascii="Times New Roman" w:eastAsia="Times New Roman" w:hAnsi="Times New Roman" w:cs="Times New Roman"/>
          <w:sz w:val="24"/>
          <w:szCs w:val="24"/>
          <w:lang w:eastAsia="sv-SE"/>
        </w:rPr>
      </w:pPr>
      <w:r w:rsidRPr="00736455">
        <w:rPr>
          <w:rFonts w:ascii="Times New Roman" w:eastAsia="Times New Roman" w:hAnsi="Times New Roman" w:cs="Times New Roman"/>
          <w:b/>
          <w:bCs/>
          <w:sz w:val="24"/>
          <w:szCs w:val="24"/>
          <w:lang w:eastAsia="sv-SE"/>
        </w:rPr>
        <w:t>H1₁:</w:t>
      </w:r>
      <w:r w:rsidRPr="00736455">
        <w:rPr>
          <w:rFonts w:ascii="Times New Roman" w:eastAsia="Times New Roman" w:hAnsi="Times New Roman" w:cs="Times New Roman"/>
          <w:sz w:val="24"/>
          <w:szCs w:val="24"/>
          <w:lang w:eastAsia="sv-SE"/>
        </w:rPr>
        <w:t xml:space="preserve"> Post-secondary education participation differs significantly across the first three years following completion of secondary education.</w:t>
      </w:r>
    </w:p>
    <w:p w14:paraId="602A145C" w14:textId="77777777" w:rsidR="00736455" w:rsidRPr="00736455" w:rsidRDefault="00736455" w:rsidP="00B84F76">
      <w:pPr>
        <w:spacing w:before="100" w:beforeAutospacing="1" w:after="100" w:afterAutospacing="1" w:line="360" w:lineRule="auto"/>
        <w:jc w:val="both"/>
        <w:rPr>
          <w:rFonts w:ascii="Times New Roman" w:eastAsia="Times New Roman" w:hAnsi="Times New Roman" w:cs="Times New Roman"/>
          <w:sz w:val="24"/>
          <w:szCs w:val="24"/>
          <w:lang w:eastAsia="sv-SE"/>
        </w:rPr>
      </w:pPr>
      <w:r w:rsidRPr="00736455">
        <w:rPr>
          <w:rFonts w:ascii="Times New Roman" w:eastAsia="Times New Roman" w:hAnsi="Times New Roman" w:cs="Times New Roman"/>
          <w:b/>
          <w:bCs/>
          <w:sz w:val="24"/>
          <w:szCs w:val="24"/>
          <w:lang w:eastAsia="sv-SE"/>
        </w:rPr>
        <w:t>H0₁:</w:t>
      </w:r>
      <w:r w:rsidRPr="00736455">
        <w:rPr>
          <w:rFonts w:ascii="Times New Roman" w:eastAsia="Times New Roman" w:hAnsi="Times New Roman" w:cs="Times New Roman"/>
          <w:sz w:val="24"/>
          <w:szCs w:val="24"/>
          <w:lang w:eastAsia="sv-SE"/>
        </w:rPr>
        <w:t xml:space="preserve"> There is no statistically significant difference in post-secondary education participation across the first three years following completion of secondary education.</w:t>
      </w:r>
    </w:p>
    <w:p w14:paraId="495C0156" w14:textId="77777777" w:rsidR="00736455" w:rsidRPr="00736455" w:rsidRDefault="00736455" w:rsidP="00B84F76">
      <w:pPr>
        <w:spacing w:before="100" w:beforeAutospacing="1" w:after="100" w:afterAutospacing="1" w:line="360" w:lineRule="auto"/>
        <w:jc w:val="both"/>
        <w:rPr>
          <w:rFonts w:ascii="Times New Roman" w:eastAsia="Times New Roman" w:hAnsi="Times New Roman" w:cs="Times New Roman"/>
          <w:sz w:val="24"/>
          <w:szCs w:val="24"/>
          <w:lang w:eastAsia="sv-SE"/>
        </w:rPr>
      </w:pPr>
      <w:r w:rsidRPr="00736455">
        <w:rPr>
          <w:rFonts w:ascii="Times New Roman" w:eastAsia="Times New Roman" w:hAnsi="Times New Roman" w:cs="Times New Roman"/>
          <w:b/>
          <w:bCs/>
          <w:sz w:val="24"/>
          <w:szCs w:val="24"/>
          <w:lang w:eastAsia="sv-SE"/>
        </w:rPr>
        <w:t>H1₂:</w:t>
      </w:r>
      <w:r w:rsidRPr="00736455">
        <w:rPr>
          <w:rFonts w:ascii="Times New Roman" w:eastAsia="Times New Roman" w:hAnsi="Times New Roman" w:cs="Times New Roman"/>
          <w:sz w:val="24"/>
          <w:szCs w:val="24"/>
          <w:lang w:eastAsia="sv-SE"/>
        </w:rPr>
        <w:t xml:space="preserve"> Post-secondary education participation changes significantly between the first and third years following completion of secondary education.</w:t>
      </w:r>
    </w:p>
    <w:p w14:paraId="69AC1A01" w14:textId="77777777" w:rsidR="00736455" w:rsidRPr="00736455" w:rsidRDefault="00736455" w:rsidP="00B84F76">
      <w:pPr>
        <w:spacing w:before="100" w:beforeAutospacing="1" w:after="100" w:afterAutospacing="1" w:line="360" w:lineRule="auto"/>
        <w:jc w:val="both"/>
        <w:rPr>
          <w:rFonts w:ascii="Times New Roman" w:eastAsia="Times New Roman" w:hAnsi="Times New Roman" w:cs="Times New Roman"/>
          <w:sz w:val="24"/>
          <w:szCs w:val="24"/>
          <w:lang w:eastAsia="sv-SE"/>
        </w:rPr>
      </w:pPr>
      <w:r w:rsidRPr="00736455">
        <w:rPr>
          <w:rFonts w:ascii="Times New Roman" w:eastAsia="Times New Roman" w:hAnsi="Times New Roman" w:cs="Times New Roman"/>
          <w:b/>
          <w:bCs/>
          <w:sz w:val="24"/>
          <w:szCs w:val="24"/>
          <w:lang w:eastAsia="sv-SE"/>
        </w:rPr>
        <w:t>H0₂:</w:t>
      </w:r>
      <w:r w:rsidRPr="00736455">
        <w:rPr>
          <w:rFonts w:ascii="Times New Roman" w:eastAsia="Times New Roman" w:hAnsi="Times New Roman" w:cs="Times New Roman"/>
          <w:sz w:val="24"/>
          <w:szCs w:val="24"/>
          <w:lang w:eastAsia="sv-SE"/>
        </w:rPr>
        <w:t xml:space="preserve"> There is no statistically significant change in post-secondary education participation between the first and third years following completion of secondary education.</w:t>
      </w:r>
    </w:p>
    <w:p w14:paraId="0A6E896F" w14:textId="77777777" w:rsidR="00736455" w:rsidRPr="00736455" w:rsidRDefault="00736455" w:rsidP="00B84F76">
      <w:pPr>
        <w:spacing w:before="100" w:beforeAutospacing="1" w:after="100" w:afterAutospacing="1" w:line="360" w:lineRule="auto"/>
        <w:jc w:val="both"/>
        <w:rPr>
          <w:rFonts w:ascii="Times New Roman" w:eastAsia="Times New Roman" w:hAnsi="Times New Roman" w:cs="Times New Roman"/>
          <w:sz w:val="24"/>
          <w:szCs w:val="24"/>
          <w:lang w:eastAsia="sv-SE"/>
        </w:rPr>
      </w:pPr>
      <w:r w:rsidRPr="00736455">
        <w:rPr>
          <w:rFonts w:ascii="Times New Roman" w:eastAsia="Times New Roman" w:hAnsi="Times New Roman" w:cs="Times New Roman"/>
          <w:b/>
          <w:bCs/>
          <w:sz w:val="24"/>
          <w:szCs w:val="24"/>
          <w:lang w:eastAsia="sv-SE"/>
        </w:rPr>
        <w:lastRenderedPageBreak/>
        <w:t>H2:</w:t>
      </w:r>
      <w:r w:rsidRPr="00736455">
        <w:rPr>
          <w:rFonts w:ascii="Times New Roman" w:eastAsia="Times New Roman" w:hAnsi="Times New Roman" w:cs="Times New Roman"/>
          <w:sz w:val="24"/>
          <w:szCs w:val="24"/>
          <w:lang w:eastAsia="sv-SE"/>
        </w:rPr>
        <w:t xml:space="preserve"> Post-secondary education participation differs significantly across different disability types.</w:t>
      </w:r>
    </w:p>
    <w:p w14:paraId="4D9B1E79" w14:textId="77777777" w:rsidR="00736455" w:rsidRPr="00736455" w:rsidRDefault="00736455" w:rsidP="00B84F76">
      <w:pPr>
        <w:spacing w:before="100" w:beforeAutospacing="1" w:after="100" w:afterAutospacing="1" w:line="360" w:lineRule="auto"/>
        <w:jc w:val="both"/>
        <w:rPr>
          <w:rFonts w:ascii="Times New Roman" w:eastAsia="Times New Roman" w:hAnsi="Times New Roman" w:cs="Times New Roman"/>
          <w:sz w:val="24"/>
          <w:szCs w:val="24"/>
          <w:lang w:eastAsia="sv-SE"/>
        </w:rPr>
      </w:pPr>
      <w:r w:rsidRPr="00736455">
        <w:rPr>
          <w:rFonts w:ascii="Times New Roman" w:eastAsia="Times New Roman" w:hAnsi="Times New Roman" w:cs="Times New Roman"/>
          <w:b/>
          <w:bCs/>
          <w:sz w:val="24"/>
          <w:szCs w:val="24"/>
          <w:lang w:eastAsia="sv-SE"/>
        </w:rPr>
        <w:t>H0₂:</w:t>
      </w:r>
      <w:r w:rsidRPr="00736455">
        <w:rPr>
          <w:rFonts w:ascii="Times New Roman" w:eastAsia="Times New Roman" w:hAnsi="Times New Roman" w:cs="Times New Roman"/>
          <w:sz w:val="24"/>
          <w:szCs w:val="24"/>
          <w:lang w:eastAsia="sv-SE"/>
        </w:rPr>
        <w:t xml:space="preserve"> There is no statistically significant difference in post-secondary education participation across different disability types.</w:t>
      </w:r>
    </w:p>
    <w:p w14:paraId="62D33579" w14:textId="21F1C5A2" w:rsidR="00736455" w:rsidRPr="003A23D5" w:rsidRDefault="00736455" w:rsidP="003A23D5">
      <w:pPr>
        <w:spacing w:before="100" w:beforeAutospacing="1" w:after="100" w:afterAutospacing="1" w:line="360" w:lineRule="auto"/>
        <w:jc w:val="both"/>
        <w:rPr>
          <w:rFonts w:ascii="Times New Roman" w:eastAsia="Times New Roman" w:hAnsi="Times New Roman" w:cs="Times New Roman"/>
          <w:sz w:val="24"/>
          <w:szCs w:val="24"/>
          <w:lang w:eastAsia="sv-SE"/>
        </w:rPr>
      </w:pPr>
      <w:r w:rsidRPr="00736455">
        <w:rPr>
          <w:rFonts w:ascii="Times New Roman" w:eastAsia="Times New Roman" w:hAnsi="Times New Roman" w:cs="Times New Roman"/>
          <w:sz w:val="24"/>
          <w:szCs w:val="24"/>
          <w:lang w:eastAsia="sv-SE"/>
        </w:rPr>
        <w:t>The gender-related research question was examined primarily through descriptive comparisons because the available data and analytical structure did not provide a basis for a separate hypothesis test of gender effects. Gender differences were therefore interpreted as patterns of disparity rather than as evidence of a causal gender effect.</w:t>
      </w:r>
    </w:p>
    <w:p w14:paraId="02E4DC72" w14:textId="31BDEA1F" w:rsidR="003A23D5" w:rsidRPr="003A23D5" w:rsidRDefault="003A23D5" w:rsidP="00736455">
      <w:pPr>
        <w:spacing w:before="100" w:beforeAutospacing="1" w:after="100" w:afterAutospacing="1" w:line="240" w:lineRule="auto"/>
        <w:rPr>
          <w:rFonts w:ascii="Times New Roman" w:eastAsia="Times New Roman" w:hAnsi="Times New Roman" w:cs="Times New Roman"/>
          <w:b/>
          <w:bCs/>
          <w:sz w:val="24"/>
          <w:szCs w:val="24"/>
          <w:lang w:eastAsia="sv-SE"/>
        </w:rPr>
      </w:pPr>
      <w:r w:rsidRPr="003A23D5">
        <w:rPr>
          <w:rFonts w:ascii="Times New Roman" w:eastAsia="Times New Roman" w:hAnsi="Times New Roman" w:cs="Times New Roman"/>
          <w:b/>
          <w:bCs/>
          <w:sz w:val="24"/>
          <w:szCs w:val="24"/>
          <w:lang w:eastAsia="sv-SE"/>
        </w:rPr>
        <w:t>Data Preparation and analysis</w:t>
      </w:r>
    </w:p>
    <w:p w14:paraId="61B6CC36" w14:textId="77777777" w:rsidR="004D0439" w:rsidRPr="000F4ED1" w:rsidRDefault="004D0439" w:rsidP="000F4ED1">
      <w:pPr>
        <w:pStyle w:val="isselectedend"/>
        <w:spacing w:line="360" w:lineRule="auto"/>
        <w:jc w:val="both"/>
        <w:rPr>
          <w:lang w:val="en-GB"/>
        </w:rPr>
      </w:pPr>
      <w:r w:rsidRPr="004D0439">
        <w:rPr>
          <w:lang w:val="en-GB"/>
        </w:rPr>
        <w:t xml:space="preserve">Before analysis, the dataset was screened and prepared to ensure its suitability for the statistical procedures. Missing, non-numerical, and unsuitable entries were identified, and observations that could not be used in a particular analysis were excluded. </w:t>
      </w:r>
      <w:r w:rsidRPr="000F4ED1">
        <w:rPr>
          <w:lang w:val="en-GB"/>
        </w:rPr>
        <w:t>Appropriate statistical procedures are important for producing reliable results and reducing potential bias (Saharan et al., 2024). The data were then organised by disability status, disability type, gender, year, and post-secondary participation. Careful data preparation is particularly important when using existing datasets, as inconsistencies can affect the accuracy and reliability of subsequent analyses (Mweshi &amp; Muhyila, 2024).</w:t>
      </w:r>
    </w:p>
    <w:p w14:paraId="3CC52881" w14:textId="77777777" w:rsidR="004D0439" w:rsidRPr="000F4ED1" w:rsidRDefault="004D0439" w:rsidP="00DE7744">
      <w:pPr>
        <w:pStyle w:val="Normalwebb"/>
        <w:spacing w:line="360" w:lineRule="auto"/>
        <w:jc w:val="both"/>
        <w:rPr>
          <w:lang w:val="en-GB"/>
        </w:rPr>
      </w:pPr>
      <w:r w:rsidRPr="000F4ED1">
        <w:rPr>
          <w:lang w:val="en-GB"/>
        </w:rPr>
        <w:t>The analysis was guided by the research questions, measurement levels, and data structure. Descriptive statistics were first used to examine participation patterns by disability status, type, gender, and year. Percentages, tables, and graphs were used to compare groups and illustrate changes between 2018 and 2020. Descriptive statistics were particularly useful for identifying variations across disability types and gender that may not be evident through significance testing alone (Yusup et al., 2019).</w:t>
      </w:r>
    </w:p>
    <w:p w14:paraId="019DCF5B" w14:textId="77777777" w:rsidR="000B731F" w:rsidRPr="000B731F" w:rsidRDefault="000B731F" w:rsidP="00B1164A">
      <w:pPr>
        <w:pStyle w:val="isselectedend"/>
        <w:spacing w:line="360" w:lineRule="auto"/>
        <w:jc w:val="both"/>
        <w:rPr>
          <w:lang w:val="en-GB"/>
        </w:rPr>
      </w:pPr>
      <w:r w:rsidRPr="000B731F">
        <w:rPr>
          <w:lang w:val="en-GB"/>
        </w:rPr>
        <w:t>Inferential statistics were used to assess whether selected differences in participation were statistically significant. They use sample data to draw conclusions about a population (Yusup et al., 2019). A one-way analysis of variance (ANOVA) examined whether participation differed across the first, second, and third years after secondary education. ANOVA is appropriate for comparing means across more than two groups when its assumptions are reasonably satisfied (Delacre et al., 2019).</w:t>
      </w:r>
    </w:p>
    <w:p w14:paraId="1E287E5F" w14:textId="77777777" w:rsidR="000B731F" w:rsidRPr="000B731F" w:rsidRDefault="000B731F" w:rsidP="00B1164A">
      <w:pPr>
        <w:pStyle w:val="Normalwebb"/>
        <w:spacing w:line="360" w:lineRule="auto"/>
        <w:jc w:val="both"/>
        <w:rPr>
          <w:lang w:val="en-GB"/>
        </w:rPr>
      </w:pPr>
      <w:r w:rsidRPr="000B731F">
        <w:rPr>
          <w:lang w:val="en-GB"/>
        </w:rPr>
        <w:lastRenderedPageBreak/>
        <w:t xml:space="preserve">A paired-samples </w:t>
      </w:r>
      <w:r w:rsidRPr="000B731F">
        <w:rPr>
          <w:rStyle w:val="Betoning"/>
          <w:lang w:val="en-GB"/>
        </w:rPr>
        <w:t>t</w:t>
      </w:r>
      <w:r w:rsidRPr="000B731F">
        <w:rPr>
          <w:lang w:val="en-GB"/>
        </w:rPr>
        <w:t xml:space="preserve">-test examined whether participation changed between the first and third years, complementing the overall comparison provided by the ANOVA. A one-way ANOVA was also used to compare disability types where sufficient numerical data were available. Independent-samples </w:t>
      </w:r>
      <w:r w:rsidRPr="000B731F">
        <w:rPr>
          <w:rStyle w:val="Betoning"/>
          <w:lang w:val="en-GB"/>
        </w:rPr>
        <w:t>t</w:t>
      </w:r>
      <w:r w:rsidRPr="000B731F">
        <w:rPr>
          <w:lang w:val="en-GB"/>
        </w:rPr>
        <w:t>-tests were used for relevant two-group comparisons. Non-numerical or unsuitable observations were excluded from the relevant analyses, reducing the available information and requiring caution when interpreting the findings (Saharan et al., 2024).</w:t>
      </w:r>
    </w:p>
    <w:p w14:paraId="389B7181" w14:textId="74923072" w:rsidR="00972C40" w:rsidRDefault="00884A2C" w:rsidP="00654B47">
      <w:pPr>
        <w:spacing w:before="100" w:beforeAutospacing="1" w:after="100" w:afterAutospacing="1" w:line="360" w:lineRule="auto"/>
        <w:jc w:val="both"/>
        <w:rPr>
          <w:rFonts w:ascii="Times New Roman" w:eastAsia="Times New Roman" w:hAnsi="Times New Roman" w:cs="Times New Roman"/>
          <w:sz w:val="24"/>
          <w:szCs w:val="24"/>
          <w:lang w:eastAsia="sv-SE"/>
        </w:rPr>
      </w:pPr>
      <w:r>
        <w:rPr>
          <w:rFonts w:ascii="Times New Roman" w:eastAsia="Times New Roman" w:hAnsi="Times New Roman" w:cs="Times New Roman"/>
          <w:sz w:val="24"/>
          <w:szCs w:val="24"/>
          <w:lang w:eastAsia="sv-SE"/>
        </w:rPr>
        <w:t xml:space="preserve">Further, </w:t>
      </w:r>
      <w:r w:rsidR="00344A76">
        <w:rPr>
          <w:rFonts w:ascii="Times New Roman" w:eastAsia="Times New Roman" w:hAnsi="Times New Roman" w:cs="Times New Roman"/>
          <w:sz w:val="24"/>
          <w:szCs w:val="24"/>
          <w:lang w:eastAsia="sv-SE"/>
        </w:rPr>
        <w:t>t</w:t>
      </w:r>
      <w:r w:rsidR="00972C40" w:rsidRPr="00972C40">
        <w:rPr>
          <w:rFonts w:ascii="Times New Roman" w:eastAsia="Times New Roman" w:hAnsi="Times New Roman" w:cs="Times New Roman"/>
          <w:sz w:val="24"/>
          <w:szCs w:val="24"/>
          <w:lang w:eastAsia="sv-SE"/>
        </w:rPr>
        <w:t xml:space="preserve">he significance level for inferential analyses was set at α = .05. A </w:t>
      </w:r>
      <w:r w:rsidR="00972C40" w:rsidRPr="00972C40">
        <w:rPr>
          <w:rFonts w:ascii="Times New Roman" w:eastAsia="Times New Roman" w:hAnsi="Times New Roman" w:cs="Times New Roman"/>
          <w:i/>
          <w:iCs/>
          <w:sz w:val="24"/>
          <w:szCs w:val="24"/>
          <w:lang w:eastAsia="sv-SE"/>
        </w:rPr>
        <w:t>p</w:t>
      </w:r>
      <w:r w:rsidR="00972C40" w:rsidRPr="00972C40">
        <w:rPr>
          <w:rFonts w:ascii="Times New Roman" w:eastAsia="Times New Roman" w:hAnsi="Times New Roman" w:cs="Times New Roman"/>
          <w:sz w:val="24"/>
          <w:szCs w:val="24"/>
          <w:lang w:eastAsia="sv-SE"/>
        </w:rPr>
        <w:t xml:space="preserve">-value below .05 was interpreted as evidence against the null hypothesis, whereas a </w:t>
      </w:r>
      <w:r w:rsidR="00972C40" w:rsidRPr="00972C40">
        <w:rPr>
          <w:rFonts w:ascii="Times New Roman" w:eastAsia="Times New Roman" w:hAnsi="Times New Roman" w:cs="Times New Roman"/>
          <w:i/>
          <w:iCs/>
          <w:sz w:val="24"/>
          <w:szCs w:val="24"/>
          <w:lang w:eastAsia="sv-SE"/>
        </w:rPr>
        <w:t>p</w:t>
      </w:r>
      <w:r w:rsidR="00972C40" w:rsidRPr="00972C40">
        <w:rPr>
          <w:rFonts w:ascii="Times New Roman" w:eastAsia="Times New Roman" w:hAnsi="Times New Roman" w:cs="Times New Roman"/>
          <w:sz w:val="24"/>
          <w:szCs w:val="24"/>
          <w:lang w:eastAsia="sv-SE"/>
        </w:rPr>
        <w:t xml:space="preserve">-value equal to or greater than .05 was interpreted as insufficient evidence to reject the null hypothesis. The </w:t>
      </w:r>
      <w:r w:rsidR="00972C40" w:rsidRPr="00972C40">
        <w:rPr>
          <w:rFonts w:ascii="Times New Roman" w:eastAsia="Times New Roman" w:hAnsi="Times New Roman" w:cs="Times New Roman"/>
          <w:i/>
          <w:iCs/>
          <w:sz w:val="24"/>
          <w:szCs w:val="24"/>
          <w:lang w:eastAsia="sv-SE"/>
        </w:rPr>
        <w:t>p</w:t>
      </w:r>
      <w:r w:rsidR="00972C40" w:rsidRPr="00972C40">
        <w:rPr>
          <w:rFonts w:ascii="Times New Roman" w:eastAsia="Times New Roman" w:hAnsi="Times New Roman" w:cs="Times New Roman"/>
          <w:sz w:val="24"/>
          <w:szCs w:val="24"/>
          <w:lang w:eastAsia="sv-SE"/>
        </w:rPr>
        <w:t>-value indicates the probability of observing data at least as extreme as those obtained, assuming the null hypothesis and relevant statistical assumptions are true (McShane et al., 2024). Interpretation therefore follows the conventional distinction between statistical significance and non-significance. Importantly, statistical significance does not by itself establish the magnitude, practical importance, or causality of an observed difference.</w:t>
      </w:r>
    </w:p>
    <w:p w14:paraId="05169B80" w14:textId="7FC7C198" w:rsidR="00A24593" w:rsidRPr="000633B3" w:rsidRDefault="00654B47" w:rsidP="00B23427">
      <w:pPr>
        <w:spacing w:before="100" w:beforeAutospacing="1" w:after="100" w:afterAutospacing="1" w:line="360" w:lineRule="auto"/>
        <w:jc w:val="both"/>
        <w:rPr>
          <w:rFonts w:ascii="Times New Roman" w:eastAsia="Times New Roman" w:hAnsi="Times New Roman" w:cs="Times New Roman"/>
          <w:b/>
          <w:bCs/>
          <w:sz w:val="24"/>
          <w:szCs w:val="24"/>
          <w:lang w:eastAsia="sv-SE"/>
        </w:rPr>
      </w:pPr>
      <w:r w:rsidRPr="000633B3">
        <w:rPr>
          <w:rFonts w:ascii="Times New Roman" w:eastAsia="Times New Roman" w:hAnsi="Times New Roman" w:cs="Times New Roman"/>
          <w:b/>
          <w:bCs/>
          <w:sz w:val="24"/>
          <w:szCs w:val="24"/>
          <w:lang w:eastAsia="sv-SE"/>
        </w:rPr>
        <w:t>Relationship Between Research Questions and Statistical Analysis</w:t>
      </w:r>
    </w:p>
    <w:tbl>
      <w:tblPr>
        <w:tblW w:w="9102" w:type="dxa"/>
        <w:tblCellSpacing w:w="15" w:type="dxa"/>
        <w:tblCellMar>
          <w:top w:w="15" w:type="dxa"/>
          <w:left w:w="15" w:type="dxa"/>
          <w:bottom w:w="15" w:type="dxa"/>
          <w:right w:w="15" w:type="dxa"/>
        </w:tblCellMar>
        <w:tblLook w:val="04A0" w:firstRow="1" w:lastRow="0" w:firstColumn="1" w:lastColumn="0" w:noHBand="0" w:noVBand="1"/>
      </w:tblPr>
      <w:tblGrid>
        <w:gridCol w:w="5954"/>
        <w:gridCol w:w="3148"/>
      </w:tblGrid>
      <w:tr w:rsidR="00736455" w:rsidRPr="00736455" w14:paraId="7B3AFCD7" w14:textId="77777777" w:rsidTr="00B95391">
        <w:trPr>
          <w:tblCellSpacing w:w="15" w:type="dxa"/>
        </w:trPr>
        <w:tc>
          <w:tcPr>
            <w:tcW w:w="5909" w:type="dxa"/>
            <w:vAlign w:val="center"/>
            <w:hideMark/>
          </w:tcPr>
          <w:p w14:paraId="1F28EAAE" w14:textId="4F6B4D12" w:rsidR="00736455" w:rsidRPr="00736455" w:rsidRDefault="00736455" w:rsidP="00B23427">
            <w:pPr>
              <w:spacing w:after="0" w:line="360" w:lineRule="auto"/>
              <w:jc w:val="both"/>
              <w:rPr>
                <w:rFonts w:ascii="Times New Roman" w:eastAsia="Times New Roman" w:hAnsi="Times New Roman" w:cs="Times New Roman"/>
                <w:b/>
                <w:bCs/>
                <w:sz w:val="24"/>
                <w:szCs w:val="24"/>
                <w:lang w:val="sv-SE" w:eastAsia="sv-SE"/>
              </w:rPr>
            </w:pPr>
            <w:r w:rsidRPr="00736455">
              <w:rPr>
                <w:rFonts w:ascii="Times New Roman" w:eastAsia="Times New Roman" w:hAnsi="Times New Roman" w:cs="Times New Roman"/>
                <w:b/>
                <w:bCs/>
                <w:sz w:val="24"/>
                <w:szCs w:val="24"/>
                <w:lang w:val="sv-SE" w:eastAsia="sv-SE"/>
              </w:rPr>
              <w:t>Research question</w:t>
            </w:r>
            <w:r w:rsidR="00F84F02">
              <w:rPr>
                <w:rFonts w:ascii="Times New Roman" w:eastAsia="Times New Roman" w:hAnsi="Times New Roman" w:cs="Times New Roman"/>
                <w:b/>
                <w:bCs/>
                <w:sz w:val="24"/>
                <w:szCs w:val="24"/>
                <w:lang w:val="sv-SE" w:eastAsia="sv-SE"/>
              </w:rPr>
              <w:t>/s</w:t>
            </w:r>
          </w:p>
        </w:tc>
        <w:tc>
          <w:tcPr>
            <w:tcW w:w="3103" w:type="dxa"/>
            <w:vAlign w:val="center"/>
            <w:hideMark/>
          </w:tcPr>
          <w:p w14:paraId="7FBFC6CF" w14:textId="1EAD3837" w:rsidR="00736455" w:rsidRPr="00736455" w:rsidRDefault="00E80955" w:rsidP="00B23427">
            <w:pPr>
              <w:spacing w:after="0" w:line="360" w:lineRule="auto"/>
              <w:jc w:val="both"/>
              <w:rPr>
                <w:rFonts w:ascii="Times New Roman" w:eastAsia="Times New Roman" w:hAnsi="Times New Roman" w:cs="Times New Roman"/>
                <w:b/>
                <w:bCs/>
                <w:sz w:val="24"/>
                <w:szCs w:val="24"/>
                <w:lang w:val="sv-SE" w:eastAsia="sv-SE"/>
              </w:rPr>
            </w:pPr>
            <w:r>
              <w:rPr>
                <w:rFonts w:ascii="Times New Roman" w:eastAsia="Times New Roman" w:hAnsi="Times New Roman" w:cs="Times New Roman"/>
                <w:b/>
                <w:bCs/>
                <w:sz w:val="24"/>
                <w:szCs w:val="24"/>
                <w:lang w:val="sv-SE" w:eastAsia="sv-SE"/>
              </w:rPr>
              <w:t xml:space="preserve"> </w:t>
            </w:r>
            <w:r w:rsidR="00F84F02">
              <w:rPr>
                <w:rFonts w:ascii="Times New Roman" w:eastAsia="Times New Roman" w:hAnsi="Times New Roman" w:cs="Times New Roman"/>
                <w:b/>
                <w:bCs/>
                <w:sz w:val="24"/>
                <w:szCs w:val="24"/>
                <w:lang w:val="sv-SE" w:eastAsia="sv-SE"/>
              </w:rPr>
              <w:t xml:space="preserve">             </w:t>
            </w:r>
            <w:r w:rsidR="00736455" w:rsidRPr="00736455">
              <w:rPr>
                <w:rFonts w:ascii="Times New Roman" w:eastAsia="Times New Roman" w:hAnsi="Times New Roman" w:cs="Times New Roman"/>
                <w:b/>
                <w:bCs/>
                <w:sz w:val="24"/>
                <w:szCs w:val="24"/>
                <w:lang w:val="sv-SE" w:eastAsia="sv-SE"/>
              </w:rPr>
              <w:t>Main analysis</w:t>
            </w:r>
          </w:p>
        </w:tc>
      </w:tr>
      <w:tr w:rsidR="00736455" w:rsidRPr="00736455" w14:paraId="4C3A37EC" w14:textId="77777777" w:rsidTr="00B95391">
        <w:trPr>
          <w:tblCellSpacing w:w="15" w:type="dxa"/>
        </w:trPr>
        <w:tc>
          <w:tcPr>
            <w:tcW w:w="5909" w:type="dxa"/>
            <w:vAlign w:val="center"/>
            <w:hideMark/>
          </w:tcPr>
          <w:p w14:paraId="2102B7DF" w14:textId="483384B2" w:rsidR="00736455" w:rsidRPr="00736455" w:rsidRDefault="00D26D31" w:rsidP="00B23427">
            <w:pPr>
              <w:spacing w:after="0" w:line="360" w:lineRule="auto"/>
              <w:jc w:val="both"/>
              <w:rPr>
                <w:rFonts w:ascii="Times New Roman" w:eastAsia="Times New Roman" w:hAnsi="Times New Roman" w:cs="Times New Roman"/>
                <w:sz w:val="24"/>
                <w:szCs w:val="24"/>
                <w:lang w:eastAsia="sv-SE"/>
              </w:rPr>
            </w:pPr>
            <w:r w:rsidRPr="00F92A7D">
              <w:rPr>
                <w:rFonts w:ascii="Times New Roman" w:eastAsia="Times New Roman" w:hAnsi="Times New Roman" w:cs="Times New Roman"/>
                <w:b/>
                <w:bCs/>
                <w:sz w:val="24"/>
                <w:szCs w:val="24"/>
                <w:lang w:eastAsia="sv-SE"/>
              </w:rPr>
              <w:t>Main research question</w:t>
            </w:r>
            <w:r w:rsidRPr="004B5CEF">
              <w:rPr>
                <w:rFonts w:ascii="Times New Roman" w:eastAsia="Times New Roman" w:hAnsi="Times New Roman" w:cs="Times New Roman"/>
                <w:b/>
                <w:bCs/>
                <w:sz w:val="24"/>
                <w:szCs w:val="24"/>
                <w:lang w:eastAsia="sv-SE"/>
              </w:rPr>
              <w:t>:</w:t>
            </w:r>
            <w:r>
              <w:rPr>
                <w:rFonts w:ascii="Times New Roman" w:eastAsia="Times New Roman" w:hAnsi="Times New Roman" w:cs="Times New Roman"/>
                <w:sz w:val="24"/>
                <w:szCs w:val="24"/>
                <w:lang w:eastAsia="sv-SE"/>
              </w:rPr>
              <w:t xml:space="preserve"> </w:t>
            </w:r>
            <w:r w:rsidR="00736455" w:rsidRPr="00736455">
              <w:rPr>
                <w:rFonts w:ascii="Times New Roman" w:eastAsia="Times New Roman" w:hAnsi="Times New Roman" w:cs="Times New Roman"/>
                <w:sz w:val="24"/>
                <w:szCs w:val="24"/>
                <w:lang w:eastAsia="sv-SE"/>
              </w:rPr>
              <w:t>How did post-secondary education participation vary by disability status</w:t>
            </w:r>
            <w:r w:rsidR="00D11C8C">
              <w:rPr>
                <w:rFonts w:ascii="Times New Roman" w:eastAsia="Times New Roman" w:hAnsi="Times New Roman" w:cs="Times New Roman"/>
                <w:sz w:val="24"/>
                <w:szCs w:val="24"/>
                <w:lang w:eastAsia="sv-SE"/>
              </w:rPr>
              <w:t xml:space="preserve"> or</w:t>
            </w:r>
            <w:r w:rsidR="00736455" w:rsidRPr="00736455">
              <w:rPr>
                <w:rFonts w:ascii="Times New Roman" w:eastAsia="Times New Roman" w:hAnsi="Times New Roman" w:cs="Times New Roman"/>
                <w:sz w:val="24"/>
                <w:szCs w:val="24"/>
                <w:lang w:eastAsia="sv-SE"/>
              </w:rPr>
              <w:t xml:space="preserve"> type, and gender between 2018 and 2020?</w:t>
            </w:r>
          </w:p>
        </w:tc>
        <w:tc>
          <w:tcPr>
            <w:tcW w:w="3103" w:type="dxa"/>
            <w:vAlign w:val="center"/>
            <w:hideMark/>
          </w:tcPr>
          <w:p w14:paraId="0054B1EB" w14:textId="52603E54" w:rsidR="00736455" w:rsidRPr="00B95391" w:rsidRDefault="00D26D31" w:rsidP="00B95391">
            <w:pPr>
              <w:pStyle w:val="Liststycke"/>
              <w:numPr>
                <w:ilvl w:val="0"/>
                <w:numId w:val="7"/>
              </w:numPr>
              <w:spacing w:after="0" w:line="360" w:lineRule="auto"/>
              <w:rPr>
                <w:rFonts w:ascii="Times New Roman" w:eastAsia="Times New Roman" w:hAnsi="Times New Roman" w:cs="Times New Roman"/>
                <w:sz w:val="24"/>
                <w:szCs w:val="24"/>
                <w:lang w:eastAsia="sv-SE"/>
              </w:rPr>
            </w:pPr>
            <w:r w:rsidRPr="00B95391">
              <w:rPr>
                <w:rFonts w:ascii="Times New Roman" w:eastAsia="Times New Roman" w:hAnsi="Times New Roman" w:cs="Times New Roman"/>
                <w:sz w:val="24"/>
                <w:szCs w:val="24"/>
                <w:lang w:eastAsia="sv-SE"/>
              </w:rPr>
              <w:t>Descriptive statistics</w:t>
            </w:r>
            <w:r w:rsidR="00736455" w:rsidRPr="00B95391">
              <w:rPr>
                <w:rFonts w:ascii="Times New Roman" w:eastAsia="Times New Roman" w:hAnsi="Times New Roman" w:cs="Times New Roman"/>
                <w:sz w:val="24"/>
                <w:szCs w:val="24"/>
                <w:lang w:eastAsia="sv-SE"/>
              </w:rPr>
              <w:t>, percentages, tables and graphs</w:t>
            </w:r>
          </w:p>
        </w:tc>
      </w:tr>
      <w:tr w:rsidR="00736455" w:rsidRPr="00736455" w14:paraId="0841125D" w14:textId="77777777" w:rsidTr="00B95391">
        <w:trPr>
          <w:tblCellSpacing w:w="15" w:type="dxa"/>
        </w:trPr>
        <w:tc>
          <w:tcPr>
            <w:tcW w:w="5909" w:type="dxa"/>
            <w:vAlign w:val="center"/>
            <w:hideMark/>
          </w:tcPr>
          <w:p w14:paraId="70803160" w14:textId="55A1B381" w:rsidR="00736455" w:rsidRPr="00736455" w:rsidRDefault="00E80955" w:rsidP="00B23427">
            <w:pPr>
              <w:spacing w:after="0" w:line="360" w:lineRule="auto"/>
              <w:jc w:val="both"/>
              <w:rPr>
                <w:rFonts w:ascii="Times New Roman" w:eastAsia="Times New Roman" w:hAnsi="Times New Roman" w:cs="Times New Roman"/>
                <w:sz w:val="24"/>
                <w:szCs w:val="24"/>
                <w:lang w:eastAsia="sv-SE"/>
              </w:rPr>
            </w:pPr>
            <w:r>
              <w:rPr>
                <w:rFonts w:ascii="Times New Roman" w:eastAsia="Times New Roman" w:hAnsi="Times New Roman" w:cs="Times New Roman"/>
                <w:sz w:val="24"/>
                <w:szCs w:val="24"/>
                <w:lang w:eastAsia="sv-SE"/>
              </w:rPr>
              <w:t>1</w:t>
            </w:r>
            <w:r w:rsidR="00736455" w:rsidRPr="00736455">
              <w:rPr>
                <w:rFonts w:ascii="Times New Roman" w:eastAsia="Times New Roman" w:hAnsi="Times New Roman" w:cs="Times New Roman"/>
                <w:sz w:val="24"/>
                <w:szCs w:val="24"/>
                <w:lang w:eastAsia="sv-SE"/>
              </w:rPr>
              <w:t>. Did participation differ significantly across the first three years following completion of secondary education?</w:t>
            </w:r>
          </w:p>
        </w:tc>
        <w:tc>
          <w:tcPr>
            <w:tcW w:w="3103" w:type="dxa"/>
            <w:vAlign w:val="center"/>
            <w:hideMark/>
          </w:tcPr>
          <w:p w14:paraId="00F31389" w14:textId="5B288238" w:rsidR="00736455" w:rsidRPr="00B95391" w:rsidRDefault="00736455" w:rsidP="00B95391">
            <w:pPr>
              <w:pStyle w:val="Liststycke"/>
              <w:numPr>
                <w:ilvl w:val="0"/>
                <w:numId w:val="7"/>
              </w:numPr>
              <w:spacing w:after="0" w:line="360" w:lineRule="auto"/>
              <w:rPr>
                <w:rFonts w:ascii="Times New Roman" w:eastAsia="Times New Roman" w:hAnsi="Times New Roman" w:cs="Times New Roman"/>
                <w:sz w:val="24"/>
                <w:szCs w:val="24"/>
                <w:lang w:val="sv-SE" w:eastAsia="sv-SE"/>
              </w:rPr>
            </w:pPr>
            <w:r w:rsidRPr="00B95391">
              <w:rPr>
                <w:rFonts w:ascii="Times New Roman" w:eastAsia="Times New Roman" w:hAnsi="Times New Roman" w:cs="Times New Roman"/>
                <w:sz w:val="24"/>
                <w:szCs w:val="24"/>
                <w:lang w:val="sv-SE" w:eastAsia="sv-SE"/>
              </w:rPr>
              <w:t>One-way ANOVA</w:t>
            </w:r>
          </w:p>
        </w:tc>
      </w:tr>
      <w:tr w:rsidR="00736455" w:rsidRPr="00736455" w14:paraId="56A7F007" w14:textId="77777777" w:rsidTr="00B95391">
        <w:trPr>
          <w:tblCellSpacing w:w="15" w:type="dxa"/>
        </w:trPr>
        <w:tc>
          <w:tcPr>
            <w:tcW w:w="5909" w:type="dxa"/>
            <w:vAlign w:val="center"/>
            <w:hideMark/>
          </w:tcPr>
          <w:p w14:paraId="436A37FA" w14:textId="68641991" w:rsidR="00736455" w:rsidRPr="00736455" w:rsidRDefault="00E80955" w:rsidP="00B23427">
            <w:pPr>
              <w:spacing w:after="0" w:line="360" w:lineRule="auto"/>
              <w:jc w:val="both"/>
              <w:rPr>
                <w:rFonts w:ascii="Times New Roman" w:eastAsia="Times New Roman" w:hAnsi="Times New Roman" w:cs="Times New Roman"/>
                <w:sz w:val="24"/>
                <w:szCs w:val="24"/>
                <w:lang w:eastAsia="sv-SE"/>
              </w:rPr>
            </w:pPr>
            <w:r>
              <w:rPr>
                <w:rFonts w:ascii="Times New Roman" w:eastAsia="Times New Roman" w:hAnsi="Times New Roman" w:cs="Times New Roman"/>
                <w:sz w:val="24"/>
                <w:szCs w:val="24"/>
                <w:lang w:eastAsia="sv-SE"/>
              </w:rPr>
              <w:t>2</w:t>
            </w:r>
            <w:r w:rsidR="00736455" w:rsidRPr="00736455">
              <w:rPr>
                <w:rFonts w:ascii="Times New Roman" w:eastAsia="Times New Roman" w:hAnsi="Times New Roman" w:cs="Times New Roman"/>
                <w:sz w:val="24"/>
                <w:szCs w:val="24"/>
                <w:lang w:eastAsia="sv-SE"/>
              </w:rPr>
              <w:t>. Did participation change significantly between the first and third years following completion of secondary education?</w:t>
            </w:r>
          </w:p>
        </w:tc>
        <w:tc>
          <w:tcPr>
            <w:tcW w:w="3103" w:type="dxa"/>
            <w:vAlign w:val="center"/>
            <w:hideMark/>
          </w:tcPr>
          <w:p w14:paraId="5CF24E05" w14:textId="087ADDC5" w:rsidR="00736455" w:rsidRPr="00B95391" w:rsidRDefault="00736455" w:rsidP="00B95391">
            <w:pPr>
              <w:pStyle w:val="Liststycke"/>
              <w:numPr>
                <w:ilvl w:val="0"/>
                <w:numId w:val="7"/>
              </w:numPr>
              <w:spacing w:after="0" w:line="360" w:lineRule="auto"/>
              <w:rPr>
                <w:rFonts w:ascii="Times New Roman" w:eastAsia="Times New Roman" w:hAnsi="Times New Roman" w:cs="Times New Roman"/>
                <w:sz w:val="24"/>
                <w:szCs w:val="24"/>
                <w:lang w:val="sv-SE" w:eastAsia="sv-SE"/>
              </w:rPr>
            </w:pPr>
            <w:r w:rsidRPr="00B95391">
              <w:rPr>
                <w:rFonts w:ascii="Times New Roman" w:eastAsia="Times New Roman" w:hAnsi="Times New Roman" w:cs="Times New Roman"/>
                <w:sz w:val="24"/>
                <w:szCs w:val="24"/>
                <w:lang w:val="sv-SE" w:eastAsia="sv-SE"/>
              </w:rPr>
              <w:t xml:space="preserve">Paired-samples </w:t>
            </w:r>
            <w:r w:rsidRPr="00B95391">
              <w:rPr>
                <w:rFonts w:ascii="Times New Roman" w:eastAsia="Times New Roman" w:hAnsi="Times New Roman" w:cs="Times New Roman"/>
                <w:i/>
                <w:iCs/>
                <w:sz w:val="24"/>
                <w:szCs w:val="24"/>
                <w:lang w:val="sv-SE" w:eastAsia="sv-SE"/>
              </w:rPr>
              <w:t>t</w:t>
            </w:r>
            <w:r w:rsidRPr="00B95391">
              <w:rPr>
                <w:rFonts w:ascii="Times New Roman" w:eastAsia="Times New Roman" w:hAnsi="Times New Roman" w:cs="Times New Roman"/>
                <w:sz w:val="24"/>
                <w:szCs w:val="24"/>
                <w:lang w:val="sv-SE" w:eastAsia="sv-SE"/>
              </w:rPr>
              <w:t>-test</w:t>
            </w:r>
          </w:p>
        </w:tc>
      </w:tr>
      <w:tr w:rsidR="00736455" w:rsidRPr="00736455" w14:paraId="32A5BAE5" w14:textId="77777777" w:rsidTr="00B95391">
        <w:trPr>
          <w:tblCellSpacing w:w="15" w:type="dxa"/>
        </w:trPr>
        <w:tc>
          <w:tcPr>
            <w:tcW w:w="5909" w:type="dxa"/>
            <w:vAlign w:val="center"/>
            <w:hideMark/>
          </w:tcPr>
          <w:p w14:paraId="03B0310F" w14:textId="204FB51D" w:rsidR="00736455" w:rsidRPr="00736455" w:rsidRDefault="00E80955" w:rsidP="00B23427">
            <w:pPr>
              <w:spacing w:after="0" w:line="360" w:lineRule="auto"/>
              <w:jc w:val="both"/>
              <w:rPr>
                <w:rFonts w:ascii="Times New Roman" w:eastAsia="Times New Roman" w:hAnsi="Times New Roman" w:cs="Times New Roman"/>
                <w:sz w:val="24"/>
                <w:szCs w:val="24"/>
                <w:lang w:eastAsia="sv-SE"/>
              </w:rPr>
            </w:pPr>
            <w:r>
              <w:rPr>
                <w:rFonts w:ascii="Times New Roman" w:eastAsia="Times New Roman" w:hAnsi="Times New Roman" w:cs="Times New Roman"/>
                <w:sz w:val="24"/>
                <w:szCs w:val="24"/>
                <w:lang w:eastAsia="sv-SE"/>
              </w:rPr>
              <w:t>3</w:t>
            </w:r>
            <w:r w:rsidR="00736455" w:rsidRPr="00736455">
              <w:rPr>
                <w:rFonts w:ascii="Times New Roman" w:eastAsia="Times New Roman" w:hAnsi="Times New Roman" w:cs="Times New Roman"/>
                <w:sz w:val="24"/>
                <w:szCs w:val="24"/>
                <w:lang w:eastAsia="sv-SE"/>
              </w:rPr>
              <w:t>. How did post-secondary education participation vary across different disability types?</w:t>
            </w:r>
          </w:p>
        </w:tc>
        <w:tc>
          <w:tcPr>
            <w:tcW w:w="3103" w:type="dxa"/>
            <w:vAlign w:val="center"/>
            <w:hideMark/>
          </w:tcPr>
          <w:p w14:paraId="1956D13C" w14:textId="271D7680" w:rsidR="00736455" w:rsidRPr="00B95391" w:rsidRDefault="00736455" w:rsidP="00B95391">
            <w:pPr>
              <w:pStyle w:val="Liststycke"/>
              <w:numPr>
                <w:ilvl w:val="0"/>
                <w:numId w:val="7"/>
              </w:numPr>
              <w:spacing w:after="0" w:line="360" w:lineRule="auto"/>
              <w:rPr>
                <w:rFonts w:ascii="Times New Roman" w:eastAsia="Times New Roman" w:hAnsi="Times New Roman" w:cs="Times New Roman"/>
                <w:sz w:val="24"/>
                <w:szCs w:val="24"/>
                <w:lang w:eastAsia="sv-SE"/>
              </w:rPr>
            </w:pPr>
            <w:r w:rsidRPr="00B95391">
              <w:rPr>
                <w:rFonts w:ascii="Times New Roman" w:eastAsia="Times New Roman" w:hAnsi="Times New Roman" w:cs="Times New Roman"/>
                <w:sz w:val="24"/>
                <w:szCs w:val="24"/>
                <w:lang w:eastAsia="sv-SE"/>
              </w:rPr>
              <w:t>Descriptive statistics and one-</w:t>
            </w:r>
            <w:r w:rsidR="00B95391" w:rsidRPr="00B95391">
              <w:rPr>
                <w:rFonts w:ascii="Times New Roman" w:eastAsia="Times New Roman" w:hAnsi="Times New Roman" w:cs="Times New Roman"/>
                <w:sz w:val="24"/>
                <w:szCs w:val="24"/>
                <w:lang w:eastAsia="sv-SE"/>
              </w:rPr>
              <w:t xml:space="preserve"> </w:t>
            </w:r>
            <w:r w:rsidRPr="00B95391">
              <w:rPr>
                <w:rFonts w:ascii="Times New Roman" w:eastAsia="Times New Roman" w:hAnsi="Times New Roman" w:cs="Times New Roman"/>
                <w:sz w:val="24"/>
                <w:szCs w:val="24"/>
                <w:lang w:eastAsia="sv-SE"/>
              </w:rPr>
              <w:t xml:space="preserve">way ANOVA </w:t>
            </w:r>
            <w:r w:rsidR="005A34EA" w:rsidRPr="00B95391">
              <w:rPr>
                <w:rFonts w:ascii="Times New Roman" w:eastAsia="Times New Roman" w:hAnsi="Times New Roman" w:cs="Times New Roman"/>
                <w:sz w:val="24"/>
                <w:szCs w:val="24"/>
                <w:lang w:eastAsia="sv-SE"/>
              </w:rPr>
              <w:t>plus</w:t>
            </w:r>
          </w:p>
        </w:tc>
      </w:tr>
      <w:tr w:rsidR="00736455" w:rsidRPr="00736455" w14:paraId="5EA1B06C" w14:textId="77777777" w:rsidTr="00B95391">
        <w:trPr>
          <w:tblCellSpacing w:w="15" w:type="dxa"/>
        </w:trPr>
        <w:tc>
          <w:tcPr>
            <w:tcW w:w="5909" w:type="dxa"/>
            <w:vAlign w:val="center"/>
            <w:hideMark/>
          </w:tcPr>
          <w:p w14:paraId="1AFFC3B4" w14:textId="3D253C44" w:rsidR="00736455" w:rsidRPr="00736455" w:rsidRDefault="00E80955" w:rsidP="00B23427">
            <w:pPr>
              <w:spacing w:after="0" w:line="360" w:lineRule="auto"/>
              <w:jc w:val="both"/>
              <w:rPr>
                <w:rFonts w:ascii="Times New Roman" w:eastAsia="Times New Roman" w:hAnsi="Times New Roman" w:cs="Times New Roman"/>
                <w:sz w:val="24"/>
                <w:szCs w:val="24"/>
                <w:lang w:eastAsia="sv-SE"/>
              </w:rPr>
            </w:pPr>
            <w:r>
              <w:rPr>
                <w:rFonts w:ascii="Times New Roman" w:eastAsia="Times New Roman" w:hAnsi="Times New Roman" w:cs="Times New Roman"/>
                <w:sz w:val="24"/>
                <w:szCs w:val="24"/>
                <w:lang w:eastAsia="sv-SE"/>
              </w:rPr>
              <w:t>4</w:t>
            </w:r>
            <w:r w:rsidR="00736455" w:rsidRPr="00736455">
              <w:rPr>
                <w:rFonts w:ascii="Times New Roman" w:eastAsia="Times New Roman" w:hAnsi="Times New Roman" w:cs="Times New Roman"/>
                <w:sz w:val="24"/>
                <w:szCs w:val="24"/>
                <w:lang w:eastAsia="sv-SE"/>
              </w:rPr>
              <w:t>. What patterns of disparity in participation can be identified across disability types and gender</w:t>
            </w:r>
          </w:p>
        </w:tc>
        <w:tc>
          <w:tcPr>
            <w:tcW w:w="3103" w:type="dxa"/>
            <w:vAlign w:val="center"/>
            <w:hideMark/>
          </w:tcPr>
          <w:p w14:paraId="61038211" w14:textId="79C4120C" w:rsidR="00736455" w:rsidRPr="00B95391" w:rsidRDefault="00736455" w:rsidP="00B95391">
            <w:pPr>
              <w:pStyle w:val="Liststycke"/>
              <w:numPr>
                <w:ilvl w:val="0"/>
                <w:numId w:val="7"/>
              </w:numPr>
              <w:spacing w:after="0" w:line="360" w:lineRule="auto"/>
              <w:rPr>
                <w:rFonts w:ascii="Times New Roman" w:eastAsia="Times New Roman" w:hAnsi="Times New Roman" w:cs="Times New Roman"/>
                <w:sz w:val="24"/>
                <w:szCs w:val="24"/>
                <w:lang w:eastAsia="sv-SE"/>
              </w:rPr>
            </w:pPr>
            <w:r w:rsidRPr="00B95391">
              <w:rPr>
                <w:rFonts w:ascii="Times New Roman" w:eastAsia="Times New Roman" w:hAnsi="Times New Roman" w:cs="Times New Roman"/>
                <w:sz w:val="24"/>
                <w:szCs w:val="24"/>
                <w:lang w:eastAsia="sv-SE"/>
              </w:rPr>
              <w:t xml:space="preserve">Descriptive statistics </w:t>
            </w:r>
            <w:r w:rsidR="00B23427" w:rsidRPr="00B95391">
              <w:rPr>
                <w:rFonts w:ascii="Times New Roman" w:eastAsia="Times New Roman" w:hAnsi="Times New Roman" w:cs="Times New Roman"/>
                <w:sz w:val="24"/>
                <w:szCs w:val="24"/>
                <w:lang w:eastAsia="sv-SE"/>
              </w:rPr>
              <w:t>and graphical</w:t>
            </w:r>
            <w:r w:rsidRPr="00B95391">
              <w:rPr>
                <w:rFonts w:ascii="Times New Roman" w:eastAsia="Times New Roman" w:hAnsi="Times New Roman" w:cs="Times New Roman"/>
                <w:sz w:val="24"/>
                <w:szCs w:val="24"/>
                <w:lang w:eastAsia="sv-SE"/>
              </w:rPr>
              <w:t xml:space="preserve"> analysis</w:t>
            </w:r>
          </w:p>
        </w:tc>
      </w:tr>
    </w:tbl>
    <w:p w14:paraId="36B32161" w14:textId="13D7F337" w:rsidR="00006D24" w:rsidRPr="00006D24" w:rsidRDefault="00006D24" w:rsidP="00C06B35">
      <w:pPr>
        <w:spacing w:before="100" w:beforeAutospacing="1" w:after="100" w:afterAutospacing="1" w:line="360" w:lineRule="auto"/>
        <w:jc w:val="both"/>
        <w:rPr>
          <w:rFonts w:ascii="Times New Roman" w:eastAsia="Times New Roman" w:hAnsi="Times New Roman" w:cs="Times New Roman"/>
          <w:sz w:val="24"/>
          <w:szCs w:val="24"/>
          <w:lang w:eastAsia="sv-SE"/>
        </w:rPr>
      </w:pPr>
      <w:r w:rsidRPr="00006D24">
        <w:rPr>
          <w:rFonts w:ascii="Times New Roman" w:eastAsia="Times New Roman" w:hAnsi="Times New Roman" w:cs="Times New Roman"/>
          <w:sz w:val="24"/>
          <w:szCs w:val="24"/>
          <w:lang w:eastAsia="sv-SE"/>
        </w:rPr>
        <w:t xml:space="preserve">Overall, the methodological approach combines descriptive and inferential analyses to identify participation patterns and assess differences across disability status, type, gender, and time. The </w:t>
      </w:r>
      <w:r w:rsidRPr="00006D24">
        <w:rPr>
          <w:rFonts w:ascii="Times New Roman" w:eastAsia="Times New Roman" w:hAnsi="Times New Roman" w:cs="Times New Roman"/>
          <w:sz w:val="24"/>
          <w:szCs w:val="24"/>
          <w:lang w:eastAsia="sv-SE"/>
        </w:rPr>
        <w:lastRenderedPageBreak/>
        <w:t xml:space="preserve">quantitative findings provide empirical evidence of participation patterns, while the </w:t>
      </w:r>
      <w:r w:rsidR="00783AC1">
        <w:rPr>
          <w:rFonts w:ascii="Times New Roman" w:eastAsia="Times New Roman" w:hAnsi="Times New Roman" w:cs="Times New Roman"/>
          <w:sz w:val="24"/>
          <w:szCs w:val="24"/>
          <w:lang w:eastAsia="sv-SE"/>
        </w:rPr>
        <w:t>c</w:t>
      </w:r>
      <w:r w:rsidRPr="00006D24">
        <w:rPr>
          <w:rFonts w:ascii="Times New Roman" w:eastAsia="Times New Roman" w:hAnsi="Times New Roman" w:cs="Times New Roman"/>
          <w:sz w:val="24"/>
          <w:szCs w:val="24"/>
          <w:lang w:eastAsia="sv-SE"/>
        </w:rPr>
        <w:t xml:space="preserve">apability </w:t>
      </w:r>
      <w:r w:rsidR="00783AC1">
        <w:rPr>
          <w:rFonts w:ascii="Times New Roman" w:eastAsia="Times New Roman" w:hAnsi="Times New Roman" w:cs="Times New Roman"/>
          <w:sz w:val="24"/>
          <w:szCs w:val="24"/>
          <w:lang w:eastAsia="sv-SE"/>
        </w:rPr>
        <w:t>a</w:t>
      </w:r>
      <w:r w:rsidRPr="00006D24">
        <w:rPr>
          <w:rFonts w:ascii="Times New Roman" w:eastAsia="Times New Roman" w:hAnsi="Times New Roman" w:cs="Times New Roman"/>
          <w:sz w:val="24"/>
          <w:szCs w:val="24"/>
          <w:lang w:eastAsia="sv-SE"/>
        </w:rPr>
        <w:t>pproach frames their interpretation in relation to students’ educational opportunities. Participation may indicate opportunities to pursue valued educational pathways and convert educational resources into further opportunities (Biagiotti et al., 2026). However, it is not a direct measure of capability, as participation rates cannot capture the broader social, economic, institutional, and individual conditions shaping educational opportunities.</w:t>
      </w:r>
    </w:p>
    <w:p w14:paraId="7AEADD63" w14:textId="604917E1" w:rsidR="00EE4E16" w:rsidRPr="001C37EA" w:rsidRDefault="00F97C09" w:rsidP="00A536AC">
      <w:pPr>
        <w:spacing w:line="360" w:lineRule="auto"/>
        <w:jc w:val="both"/>
        <w:rPr>
          <w:rFonts w:ascii="Times New Roman" w:eastAsia="Times New Roman" w:hAnsi="Times New Roman" w:cs="Times New Roman"/>
          <w:b/>
          <w:bCs/>
          <w:sz w:val="24"/>
          <w:szCs w:val="24"/>
          <w:lang w:eastAsia="sv-SE"/>
        </w:rPr>
      </w:pPr>
      <w:r w:rsidRPr="001C37EA">
        <w:rPr>
          <w:rFonts w:ascii="Times New Roman" w:eastAsia="Times New Roman" w:hAnsi="Times New Roman" w:cs="Times New Roman"/>
          <w:b/>
          <w:bCs/>
          <w:sz w:val="24"/>
          <w:szCs w:val="24"/>
          <w:lang w:eastAsia="sv-SE"/>
        </w:rPr>
        <w:t>Results</w:t>
      </w:r>
    </w:p>
    <w:p w14:paraId="67B299C2" w14:textId="77777777" w:rsidR="002504CE" w:rsidRPr="001C37EA" w:rsidRDefault="002504CE" w:rsidP="00A536AC">
      <w:pPr>
        <w:spacing w:line="360" w:lineRule="auto"/>
        <w:jc w:val="both"/>
        <w:rPr>
          <w:rFonts w:ascii="Times New Roman" w:eastAsia="Times New Roman" w:hAnsi="Times New Roman" w:cs="Times New Roman"/>
          <w:b/>
          <w:bCs/>
          <w:sz w:val="24"/>
          <w:szCs w:val="24"/>
          <w:lang w:eastAsia="sv-SE"/>
        </w:rPr>
      </w:pPr>
      <w:r w:rsidRPr="001C37EA">
        <w:rPr>
          <w:rFonts w:ascii="Times New Roman" w:eastAsia="Times New Roman" w:hAnsi="Times New Roman" w:cs="Times New Roman"/>
          <w:b/>
          <w:bCs/>
          <w:sz w:val="24"/>
          <w:szCs w:val="24"/>
          <w:lang w:eastAsia="sv-SE"/>
        </w:rPr>
        <w:t>Participation by disability</w:t>
      </w:r>
    </w:p>
    <w:p w14:paraId="7125393D" w14:textId="7BE87E08" w:rsidR="005A6A63" w:rsidRPr="001C37EA" w:rsidRDefault="005A6A63" w:rsidP="00A536AC">
      <w:pPr>
        <w:spacing w:line="360" w:lineRule="auto"/>
        <w:jc w:val="both"/>
        <w:rPr>
          <w:rFonts w:ascii="Times New Roman" w:eastAsia="Times New Roman" w:hAnsi="Times New Roman" w:cs="Times New Roman"/>
          <w:sz w:val="24"/>
          <w:szCs w:val="24"/>
          <w:lang w:eastAsia="sv-SE"/>
        </w:rPr>
      </w:pPr>
      <w:r w:rsidRPr="001C37EA">
        <w:rPr>
          <w:rFonts w:ascii="Times New Roman" w:eastAsia="Times New Roman" w:hAnsi="Times New Roman" w:cs="Times New Roman"/>
          <w:sz w:val="24"/>
          <w:szCs w:val="24"/>
          <w:lang w:eastAsia="sv-SE"/>
        </w:rPr>
        <w:t xml:space="preserve">The study aims at examining </w:t>
      </w:r>
      <w:r w:rsidR="00591A0B" w:rsidRPr="001C37EA">
        <w:rPr>
          <w:rFonts w:ascii="Times New Roman" w:eastAsia="Times New Roman" w:hAnsi="Times New Roman" w:cs="Times New Roman"/>
          <w:sz w:val="24"/>
          <w:szCs w:val="24"/>
          <w:lang w:eastAsia="sv-SE"/>
        </w:rPr>
        <w:t>patterns and differences in post-secondary education</w:t>
      </w:r>
      <w:r w:rsidR="002C5611">
        <w:rPr>
          <w:rFonts w:ascii="Times New Roman" w:eastAsia="Times New Roman" w:hAnsi="Times New Roman" w:cs="Times New Roman"/>
          <w:sz w:val="24"/>
          <w:szCs w:val="24"/>
          <w:lang w:eastAsia="sv-SE"/>
        </w:rPr>
        <w:t xml:space="preserve"> participation</w:t>
      </w:r>
      <w:r w:rsidR="00591A0B" w:rsidRPr="001C37EA">
        <w:rPr>
          <w:rFonts w:ascii="Times New Roman" w:eastAsia="Times New Roman" w:hAnsi="Times New Roman" w:cs="Times New Roman"/>
          <w:sz w:val="24"/>
          <w:szCs w:val="24"/>
          <w:lang w:eastAsia="sv-SE"/>
        </w:rPr>
        <w:t xml:space="preserve"> among students with and without disabilities</w:t>
      </w:r>
      <w:r w:rsidR="00DD20D9" w:rsidRPr="001C37EA">
        <w:rPr>
          <w:rFonts w:ascii="Times New Roman" w:eastAsia="Times New Roman" w:hAnsi="Times New Roman" w:cs="Times New Roman"/>
          <w:sz w:val="24"/>
          <w:szCs w:val="24"/>
          <w:lang w:eastAsia="sv-SE"/>
        </w:rPr>
        <w:t xml:space="preserve"> in Sweden between 2018</w:t>
      </w:r>
      <w:r w:rsidR="004E6AE7" w:rsidRPr="001C37EA">
        <w:rPr>
          <w:rFonts w:ascii="Times New Roman" w:eastAsia="Times New Roman" w:hAnsi="Times New Roman" w:cs="Times New Roman"/>
          <w:sz w:val="24"/>
          <w:szCs w:val="24"/>
          <w:lang w:eastAsia="sv-SE"/>
        </w:rPr>
        <w:t xml:space="preserve"> </w:t>
      </w:r>
      <w:r w:rsidR="00DD20D9" w:rsidRPr="001C37EA">
        <w:rPr>
          <w:rFonts w:ascii="Times New Roman" w:eastAsia="Times New Roman" w:hAnsi="Times New Roman" w:cs="Times New Roman"/>
          <w:sz w:val="24"/>
          <w:szCs w:val="24"/>
          <w:lang w:eastAsia="sv-SE"/>
        </w:rPr>
        <w:t>and 2020</w:t>
      </w:r>
      <w:r w:rsidR="00E82522" w:rsidRPr="001C37EA">
        <w:rPr>
          <w:rFonts w:ascii="Times New Roman" w:eastAsia="Times New Roman" w:hAnsi="Times New Roman" w:cs="Times New Roman"/>
          <w:sz w:val="24"/>
          <w:szCs w:val="24"/>
          <w:lang w:eastAsia="sv-SE"/>
        </w:rPr>
        <w:t xml:space="preserve"> by answering the following questions</w:t>
      </w:r>
      <w:r w:rsidR="00BA3B35" w:rsidRPr="001C37EA">
        <w:rPr>
          <w:rFonts w:ascii="Times New Roman" w:eastAsia="Times New Roman" w:hAnsi="Times New Roman" w:cs="Times New Roman"/>
          <w:sz w:val="24"/>
          <w:szCs w:val="24"/>
          <w:lang w:eastAsia="sv-SE"/>
        </w:rPr>
        <w:t>:</w:t>
      </w:r>
    </w:p>
    <w:p w14:paraId="35DACAD6" w14:textId="3A958B9F" w:rsidR="00F255F9" w:rsidRPr="009331B4" w:rsidRDefault="00150328" w:rsidP="00A536AC">
      <w:pPr>
        <w:spacing w:line="360" w:lineRule="auto"/>
        <w:jc w:val="both"/>
        <w:rPr>
          <w:rFonts w:ascii="Times New Roman" w:eastAsia="Times New Roman" w:hAnsi="Times New Roman" w:cs="Times New Roman"/>
          <w:b/>
          <w:bCs/>
          <w:sz w:val="24"/>
          <w:szCs w:val="24"/>
          <w:lang w:eastAsia="sv-SE"/>
        </w:rPr>
      </w:pPr>
      <w:r>
        <w:rPr>
          <w:rFonts w:ascii="Times New Roman" w:eastAsia="Times New Roman" w:hAnsi="Times New Roman" w:cs="Times New Roman"/>
          <w:sz w:val="24"/>
          <w:szCs w:val="24"/>
          <w:lang w:eastAsia="sv-SE"/>
        </w:rPr>
        <w:t xml:space="preserve">First, are </w:t>
      </w:r>
      <w:r w:rsidR="003216A1">
        <w:rPr>
          <w:rFonts w:ascii="Times New Roman" w:eastAsia="Times New Roman" w:hAnsi="Times New Roman" w:cs="Times New Roman"/>
          <w:sz w:val="24"/>
          <w:szCs w:val="24"/>
          <w:lang w:eastAsia="sv-SE"/>
        </w:rPr>
        <w:t>the</w:t>
      </w:r>
      <w:r w:rsidR="00593558">
        <w:rPr>
          <w:rFonts w:ascii="Times New Roman" w:eastAsia="Times New Roman" w:hAnsi="Times New Roman" w:cs="Times New Roman"/>
          <w:sz w:val="24"/>
          <w:szCs w:val="24"/>
          <w:lang w:eastAsia="sv-SE"/>
        </w:rPr>
        <w:t xml:space="preserve"> </w:t>
      </w:r>
      <w:r w:rsidR="00BA3B35" w:rsidRPr="001C37EA">
        <w:rPr>
          <w:rFonts w:ascii="Times New Roman" w:eastAsia="Times New Roman" w:hAnsi="Times New Roman" w:cs="Times New Roman"/>
          <w:sz w:val="24"/>
          <w:szCs w:val="24"/>
          <w:lang w:eastAsia="sv-SE"/>
        </w:rPr>
        <w:t xml:space="preserve">results to the </w:t>
      </w:r>
      <w:r w:rsidR="00DA395D">
        <w:rPr>
          <w:rFonts w:ascii="Times New Roman" w:eastAsia="Times New Roman" w:hAnsi="Times New Roman" w:cs="Times New Roman"/>
          <w:sz w:val="24"/>
          <w:szCs w:val="24"/>
          <w:lang w:eastAsia="sv-SE"/>
        </w:rPr>
        <w:t>main</w:t>
      </w:r>
      <w:r w:rsidR="00BA3B35" w:rsidRPr="001C37EA">
        <w:rPr>
          <w:rFonts w:ascii="Times New Roman" w:eastAsia="Times New Roman" w:hAnsi="Times New Roman" w:cs="Times New Roman"/>
          <w:sz w:val="24"/>
          <w:szCs w:val="24"/>
          <w:lang w:eastAsia="sv-SE"/>
        </w:rPr>
        <w:t xml:space="preserve"> question</w:t>
      </w:r>
      <w:r w:rsidR="0095248A" w:rsidRPr="001C37EA">
        <w:rPr>
          <w:rFonts w:ascii="Times New Roman" w:eastAsia="Times New Roman" w:hAnsi="Times New Roman" w:cs="Times New Roman"/>
          <w:sz w:val="24"/>
          <w:szCs w:val="24"/>
          <w:lang w:eastAsia="sv-SE"/>
        </w:rPr>
        <w:t xml:space="preserve">; </w:t>
      </w:r>
      <w:r w:rsidR="001A16C3" w:rsidRPr="001C37EA">
        <w:rPr>
          <w:rFonts w:ascii="Times New Roman" w:eastAsia="Times New Roman" w:hAnsi="Times New Roman" w:cs="Times New Roman"/>
          <w:sz w:val="24"/>
          <w:szCs w:val="24"/>
          <w:lang w:eastAsia="sv-SE"/>
        </w:rPr>
        <w:t xml:space="preserve">How did post-secondary education participation vary by disability </w:t>
      </w:r>
      <w:r w:rsidR="00AA7CF6" w:rsidRPr="001C37EA">
        <w:rPr>
          <w:rFonts w:ascii="Times New Roman" w:eastAsia="Times New Roman" w:hAnsi="Times New Roman" w:cs="Times New Roman"/>
          <w:sz w:val="24"/>
          <w:szCs w:val="24"/>
          <w:lang w:eastAsia="sv-SE"/>
        </w:rPr>
        <w:t>status</w:t>
      </w:r>
      <w:r w:rsidR="00D11C8C">
        <w:rPr>
          <w:rFonts w:ascii="Times New Roman" w:eastAsia="Times New Roman" w:hAnsi="Times New Roman" w:cs="Times New Roman"/>
          <w:sz w:val="24"/>
          <w:szCs w:val="24"/>
          <w:lang w:eastAsia="sv-SE"/>
        </w:rPr>
        <w:t xml:space="preserve"> </w:t>
      </w:r>
      <w:r w:rsidR="00AA7CF6" w:rsidRPr="001C37EA">
        <w:rPr>
          <w:rFonts w:ascii="Times New Roman" w:eastAsia="Times New Roman" w:hAnsi="Times New Roman" w:cs="Times New Roman"/>
          <w:sz w:val="24"/>
          <w:szCs w:val="24"/>
          <w:lang w:eastAsia="sv-SE"/>
        </w:rPr>
        <w:t>or</w:t>
      </w:r>
      <w:r w:rsidR="00B936DD" w:rsidRPr="001C37EA">
        <w:rPr>
          <w:rFonts w:ascii="Times New Roman" w:eastAsia="Times New Roman" w:hAnsi="Times New Roman" w:cs="Times New Roman"/>
          <w:sz w:val="24"/>
          <w:szCs w:val="24"/>
          <w:lang w:eastAsia="sv-SE"/>
        </w:rPr>
        <w:t xml:space="preserve"> ty</w:t>
      </w:r>
      <w:r w:rsidR="00AA7CF6" w:rsidRPr="001C37EA">
        <w:rPr>
          <w:rFonts w:ascii="Times New Roman" w:eastAsia="Times New Roman" w:hAnsi="Times New Roman" w:cs="Times New Roman"/>
          <w:sz w:val="24"/>
          <w:szCs w:val="24"/>
          <w:lang w:eastAsia="sv-SE"/>
        </w:rPr>
        <w:t>pe</w:t>
      </w:r>
      <w:r w:rsidR="001A16C3" w:rsidRPr="001C37EA">
        <w:rPr>
          <w:rFonts w:ascii="Times New Roman" w:eastAsia="Times New Roman" w:hAnsi="Times New Roman" w:cs="Times New Roman"/>
          <w:sz w:val="24"/>
          <w:szCs w:val="24"/>
          <w:lang w:eastAsia="sv-SE"/>
        </w:rPr>
        <w:t xml:space="preserve"> and gender between 2018 and 2020?</w:t>
      </w:r>
      <w:r w:rsidR="00EF7901" w:rsidRPr="001C37EA">
        <w:rPr>
          <w:rFonts w:ascii="Times New Roman" w:eastAsia="Times New Roman" w:hAnsi="Times New Roman" w:cs="Times New Roman"/>
          <w:b/>
          <w:bCs/>
          <w:sz w:val="24"/>
          <w:szCs w:val="24"/>
          <w:lang w:eastAsia="sv-SE"/>
        </w:rPr>
        <w:t xml:space="preserve"> </w:t>
      </w:r>
      <w:r w:rsidR="00E77450">
        <w:rPr>
          <w:rFonts w:ascii="Times New Roman" w:eastAsia="Times New Roman" w:hAnsi="Times New Roman" w:cs="Times New Roman"/>
          <w:sz w:val="24"/>
          <w:szCs w:val="24"/>
          <w:lang w:eastAsia="sv-SE"/>
        </w:rPr>
        <w:t>Here, the</w:t>
      </w:r>
      <w:r w:rsidR="003A560A">
        <w:rPr>
          <w:rFonts w:ascii="Times New Roman" w:eastAsia="Times New Roman" w:hAnsi="Times New Roman" w:cs="Times New Roman"/>
          <w:sz w:val="24"/>
          <w:szCs w:val="24"/>
          <w:lang w:eastAsia="sv-SE"/>
        </w:rPr>
        <w:t xml:space="preserve"> results indicate that </w:t>
      </w:r>
      <w:r w:rsidR="005C1139" w:rsidRPr="001C37EA">
        <w:rPr>
          <w:rFonts w:ascii="Times New Roman" w:eastAsia="Times New Roman" w:hAnsi="Times New Roman" w:cs="Times New Roman"/>
          <w:sz w:val="24"/>
          <w:szCs w:val="24"/>
          <w:lang w:eastAsia="sv-SE"/>
        </w:rPr>
        <w:t>overall participation</w:t>
      </w:r>
      <w:r w:rsidR="00F93DA9" w:rsidRPr="001C37EA">
        <w:rPr>
          <w:rFonts w:ascii="Times New Roman" w:eastAsia="Times New Roman" w:hAnsi="Times New Roman" w:cs="Times New Roman"/>
          <w:sz w:val="24"/>
          <w:szCs w:val="24"/>
          <w:lang w:eastAsia="sv-SE"/>
        </w:rPr>
        <w:t xml:space="preserve"> across all four groups during the examined </w:t>
      </w:r>
      <w:r w:rsidR="00C81298" w:rsidRPr="001C37EA">
        <w:rPr>
          <w:rFonts w:ascii="Times New Roman" w:eastAsia="Times New Roman" w:hAnsi="Times New Roman" w:cs="Times New Roman"/>
          <w:sz w:val="24"/>
          <w:szCs w:val="24"/>
          <w:lang w:eastAsia="sv-SE"/>
        </w:rPr>
        <w:t>th</w:t>
      </w:r>
      <w:r w:rsidR="00C81298">
        <w:rPr>
          <w:rFonts w:ascii="Times New Roman" w:eastAsia="Times New Roman" w:hAnsi="Times New Roman" w:cs="Times New Roman"/>
          <w:sz w:val="24"/>
          <w:szCs w:val="24"/>
          <w:lang w:eastAsia="sv-SE"/>
        </w:rPr>
        <w:t>ree-year</w:t>
      </w:r>
      <w:r w:rsidR="00F93DA9" w:rsidRPr="001C37EA">
        <w:rPr>
          <w:rFonts w:ascii="Times New Roman" w:eastAsia="Times New Roman" w:hAnsi="Times New Roman" w:cs="Times New Roman"/>
          <w:sz w:val="24"/>
          <w:szCs w:val="24"/>
          <w:lang w:eastAsia="sv-SE"/>
        </w:rPr>
        <w:t xml:space="preserve"> period</w:t>
      </w:r>
      <w:r w:rsidR="00EF7901" w:rsidRPr="001C37EA">
        <w:rPr>
          <w:rFonts w:ascii="Times New Roman" w:eastAsia="Times New Roman" w:hAnsi="Times New Roman" w:cs="Times New Roman"/>
          <w:sz w:val="24"/>
          <w:szCs w:val="24"/>
          <w:lang w:eastAsia="sv-SE"/>
        </w:rPr>
        <w:t xml:space="preserve"> </w:t>
      </w:r>
      <w:r w:rsidR="004C0D18" w:rsidRPr="001C37EA">
        <w:rPr>
          <w:rFonts w:ascii="Times New Roman" w:eastAsia="Times New Roman" w:hAnsi="Times New Roman" w:cs="Times New Roman"/>
          <w:sz w:val="24"/>
          <w:szCs w:val="24"/>
          <w:lang w:eastAsia="sv-SE"/>
        </w:rPr>
        <w:t>increased</w:t>
      </w:r>
      <w:r w:rsidR="00CA56EE" w:rsidRPr="001C37EA">
        <w:rPr>
          <w:rFonts w:ascii="Times New Roman" w:eastAsia="Times New Roman" w:hAnsi="Times New Roman" w:cs="Times New Roman"/>
          <w:sz w:val="24"/>
          <w:szCs w:val="24"/>
          <w:lang w:eastAsia="sv-SE"/>
        </w:rPr>
        <w:t xml:space="preserve"> among all students male and female </w:t>
      </w:r>
      <w:r w:rsidR="00995126" w:rsidRPr="001C37EA">
        <w:rPr>
          <w:rFonts w:ascii="Times New Roman" w:eastAsia="Times New Roman" w:hAnsi="Times New Roman" w:cs="Times New Roman"/>
          <w:sz w:val="24"/>
          <w:szCs w:val="24"/>
          <w:lang w:eastAsia="sv-SE"/>
        </w:rPr>
        <w:t>both with and without disabilities</w:t>
      </w:r>
      <w:r w:rsidR="00473CBC" w:rsidRPr="001C37EA">
        <w:rPr>
          <w:rFonts w:ascii="Times New Roman" w:eastAsia="Times New Roman" w:hAnsi="Times New Roman" w:cs="Times New Roman"/>
          <w:sz w:val="24"/>
          <w:szCs w:val="24"/>
          <w:lang w:eastAsia="sv-SE"/>
        </w:rPr>
        <w:t xml:space="preserve"> as portrayed below in the </w:t>
      </w:r>
      <w:r w:rsidR="009331B4" w:rsidRPr="001C37EA">
        <w:rPr>
          <w:rFonts w:ascii="Times New Roman" w:eastAsia="Times New Roman" w:hAnsi="Times New Roman" w:cs="Times New Roman"/>
          <w:sz w:val="24"/>
          <w:szCs w:val="24"/>
          <w:lang w:eastAsia="sv-SE"/>
        </w:rPr>
        <w:t>table and graph below.</w:t>
      </w:r>
    </w:p>
    <w:p w14:paraId="26B82981" w14:textId="77777777" w:rsidR="00D4268B" w:rsidRDefault="00D4268B" w:rsidP="00626BD6">
      <w:pPr>
        <w:spacing w:line="360" w:lineRule="auto"/>
        <w:jc w:val="both"/>
        <w:rPr>
          <w:rFonts w:ascii="Times New Roman" w:eastAsia="Times New Roman" w:hAnsi="Times New Roman" w:cs="Times New Roman"/>
          <w:sz w:val="24"/>
          <w:szCs w:val="24"/>
          <w:lang w:eastAsia="sv-SE"/>
        </w:rPr>
      </w:pPr>
    </w:p>
    <w:p w14:paraId="2A23B8AB" w14:textId="3A7F0414" w:rsidR="00B11176" w:rsidRPr="0001584A" w:rsidRDefault="001F632C">
      <w:pPr>
        <w:rPr>
          <w:rFonts w:ascii="Times New Roman" w:hAnsi="Times New Roman" w:cs="Times New Roman"/>
          <w:b/>
          <w:bCs/>
          <w:sz w:val="24"/>
          <w:szCs w:val="24"/>
        </w:rPr>
      </w:pPr>
      <w:r w:rsidRPr="0001584A">
        <w:rPr>
          <w:rFonts w:ascii="Times New Roman" w:hAnsi="Times New Roman" w:cs="Times New Roman"/>
          <w:b/>
          <w:bCs/>
          <w:sz w:val="24"/>
          <w:szCs w:val="24"/>
        </w:rPr>
        <w:t>T</w:t>
      </w:r>
      <w:r w:rsidR="00DC772B" w:rsidRPr="0001584A">
        <w:rPr>
          <w:rFonts w:ascii="Times New Roman" w:hAnsi="Times New Roman" w:cs="Times New Roman"/>
          <w:b/>
          <w:bCs/>
          <w:sz w:val="24"/>
          <w:szCs w:val="24"/>
        </w:rPr>
        <w:t xml:space="preserve">able 1: </w:t>
      </w:r>
      <w:r w:rsidR="00285735" w:rsidRPr="0001584A">
        <w:rPr>
          <w:rFonts w:ascii="Times New Roman" w:hAnsi="Times New Roman" w:cs="Times New Roman"/>
          <w:b/>
          <w:bCs/>
          <w:sz w:val="24"/>
          <w:szCs w:val="24"/>
        </w:rPr>
        <w:t>S</w:t>
      </w:r>
      <w:r w:rsidR="00093ED5" w:rsidRPr="0001584A">
        <w:rPr>
          <w:rFonts w:ascii="Times New Roman" w:hAnsi="Times New Roman" w:cs="Times New Roman"/>
          <w:b/>
          <w:bCs/>
          <w:sz w:val="24"/>
          <w:szCs w:val="24"/>
        </w:rPr>
        <w:t xml:space="preserve">tudents’ </w:t>
      </w:r>
      <w:r w:rsidR="0049260F" w:rsidRPr="0001584A">
        <w:rPr>
          <w:rFonts w:ascii="Times New Roman" w:hAnsi="Times New Roman" w:cs="Times New Roman"/>
          <w:b/>
          <w:bCs/>
          <w:sz w:val="24"/>
          <w:szCs w:val="24"/>
        </w:rPr>
        <w:t>participation</w:t>
      </w:r>
      <w:r w:rsidR="00BB7CB1" w:rsidRPr="0001584A">
        <w:rPr>
          <w:rFonts w:ascii="Times New Roman" w:hAnsi="Times New Roman" w:cs="Times New Roman"/>
          <w:b/>
          <w:bCs/>
          <w:sz w:val="24"/>
          <w:szCs w:val="24"/>
        </w:rPr>
        <w:t xml:space="preserve"> in percentage</w:t>
      </w:r>
      <w:r w:rsidR="0049260F" w:rsidRPr="0001584A">
        <w:rPr>
          <w:rFonts w:ascii="Times New Roman" w:hAnsi="Times New Roman" w:cs="Times New Roman"/>
          <w:b/>
          <w:bCs/>
          <w:sz w:val="24"/>
          <w:szCs w:val="24"/>
        </w:rPr>
        <w:t xml:space="preserve"> by disability status and gender</w:t>
      </w:r>
      <w:r w:rsidR="000678B2" w:rsidRPr="0001584A">
        <w:rPr>
          <w:rFonts w:ascii="Times New Roman" w:hAnsi="Times New Roman" w:cs="Times New Roman"/>
          <w:b/>
          <w:bCs/>
          <w:sz w:val="24"/>
          <w:szCs w:val="24"/>
        </w:rPr>
        <w:t xml:space="preserve"> from 2018-2020</w:t>
      </w:r>
      <w:r w:rsidR="002A54D6" w:rsidRPr="0001584A">
        <w:rPr>
          <w:rFonts w:ascii="Times New Roman" w:hAnsi="Times New Roman" w:cs="Times New Roman"/>
          <w:b/>
          <w:bCs/>
          <w:sz w:val="24"/>
          <w:szCs w:val="24"/>
        </w:rPr>
        <w:t xml:space="preserve"> in the table and graph below.</w:t>
      </w:r>
    </w:p>
    <w:p w14:paraId="2106F4E4" w14:textId="77777777" w:rsidR="00AE4558" w:rsidRPr="00093ED5" w:rsidRDefault="00AE4558">
      <w:pPr>
        <w:rPr>
          <w:rFonts w:ascii="Times New Roman" w:hAnsi="Times New Roman" w:cs="Times New Roman"/>
          <w:sz w:val="24"/>
          <w:szCs w:val="24"/>
        </w:rPr>
      </w:pPr>
    </w:p>
    <w:tbl>
      <w:tblPr>
        <w:tblStyle w:val="Ljusskuggning-dekorfrg1"/>
        <w:tblW w:w="5000" w:type="pct"/>
        <w:tblLook w:val="0660" w:firstRow="1" w:lastRow="1" w:firstColumn="0" w:lastColumn="0" w:noHBand="1" w:noVBand="1"/>
      </w:tblPr>
      <w:tblGrid>
        <w:gridCol w:w="654"/>
        <w:gridCol w:w="1706"/>
        <w:gridCol w:w="2237"/>
        <w:gridCol w:w="2237"/>
        <w:gridCol w:w="2238"/>
      </w:tblGrid>
      <w:tr w:rsidR="00B11176" w14:paraId="17A59740" w14:textId="77777777" w:rsidTr="001A4CB4">
        <w:trPr>
          <w:cnfStyle w:val="100000000000" w:firstRow="1" w:lastRow="0" w:firstColumn="0" w:lastColumn="0" w:oddVBand="0" w:evenVBand="0" w:oddHBand="0" w:evenHBand="0" w:firstRowFirstColumn="0" w:firstRowLastColumn="0" w:lastRowFirstColumn="0" w:lastRowLastColumn="0"/>
          <w:trHeight w:val="1356"/>
        </w:trPr>
        <w:tc>
          <w:tcPr>
            <w:tcW w:w="346" w:type="pct"/>
            <w:noWrap/>
          </w:tcPr>
          <w:p w14:paraId="37704141" w14:textId="7E4DBFB7" w:rsidR="00B11176" w:rsidRDefault="0049260F">
            <w:r>
              <w:t>Year</w:t>
            </w:r>
          </w:p>
        </w:tc>
        <w:tc>
          <w:tcPr>
            <w:tcW w:w="2154" w:type="pct"/>
            <w:gridSpan w:val="2"/>
          </w:tcPr>
          <w:p w14:paraId="7B842028" w14:textId="51FE90BD" w:rsidR="00DE4FAC" w:rsidRDefault="0049260F">
            <w:pPr>
              <w:rPr>
                <w:b w:val="0"/>
                <w:bCs w:val="0"/>
              </w:rPr>
            </w:pPr>
            <w:r>
              <w:t xml:space="preserve">Female students </w:t>
            </w:r>
            <w:r w:rsidR="00DE4FAC">
              <w:t xml:space="preserve">    </w:t>
            </w:r>
            <w:r w:rsidR="00E037F3">
              <w:t xml:space="preserve">    </w:t>
            </w:r>
            <w:r w:rsidR="00DE4FAC">
              <w:t>Female students</w:t>
            </w:r>
          </w:p>
          <w:p w14:paraId="0EF41A28" w14:textId="438B4C65" w:rsidR="00B11176" w:rsidRDefault="008D356D">
            <w:pPr>
              <w:rPr>
                <w:b w:val="0"/>
                <w:bCs w:val="0"/>
              </w:rPr>
            </w:pPr>
            <w:r>
              <w:t xml:space="preserve">Without </w:t>
            </w:r>
            <w:r w:rsidR="009C5001">
              <w:t>disabilities</w:t>
            </w:r>
            <w:r>
              <w:t xml:space="preserve"> </w:t>
            </w:r>
            <w:r w:rsidR="00E037F3">
              <w:t xml:space="preserve">   </w:t>
            </w:r>
            <w:r w:rsidR="0049260F">
              <w:t>with disabilities</w:t>
            </w:r>
          </w:p>
          <w:p w14:paraId="688418E0" w14:textId="2D75DEC5" w:rsidR="001A4CB4" w:rsidRDefault="001A4CB4"/>
        </w:tc>
        <w:tc>
          <w:tcPr>
            <w:tcW w:w="1250" w:type="pct"/>
          </w:tcPr>
          <w:p w14:paraId="2EBB4768" w14:textId="64360F5A" w:rsidR="00B11176" w:rsidRDefault="00E037F3">
            <w:r>
              <w:t>M</w:t>
            </w:r>
            <w:r w:rsidR="0049260F">
              <w:t>ale students with</w:t>
            </w:r>
            <w:r w:rsidR="00031A2E">
              <w:t>out</w:t>
            </w:r>
            <w:r w:rsidR="0049260F">
              <w:t xml:space="preserve"> disabilities</w:t>
            </w:r>
          </w:p>
        </w:tc>
        <w:tc>
          <w:tcPr>
            <w:tcW w:w="1250" w:type="pct"/>
          </w:tcPr>
          <w:p w14:paraId="61AF2830" w14:textId="41A0F1D2" w:rsidR="00B11176" w:rsidRDefault="0049260F">
            <w:r>
              <w:t xml:space="preserve">Male students </w:t>
            </w:r>
            <w:r w:rsidR="000678B2">
              <w:t>without disabilities</w:t>
            </w:r>
            <w:r w:rsidR="00405820">
              <w:t xml:space="preserve"> </w:t>
            </w:r>
            <w:r w:rsidR="000678B2">
              <w:t xml:space="preserve"> </w:t>
            </w:r>
            <w:r w:rsidR="00405820">
              <w:t xml:space="preserve">                   </w:t>
            </w:r>
          </w:p>
        </w:tc>
      </w:tr>
      <w:tr w:rsidR="00B11176" w14:paraId="783B4BC6" w14:textId="77777777" w:rsidTr="000678B2">
        <w:trPr>
          <w:trHeight w:val="50"/>
        </w:trPr>
        <w:tc>
          <w:tcPr>
            <w:tcW w:w="1250" w:type="pct"/>
            <w:gridSpan w:val="2"/>
            <w:noWrap/>
          </w:tcPr>
          <w:p w14:paraId="46A8359C" w14:textId="3D7BD2C3" w:rsidR="00B11176" w:rsidRDefault="00B11176"/>
        </w:tc>
        <w:tc>
          <w:tcPr>
            <w:tcW w:w="1250" w:type="pct"/>
          </w:tcPr>
          <w:p w14:paraId="3E1D86D3" w14:textId="605D9EF4" w:rsidR="00B11176" w:rsidRDefault="00B11176">
            <w:pPr>
              <w:rPr>
                <w:rStyle w:val="Diskretbetoning"/>
              </w:rPr>
            </w:pPr>
          </w:p>
        </w:tc>
        <w:tc>
          <w:tcPr>
            <w:tcW w:w="1250" w:type="pct"/>
          </w:tcPr>
          <w:p w14:paraId="0DCA2EBD" w14:textId="77777777" w:rsidR="00B11176" w:rsidRDefault="00B11176"/>
        </w:tc>
        <w:tc>
          <w:tcPr>
            <w:tcW w:w="1250" w:type="pct"/>
          </w:tcPr>
          <w:p w14:paraId="206FB339" w14:textId="77777777" w:rsidR="00B11176" w:rsidRDefault="00B11176"/>
        </w:tc>
      </w:tr>
      <w:tr w:rsidR="001D3DC4" w14:paraId="25D46BCE" w14:textId="77777777" w:rsidTr="0071744F">
        <w:tc>
          <w:tcPr>
            <w:tcW w:w="1250" w:type="pct"/>
            <w:gridSpan w:val="2"/>
            <w:noWrap/>
          </w:tcPr>
          <w:p w14:paraId="236A2E0B" w14:textId="77777777" w:rsidR="001D3DC4" w:rsidRDefault="001D3DC4"/>
        </w:tc>
        <w:tc>
          <w:tcPr>
            <w:tcW w:w="1250" w:type="pct"/>
          </w:tcPr>
          <w:p w14:paraId="3B75310A" w14:textId="77777777" w:rsidR="001D3DC4" w:rsidRDefault="001D3DC4">
            <w:pPr>
              <w:rPr>
                <w:rStyle w:val="Diskretbetoning"/>
                <w:lang w:val="sv-SE"/>
              </w:rPr>
            </w:pPr>
          </w:p>
        </w:tc>
        <w:tc>
          <w:tcPr>
            <w:tcW w:w="1250" w:type="pct"/>
          </w:tcPr>
          <w:p w14:paraId="19E72CB2" w14:textId="77777777" w:rsidR="001D3DC4" w:rsidRDefault="001D3DC4"/>
        </w:tc>
        <w:tc>
          <w:tcPr>
            <w:tcW w:w="1250" w:type="pct"/>
          </w:tcPr>
          <w:p w14:paraId="54AA56E5" w14:textId="77777777" w:rsidR="001D3DC4" w:rsidRDefault="001D3DC4"/>
        </w:tc>
      </w:tr>
      <w:tr w:rsidR="00B11176" w14:paraId="11C0E56F" w14:textId="77777777" w:rsidTr="0071744F">
        <w:tc>
          <w:tcPr>
            <w:tcW w:w="1250" w:type="pct"/>
            <w:gridSpan w:val="2"/>
            <w:noWrap/>
          </w:tcPr>
          <w:p w14:paraId="15D6E25E" w14:textId="38F55524" w:rsidR="00B11176" w:rsidRDefault="001D3DC4" w:rsidP="0031624B">
            <w:pPr>
              <w:tabs>
                <w:tab w:val="right" w:pos="2052"/>
              </w:tabs>
            </w:pPr>
            <w:r>
              <w:t>2018</w:t>
            </w:r>
            <w:r w:rsidR="00F82F7E">
              <w:tab/>
              <w:t xml:space="preserve"> 53</w:t>
            </w:r>
          </w:p>
        </w:tc>
        <w:tc>
          <w:tcPr>
            <w:tcW w:w="1250" w:type="pct"/>
          </w:tcPr>
          <w:p w14:paraId="6FB6F84D" w14:textId="697EF652" w:rsidR="00B11176" w:rsidRDefault="00F82F7E">
            <w:pPr>
              <w:pStyle w:val="DecimalAligned"/>
            </w:pPr>
            <w:r>
              <w:t xml:space="preserve">               </w:t>
            </w:r>
            <w:r w:rsidR="0097633D">
              <w:t>44</w:t>
            </w:r>
          </w:p>
        </w:tc>
        <w:tc>
          <w:tcPr>
            <w:tcW w:w="1250" w:type="pct"/>
          </w:tcPr>
          <w:p w14:paraId="59609F1A" w14:textId="0A836557" w:rsidR="00B11176" w:rsidRDefault="00F82F7E">
            <w:pPr>
              <w:pStyle w:val="DecimalAligned"/>
            </w:pPr>
            <w:r>
              <w:t>44</w:t>
            </w:r>
          </w:p>
        </w:tc>
        <w:tc>
          <w:tcPr>
            <w:tcW w:w="1250" w:type="pct"/>
          </w:tcPr>
          <w:p w14:paraId="6AC48F78" w14:textId="46294B1D" w:rsidR="00B11176" w:rsidRDefault="00F82F7E">
            <w:pPr>
              <w:pStyle w:val="DecimalAligned"/>
            </w:pPr>
            <w:r>
              <w:t xml:space="preserve">  38</w:t>
            </w:r>
          </w:p>
        </w:tc>
      </w:tr>
      <w:tr w:rsidR="00B11176" w14:paraId="3D102C8F" w14:textId="77777777" w:rsidTr="0071744F">
        <w:tc>
          <w:tcPr>
            <w:tcW w:w="1250" w:type="pct"/>
            <w:gridSpan w:val="2"/>
            <w:noWrap/>
          </w:tcPr>
          <w:p w14:paraId="302E89F3" w14:textId="63258704" w:rsidR="00B11176" w:rsidRDefault="001D3DC4">
            <w:r>
              <w:t>2019</w:t>
            </w:r>
            <w:r w:rsidR="005740FD">
              <w:t xml:space="preserve">                            63</w:t>
            </w:r>
          </w:p>
        </w:tc>
        <w:tc>
          <w:tcPr>
            <w:tcW w:w="1250" w:type="pct"/>
          </w:tcPr>
          <w:p w14:paraId="046EF2B7" w14:textId="3CD56D0E" w:rsidR="00B11176" w:rsidRDefault="00F82F7E">
            <w:pPr>
              <w:pStyle w:val="DecimalAligned"/>
            </w:pPr>
            <w:r>
              <w:t xml:space="preserve">               </w:t>
            </w:r>
            <w:r w:rsidR="0097633D">
              <w:t>54</w:t>
            </w:r>
          </w:p>
        </w:tc>
        <w:tc>
          <w:tcPr>
            <w:tcW w:w="1250" w:type="pct"/>
          </w:tcPr>
          <w:p w14:paraId="2F621C3D" w14:textId="5A58F190" w:rsidR="00B11176" w:rsidRDefault="00F82F7E">
            <w:pPr>
              <w:pStyle w:val="DecimalAligned"/>
            </w:pPr>
            <w:r>
              <w:t>53</w:t>
            </w:r>
          </w:p>
        </w:tc>
        <w:tc>
          <w:tcPr>
            <w:tcW w:w="1250" w:type="pct"/>
          </w:tcPr>
          <w:p w14:paraId="61E22E1E" w14:textId="5EFB57B1" w:rsidR="00B11176" w:rsidRDefault="00F82F7E">
            <w:pPr>
              <w:pStyle w:val="DecimalAligned"/>
            </w:pPr>
            <w:r>
              <w:t>45</w:t>
            </w:r>
          </w:p>
        </w:tc>
      </w:tr>
      <w:tr w:rsidR="00B11176" w14:paraId="407E6ABE" w14:textId="77777777" w:rsidTr="0071744F">
        <w:tc>
          <w:tcPr>
            <w:tcW w:w="1250" w:type="pct"/>
            <w:gridSpan w:val="2"/>
            <w:noWrap/>
          </w:tcPr>
          <w:p w14:paraId="308A46DD" w14:textId="6C151FB9" w:rsidR="00B11176" w:rsidRDefault="001D3DC4">
            <w:r>
              <w:t>2020</w:t>
            </w:r>
            <w:r w:rsidR="005740FD">
              <w:t xml:space="preserve">                            68</w:t>
            </w:r>
          </w:p>
        </w:tc>
        <w:tc>
          <w:tcPr>
            <w:tcW w:w="1250" w:type="pct"/>
          </w:tcPr>
          <w:p w14:paraId="43CD48C1" w14:textId="524C66BA" w:rsidR="00B11176" w:rsidRDefault="00F82F7E">
            <w:pPr>
              <w:pStyle w:val="DecimalAligned"/>
            </w:pPr>
            <w:r>
              <w:t xml:space="preserve">               </w:t>
            </w:r>
            <w:r w:rsidR="0097633D">
              <w:t>59</w:t>
            </w:r>
          </w:p>
        </w:tc>
        <w:tc>
          <w:tcPr>
            <w:tcW w:w="1250" w:type="pct"/>
          </w:tcPr>
          <w:p w14:paraId="356CDDFE" w14:textId="72DAAE4B" w:rsidR="00B11176" w:rsidRDefault="00F82F7E">
            <w:pPr>
              <w:pStyle w:val="DecimalAligned"/>
            </w:pPr>
            <w:r>
              <w:t>57</w:t>
            </w:r>
          </w:p>
        </w:tc>
        <w:tc>
          <w:tcPr>
            <w:tcW w:w="1250" w:type="pct"/>
          </w:tcPr>
          <w:p w14:paraId="2C8D36DC" w14:textId="144BC486" w:rsidR="00B11176" w:rsidRDefault="00F82F7E">
            <w:pPr>
              <w:pStyle w:val="DecimalAligned"/>
            </w:pPr>
            <w:r>
              <w:t>50</w:t>
            </w:r>
          </w:p>
        </w:tc>
      </w:tr>
      <w:tr w:rsidR="00B11176" w14:paraId="2F63B607" w14:textId="77777777" w:rsidTr="0071744F">
        <w:trPr>
          <w:cnfStyle w:val="010000000000" w:firstRow="0" w:lastRow="1" w:firstColumn="0" w:lastColumn="0" w:oddVBand="0" w:evenVBand="0" w:oddHBand="0" w:evenHBand="0" w:firstRowFirstColumn="0" w:firstRowLastColumn="0" w:lastRowFirstColumn="0" w:lastRowLastColumn="0"/>
        </w:trPr>
        <w:tc>
          <w:tcPr>
            <w:tcW w:w="1250" w:type="pct"/>
            <w:gridSpan w:val="2"/>
            <w:noWrap/>
          </w:tcPr>
          <w:p w14:paraId="095A99D1" w14:textId="17E994BD" w:rsidR="00B11176" w:rsidRDefault="00B11176">
            <w:r>
              <w:rPr>
                <w:lang w:val="sv-SE"/>
              </w:rPr>
              <w:t>Total</w:t>
            </w:r>
            <w:r w:rsidR="0041029A">
              <w:rPr>
                <w:lang w:val="sv-SE"/>
              </w:rPr>
              <w:t xml:space="preserve">                           </w:t>
            </w:r>
            <w:r w:rsidR="00E53DF5">
              <w:rPr>
                <w:lang w:val="sv-SE"/>
              </w:rPr>
              <w:t>184</w:t>
            </w:r>
          </w:p>
        </w:tc>
        <w:tc>
          <w:tcPr>
            <w:tcW w:w="1250" w:type="pct"/>
          </w:tcPr>
          <w:p w14:paraId="73CBA5A3" w14:textId="42A95E5B" w:rsidR="00B11176" w:rsidRDefault="00E53DF5">
            <w:pPr>
              <w:pStyle w:val="DecimalAligned"/>
            </w:pPr>
            <w:r>
              <w:t xml:space="preserve">      </w:t>
            </w:r>
            <w:r w:rsidR="00777A40">
              <w:t xml:space="preserve">        157</w:t>
            </w:r>
          </w:p>
        </w:tc>
        <w:tc>
          <w:tcPr>
            <w:tcW w:w="1250" w:type="pct"/>
          </w:tcPr>
          <w:p w14:paraId="669E5FB0" w14:textId="3B32EF1C" w:rsidR="00B11176" w:rsidRDefault="00BD5031">
            <w:pPr>
              <w:pStyle w:val="DecimalAligned"/>
            </w:pPr>
            <w:r>
              <w:t>154</w:t>
            </w:r>
          </w:p>
        </w:tc>
        <w:tc>
          <w:tcPr>
            <w:tcW w:w="1250" w:type="pct"/>
          </w:tcPr>
          <w:p w14:paraId="64C9DE58" w14:textId="3D9F9B8F" w:rsidR="00B11176" w:rsidRDefault="00480286">
            <w:pPr>
              <w:pStyle w:val="DecimalAligned"/>
            </w:pPr>
            <w:r>
              <w:t>133</w:t>
            </w:r>
          </w:p>
        </w:tc>
      </w:tr>
    </w:tbl>
    <w:p w14:paraId="42C6EB06" w14:textId="77777777" w:rsidR="00F23AAE" w:rsidRPr="00B11176" w:rsidRDefault="00F23AAE" w:rsidP="00AA6496">
      <w:pPr>
        <w:spacing w:after="0" w:line="240" w:lineRule="auto"/>
        <w:rPr>
          <w:rFonts w:ascii="Times New Roman" w:eastAsia="Times New Roman" w:hAnsi="Times New Roman" w:cs="Times New Roman"/>
          <w:sz w:val="24"/>
          <w:szCs w:val="24"/>
          <w:lang w:val="sv-SE" w:eastAsia="sv-SE"/>
        </w:rPr>
      </w:pPr>
    </w:p>
    <w:p w14:paraId="18B28F0F" w14:textId="77777777" w:rsidR="00F23AAE" w:rsidRDefault="00F23AAE" w:rsidP="00AA6496">
      <w:pPr>
        <w:spacing w:after="0" w:line="240" w:lineRule="auto"/>
        <w:rPr>
          <w:rFonts w:ascii="Times New Roman" w:eastAsia="Times New Roman" w:hAnsi="Times New Roman" w:cs="Times New Roman"/>
          <w:sz w:val="24"/>
          <w:szCs w:val="24"/>
          <w:lang w:val="sv-SE" w:eastAsia="sv-SE"/>
        </w:rPr>
      </w:pPr>
    </w:p>
    <w:p w14:paraId="50963D8D" w14:textId="77777777" w:rsidR="00721C0A" w:rsidRDefault="00721C0A" w:rsidP="00AA6496">
      <w:pPr>
        <w:spacing w:after="0" w:line="240" w:lineRule="auto"/>
        <w:rPr>
          <w:rFonts w:ascii="Times New Roman" w:eastAsia="Times New Roman" w:hAnsi="Times New Roman" w:cs="Times New Roman"/>
          <w:sz w:val="24"/>
          <w:szCs w:val="24"/>
          <w:lang w:val="sv-SE" w:eastAsia="sv-SE"/>
        </w:rPr>
      </w:pPr>
    </w:p>
    <w:p w14:paraId="37B933B0" w14:textId="77777777" w:rsidR="00721C0A" w:rsidRDefault="00721C0A" w:rsidP="00AA6496">
      <w:pPr>
        <w:spacing w:after="0" w:line="240" w:lineRule="auto"/>
        <w:rPr>
          <w:rFonts w:ascii="Times New Roman" w:eastAsia="Times New Roman" w:hAnsi="Times New Roman" w:cs="Times New Roman"/>
          <w:sz w:val="24"/>
          <w:szCs w:val="24"/>
          <w:lang w:val="sv-SE" w:eastAsia="sv-SE"/>
        </w:rPr>
      </w:pPr>
    </w:p>
    <w:p w14:paraId="2F70A094" w14:textId="48AB772F" w:rsidR="003C54FC" w:rsidRDefault="00A5299B" w:rsidP="00AA6496">
      <w:pPr>
        <w:spacing w:after="0" w:line="240" w:lineRule="auto"/>
        <w:rPr>
          <w:rFonts w:ascii="Times New Roman" w:eastAsia="Times New Roman" w:hAnsi="Times New Roman" w:cs="Times New Roman"/>
          <w:sz w:val="24"/>
          <w:szCs w:val="24"/>
          <w:lang w:val="sv-SE" w:eastAsia="sv-SE"/>
        </w:rPr>
      </w:pPr>
      <w:r>
        <w:rPr>
          <w:rFonts w:ascii="Times New Roman" w:eastAsia="Times New Roman" w:hAnsi="Times New Roman" w:cs="Times New Roman"/>
          <w:noProof/>
          <w:sz w:val="24"/>
          <w:szCs w:val="24"/>
          <w:lang w:val="sv-SE" w:eastAsia="sv-SE"/>
        </w:rPr>
        <w:drawing>
          <wp:inline distT="0" distB="0" distL="0" distR="0" wp14:anchorId="75081D10" wp14:editId="6480FECA">
            <wp:extent cx="6313336" cy="3200400"/>
            <wp:effectExtent l="0" t="0" r="11430" b="0"/>
            <wp:docPr id="1498954878" name="Diagram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F193B1E" w14:textId="77777777" w:rsidR="003C54FC" w:rsidRPr="00B11176" w:rsidRDefault="003C54FC" w:rsidP="00AA6496">
      <w:pPr>
        <w:spacing w:after="0" w:line="240" w:lineRule="auto"/>
        <w:rPr>
          <w:rFonts w:ascii="Times New Roman" w:eastAsia="Times New Roman" w:hAnsi="Times New Roman" w:cs="Times New Roman"/>
          <w:sz w:val="24"/>
          <w:szCs w:val="24"/>
          <w:lang w:val="sv-SE" w:eastAsia="sv-SE"/>
        </w:rPr>
      </w:pPr>
    </w:p>
    <w:p w14:paraId="130CE738" w14:textId="77777777" w:rsidR="00F23AAE" w:rsidRPr="00B11176" w:rsidRDefault="00F23AAE" w:rsidP="00AA6496">
      <w:pPr>
        <w:spacing w:after="0" w:line="240" w:lineRule="auto"/>
        <w:rPr>
          <w:rFonts w:ascii="Times New Roman" w:eastAsia="Times New Roman" w:hAnsi="Times New Roman" w:cs="Times New Roman"/>
          <w:sz w:val="24"/>
          <w:szCs w:val="24"/>
          <w:lang w:val="sv-SE" w:eastAsia="sv-SE"/>
        </w:rPr>
      </w:pPr>
    </w:p>
    <w:p w14:paraId="64B645C3" w14:textId="6DE25F36" w:rsidR="00F02020" w:rsidRDefault="007C6E15" w:rsidP="00A536AC">
      <w:pPr>
        <w:spacing w:line="360" w:lineRule="auto"/>
        <w:jc w:val="both"/>
        <w:rPr>
          <w:rFonts w:ascii="Times New Roman" w:eastAsia="Times New Roman" w:hAnsi="Times New Roman" w:cs="Times New Roman"/>
          <w:sz w:val="24"/>
          <w:szCs w:val="24"/>
          <w:lang w:eastAsia="sv-SE"/>
        </w:rPr>
      </w:pPr>
      <w:r w:rsidRPr="000A304A">
        <w:rPr>
          <w:rFonts w:ascii="Times New Roman" w:eastAsia="Times New Roman" w:hAnsi="Times New Roman" w:cs="Times New Roman"/>
          <w:sz w:val="24"/>
          <w:szCs w:val="24"/>
          <w:lang w:eastAsia="sv-SE"/>
        </w:rPr>
        <w:t>T</w:t>
      </w:r>
      <w:r w:rsidR="007C5DE2" w:rsidRPr="000A304A">
        <w:rPr>
          <w:rFonts w:ascii="Times New Roman" w:eastAsia="Times New Roman" w:hAnsi="Times New Roman" w:cs="Times New Roman"/>
          <w:sz w:val="24"/>
          <w:szCs w:val="24"/>
          <w:lang w:eastAsia="sv-SE"/>
        </w:rPr>
        <w:t>able</w:t>
      </w:r>
      <w:r w:rsidR="00AE4558" w:rsidRPr="000A304A">
        <w:rPr>
          <w:rFonts w:ascii="Times New Roman" w:eastAsia="Times New Roman" w:hAnsi="Times New Roman" w:cs="Times New Roman"/>
          <w:sz w:val="24"/>
          <w:szCs w:val="24"/>
          <w:lang w:eastAsia="sv-SE"/>
        </w:rPr>
        <w:t>1</w:t>
      </w:r>
      <w:r>
        <w:rPr>
          <w:rFonts w:ascii="Times New Roman" w:eastAsia="Times New Roman" w:hAnsi="Times New Roman" w:cs="Times New Roman"/>
          <w:sz w:val="24"/>
          <w:szCs w:val="24"/>
          <w:lang w:eastAsia="sv-SE"/>
        </w:rPr>
        <w:t xml:space="preserve"> above</w:t>
      </w:r>
      <w:r w:rsidR="00F02020" w:rsidRPr="00F02020">
        <w:rPr>
          <w:rFonts w:ascii="Times New Roman" w:eastAsia="Times New Roman" w:hAnsi="Times New Roman" w:cs="Times New Roman"/>
          <w:sz w:val="24"/>
          <w:szCs w:val="24"/>
          <w:lang w:eastAsia="sv-SE"/>
        </w:rPr>
        <w:t xml:space="preserve"> present the </w:t>
      </w:r>
      <w:r w:rsidR="00850454">
        <w:rPr>
          <w:rFonts w:ascii="Times New Roman" w:eastAsia="Times New Roman" w:hAnsi="Times New Roman" w:cs="Times New Roman"/>
          <w:sz w:val="24"/>
          <w:szCs w:val="24"/>
          <w:lang w:eastAsia="sv-SE"/>
        </w:rPr>
        <w:t>percentage</w:t>
      </w:r>
      <w:r w:rsidR="007703C1">
        <w:rPr>
          <w:rFonts w:ascii="Times New Roman" w:eastAsia="Times New Roman" w:hAnsi="Times New Roman" w:cs="Times New Roman"/>
          <w:sz w:val="24"/>
          <w:szCs w:val="24"/>
          <w:lang w:eastAsia="sv-SE"/>
        </w:rPr>
        <w:t xml:space="preserve"> </w:t>
      </w:r>
      <w:r w:rsidR="00F02020" w:rsidRPr="00F02020">
        <w:rPr>
          <w:rFonts w:ascii="Times New Roman" w:eastAsia="Times New Roman" w:hAnsi="Times New Roman" w:cs="Times New Roman"/>
          <w:sz w:val="24"/>
          <w:szCs w:val="24"/>
          <w:lang w:eastAsia="sv-SE"/>
        </w:rPr>
        <w:t>number</w:t>
      </w:r>
      <w:r w:rsidR="00606139">
        <w:rPr>
          <w:rFonts w:ascii="Times New Roman" w:eastAsia="Times New Roman" w:hAnsi="Times New Roman" w:cs="Times New Roman"/>
          <w:sz w:val="24"/>
          <w:szCs w:val="24"/>
          <w:lang w:eastAsia="sv-SE"/>
        </w:rPr>
        <w:t>s</w:t>
      </w:r>
      <w:r w:rsidR="00F02020" w:rsidRPr="00F02020">
        <w:rPr>
          <w:rFonts w:ascii="Times New Roman" w:eastAsia="Times New Roman" w:hAnsi="Times New Roman" w:cs="Times New Roman"/>
          <w:sz w:val="24"/>
          <w:szCs w:val="24"/>
          <w:lang w:eastAsia="sv-SE"/>
        </w:rPr>
        <w:t xml:space="preserve"> of students participating in post-secondary education by gender and disability status between 2018 and 2020</w:t>
      </w:r>
      <w:r w:rsidR="00E55CCC">
        <w:rPr>
          <w:rFonts w:ascii="Times New Roman" w:eastAsia="Times New Roman" w:hAnsi="Times New Roman" w:cs="Times New Roman"/>
          <w:sz w:val="24"/>
          <w:szCs w:val="24"/>
          <w:lang w:eastAsia="sv-SE"/>
        </w:rPr>
        <w:t xml:space="preserve"> showing an increase </w:t>
      </w:r>
      <w:r w:rsidR="00F02020" w:rsidRPr="00F02020">
        <w:rPr>
          <w:rFonts w:ascii="Times New Roman" w:eastAsia="Times New Roman" w:hAnsi="Times New Roman" w:cs="Times New Roman"/>
          <w:sz w:val="24"/>
          <w:szCs w:val="24"/>
          <w:lang w:eastAsia="sv-SE"/>
        </w:rPr>
        <w:t>across all four groups during the three-year period. Among female students without disabilities, the number of participating students increased from 53</w:t>
      </w:r>
      <w:r w:rsidR="005243D6">
        <w:rPr>
          <w:rFonts w:ascii="Times New Roman" w:eastAsia="Times New Roman" w:hAnsi="Times New Roman" w:cs="Times New Roman"/>
          <w:sz w:val="24"/>
          <w:szCs w:val="24"/>
          <w:lang w:eastAsia="sv-SE"/>
        </w:rPr>
        <w:t>%</w:t>
      </w:r>
      <w:r w:rsidR="00F02020" w:rsidRPr="00F02020">
        <w:rPr>
          <w:rFonts w:ascii="Times New Roman" w:eastAsia="Times New Roman" w:hAnsi="Times New Roman" w:cs="Times New Roman"/>
          <w:sz w:val="24"/>
          <w:szCs w:val="24"/>
          <w:lang w:eastAsia="sv-SE"/>
        </w:rPr>
        <w:t xml:space="preserve"> in 2018 to 63</w:t>
      </w:r>
      <w:r w:rsidR="005243D6">
        <w:rPr>
          <w:rFonts w:ascii="Times New Roman" w:eastAsia="Times New Roman" w:hAnsi="Times New Roman" w:cs="Times New Roman"/>
          <w:sz w:val="24"/>
          <w:szCs w:val="24"/>
          <w:lang w:eastAsia="sv-SE"/>
        </w:rPr>
        <w:t>%</w:t>
      </w:r>
      <w:r w:rsidR="00F02020" w:rsidRPr="00F02020">
        <w:rPr>
          <w:rFonts w:ascii="Times New Roman" w:eastAsia="Times New Roman" w:hAnsi="Times New Roman" w:cs="Times New Roman"/>
          <w:sz w:val="24"/>
          <w:szCs w:val="24"/>
          <w:lang w:eastAsia="sv-SE"/>
        </w:rPr>
        <w:t xml:space="preserve"> in 2019 and 68</w:t>
      </w:r>
      <w:r w:rsidR="005243D6">
        <w:rPr>
          <w:rFonts w:ascii="Times New Roman" w:eastAsia="Times New Roman" w:hAnsi="Times New Roman" w:cs="Times New Roman"/>
          <w:sz w:val="24"/>
          <w:szCs w:val="24"/>
          <w:lang w:eastAsia="sv-SE"/>
        </w:rPr>
        <w:t>%</w:t>
      </w:r>
      <w:r w:rsidR="00F02020" w:rsidRPr="00F02020">
        <w:rPr>
          <w:rFonts w:ascii="Times New Roman" w:eastAsia="Times New Roman" w:hAnsi="Times New Roman" w:cs="Times New Roman"/>
          <w:sz w:val="24"/>
          <w:szCs w:val="24"/>
          <w:lang w:eastAsia="sv-SE"/>
        </w:rPr>
        <w:t xml:space="preserve"> in 2020. A similar upward trend was observed among female students with disabilities, with participation increasing from 44</w:t>
      </w:r>
      <w:r w:rsidR="00C4089C">
        <w:rPr>
          <w:rFonts w:ascii="Times New Roman" w:eastAsia="Times New Roman" w:hAnsi="Times New Roman" w:cs="Times New Roman"/>
          <w:sz w:val="24"/>
          <w:szCs w:val="24"/>
          <w:lang w:eastAsia="sv-SE"/>
        </w:rPr>
        <w:t>%</w:t>
      </w:r>
      <w:r w:rsidR="00F02020" w:rsidRPr="00F02020">
        <w:rPr>
          <w:rFonts w:ascii="Times New Roman" w:eastAsia="Times New Roman" w:hAnsi="Times New Roman" w:cs="Times New Roman"/>
          <w:sz w:val="24"/>
          <w:szCs w:val="24"/>
          <w:lang w:eastAsia="sv-SE"/>
        </w:rPr>
        <w:t xml:space="preserve"> in 2018 to 54</w:t>
      </w:r>
      <w:r w:rsidR="00C4089C">
        <w:rPr>
          <w:rFonts w:ascii="Times New Roman" w:eastAsia="Times New Roman" w:hAnsi="Times New Roman" w:cs="Times New Roman"/>
          <w:sz w:val="24"/>
          <w:szCs w:val="24"/>
          <w:lang w:eastAsia="sv-SE"/>
        </w:rPr>
        <w:t>%</w:t>
      </w:r>
      <w:r w:rsidR="00F02020" w:rsidRPr="00F02020">
        <w:rPr>
          <w:rFonts w:ascii="Times New Roman" w:eastAsia="Times New Roman" w:hAnsi="Times New Roman" w:cs="Times New Roman"/>
          <w:sz w:val="24"/>
          <w:szCs w:val="24"/>
          <w:lang w:eastAsia="sv-SE"/>
        </w:rPr>
        <w:t xml:space="preserve"> in 2019 and 59</w:t>
      </w:r>
      <w:r w:rsidR="00E76792">
        <w:rPr>
          <w:rFonts w:ascii="Times New Roman" w:eastAsia="Times New Roman" w:hAnsi="Times New Roman" w:cs="Times New Roman"/>
          <w:sz w:val="24"/>
          <w:szCs w:val="24"/>
          <w:lang w:eastAsia="sv-SE"/>
        </w:rPr>
        <w:t>%</w:t>
      </w:r>
      <w:r w:rsidR="00F02020" w:rsidRPr="00F02020">
        <w:rPr>
          <w:rFonts w:ascii="Times New Roman" w:eastAsia="Times New Roman" w:hAnsi="Times New Roman" w:cs="Times New Roman"/>
          <w:sz w:val="24"/>
          <w:szCs w:val="24"/>
          <w:lang w:eastAsia="sv-SE"/>
        </w:rPr>
        <w:t xml:space="preserve"> in 2020. </w:t>
      </w:r>
      <w:r w:rsidR="00170102">
        <w:rPr>
          <w:rFonts w:ascii="Times New Roman" w:eastAsia="Times New Roman" w:hAnsi="Times New Roman" w:cs="Times New Roman"/>
          <w:sz w:val="24"/>
          <w:szCs w:val="24"/>
          <w:lang w:eastAsia="sv-SE"/>
        </w:rPr>
        <w:t xml:space="preserve">Even among </w:t>
      </w:r>
      <w:r w:rsidR="00F02020" w:rsidRPr="00F02020">
        <w:rPr>
          <w:rFonts w:ascii="Times New Roman" w:eastAsia="Times New Roman" w:hAnsi="Times New Roman" w:cs="Times New Roman"/>
          <w:sz w:val="24"/>
          <w:szCs w:val="24"/>
          <w:lang w:eastAsia="sv-SE"/>
        </w:rPr>
        <w:t>male students, participation also increased over the period, from 44</w:t>
      </w:r>
      <w:r w:rsidR="00E76792">
        <w:rPr>
          <w:rFonts w:ascii="Times New Roman" w:eastAsia="Times New Roman" w:hAnsi="Times New Roman" w:cs="Times New Roman"/>
          <w:sz w:val="24"/>
          <w:szCs w:val="24"/>
          <w:lang w:eastAsia="sv-SE"/>
        </w:rPr>
        <w:t>%</w:t>
      </w:r>
      <w:r w:rsidR="00F02020" w:rsidRPr="00F02020">
        <w:rPr>
          <w:rFonts w:ascii="Times New Roman" w:eastAsia="Times New Roman" w:hAnsi="Times New Roman" w:cs="Times New Roman"/>
          <w:sz w:val="24"/>
          <w:szCs w:val="24"/>
          <w:lang w:eastAsia="sv-SE"/>
        </w:rPr>
        <w:t xml:space="preserve"> to 53</w:t>
      </w:r>
      <w:r w:rsidR="00E76792">
        <w:rPr>
          <w:rFonts w:ascii="Times New Roman" w:eastAsia="Times New Roman" w:hAnsi="Times New Roman" w:cs="Times New Roman"/>
          <w:sz w:val="24"/>
          <w:szCs w:val="24"/>
          <w:lang w:eastAsia="sv-SE"/>
        </w:rPr>
        <w:t>%</w:t>
      </w:r>
      <w:r w:rsidR="00F02020" w:rsidRPr="00F02020">
        <w:rPr>
          <w:rFonts w:ascii="Times New Roman" w:eastAsia="Times New Roman" w:hAnsi="Times New Roman" w:cs="Times New Roman"/>
          <w:sz w:val="24"/>
          <w:szCs w:val="24"/>
          <w:lang w:eastAsia="sv-SE"/>
        </w:rPr>
        <w:t xml:space="preserve"> and 57</w:t>
      </w:r>
      <w:r w:rsidR="00E76792">
        <w:rPr>
          <w:rFonts w:ascii="Times New Roman" w:eastAsia="Times New Roman" w:hAnsi="Times New Roman" w:cs="Times New Roman"/>
          <w:sz w:val="24"/>
          <w:szCs w:val="24"/>
          <w:lang w:eastAsia="sv-SE"/>
        </w:rPr>
        <w:t>%</w:t>
      </w:r>
      <w:r w:rsidR="00F02020" w:rsidRPr="00F02020">
        <w:rPr>
          <w:rFonts w:ascii="Times New Roman" w:eastAsia="Times New Roman" w:hAnsi="Times New Roman" w:cs="Times New Roman"/>
          <w:sz w:val="24"/>
          <w:szCs w:val="24"/>
          <w:lang w:eastAsia="sv-SE"/>
        </w:rPr>
        <w:t xml:space="preserve"> students among those without disabilities, and from 38</w:t>
      </w:r>
      <w:r w:rsidR="00E76792">
        <w:rPr>
          <w:rFonts w:ascii="Times New Roman" w:eastAsia="Times New Roman" w:hAnsi="Times New Roman" w:cs="Times New Roman"/>
          <w:sz w:val="24"/>
          <w:szCs w:val="24"/>
          <w:lang w:eastAsia="sv-SE"/>
        </w:rPr>
        <w:t>%</w:t>
      </w:r>
      <w:r w:rsidR="00F02020" w:rsidRPr="00F02020">
        <w:rPr>
          <w:rFonts w:ascii="Times New Roman" w:eastAsia="Times New Roman" w:hAnsi="Times New Roman" w:cs="Times New Roman"/>
          <w:sz w:val="24"/>
          <w:szCs w:val="24"/>
          <w:lang w:eastAsia="sv-SE"/>
        </w:rPr>
        <w:t xml:space="preserve"> to 45</w:t>
      </w:r>
      <w:r w:rsidR="00E76792">
        <w:rPr>
          <w:rFonts w:ascii="Times New Roman" w:eastAsia="Times New Roman" w:hAnsi="Times New Roman" w:cs="Times New Roman"/>
          <w:sz w:val="24"/>
          <w:szCs w:val="24"/>
          <w:lang w:eastAsia="sv-SE"/>
        </w:rPr>
        <w:t>%</w:t>
      </w:r>
      <w:r w:rsidR="00F02020" w:rsidRPr="00F02020">
        <w:rPr>
          <w:rFonts w:ascii="Times New Roman" w:eastAsia="Times New Roman" w:hAnsi="Times New Roman" w:cs="Times New Roman"/>
          <w:sz w:val="24"/>
          <w:szCs w:val="24"/>
          <w:lang w:eastAsia="sv-SE"/>
        </w:rPr>
        <w:t xml:space="preserve"> and 50</w:t>
      </w:r>
      <w:r w:rsidR="00E76792">
        <w:rPr>
          <w:rFonts w:ascii="Times New Roman" w:eastAsia="Times New Roman" w:hAnsi="Times New Roman" w:cs="Times New Roman"/>
          <w:sz w:val="24"/>
          <w:szCs w:val="24"/>
          <w:lang w:eastAsia="sv-SE"/>
        </w:rPr>
        <w:t>%</w:t>
      </w:r>
      <w:r w:rsidR="00F02020" w:rsidRPr="00F02020">
        <w:rPr>
          <w:rFonts w:ascii="Times New Roman" w:eastAsia="Times New Roman" w:hAnsi="Times New Roman" w:cs="Times New Roman"/>
          <w:sz w:val="24"/>
          <w:szCs w:val="24"/>
          <w:lang w:eastAsia="sv-SE"/>
        </w:rPr>
        <w:t xml:space="preserve"> students among those with disabilities in 2018, 2019 and 2020, respectively.</w:t>
      </w:r>
    </w:p>
    <w:p w14:paraId="528854A9" w14:textId="41A3FDA9" w:rsidR="007C6E15" w:rsidRPr="000E3237" w:rsidRDefault="00984F03" w:rsidP="00A536AC">
      <w:pPr>
        <w:spacing w:line="360" w:lineRule="auto"/>
        <w:jc w:val="both"/>
        <w:rPr>
          <w:rFonts w:ascii="Times New Roman" w:eastAsia="Times New Roman" w:hAnsi="Times New Roman" w:cs="Times New Roman"/>
          <w:b/>
          <w:bCs/>
          <w:sz w:val="24"/>
          <w:szCs w:val="24"/>
          <w:lang w:eastAsia="sv-SE"/>
        </w:rPr>
      </w:pPr>
      <w:r w:rsidRPr="000E3237">
        <w:rPr>
          <w:rFonts w:ascii="Times New Roman" w:eastAsia="Times New Roman" w:hAnsi="Times New Roman" w:cs="Times New Roman"/>
          <w:b/>
          <w:bCs/>
          <w:sz w:val="24"/>
          <w:szCs w:val="24"/>
          <w:lang w:eastAsia="sv-SE"/>
        </w:rPr>
        <w:t>Disability patterns</w:t>
      </w:r>
    </w:p>
    <w:p w14:paraId="39223A83" w14:textId="77777777" w:rsidR="000E3237" w:rsidRDefault="000E3237" w:rsidP="00A536AC">
      <w:pPr>
        <w:spacing w:line="360" w:lineRule="auto"/>
        <w:jc w:val="both"/>
        <w:rPr>
          <w:rFonts w:ascii="Times New Roman" w:eastAsia="Times New Roman" w:hAnsi="Times New Roman" w:cs="Times New Roman"/>
          <w:sz w:val="24"/>
          <w:szCs w:val="24"/>
          <w:lang w:eastAsia="sv-SE"/>
        </w:rPr>
      </w:pPr>
      <w:r w:rsidRPr="000E3237">
        <w:rPr>
          <w:rFonts w:ascii="Times New Roman" w:eastAsia="Times New Roman" w:hAnsi="Times New Roman" w:cs="Times New Roman"/>
          <w:sz w:val="24"/>
          <w:szCs w:val="24"/>
          <w:lang w:eastAsia="sv-SE"/>
        </w:rPr>
        <w:t>Across all three years, participation was higher among students without disabilities than among students with disabilities for both females and males. Among female students, the participation gap remained constant at 9 percentage points, while among male students it ranged from 6 to 8 percentage points. These findings indicate a consistent descriptive gap in post-secondary participation between students with and without disabilities throughout the observation period.</w:t>
      </w:r>
    </w:p>
    <w:p w14:paraId="449E59A3" w14:textId="77777777" w:rsidR="00E21203" w:rsidRDefault="00E21203" w:rsidP="00A536AC">
      <w:pPr>
        <w:spacing w:line="360" w:lineRule="auto"/>
        <w:jc w:val="both"/>
        <w:rPr>
          <w:rFonts w:ascii="Times New Roman" w:eastAsia="Times New Roman" w:hAnsi="Times New Roman" w:cs="Times New Roman"/>
          <w:b/>
          <w:bCs/>
          <w:sz w:val="24"/>
          <w:szCs w:val="24"/>
          <w:lang w:eastAsia="sv-SE"/>
        </w:rPr>
      </w:pPr>
    </w:p>
    <w:p w14:paraId="2F9CB1B7" w14:textId="77777777" w:rsidR="00E21203" w:rsidRDefault="00E21203" w:rsidP="00A536AC">
      <w:pPr>
        <w:spacing w:line="360" w:lineRule="auto"/>
        <w:jc w:val="both"/>
        <w:rPr>
          <w:rFonts w:ascii="Times New Roman" w:eastAsia="Times New Roman" w:hAnsi="Times New Roman" w:cs="Times New Roman"/>
          <w:b/>
          <w:bCs/>
          <w:sz w:val="24"/>
          <w:szCs w:val="24"/>
          <w:lang w:eastAsia="sv-SE"/>
        </w:rPr>
      </w:pPr>
    </w:p>
    <w:p w14:paraId="30BDD892" w14:textId="09E19EFB" w:rsidR="00984F03" w:rsidRPr="00D836DC" w:rsidRDefault="00302C7F" w:rsidP="00A536AC">
      <w:pPr>
        <w:spacing w:line="360" w:lineRule="auto"/>
        <w:jc w:val="both"/>
        <w:rPr>
          <w:rFonts w:ascii="Times New Roman" w:eastAsia="Times New Roman" w:hAnsi="Times New Roman" w:cs="Times New Roman"/>
          <w:b/>
          <w:bCs/>
          <w:sz w:val="24"/>
          <w:szCs w:val="24"/>
          <w:lang w:eastAsia="sv-SE"/>
        </w:rPr>
      </w:pPr>
      <w:r w:rsidRPr="00D836DC">
        <w:rPr>
          <w:rFonts w:ascii="Times New Roman" w:eastAsia="Times New Roman" w:hAnsi="Times New Roman" w:cs="Times New Roman"/>
          <w:b/>
          <w:bCs/>
          <w:sz w:val="24"/>
          <w:szCs w:val="24"/>
          <w:lang w:eastAsia="sv-SE"/>
        </w:rPr>
        <w:lastRenderedPageBreak/>
        <w:t>Gender patterns</w:t>
      </w:r>
    </w:p>
    <w:p w14:paraId="11E8FA0B" w14:textId="72035708" w:rsidR="003B49C5" w:rsidRPr="00FB73AB" w:rsidRDefault="005B77AD" w:rsidP="00CD5029">
      <w:pPr>
        <w:spacing w:line="360" w:lineRule="auto"/>
        <w:jc w:val="both"/>
        <w:rPr>
          <w:rFonts w:ascii="Times New Roman" w:eastAsia="Times New Roman" w:hAnsi="Times New Roman" w:cs="Times New Roman"/>
          <w:sz w:val="24"/>
          <w:szCs w:val="24"/>
          <w:lang w:eastAsia="sv-SE"/>
        </w:rPr>
      </w:pPr>
      <w:r w:rsidRPr="005B77AD">
        <w:rPr>
          <w:rFonts w:ascii="Times New Roman" w:eastAsia="Times New Roman" w:hAnsi="Times New Roman" w:cs="Times New Roman"/>
          <w:sz w:val="24"/>
          <w:szCs w:val="24"/>
          <w:lang w:eastAsia="sv-SE"/>
        </w:rPr>
        <w:t>Female students consistently recorded higher participation than male students in both disability groups. Among students without disabilities, female participation exceeded male participation by 9 percentage points in 2018, 10 in 2019, and 11 in 2020. Among students with disabilities, the corresponding differences were 6, 9, and 9 percentage points</w:t>
      </w:r>
      <w:r w:rsidR="00CD5029">
        <w:rPr>
          <w:rFonts w:ascii="Times New Roman" w:eastAsia="Times New Roman" w:hAnsi="Times New Roman" w:cs="Times New Roman"/>
          <w:sz w:val="24"/>
          <w:szCs w:val="24"/>
          <w:lang w:eastAsia="sv-SE"/>
        </w:rPr>
        <w:t xml:space="preserve"> consecutively</w:t>
      </w:r>
      <w:r w:rsidRPr="005B77AD">
        <w:rPr>
          <w:rFonts w:ascii="Times New Roman" w:eastAsia="Times New Roman" w:hAnsi="Times New Roman" w:cs="Times New Roman"/>
          <w:sz w:val="24"/>
          <w:szCs w:val="24"/>
          <w:lang w:eastAsia="sv-SE"/>
        </w:rPr>
        <w:t>. Although participation increased for both genders, female students consistently recorded higher participation across the three-year period.</w:t>
      </w:r>
    </w:p>
    <w:p w14:paraId="41A04B37" w14:textId="1F02E71B" w:rsidR="00A536AC" w:rsidRPr="00E838E6" w:rsidRDefault="00E838E6" w:rsidP="00E838E6">
      <w:pPr>
        <w:spacing w:before="100" w:beforeAutospacing="1" w:after="100" w:afterAutospacing="1" w:line="360" w:lineRule="auto"/>
        <w:jc w:val="both"/>
        <w:rPr>
          <w:rFonts w:ascii="Times New Roman" w:eastAsia="Times New Roman" w:hAnsi="Times New Roman" w:cs="Times New Roman"/>
          <w:b/>
          <w:bCs/>
          <w:sz w:val="24"/>
          <w:szCs w:val="24"/>
          <w:lang w:eastAsia="sv-SE"/>
        </w:rPr>
      </w:pPr>
      <w:r w:rsidRPr="00E838E6">
        <w:rPr>
          <w:rFonts w:ascii="Times New Roman" w:eastAsia="Times New Roman" w:hAnsi="Times New Roman" w:cs="Times New Roman"/>
          <w:b/>
          <w:bCs/>
          <w:sz w:val="24"/>
          <w:szCs w:val="24"/>
          <w:lang w:eastAsia="sv-SE"/>
        </w:rPr>
        <w:t>Participation in Post-Secondary Education</w:t>
      </w:r>
    </w:p>
    <w:p w14:paraId="5EB758DE" w14:textId="5E177FC0" w:rsidR="00637016" w:rsidRPr="00EE4E16" w:rsidRDefault="0056189A" w:rsidP="00637016">
      <w:pPr>
        <w:rPr>
          <w:rFonts w:ascii="Times New Roman" w:hAnsi="Times New Roman" w:cs="Times New Roman"/>
          <w:sz w:val="24"/>
          <w:szCs w:val="24"/>
        </w:rPr>
      </w:pPr>
      <w:r w:rsidRPr="0056189A">
        <w:rPr>
          <w:rFonts w:ascii="Times New Roman" w:hAnsi="Times New Roman" w:cs="Times New Roman"/>
          <w:sz w:val="24"/>
          <w:szCs w:val="24"/>
        </w:rPr>
        <w:t>Does participation in post-secondary education differ significantly across the first three years following completion of secondary education?</w:t>
      </w:r>
    </w:p>
    <w:p w14:paraId="01F60D64" w14:textId="77777777" w:rsidR="00684B27" w:rsidRPr="009A1F59" w:rsidRDefault="00684B27" w:rsidP="00684B27">
      <w:pPr>
        <w:spacing w:before="100" w:beforeAutospacing="1" w:after="100" w:afterAutospacing="1" w:line="360" w:lineRule="auto"/>
        <w:jc w:val="both"/>
        <w:rPr>
          <w:rFonts w:ascii="Times New Roman" w:eastAsia="Times New Roman" w:hAnsi="Times New Roman" w:cs="Times New Roman"/>
          <w:sz w:val="24"/>
          <w:szCs w:val="24"/>
          <w:lang w:eastAsia="sv-SE"/>
        </w:rPr>
      </w:pPr>
      <w:r w:rsidRPr="009A1F59">
        <w:rPr>
          <w:rFonts w:ascii="Times New Roman" w:eastAsia="Times New Roman" w:hAnsi="Times New Roman" w:cs="Times New Roman"/>
          <w:b/>
          <w:bCs/>
          <w:sz w:val="24"/>
          <w:szCs w:val="24"/>
          <w:lang w:eastAsia="sv-SE"/>
        </w:rPr>
        <w:t>H0: Null Hypothesis</w:t>
      </w:r>
    </w:p>
    <w:p w14:paraId="576C588B" w14:textId="77777777" w:rsidR="00684B27" w:rsidRPr="009A1F59" w:rsidRDefault="00684B27" w:rsidP="00684B27">
      <w:pPr>
        <w:spacing w:before="100" w:beforeAutospacing="1" w:after="100" w:afterAutospacing="1" w:line="360" w:lineRule="auto"/>
        <w:jc w:val="both"/>
        <w:rPr>
          <w:rFonts w:ascii="Times New Roman" w:eastAsia="Times New Roman" w:hAnsi="Times New Roman" w:cs="Times New Roman"/>
          <w:sz w:val="24"/>
          <w:szCs w:val="24"/>
          <w:lang w:eastAsia="sv-SE"/>
        </w:rPr>
      </w:pPr>
      <w:r w:rsidRPr="009A1F59">
        <w:rPr>
          <w:rFonts w:ascii="Times New Roman" w:eastAsia="Times New Roman" w:hAnsi="Times New Roman" w:cs="Times New Roman"/>
          <w:sz w:val="24"/>
          <w:szCs w:val="24"/>
          <w:lang w:eastAsia="sv-SE"/>
        </w:rPr>
        <w:t>There is no statistically significant difference in post-secondary education participation across the first three years following completion of secondary education.</w:t>
      </w:r>
    </w:p>
    <w:p w14:paraId="728DB492" w14:textId="77777777" w:rsidR="00684B27" w:rsidRPr="009A1F59" w:rsidRDefault="00684B27" w:rsidP="00684B27">
      <w:pPr>
        <w:spacing w:before="100" w:beforeAutospacing="1" w:after="100" w:afterAutospacing="1" w:line="360" w:lineRule="auto"/>
        <w:jc w:val="both"/>
        <w:rPr>
          <w:rFonts w:ascii="Times New Roman" w:eastAsia="Times New Roman" w:hAnsi="Times New Roman" w:cs="Times New Roman"/>
          <w:sz w:val="24"/>
          <w:szCs w:val="24"/>
          <w:lang w:eastAsia="sv-SE"/>
        </w:rPr>
      </w:pPr>
      <w:r w:rsidRPr="009A1F59">
        <w:rPr>
          <w:rFonts w:ascii="Times New Roman" w:eastAsia="Times New Roman" w:hAnsi="Times New Roman" w:cs="Times New Roman"/>
          <w:b/>
          <w:bCs/>
          <w:sz w:val="24"/>
          <w:szCs w:val="24"/>
          <w:lang w:eastAsia="sv-SE"/>
        </w:rPr>
        <w:t>H1: Alternative Hypothesis</w:t>
      </w:r>
    </w:p>
    <w:p w14:paraId="2377A465" w14:textId="77777777" w:rsidR="0076562A" w:rsidRDefault="00684B27" w:rsidP="0076562A">
      <w:pPr>
        <w:spacing w:before="100" w:beforeAutospacing="1" w:after="100" w:afterAutospacing="1" w:line="360" w:lineRule="auto"/>
        <w:jc w:val="both"/>
        <w:rPr>
          <w:rFonts w:ascii="Times New Roman" w:eastAsia="Times New Roman" w:hAnsi="Times New Roman" w:cs="Times New Roman"/>
          <w:sz w:val="24"/>
          <w:szCs w:val="24"/>
          <w:lang w:eastAsia="sv-SE"/>
        </w:rPr>
      </w:pPr>
      <w:r w:rsidRPr="009A1F59">
        <w:rPr>
          <w:rFonts w:ascii="Times New Roman" w:eastAsia="Times New Roman" w:hAnsi="Times New Roman" w:cs="Times New Roman"/>
          <w:sz w:val="24"/>
          <w:szCs w:val="24"/>
          <w:lang w:eastAsia="sv-SE"/>
        </w:rPr>
        <w:t>There is a statistically significant difference in post-secondary education participation across the first three years following completion of secondary education.</w:t>
      </w:r>
      <w:r w:rsidR="00E0289E">
        <w:rPr>
          <w:rFonts w:ascii="Times New Roman" w:eastAsia="Times New Roman" w:hAnsi="Times New Roman" w:cs="Times New Roman"/>
          <w:sz w:val="24"/>
          <w:szCs w:val="24"/>
          <w:lang w:eastAsia="sv-SE"/>
        </w:rPr>
        <w:t xml:space="preserve"> </w:t>
      </w:r>
    </w:p>
    <w:p w14:paraId="55A62449" w14:textId="4EC98171" w:rsidR="00684B27" w:rsidRPr="00684B27" w:rsidRDefault="00E0289E" w:rsidP="0076562A">
      <w:pPr>
        <w:spacing w:before="100" w:beforeAutospacing="1" w:after="100" w:afterAutospacing="1" w:line="360" w:lineRule="auto"/>
        <w:jc w:val="both"/>
        <w:rPr>
          <w:rFonts w:ascii="Times New Roman" w:eastAsia="Times New Roman" w:hAnsi="Times New Roman" w:cs="Times New Roman"/>
          <w:sz w:val="24"/>
          <w:szCs w:val="24"/>
          <w:lang w:eastAsia="sv-SE"/>
        </w:rPr>
      </w:pPr>
      <w:r w:rsidRPr="00CD5029">
        <w:rPr>
          <w:rFonts w:ascii="Times New Roman" w:eastAsia="Times New Roman" w:hAnsi="Times New Roman" w:cs="Times New Roman"/>
          <w:b/>
          <w:bCs/>
          <w:color w:val="000000"/>
          <w:sz w:val="24"/>
          <w:szCs w:val="24"/>
          <w:lang w:val="sv-SE" w:eastAsia="sv-SE"/>
        </w:rPr>
        <w:t>Table 2</w:t>
      </w:r>
      <w:r w:rsidRPr="003D1A44">
        <w:rPr>
          <w:rFonts w:ascii="Times New Roman" w:eastAsia="Times New Roman" w:hAnsi="Times New Roman" w:cs="Times New Roman"/>
          <w:color w:val="000000"/>
          <w:sz w:val="24"/>
          <w:szCs w:val="24"/>
          <w:lang w:val="sv-SE" w:eastAsia="sv-SE"/>
        </w:rPr>
        <w:t xml:space="preserve">: </w:t>
      </w:r>
      <w:r>
        <w:rPr>
          <w:rFonts w:ascii="Times New Roman" w:eastAsia="Times New Roman" w:hAnsi="Times New Roman" w:cs="Times New Roman"/>
          <w:color w:val="000000"/>
          <w:sz w:val="24"/>
          <w:szCs w:val="24"/>
          <w:lang w:val="sv-SE" w:eastAsia="sv-SE"/>
        </w:rPr>
        <w:t xml:space="preserve"> </w:t>
      </w:r>
      <w:r w:rsidRPr="00CD5029">
        <w:rPr>
          <w:rFonts w:ascii="Times New Roman" w:eastAsia="Times New Roman" w:hAnsi="Times New Roman" w:cs="Times New Roman"/>
          <w:b/>
          <w:bCs/>
          <w:color w:val="000000"/>
          <w:sz w:val="24"/>
          <w:szCs w:val="24"/>
          <w:lang w:val="sv-SE" w:eastAsia="sv-SE"/>
        </w:rPr>
        <w:t>Anova: Single factor</w:t>
      </w:r>
    </w:p>
    <w:tbl>
      <w:tblPr>
        <w:tblW w:w="8468" w:type="dxa"/>
        <w:tblCellMar>
          <w:left w:w="70" w:type="dxa"/>
          <w:right w:w="70" w:type="dxa"/>
        </w:tblCellMar>
        <w:tblLook w:val="04A0" w:firstRow="1" w:lastRow="0" w:firstColumn="1" w:lastColumn="0" w:noHBand="0" w:noVBand="1"/>
      </w:tblPr>
      <w:tblGrid>
        <w:gridCol w:w="1676"/>
        <w:gridCol w:w="978"/>
        <w:gridCol w:w="960"/>
        <w:gridCol w:w="978"/>
        <w:gridCol w:w="978"/>
        <w:gridCol w:w="978"/>
        <w:gridCol w:w="960"/>
        <w:gridCol w:w="960"/>
      </w:tblGrid>
      <w:tr w:rsidR="0076562A" w:rsidRPr="008B396E" w14:paraId="46FBF4B0" w14:textId="77777777" w:rsidTr="003B49C5">
        <w:trPr>
          <w:trHeight w:val="300"/>
        </w:trPr>
        <w:tc>
          <w:tcPr>
            <w:tcW w:w="2654" w:type="dxa"/>
            <w:gridSpan w:val="2"/>
            <w:tcBorders>
              <w:top w:val="nil"/>
              <w:left w:val="nil"/>
              <w:bottom w:val="nil"/>
              <w:right w:val="nil"/>
            </w:tcBorders>
            <w:noWrap/>
            <w:vAlign w:val="bottom"/>
            <w:hideMark/>
          </w:tcPr>
          <w:p w14:paraId="65545F02" w14:textId="77777777" w:rsidR="0076562A" w:rsidRPr="008B396E" w:rsidRDefault="0076562A" w:rsidP="0076562A">
            <w:pPr>
              <w:spacing w:after="0" w:line="240" w:lineRule="auto"/>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SUMMARY</w:t>
            </w:r>
          </w:p>
        </w:tc>
        <w:tc>
          <w:tcPr>
            <w:tcW w:w="960" w:type="dxa"/>
            <w:tcBorders>
              <w:top w:val="nil"/>
              <w:left w:val="nil"/>
              <w:bottom w:val="nil"/>
              <w:right w:val="nil"/>
            </w:tcBorders>
            <w:noWrap/>
            <w:vAlign w:val="bottom"/>
            <w:hideMark/>
          </w:tcPr>
          <w:p w14:paraId="70CDB002" w14:textId="77777777" w:rsidR="0076562A" w:rsidRPr="008B396E" w:rsidRDefault="0076562A" w:rsidP="0076562A">
            <w:pPr>
              <w:spacing w:after="0" w:line="240" w:lineRule="auto"/>
              <w:rPr>
                <w:rFonts w:ascii="Aptos Narrow" w:eastAsia="Times New Roman" w:hAnsi="Aptos Narrow" w:cs="Times New Roman"/>
                <w:color w:val="000000"/>
                <w:lang w:val="sv-SE" w:eastAsia="sv-SE"/>
              </w:rPr>
            </w:pPr>
          </w:p>
        </w:tc>
        <w:tc>
          <w:tcPr>
            <w:tcW w:w="978" w:type="dxa"/>
            <w:tcBorders>
              <w:top w:val="nil"/>
              <w:left w:val="nil"/>
              <w:bottom w:val="nil"/>
              <w:right w:val="nil"/>
            </w:tcBorders>
            <w:noWrap/>
            <w:vAlign w:val="bottom"/>
            <w:hideMark/>
          </w:tcPr>
          <w:p w14:paraId="1DE6263A"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78" w:type="dxa"/>
            <w:tcBorders>
              <w:top w:val="nil"/>
              <w:left w:val="nil"/>
              <w:bottom w:val="nil"/>
              <w:right w:val="nil"/>
            </w:tcBorders>
            <w:noWrap/>
            <w:vAlign w:val="bottom"/>
            <w:hideMark/>
          </w:tcPr>
          <w:p w14:paraId="21554F52"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78" w:type="dxa"/>
            <w:tcBorders>
              <w:top w:val="nil"/>
              <w:left w:val="nil"/>
              <w:bottom w:val="nil"/>
              <w:right w:val="nil"/>
            </w:tcBorders>
            <w:noWrap/>
            <w:vAlign w:val="bottom"/>
            <w:hideMark/>
          </w:tcPr>
          <w:p w14:paraId="60D0C4DE"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60" w:type="dxa"/>
            <w:tcBorders>
              <w:top w:val="nil"/>
              <w:left w:val="nil"/>
              <w:bottom w:val="nil"/>
              <w:right w:val="nil"/>
            </w:tcBorders>
            <w:noWrap/>
            <w:vAlign w:val="bottom"/>
            <w:hideMark/>
          </w:tcPr>
          <w:p w14:paraId="441D6ECF"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60" w:type="dxa"/>
            <w:tcBorders>
              <w:top w:val="nil"/>
              <w:left w:val="nil"/>
              <w:bottom w:val="nil"/>
              <w:right w:val="nil"/>
            </w:tcBorders>
            <w:noWrap/>
            <w:vAlign w:val="bottom"/>
            <w:hideMark/>
          </w:tcPr>
          <w:p w14:paraId="3830E633"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r>
      <w:tr w:rsidR="0076562A" w:rsidRPr="008B396E" w14:paraId="77C1C857" w14:textId="77777777" w:rsidTr="003B49C5">
        <w:trPr>
          <w:trHeight w:val="290"/>
        </w:trPr>
        <w:tc>
          <w:tcPr>
            <w:tcW w:w="1676" w:type="dxa"/>
            <w:tcBorders>
              <w:top w:val="single" w:sz="8" w:space="0" w:color="auto"/>
              <w:left w:val="nil"/>
              <w:bottom w:val="single" w:sz="4" w:space="0" w:color="auto"/>
              <w:right w:val="nil"/>
            </w:tcBorders>
            <w:noWrap/>
            <w:vAlign w:val="bottom"/>
            <w:hideMark/>
          </w:tcPr>
          <w:p w14:paraId="4AE6ECB0" w14:textId="77777777" w:rsidR="0076562A" w:rsidRPr="008B396E" w:rsidRDefault="0076562A" w:rsidP="0076562A">
            <w:pPr>
              <w:spacing w:after="0" w:line="240" w:lineRule="auto"/>
              <w:jc w:val="center"/>
              <w:rPr>
                <w:rFonts w:ascii="Aptos Narrow" w:eastAsia="Times New Roman" w:hAnsi="Aptos Narrow" w:cs="Times New Roman"/>
                <w:i/>
                <w:iCs/>
                <w:color w:val="000000"/>
                <w:lang w:val="sv-SE" w:eastAsia="sv-SE"/>
              </w:rPr>
            </w:pPr>
            <w:r w:rsidRPr="008B396E">
              <w:rPr>
                <w:rFonts w:ascii="Aptos Narrow" w:eastAsia="Times New Roman" w:hAnsi="Aptos Narrow" w:cs="Times New Roman"/>
                <w:i/>
                <w:iCs/>
                <w:color w:val="000000"/>
                <w:lang w:val="sv-SE" w:eastAsia="sv-SE"/>
              </w:rPr>
              <w:t>Groups</w:t>
            </w:r>
          </w:p>
        </w:tc>
        <w:tc>
          <w:tcPr>
            <w:tcW w:w="978" w:type="dxa"/>
            <w:tcBorders>
              <w:top w:val="single" w:sz="8" w:space="0" w:color="auto"/>
              <w:left w:val="nil"/>
              <w:bottom w:val="single" w:sz="4" w:space="0" w:color="auto"/>
              <w:right w:val="nil"/>
            </w:tcBorders>
            <w:noWrap/>
            <w:vAlign w:val="bottom"/>
            <w:hideMark/>
          </w:tcPr>
          <w:p w14:paraId="1812F33B" w14:textId="77777777" w:rsidR="0076562A" w:rsidRPr="008B396E" w:rsidRDefault="0076562A" w:rsidP="0076562A">
            <w:pPr>
              <w:spacing w:after="0" w:line="240" w:lineRule="auto"/>
              <w:jc w:val="center"/>
              <w:rPr>
                <w:rFonts w:ascii="Aptos Narrow" w:eastAsia="Times New Roman" w:hAnsi="Aptos Narrow" w:cs="Times New Roman"/>
                <w:i/>
                <w:iCs/>
                <w:color w:val="000000"/>
                <w:lang w:val="sv-SE" w:eastAsia="sv-SE"/>
              </w:rPr>
            </w:pPr>
            <w:r w:rsidRPr="008B396E">
              <w:rPr>
                <w:rFonts w:ascii="Aptos Narrow" w:eastAsia="Times New Roman" w:hAnsi="Aptos Narrow" w:cs="Times New Roman"/>
                <w:i/>
                <w:iCs/>
                <w:color w:val="000000"/>
                <w:lang w:val="sv-SE" w:eastAsia="sv-SE"/>
              </w:rPr>
              <w:t>Count</w:t>
            </w:r>
          </w:p>
        </w:tc>
        <w:tc>
          <w:tcPr>
            <w:tcW w:w="960" w:type="dxa"/>
            <w:tcBorders>
              <w:top w:val="single" w:sz="8" w:space="0" w:color="auto"/>
              <w:left w:val="nil"/>
              <w:bottom w:val="single" w:sz="4" w:space="0" w:color="auto"/>
              <w:right w:val="nil"/>
            </w:tcBorders>
            <w:noWrap/>
            <w:vAlign w:val="bottom"/>
            <w:hideMark/>
          </w:tcPr>
          <w:p w14:paraId="2A09E95D" w14:textId="77777777" w:rsidR="0076562A" w:rsidRPr="008B396E" w:rsidRDefault="0076562A" w:rsidP="0076562A">
            <w:pPr>
              <w:spacing w:after="0" w:line="240" w:lineRule="auto"/>
              <w:jc w:val="center"/>
              <w:rPr>
                <w:rFonts w:ascii="Aptos Narrow" w:eastAsia="Times New Roman" w:hAnsi="Aptos Narrow" w:cs="Times New Roman"/>
                <w:i/>
                <w:iCs/>
                <w:color w:val="000000"/>
                <w:lang w:val="sv-SE" w:eastAsia="sv-SE"/>
              </w:rPr>
            </w:pPr>
            <w:r w:rsidRPr="008B396E">
              <w:rPr>
                <w:rFonts w:ascii="Aptos Narrow" w:eastAsia="Times New Roman" w:hAnsi="Aptos Narrow" w:cs="Times New Roman"/>
                <w:i/>
                <w:iCs/>
                <w:color w:val="000000"/>
                <w:lang w:val="sv-SE" w:eastAsia="sv-SE"/>
              </w:rPr>
              <w:t>Sum</w:t>
            </w:r>
          </w:p>
        </w:tc>
        <w:tc>
          <w:tcPr>
            <w:tcW w:w="978" w:type="dxa"/>
            <w:tcBorders>
              <w:top w:val="single" w:sz="8" w:space="0" w:color="auto"/>
              <w:left w:val="nil"/>
              <w:bottom w:val="single" w:sz="4" w:space="0" w:color="auto"/>
              <w:right w:val="nil"/>
            </w:tcBorders>
            <w:noWrap/>
            <w:vAlign w:val="bottom"/>
            <w:hideMark/>
          </w:tcPr>
          <w:p w14:paraId="594A60D6" w14:textId="77777777" w:rsidR="0076562A" w:rsidRPr="008B396E" w:rsidRDefault="0076562A" w:rsidP="0076562A">
            <w:pPr>
              <w:spacing w:after="0" w:line="240" w:lineRule="auto"/>
              <w:jc w:val="center"/>
              <w:rPr>
                <w:rFonts w:ascii="Aptos Narrow" w:eastAsia="Times New Roman" w:hAnsi="Aptos Narrow" w:cs="Times New Roman"/>
                <w:i/>
                <w:iCs/>
                <w:color w:val="000000"/>
                <w:lang w:val="sv-SE" w:eastAsia="sv-SE"/>
              </w:rPr>
            </w:pPr>
            <w:r w:rsidRPr="008B396E">
              <w:rPr>
                <w:rFonts w:ascii="Aptos Narrow" w:eastAsia="Times New Roman" w:hAnsi="Aptos Narrow" w:cs="Times New Roman"/>
                <w:i/>
                <w:iCs/>
                <w:color w:val="000000"/>
                <w:lang w:val="sv-SE" w:eastAsia="sv-SE"/>
              </w:rPr>
              <w:t>Average</w:t>
            </w:r>
          </w:p>
        </w:tc>
        <w:tc>
          <w:tcPr>
            <w:tcW w:w="978" w:type="dxa"/>
            <w:tcBorders>
              <w:top w:val="single" w:sz="8" w:space="0" w:color="auto"/>
              <w:left w:val="nil"/>
              <w:bottom w:val="single" w:sz="4" w:space="0" w:color="auto"/>
              <w:right w:val="nil"/>
            </w:tcBorders>
            <w:noWrap/>
            <w:vAlign w:val="bottom"/>
            <w:hideMark/>
          </w:tcPr>
          <w:p w14:paraId="1571D999" w14:textId="77777777" w:rsidR="0076562A" w:rsidRPr="008B396E" w:rsidRDefault="0076562A" w:rsidP="0076562A">
            <w:pPr>
              <w:spacing w:after="0" w:line="240" w:lineRule="auto"/>
              <w:jc w:val="center"/>
              <w:rPr>
                <w:rFonts w:ascii="Aptos Narrow" w:eastAsia="Times New Roman" w:hAnsi="Aptos Narrow" w:cs="Times New Roman"/>
                <w:i/>
                <w:iCs/>
                <w:color w:val="000000"/>
                <w:lang w:val="sv-SE" w:eastAsia="sv-SE"/>
              </w:rPr>
            </w:pPr>
            <w:r w:rsidRPr="008B396E">
              <w:rPr>
                <w:rFonts w:ascii="Aptos Narrow" w:eastAsia="Times New Roman" w:hAnsi="Aptos Narrow" w:cs="Times New Roman"/>
                <w:i/>
                <w:iCs/>
                <w:color w:val="000000"/>
                <w:lang w:val="sv-SE" w:eastAsia="sv-SE"/>
              </w:rPr>
              <w:t>Variance</w:t>
            </w:r>
          </w:p>
        </w:tc>
        <w:tc>
          <w:tcPr>
            <w:tcW w:w="978" w:type="dxa"/>
            <w:tcBorders>
              <w:top w:val="nil"/>
              <w:left w:val="nil"/>
              <w:bottom w:val="nil"/>
              <w:right w:val="nil"/>
            </w:tcBorders>
            <w:noWrap/>
            <w:vAlign w:val="bottom"/>
            <w:hideMark/>
          </w:tcPr>
          <w:p w14:paraId="4BB56C9E" w14:textId="77777777" w:rsidR="0076562A" w:rsidRPr="008B396E" w:rsidRDefault="0076562A" w:rsidP="0076562A">
            <w:pPr>
              <w:spacing w:after="0" w:line="240" w:lineRule="auto"/>
              <w:jc w:val="center"/>
              <w:rPr>
                <w:rFonts w:ascii="Aptos Narrow" w:eastAsia="Times New Roman" w:hAnsi="Aptos Narrow" w:cs="Times New Roman"/>
                <w:i/>
                <w:iCs/>
                <w:color w:val="000000"/>
                <w:lang w:val="sv-SE" w:eastAsia="sv-SE"/>
              </w:rPr>
            </w:pPr>
          </w:p>
        </w:tc>
        <w:tc>
          <w:tcPr>
            <w:tcW w:w="960" w:type="dxa"/>
            <w:tcBorders>
              <w:top w:val="nil"/>
              <w:left w:val="nil"/>
              <w:bottom w:val="nil"/>
              <w:right w:val="nil"/>
            </w:tcBorders>
            <w:noWrap/>
            <w:vAlign w:val="bottom"/>
            <w:hideMark/>
          </w:tcPr>
          <w:p w14:paraId="0A14BF6B"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60" w:type="dxa"/>
            <w:tcBorders>
              <w:top w:val="nil"/>
              <w:left w:val="nil"/>
              <w:bottom w:val="nil"/>
              <w:right w:val="nil"/>
            </w:tcBorders>
            <w:noWrap/>
            <w:vAlign w:val="bottom"/>
            <w:hideMark/>
          </w:tcPr>
          <w:p w14:paraId="5900336D"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r>
      <w:tr w:rsidR="0076562A" w:rsidRPr="008B396E" w14:paraId="12B31C65" w14:textId="77777777" w:rsidTr="003B49C5">
        <w:trPr>
          <w:trHeight w:val="290"/>
        </w:trPr>
        <w:tc>
          <w:tcPr>
            <w:tcW w:w="1676" w:type="dxa"/>
            <w:tcBorders>
              <w:top w:val="nil"/>
              <w:left w:val="nil"/>
              <w:bottom w:val="nil"/>
              <w:right w:val="nil"/>
            </w:tcBorders>
            <w:noWrap/>
            <w:vAlign w:val="bottom"/>
            <w:hideMark/>
          </w:tcPr>
          <w:p w14:paraId="602FB973" w14:textId="77777777" w:rsidR="0076562A" w:rsidRPr="008B396E" w:rsidRDefault="0076562A" w:rsidP="0076562A">
            <w:pPr>
              <w:spacing w:after="0" w:line="240" w:lineRule="auto"/>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Within 1 year</w:t>
            </w:r>
          </w:p>
        </w:tc>
        <w:tc>
          <w:tcPr>
            <w:tcW w:w="978" w:type="dxa"/>
            <w:tcBorders>
              <w:top w:val="nil"/>
              <w:left w:val="nil"/>
              <w:bottom w:val="nil"/>
              <w:right w:val="nil"/>
            </w:tcBorders>
            <w:noWrap/>
            <w:vAlign w:val="bottom"/>
            <w:hideMark/>
          </w:tcPr>
          <w:p w14:paraId="21EA56C2" w14:textId="77777777" w:rsidR="0076562A" w:rsidRPr="008B396E" w:rsidRDefault="0076562A" w:rsidP="0076562A">
            <w:pPr>
              <w:spacing w:after="0" w:line="240" w:lineRule="auto"/>
              <w:jc w:val="right"/>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6</w:t>
            </w:r>
          </w:p>
        </w:tc>
        <w:tc>
          <w:tcPr>
            <w:tcW w:w="960" w:type="dxa"/>
            <w:tcBorders>
              <w:top w:val="nil"/>
              <w:left w:val="nil"/>
              <w:bottom w:val="nil"/>
              <w:right w:val="nil"/>
            </w:tcBorders>
            <w:noWrap/>
            <w:vAlign w:val="bottom"/>
            <w:hideMark/>
          </w:tcPr>
          <w:p w14:paraId="360F0C1F" w14:textId="77777777" w:rsidR="0076562A" w:rsidRPr="008B396E" w:rsidRDefault="0076562A" w:rsidP="0076562A">
            <w:pPr>
              <w:spacing w:after="0" w:line="240" w:lineRule="auto"/>
              <w:jc w:val="right"/>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54</w:t>
            </w:r>
          </w:p>
        </w:tc>
        <w:tc>
          <w:tcPr>
            <w:tcW w:w="978" w:type="dxa"/>
            <w:tcBorders>
              <w:top w:val="nil"/>
              <w:left w:val="nil"/>
              <w:bottom w:val="nil"/>
              <w:right w:val="nil"/>
            </w:tcBorders>
            <w:noWrap/>
            <w:vAlign w:val="bottom"/>
            <w:hideMark/>
          </w:tcPr>
          <w:p w14:paraId="7A50CB36" w14:textId="77777777" w:rsidR="0076562A" w:rsidRPr="008B396E" w:rsidRDefault="0076562A" w:rsidP="0076562A">
            <w:pPr>
              <w:spacing w:after="0" w:line="240" w:lineRule="auto"/>
              <w:jc w:val="right"/>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9</w:t>
            </w:r>
          </w:p>
        </w:tc>
        <w:tc>
          <w:tcPr>
            <w:tcW w:w="978" w:type="dxa"/>
            <w:tcBorders>
              <w:top w:val="nil"/>
              <w:left w:val="nil"/>
              <w:bottom w:val="nil"/>
              <w:right w:val="nil"/>
            </w:tcBorders>
            <w:noWrap/>
            <w:vAlign w:val="bottom"/>
            <w:hideMark/>
          </w:tcPr>
          <w:p w14:paraId="0890E18A" w14:textId="77777777" w:rsidR="0076562A" w:rsidRPr="008B396E" w:rsidRDefault="0076562A" w:rsidP="0076562A">
            <w:pPr>
              <w:spacing w:after="0" w:line="240" w:lineRule="auto"/>
              <w:jc w:val="right"/>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4,4</w:t>
            </w:r>
          </w:p>
        </w:tc>
        <w:tc>
          <w:tcPr>
            <w:tcW w:w="978" w:type="dxa"/>
            <w:tcBorders>
              <w:top w:val="nil"/>
              <w:left w:val="nil"/>
              <w:bottom w:val="nil"/>
              <w:right w:val="nil"/>
            </w:tcBorders>
            <w:noWrap/>
            <w:vAlign w:val="bottom"/>
            <w:hideMark/>
          </w:tcPr>
          <w:p w14:paraId="3929159E" w14:textId="77777777" w:rsidR="0076562A" w:rsidRPr="008B396E" w:rsidRDefault="0076562A" w:rsidP="0076562A">
            <w:pPr>
              <w:spacing w:after="0" w:line="240" w:lineRule="auto"/>
              <w:jc w:val="right"/>
              <w:rPr>
                <w:rFonts w:ascii="Aptos Narrow" w:eastAsia="Times New Roman" w:hAnsi="Aptos Narrow" w:cs="Times New Roman"/>
                <w:color w:val="000000"/>
                <w:lang w:val="sv-SE" w:eastAsia="sv-SE"/>
              </w:rPr>
            </w:pPr>
          </w:p>
        </w:tc>
        <w:tc>
          <w:tcPr>
            <w:tcW w:w="960" w:type="dxa"/>
            <w:tcBorders>
              <w:top w:val="nil"/>
              <w:left w:val="nil"/>
              <w:bottom w:val="nil"/>
              <w:right w:val="nil"/>
            </w:tcBorders>
            <w:noWrap/>
            <w:vAlign w:val="bottom"/>
            <w:hideMark/>
          </w:tcPr>
          <w:p w14:paraId="782F27DC"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60" w:type="dxa"/>
            <w:tcBorders>
              <w:top w:val="nil"/>
              <w:left w:val="nil"/>
              <w:bottom w:val="nil"/>
              <w:right w:val="nil"/>
            </w:tcBorders>
            <w:noWrap/>
            <w:vAlign w:val="bottom"/>
            <w:hideMark/>
          </w:tcPr>
          <w:p w14:paraId="44191E7B"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r>
      <w:tr w:rsidR="0076562A" w:rsidRPr="008B396E" w14:paraId="02CB115D" w14:textId="77777777" w:rsidTr="003B49C5">
        <w:trPr>
          <w:trHeight w:val="290"/>
        </w:trPr>
        <w:tc>
          <w:tcPr>
            <w:tcW w:w="1676" w:type="dxa"/>
            <w:tcBorders>
              <w:top w:val="nil"/>
              <w:left w:val="nil"/>
              <w:bottom w:val="nil"/>
              <w:right w:val="nil"/>
            </w:tcBorders>
            <w:noWrap/>
            <w:vAlign w:val="bottom"/>
            <w:hideMark/>
          </w:tcPr>
          <w:p w14:paraId="7C54FBA5" w14:textId="53EB3BE5" w:rsidR="0076562A" w:rsidRPr="008B396E" w:rsidRDefault="0076562A" w:rsidP="0076562A">
            <w:pPr>
              <w:spacing w:after="0" w:line="240" w:lineRule="auto"/>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Within 2 year</w:t>
            </w:r>
            <w:r>
              <w:rPr>
                <w:rFonts w:ascii="Aptos Narrow" w:eastAsia="Times New Roman" w:hAnsi="Aptos Narrow" w:cs="Times New Roman"/>
                <w:color w:val="000000"/>
                <w:lang w:val="sv-SE" w:eastAsia="sv-SE"/>
              </w:rPr>
              <w:t>s</w:t>
            </w:r>
          </w:p>
        </w:tc>
        <w:tc>
          <w:tcPr>
            <w:tcW w:w="978" w:type="dxa"/>
            <w:tcBorders>
              <w:top w:val="nil"/>
              <w:left w:val="nil"/>
              <w:bottom w:val="nil"/>
              <w:right w:val="nil"/>
            </w:tcBorders>
            <w:noWrap/>
            <w:vAlign w:val="bottom"/>
            <w:hideMark/>
          </w:tcPr>
          <w:p w14:paraId="6346E88B" w14:textId="77777777" w:rsidR="0076562A" w:rsidRPr="008B396E" w:rsidRDefault="0076562A" w:rsidP="0076562A">
            <w:pPr>
              <w:spacing w:after="0" w:line="240" w:lineRule="auto"/>
              <w:jc w:val="right"/>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6</w:t>
            </w:r>
          </w:p>
        </w:tc>
        <w:tc>
          <w:tcPr>
            <w:tcW w:w="960" w:type="dxa"/>
            <w:tcBorders>
              <w:top w:val="nil"/>
              <w:left w:val="nil"/>
              <w:bottom w:val="nil"/>
              <w:right w:val="nil"/>
            </w:tcBorders>
            <w:noWrap/>
            <w:vAlign w:val="bottom"/>
            <w:hideMark/>
          </w:tcPr>
          <w:p w14:paraId="32540339" w14:textId="77777777" w:rsidR="0076562A" w:rsidRPr="008B396E" w:rsidRDefault="0076562A" w:rsidP="0076562A">
            <w:pPr>
              <w:spacing w:after="0" w:line="240" w:lineRule="auto"/>
              <w:jc w:val="right"/>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62</w:t>
            </w:r>
          </w:p>
        </w:tc>
        <w:tc>
          <w:tcPr>
            <w:tcW w:w="978" w:type="dxa"/>
            <w:tcBorders>
              <w:top w:val="nil"/>
              <w:left w:val="nil"/>
              <w:bottom w:val="nil"/>
              <w:right w:val="nil"/>
            </w:tcBorders>
            <w:noWrap/>
            <w:vAlign w:val="bottom"/>
            <w:hideMark/>
          </w:tcPr>
          <w:p w14:paraId="5C0C7CAB" w14:textId="77777777" w:rsidR="0076562A" w:rsidRPr="008B396E" w:rsidRDefault="0076562A" w:rsidP="0076562A">
            <w:pPr>
              <w:spacing w:after="0" w:line="240" w:lineRule="auto"/>
              <w:jc w:val="right"/>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10,33333</w:t>
            </w:r>
          </w:p>
        </w:tc>
        <w:tc>
          <w:tcPr>
            <w:tcW w:w="978" w:type="dxa"/>
            <w:tcBorders>
              <w:top w:val="nil"/>
              <w:left w:val="nil"/>
              <w:bottom w:val="nil"/>
              <w:right w:val="nil"/>
            </w:tcBorders>
            <w:noWrap/>
            <w:vAlign w:val="bottom"/>
            <w:hideMark/>
          </w:tcPr>
          <w:p w14:paraId="66179997" w14:textId="77777777" w:rsidR="0076562A" w:rsidRPr="008B396E" w:rsidRDefault="0076562A" w:rsidP="0076562A">
            <w:pPr>
              <w:spacing w:after="0" w:line="240" w:lineRule="auto"/>
              <w:jc w:val="right"/>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5,066667</w:t>
            </w:r>
          </w:p>
        </w:tc>
        <w:tc>
          <w:tcPr>
            <w:tcW w:w="978" w:type="dxa"/>
            <w:tcBorders>
              <w:top w:val="nil"/>
              <w:left w:val="nil"/>
              <w:bottom w:val="nil"/>
              <w:right w:val="nil"/>
            </w:tcBorders>
            <w:noWrap/>
            <w:vAlign w:val="bottom"/>
            <w:hideMark/>
          </w:tcPr>
          <w:p w14:paraId="326C1E28" w14:textId="77777777" w:rsidR="0076562A" w:rsidRPr="008B396E" w:rsidRDefault="0076562A" w:rsidP="0076562A">
            <w:pPr>
              <w:spacing w:after="0" w:line="240" w:lineRule="auto"/>
              <w:jc w:val="right"/>
              <w:rPr>
                <w:rFonts w:ascii="Aptos Narrow" w:eastAsia="Times New Roman" w:hAnsi="Aptos Narrow" w:cs="Times New Roman"/>
                <w:color w:val="000000"/>
                <w:lang w:val="sv-SE" w:eastAsia="sv-SE"/>
              </w:rPr>
            </w:pPr>
          </w:p>
        </w:tc>
        <w:tc>
          <w:tcPr>
            <w:tcW w:w="960" w:type="dxa"/>
            <w:tcBorders>
              <w:top w:val="nil"/>
              <w:left w:val="nil"/>
              <w:bottom w:val="nil"/>
              <w:right w:val="nil"/>
            </w:tcBorders>
            <w:noWrap/>
            <w:vAlign w:val="bottom"/>
            <w:hideMark/>
          </w:tcPr>
          <w:p w14:paraId="78CDB85F"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60" w:type="dxa"/>
            <w:tcBorders>
              <w:top w:val="nil"/>
              <w:left w:val="nil"/>
              <w:bottom w:val="nil"/>
              <w:right w:val="nil"/>
            </w:tcBorders>
            <w:noWrap/>
            <w:vAlign w:val="bottom"/>
            <w:hideMark/>
          </w:tcPr>
          <w:p w14:paraId="07271E89"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r>
      <w:tr w:rsidR="0076562A" w:rsidRPr="008B396E" w14:paraId="749A9F05" w14:textId="77777777" w:rsidTr="003B49C5">
        <w:trPr>
          <w:trHeight w:val="300"/>
        </w:trPr>
        <w:tc>
          <w:tcPr>
            <w:tcW w:w="1676" w:type="dxa"/>
            <w:tcBorders>
              <w:top w:val="nil"/>
              <w:left w:val="nil"/>
              <w:bottom w:val="single" w:sz="8" w:space="0" w:color="auto"/>
              <w:right w:val="nil"/>
            </w:tcBorders>
            <w:noWrap/>
            <w:vAlign w:val="bottom"/>
            <w:hideMark/>
          </w:tcPr>
          <w:p w14:paraId="4365DAFA" w14:textId="77777777" w:rsidR="0076562A" w:rsidRPr="008B396E" w:rsidRDefault="0076562A" w:rsidP="0076562A">
            <w:pPr>
              <w:spacing w:after="0" w:line="240" w:lineRule="auto"/>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Within 3 years</w:t>
            </w:r>
          </w:p>
        </w:tc>
        <w:tc>
          <w:tcPr>
            <w:tcW w:w="978" w:type="dxa"/>
            <w:tcBorders>
              <w:top w:val="nil"/>
              <w:left w:val="nil"/>
              <w:bottom w:val="single" w:sz="8" w:space="0" w:color="auto"/>
              <w:right w:val="nil"/>
            </w:tcBorders>
            <w:noWrap/>
            <w:vAlign w:val="bottom"/>
            <w:hideMark/>
          </w:tcPr>
          <w:p w14:paraId="358E7985" w14:textId="77777777" w:rsidR="0076562A" w:rsidRPr="008B396E" w:rsidRDefault="0076562A" w:rsidP="0076562A">
            <w:pPr>
              <w:spacing w:after="0" w:line="240" w:lineRule="auto"/>
              <w:jc w:val="right"/>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6</w:t>
            </w:r>
          </w:p>
        </w:tc>
        <w:tc>
          <w:tcPr>
            <w:tcW w:w="960" w:type="dxa"/>
            <w:tcBorders>
              <w:top w:val="nil"/>
              <w:left w:val="nil"/>
              <w:bottom w:val="single" w:sz="8" w:space="0" w:color="auto"/>
              <w:right w:val="nil"/>
            </w:tcBorders>
            <w:noWrap/>
            <w:vAlign w:val="bottom"/>
            <w:hideMark/>
          </w:tcPr>
          <w:p w14:paraId="35D8C5D9" w14:textId="77777777" w:rsidR="0076562A" w:rsidRPr="008B396E" w:rsidRDefault="0076562A" w:rsidP="0076562A">
            <w:pPr>
              <w:spacing w:after="0" w:line="240" w:lineRule="auto"/>
              <w:jc w:val="right"/>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71</w:t>
            </w:r>
          </w:p>
        </w:tc>
        <w:tc>
          <w:tcPr>
            <w:tcW w:w="978" w:type="dxa"/>
            <w:tcBorders>
              <w:top w:val="nil"/>
              <w:left w:val="nil"/>
              <w:bottom w:val="single" w:sz="8" w:space="0" w:color="auto"/>
              <w:right w:val="nil"/>
            </w:tcBorders>
            <w:noWrap/>
            <w:vAlign w:val="bottom"/>
            <w:hideMark/>
          </w:tcPr>
          <w:p w14:paraId="582AEA33" w14:textId="77777777" w:rsidR="0076562A" w:rsidRPr="008B396E" w:rsidRDefault="0076562A" w:rsidP="0076562A">
            <w:pPr>
              <w:spacing w:after="0" w:line="240" w:lineRule="auto"/>
              <w:jc w:val="right"/>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11,83333</w:t>
            </w:r>
          </w:p>
        </w:tc>
        <w:tc>
          <w:tcPr>
            <w:tcW w:w="978" w:type="dxa"/>
            <w:tcBorders>
              <w:top w:val="nil"/>
              <w:left w:val="nil"/>
              <w:bottom w:val="single" w:sz="8" w:space="0" w:color="auto"/>
              <w:right w:val="nil"/>
            </w:tcBorders>
            <w:noWrap/>
            <w:vAlign w:val="bottom"/>
            <w:hideMark/>
          </w:tcPr>
          <w:p w14:paraId="0167949A" w14:textId="77777777" w:rsidR="0076562A" w:rsidRPr="008B396E" w:rsidRDefault="0076562A" w:rsidP="0076562A">
            <w:pPr>
              <w:spacing w:after="0" w:line="240" w:lineRule="auto"/>
              <w:jc w:val="right"/>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6,966667</w:t>
            </w:r>
          </w:p>
        </w:tc>
        <w:tc>
          <w:tcPr>
            <w:tcW w:w="978" w:type="dxa"/>
            <w:tcBorders>
              <w:top w:val="nil"/>
              <w:left w:val="nil"/>
              <w:bottom w:val="nil"/>
              <w:right w:val="nil"/>
            </w:tcBorders>
            <w:noWrap/>
            <w:vAlign w:val="bottom"/>
            <w:hideMark/>
          </w:tcPr>
          <w:p w14:paraId="7DBC84E6" w14:textId="77777777" w:rsidR="0076562A" w:rsidRPr="008B396E" w:rsidRDefault="0076562A" w:rsidP="0076562A">
            <w:pPr>
              <w:spacing w:after="0" w:line="240" w:lineRule="auto"/>
              <w:jc w:val="right"/>
              <w:rPr>
                <w:rFonts w:ascii="Aptos Narrow" w:eastAsia="Times New Roman" w:hAnsi="Aptos Narrow" w:cs="Times New Roman"/>
                <w:color w:val="000000"/>
                <w:lang w:val="sv-SE" w:eastAsia="sv-SE"/>
              </w:rPr>
            </w:pPr>
          </w:p>
        </w:tc>
        <w:tc>
          <w:tcPr>
            <w:tcW w:w="960" w:type="dxa"/>
            <w:tcBorders>
              <w:top w:val="nil"/>
              <w:left w:val="nil"/>
              <w:bottom w:val="nil"/>
              <w:right w:val="nil"/>
            </w:tcBorders>
            <w:noWrap/>
            <w:vAlign w:val="bottom"/>
            <w:hideMark/>
          </w:tcPr>
          <w:p w14:paraId="44436B29"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60" w:type="dxa"/>
            <w:tcBorders>
              <w:top w:val="nil"/>
              <w:left w:val="nil"/>
              <w:bottom w:val="nil"/>
              <w:right w:val="nil"/>
            </w:tcBorders>
            <w:noWrap/>
            <w:vAlign w:val="bottom"/>
            <w:hideMark/>
          </w:tcPr>
          <w:p w14:paraId="6972CFCB"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r>
      <w:tr w:rsidR="0076562A" w:rsidRPr="008B396E" w14:paraId="7BB252C0" w14:textId="77777777" w:rsidTr="003B49C5">
        <w:trPr>
          <w:trHeight w:val="290"/>
        </w:trPr>
        <w:tc>
          <w:tcPr>
            <w:tcW w:w="1676" w:type="dxa"/>
            <w:tcBorders>
              <w:top w:val="nil"/>
              <w:left w:val="nil"/>
              <w:bottom w:val="nil"/>
              <w:right w:val="nil"/>
            </w:tcBorders>
            <w:noWrap/>
            <w:vAlign w:val="bottom"/>
            <w:hideMark/>
          </w:tcPr>
          <w:p w14:paraId="6AD381D1"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78" w:type="dxa"/>
            <w:tcBorders>
              <w:top w:val="nil"/>
              <w:left w:val="nil"/>
              <w:bottom w:val="nil"/>
              <w:right w:val="nil"/>
            </w:tcBorders>
            <w:noWrap/>
            <w:vAlign w:val="bottom"/>
            <w:hideMark/>
          </w:tcPr>
          <w:p w14:paraId="4F282AA2"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60" w:type="dxa"/>
            <w:tcBorders>
              <w:top w:val="nil"/>
              <w:left w:val="nil"/>
              <w:bottom w:val="nil"/>
              <w:right w:val="nil"/>
            </w:tcBorders>
            <w:noWrap/>
            <w:vAlign w:val="bottom"/>
            <w:hideMark/>
          </w:tcPr>
          <w:p w14:paraId="52F85E7E"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78" w:type="dxa"/>
            <w:tcBorders>
              <w:top w:val="nil"/>
              <w:left w:val="nil"/>
              <w:bottom w:val="nil"/>
              <w:right w:val="nil"/>
            </w:tcBorders>
            <w:noWrap/>
            <w:vAlign w:val="bottom"/>
            <w:hideMark/>
          </w:tcPr>
          <w:p w14:paraId="1D4DF938"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78" w:type="dxa"/>
            <w:tcBorders>
              <w:top w:val="nil"/>
              <w:left w:val="nil"/>
              <w:bottom w:val="nil"/>
              <w:right w:val="nil"/>
            </w:tcBorders>
            <w:noWrap/>
            <w:vAlign w:val="bottom"/>
            <w:hideMark/>
          </w:tcPr>
          <w:p w14:paraId="535E8CF8"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78" w:type="dxa"/>
            <w:tcBorders>
              <w:top w:val="nil"/>
              <w:left w:val="nil"/>
              <w:bottom w:val="nil"/>
              <w:right w:val="nil"/>
            </w:tcBorders>
            <w:noWrap/>
            <w:vAlign w:val="bottom"/>
            <w:hideMark/>
          </w:tcPr>
          <w:p w14:paraId="6D52E5B3"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60" w:type="dxa"/>
            <w:tcBorders>
              <w:top w:val="nil"/>
              <w:left w:val="nil"/>
              <w:bottom w:val="nil"/>
              <w:right w:val="nil"/>
            </w:tcBorders>
            <w:noWrap/>
            <w:vAlign w:val="bottom"/>
            <w:hideMark/>
          </w:tcPr>
          <w:p w14:paraId="2042FB8A"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60" w:type="dxa"/>
            <w:tcBorders>
              <w:top w:val="nil"/>
              <w:left w:val="nil"/>
              <w:bottom w:val="nil"/>
              <w:right w:val="nil"/>
            </w:tcBorders>
            <w:noWrap/>
            <w:vAlign w:val="bottom"/>
            <w:hideMark/>
          </w:tcPr>
          <w:p w14:paraId="44B8AC2F"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r>
      <w:tr w:rsidR="0076562A" w:rsidRPr="008B396E" w14:paraId="1908DA7D" w14:textId="77777777" w:rsidTr="003B49C5">
        <w:trPr>
          <w:trHeight w:val="290"/>
        </w:trPr>
        <w:tc>
          <w:tcPr>
            <w:tcW w:w="1676" w:type="dxa"/>
            <w:tcBorders>
              <w:top w:val="nil"/>
              <w:left w:val="nil"/>
              <w:bottom w:val="nil"/>
              <w:right w:val="nil"/>
            </w:tcBorders>
            <w:noWrap/>
            <w:vAlign w:val="bottom"/>
            <w:hideMark/>
          </w:tcPr>
          <w:p w14:paraId="031D7B20"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78" w:type="dxa"/>
            <w:tcBorders>
              <w:top w:val="nil"/>
              <w:left w:val="nil"/>
              <w:bottom w:val="nil"/>
              <w:right w:val="nil"/>
            </w:tcBorders>
            <w:noWrap/>
            <w:vAlign w:val="bottom"/>
            <w:hideMark/>
          </w:tcPr>
          <w:p w14:paraId="1D093958"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60" w:type="dxa"/>
            <w:tcBorders>
              <w:top w:val="nil"/>
              <w:left w:val="nil"/>
              <w:bottom w:val="nil"/>
              <w:right w:val="nil"/>
            </w:tcBorders>
            <w:noWrap/>
            <w:vAlign w:val="bottom"/>
            <w:hideMark/>
          </w:tcPr>
          <w:p w14:paraId="05E999B9"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78" w:type="dxa"/>
            <w:tcBorders>
              <w:top w:val="nil"/>
              <w:left w:val="nil"/>
              <w:bottom w:val="nil"/>
              <w:right w:val="nil"/>
            </w:tcBorders>
            <w:noWrap/>
            <w:vAlign w:val="bottom"/>
            <w:hideMark/>
          </w:tcPr>
          <w:p w14:paraId="6DBB13E3"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78" w:type="dxa"/>
            <w:tcBorders>
              <w:top w:val="nil"/>
              <w:left w:val="nil"/>
              <w:bottom w:val="nil"/>
              <w:right w:val="nil"/>
            </w:tcBorders>
            <w:noWrap/>
            <w:vAlign w:val="bottom"/>
            <w:hideMark/>
          </w:tcPr>
          <w:p w14:paraId="3CF6E8D2"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78" w:type="dxa"/>
            <w:tcBorders>
              <w:top w:val="nil"/>
              <w:left w:val="nil"/>
              <w:bottom w:val="nil"/>
              <w:right w:val="nil"/>
            </w:tcBorders>
            <w:noWrap/>
            <w:vAlign w:val="bottom"/>
            <w:hideMark/>
          </w:tcPr>
          <w:p w14:paraId="674E95C8"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60" w:type="dxa"/>
            <w:tcBorders>
              <w:top w:val="nil"/>
              <w:left w:val="nil"/>
              <w:bottom w:val="nil"/>
              <w:right w:val="nil"/>
            </w:tcBorders>
            <w:noWrap/>
            <w:vAlign w:val="bottom"/>
            <w:hideMark/>
          </w:tcPr>
          <w:p w14:paraId="4CD4FD29"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60" w:type="dxa"/>
            <w:tcBorders>
              <w:top w:val="nil"/>
              <w:left w:val="nil"/>
              <w:bottom w:val="nil"/>
              <w:right w:val="nil"/>
            </w:tcBorders>
            <w:noWrap/>
            <w:vAlign w:val="bottom"/>
            <w:hideMark/>
          </w:tcPr>
          <w:p w14:paraId="2200F021"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r>
      <w:tr w:rsidR="0076562A" w:rsidRPr="008B396E" w14:paraId="1C0F9EF3" w14:textId="77777777" w:rsidTr="003B49C5">
        <w:trPr>
          <w:trHeight w:val="300"/>
        </w:trPr>
        <w:tc>
          <w:tcPr>
            <w:tcW w:w="1676" w:type="dxa"/>
            <w:tcBorders>
              <w:top w:val="nil"/>
              <w:left w:val="nil"/>
              <w:bottom w:val="nil"/>
              <w:right w:val="nil"/>
            </w:tcBorders>
            <w:noWrap/>
            <w:vAlign w:val="bottom"/>
            <w:hideMark/>
          </w:tcPr>
          <w:p w14:paraId="03B29F3E" w14:textId="77777777" w:rsidR="0076562A" w:rsidRPr="008B396E" w:rsidRDefault="0076562A" w:rsidP="0076562A">
            <w:pPr>
              <w:spacing w:after="0" w:line="240" w:lineRule="auto"/>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ANOVA</w:t>
            </w:r>
          </w:p>
        </w:tc>
        <w:tc>
          <w:tcPr>
            <w:tcW w:w="978" w:type="dxa"/>
            <w:tcBorders>
              <w:top w:val="nil"/>
              <w:left w:val="nil"/>
              <w:bottom w:val="nil"/>
              <w:right w:val="nil"/>
            </w:tcBorders>
            <w:noWrap/>
            <w:vAlign w:val="bottom"/>
            <w:hideMark/>
          </w:tcPr>
          <w:p w14:paraId="7693B8FB" w14:textId="77777777" w:rsidR="0076562A" w:rsidRPr="008B396E" w:rsidRDefault="0076562A" w:rsidP="0076562A">
            <w:pPr>
              <w:spacing w:after="0" w:line="240" w:lineRule="auto"/>
              <w:rPr>
                <w:rFonts w:ascii="Aptos Narrow" w:eastAsia="Times New Roman" w:hAnsi="Aptos Narrow" w:cs="Times New Roman"/>
                <w:color w:val="000000"/>
                <w:lang w:val="sv-SE" w:eastAsia="sv-SE"/>
              </w:rPr>
            </w:pPr>
          </w:p>
        </w:tc>
        <w:tc>
          <w:tcPr>
            <w:tcW w:w="960" w:type="dxa"/>
            <w:tcBorders>
              <w:top w:val="nil"/>
              <w:left w:val="nil"/>
              <w:bottom w:val="nil"/>
              <w:right w:val="nil"/>
            </w:tcBorders>
            <w:noWrap/>
            <w:vAlign w:val="bottom"/>
            <w:hideMark/>
          </w:tcPr>
          <w:p w14:paraId="1C2C5C83"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78" w:type="dxa"/>
            <w:tcBorders>
              <w:top w:val="nil"/>
              <w:left w:val="nil"/>
              <w:bottom w:val="nil"/>
              <w:right w:val="nil"/>
            </w:tcBorders>
            <w:noWrap/>
            <w:vAlign w:val="bottom"/>
            <w:hideMark/>
          </w:tcPr>
          <w:p w14:paraId="6CE5D3A5"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78" w:type="dxa"/>
            <w:tcBorders>
              <w:top w:val="nil"/>
              <w:left w:val="nil"/>
              <w:bottom w:val="nil"/>
              <w:right w:val="nil"/>
            </w:tcBorders>
            <w:noWrap/>
            <w:vAlign w:val="bottom"/>
            <w:hideMark/>
          </w:tcPr>
          <w:p w14:paraId="47F55AC6"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78" w:type="dxa"/>
            <w:tcBorders>
              <w:top w:val="nil"/>
              <w:left w:val="nil"/>
              <w:bottom w:val="nil"/>
              <w:right w:val="nil"/>
            </w:tcBorders>
            <w:noWrap/>
            <w:vAlign w:val="bottom"/>
            <w:hideMark/>
          </w:tcPr>
          <w:p w14:paraId="2AA84542"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60" w:type="dxa"/>
            <w:tcBorders>
              <w:top w:val="nil"/>
              <w:left w:val="nil"/>
              <w:bottom w:val="nil"/>
              <w:right w:val="nil"/>
            </w:tcBorders>
            <w:noWrap/>
            <w:vAlign w:val="bottom"/>
            <w:hideMark/>
          </w:tcPr>
          <w:p w14:paraId="1475BAF6"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60" w:type="dxa"/>
            <w:tcBorders>
              <w:top w:val="nil"/>
              <w:left w:val="nil"/>
              <w:bottom w:val="nil"/>
              <w:right w:val="nil"/>
            </w:tcBorders>
            <w:noWrap/>
            <w:vAlign w:val="bottom"/>
            <w:hideMark/>
          </w:tcPr>
          <w:p w14:paraId="03923BDF"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r>
      <w:tr w:rsidR="0076562A" w:rsidRPr="008B396E" w14:paraId="4B310DAF" w14:textId="77777777" w:rsidTr="003B49C5">
        <w:trPr>
          <w:trHeight w:val="290"/>
        </w:trPr>
        <w:tc>
          <w:tcPr>
            <w:tcW w:w="1676" w:type="dxa"/>
            <w:tcBorders>
              <w:top w:val="single" w:sz="8" w:space="0" w:color="auto"/>
              <w:left w:val="nil"/>
              <w:bottom w:val="single" w:sz="4" w:space="0" w:color="auto"/>
              <w:right w:val="nil"/>
            </w:tcBorders>
            <w:noWrap/>
            <w:vAlign w:val="bottom"/>
            <w:hideMark/>
          </w:tcPr>
          <w:p w14:paraId="1E5187F4" w14:textId="77777777" w:rsidR="0076562A" w:rsidRPr="008B396E" w:rsidRDefault="0076562A" w:rsidP="0076562A">
            <w:pPr>
              <w:spacing w:after="0" w:line="240" w:lineRule="auto"/>
              <w:jc w:val="center"/>
              <w:rPr>
                <w:rFonts w:ascii="Aptos Narrow" w:eastAsia="Times New Roman" w:hAnsi="Aptos Narrow" w:cs="Times New Roman"/>
                <w:i/>
                <w:iCs/>
                <w:color w:val="000000"/>
                <w:lang w:val="sv-SE" w:eastAsia="sv-SE"/>
              </w:rPr>
            </w:pPr>
            <w:r w:rsidRPr="008B396E">
              <w:rPr>
                <w:rFonts w:ascii="Aptos Narrow" w:eastAsia="Times New Roman" w:hAnsi="Aptos Narrow" w:cs="Times New Roman"/>
                <w:i/>
                <w:iCs/>
                <w:color w:val="000000"/>
                <w:lang w:val="sv-SE" w:eastAsia="sv-SE"/>
              </w:rPr>
              <w:t>Source of Variation</w:t>
            </w:r>
          </w:p>
        </w:tc>
        <w:tc>
          <w:tcPr>
            <w:tcW w:w="978" w:type="dxa"/>
            <w:tcBorders>
              <w:top w:val="single" w:sz="8" w:space="0" w:color="auto"/>
              <w:left w:val="nil"/>
              <w:bottom w:val="single" w:sz="4" w:space="0" w:color="auto"/>
              <w:right w:val="nil"/>
            </w:tcBorders>
            <w:noWrap/>
            <w:vAlign w:val="bottom"/>
            <w:hideMark/>
          </w:tcPr>
          <w:p w14:paraId="38D94D8B" w14:textId="77777777" w:rsidR="0076562A" w:rsidRPr="008B396E" w:rsidRDefault="0076562A" w:rsidP="0076562A">
            <w:pPr>
              <w:spacing w:after="0" w:line="240" w:lineRule="auto"/>
              <w:jc w:val="center"/>
              <w:rPr>
                <w:rFonts w:ascii="Aptos Narrow" w:eastAsia="Times New Roman" w:hAnsi="Aptos Narrow" w:cs="Times New Roman"/>
                <w:i/>
                <w:iCs/>
                <w:color w:val="000000"/>
                <w:lang w:val="sv-SE" w:eastAsia="sv-SE"/>
              </w:rPr>
            </w:pPr>
            <w:r w:rsidRPr="008B396E">
              <w:rPr>
                <w:rFonts w:ascii="Aptos Narrow" w:eastAsia="Times New Roman" w:hAnsi="Aptos Narrow" w:cs="Times New Roman"/>
                <w:i/>
                <w:iCs/>
                <w:color w:val="000000"/>
                <w:lang w:val="sv-SE" w:eastAsia="sv-SE"/>
              </w:rPr>
              <w:t>SS</w:t>
            </w:r>
          </w:p>
        </w:tc>
        <w:tc>
          <w:tcPr>
            <w:tcW w:w="960" w:type="dxa"/>
            <w:tcBorders>
              <w:top w:val="single" w:sz="8" w:space="0" w:color="auto"/>
              <w:left w:val="nil"/>
              <w:bottom w:val="single" w:sz="4" w:space="0" w:color="auto"/>
              <w:right w:val="nil"/>
            </w:tcBorders>
            <w:noWrap/>
            <w:vAlign w:val="bottom"/>
            <w:hideMark/>
          </w:tcPr>
          <w:p w14:paraId="0380A64A" w14:textId="77777777" w:rsidR="0076562A" w:rsidRPr="008B396E" w:rsidRDefault="0076562A" w:rsidP="0076562A">
            <w:pPr>
              <w:spacing w:after="0" w:line="240" w:lineRule="auto"/>
              <w:jc w:val="center"/>
              <w:rPr>
                <w:rFonts w:ascii="Aptos Narrow" w:eastAsia="Times New Roman" w:hAnsi="Aptos Narrow" w:cs="Times New Roman"/>
                <w:i/>
                <w:iCs/>
                <w:color w:val="000000"/>
                <w:lang w:val="sv-SE" w:eastAsia="sv-SE"/>
              </w:rPr>
            </w:pPr>
            <w:r w:rsidRPr="008B396E">
              <w:rPr>
                <w:rFonts w:ascii="Aptos Narrow" w:eastAsia="Times New Roman" w:hAnsi="Aptos Narrow" w:cs="Times New Roman"/>
                <w:i/>
                <w:iCs/>
                <w:color w:val="000000"/>
                <w:lang w:val="sv-SE" w:eastAsia="sv-SE"/>
              </w:rPr>
              <w:t>df</w:t>
            </w:r>
          </w:p>
        </w:tc>
        <w:tc>
          <w:tcPr>
            <w:tcW w:w="978" w:type="dxa"/>
            <w:tcBorders>
              <w:top w:val="single" w:sz="8" w:space="0" w:color="auto"/>
              <w:left w:val="nil"/>
              <w:bottom w:val="single" w:sz="4" w:space="0" w:color="auto"/>
              <w:right w:val="nil"/>
            </w:tcBorders>
            <w:noWrap/>
            <w:vAlign w:val="bottom"/>
            <w:hideMark/>
          </w:tcPr>
          <w:p w14:paraId="797821B9" w14:textId="77777777" w:rsidR="0076562A" w:rsidRPr="008B396E" w:rsidRDefault="0076562A" w:rsidP="0076562A">
            <w:pPr>
              <w:spacing w:after="0" w:line="240" w:lineRule="auto"/>
              <w:jc w:val="center"/>
              <w:rPr>
                <w:rFonts w:ascii="Aptos Narrow" w:eastAsia="Times New Roman" w:hAnsi="Aptos Narrow" w:cs="Times New Roman"/>
                <w:i/>
                <w:iCs/>
                <w:color w:val="000000"/>
                <w:lang w:val="sv-SE" w:eastAsia="sv-SE"/>
              </w:rPr>
            </w:pPr>
            <w:r w:rsidRPr="008B396E">
              <w:rPr>
                <w:rFonts w:ascii="Aptos Narrow" w:eastAsia="Times New Roman" w:hAnsi="Aptos Narrow" w:cs="Times New Roman"/>
                <w:i/>
                <w:iCs/>
                <w:color w:val="000000"/>
                <w:lang w:val="sv-SE" w:eastAsia="sv-SE"/>
              </w:rPr>
              <w:t>Ms</w:t>
            </w:r>
          </w:p>
        </w:tc>
        <w:tc>
          <w:tcPr>
            <w:tcW w:w="978" w:type="dxa"/>
            <w:tcBorders>
              <w:top w:val="single" w:sz="8" w:space="0" w:color="auto"/>
              <w:left w:val="nil"/>
              <w:bottom w:val="single" w:sz="4" w:space="0" w:color="auto"/>
              <w:right w:val="nil"/>
            </w:tcBorders>
            <w:noWrap/>
            <w:vAlign w:val="bottom"/>
            <w:hideMark/>
          </w:tcPr>
          <w:p w14:paraId="10B2A2EE" w14:textId="77777777" w:rsidR="0076562A" w:rsidRPr="008B396E" w:rsidRDefault="0076562A" w:rsidP="0076562A">
            <w:pPr>
              <w:spacing w:after="0" w:line="240" w:lineRule="auto"/>
              <w:jc w:val="center"/>
              <w:rPr>
                <w:rFonts w:ascii="Aptos Narrow" w:eastAsia="Times New Roman" w:hAnsi="Aptos Narrow" w:cs="Times New Roman"/>
                <w:i/>
                <w:iCs/>
                <w:color w:val="000000"/>
                <w:lang w:val="sv-SE" w:eastAsia="sv-SE"/>
              </w:rPr>
            </w:pPr>
            <w:r w:rsidRPr="008B396E">
              <w:rPr>
                <w:rFonts w:ascii="Aptos Narrow" w:eastAsia="Times New Roman" w:hAnsi="Aptos Narrow" w:cs="Times New Roman"/>
                <w:i/>
                <w:iCs/>
                <w:color w:val="000000"/>
                <w:lang w:val="sv-SE" w:eastAsia="sv-SE"/>
              </w:rPr>
              <w:t>F</w:t>
            </w:r>
          </w:p>
        </w:tc>
        <w:tc>
          <w:tcPr>
            <w:tcW w:w="978" w:type="dxa"/>
            <w:tcBorders>
              <w:top w:val="single" w:sz="8" w:space="0" w:color="auto"/>
              <w:left w:val="nil"/>
              <w:bottom w:val="single" w:sz="4" w:space="0" w:color="auto"/>
              <w:right w:val="nil"/>
            </w:tcBorders>
            <w:noWrap/>
            <w:vAlign w:val="bottom"/>
            <w:hideMark/>
          </w:tcPr>
          <w:p w14:paraId="30214D84" w14:textId="77777777" w:rsidR="0076562A" w:rsidRPr="008B396E" w:rsidRDefault="0076562A" w:rsidP="0076562A">
            <w:pPr>
              <w:spacing w:after="0" w:line="240" w:lineRule="auto"/>
              <w:jc w:val="center"/>
              <w:rPr>
                <w:rFonts w:ascii="Aptos Narrow" w:eastAsia="Times New Roman" w:hAnsi="Aptos Narrow" w:cs="Times New Roman"/>
                <w:i/>
                <w:iCs/>
                <w:color w:val="000000"/>
                <w:lang w:val="sv-SE" w:eastAsia="sv-SE"/>
              </w:rPr>
            </w:pPr>
            <w:r w:rsidRPr="008B396E">
              <w:rPr>
                <w:rFonts w:ascii="Aptos Narrow" w:eastAsia="Times New Roman" w:hAnsi="Aptos Narrow" w:cs="Times New Roman"/>
                <w:i/>
                <w:iCs/>
                <w:color w:val="000000"/>
                <w:lang w:val="sv-SE" w:eastAsia="sv-SE"/>
              </w:rPr>
              <w:t>p-value</w:t>
            </w:r>
          </w:p>
        </w:tc>
        <w:tc>
          <w:tcPr>
            <w:tcW w:w="960" w:type="dxa"/>
            <w:tcBorders>
              <w:top w:val="single" w:sz="8" w:space="0" w:color="auto"/>
              <w:left w:val="nil"/>
              <w:bottom w:val="single" w:sz="4" w:space="0" w:color="auto"/>
              <w:right w:val="nil"/>
            </w:tcBorders>
            <w:noWrap/>
            <w:vAlign w:val="bottom"/>
            <w:hideMark/>
          </w:tcPr>
          <w:p w14:paraId="08A79E9E" w14:textId="77777777" w:rsidR="0076562A" w:rsidRPr="008B396E" w:rsidRDefault="0076562A" w:rsidP="0076562A">
            <w:pPr>
              <w:spacing w:after="0" w:line="240" w:lineRule="auto"/>
              <w:jc w:val="center"/>
              <w:rPr>
                <w:rFonts w:ascii="Aptos Narrow" w:eastAsia="Times New Roman" w:hAnsi="Aptos Narrow" w:cs="Times New Roman"/>
                <w:i/>
                <w:iCs/>
                <w:color w:val="000000"/>
                <w:lang w:val="sv-SE" w:eastAsia="sv-SE"/>
              </w:rPr>
            </w:pPr>
            <w:r w:rsidRPr="008B396E">
              <w:rPr>
                <w:rFonts w:ascii="Aptos Narrow" w:eastAsia="Times New Roman" w:hAnsi="Aptos Narrow" w:cs="Times New Roman"/>
                <w:i/>
                <w:iCs/>
                <w:color w:val="000000"/>
                <w:lang w:val="sv-SE" w:eastAsia="sv-SE"/>
              </w:rPr>
              <w:t>F-Crit</w:t>
            </w:r>
          </w:p>
        </w:tc>
        <w:tc>
          <w:tcPr>
            <w:tcW w:w="960" w:type="dxa"/>
            <w:tcBorders>
              <w:top w:val="nil"/>
              <w:left w:val="nil"/>
              <w:bottom w:val="nil"/>
              <w:right w:val="nil"/>
            </w:tcBorders>
            <w:noWrap/>
            <w:vAlign w:val="bottom"/>
            <w:hideMark/>
          </w:tcPr>
          <w:p w14:paraId="217CC8D3" w14:textId="77777777" w:rsidR="0076562A" w:rsidRPr="008B396E" w:rsidRDefault="0076562A" w:rsidP="0076562A">
            <w:pPr>
              <w:spacing w:after="0" w:line="240" w:lineRule="auto"/>
              <w:jc w:val="center"/>
              <w:rPr>
                <w:rFonts w:ascii="Aptos Narrow" w:eastAsia="Times New Roman" w:hAnsi="Aptos Narrow" w:cs="Times New Roman"/>
                <w:i/>
                <w:iCs/>
                <w:color w:val="000000"/>
                <w:lang w:val="sv-SE" w:eastAsia="sv-SE"/>
              </w:rPr>
            </w:pPr>
          </w:p>
        </w:tc>
      </w:tr>
      <w:tr w:rsidR="0076562A" w:rsidRPr="008B396E" w14:paraId="39CE86E0" w14:textId="77777777" w:rsidTr="003B49C5">
        <w:trPr>
          <w:trHeight w:val="290"/>
        </w:trPr>
        <w:tc>
          <w:tcPr>
            <w:tcW w:w="1676" w:type="dxa"/>
            <w:tcBorders>
              <w:top w:val="nil"/>
              <w:left w:val="nil"/>
              <w:bottom w:val="nil"/>
              <w:right w:val="nil"/>
            </w:tcBorders>
            <w:noWrap/>
            <w:vAlign w:val="bottom"/>
            <w:hideMark/>
          </w:tcPr>
          <w:p w14:paraId="33E6D3E8" w14:textId="77777777" w:rsidR="0076562A" w:rsidRPr="008B396E" w:rsidRDefault="0076562A" w:rsidP="0076562A">
            <w:pPr>
              <w:spacing w:after="0" w:line="240" w:lineRule="auto"/>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Between groups</w:t>
            </w:r>
          </w:p>
        </w:tc>
        <w:tc>
          <w:tcPr>
            <w:tcW w:w="978" w:type="dxa"/>
            <w:tcBorders>
              <w:top w:val="nil"/>
              <w:left w:val="nil"/>
              <w:bottom w:val="nil"/>
              <w:right w:val="nil"/>
            </w:tcBorders>
            <w:noWrap/>
            <w:vAlign w:val="bottom"/>
            <w:hideMark/>
          </w:tcPr>
          <w:p w14:paraId="395C433F" w14:textId="77777777" w:rsidR="0076562A" w:rsidRPr="008B396E" w:rsidRDefault="0076562A" w:rsidP="0076562A">
            <w:pPr>
              <w:spacing w:after="0" w:line="240" w:lineRule="auto"/>
              <w:jc w:val="right"/>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24,11111</w:t>
            </w:r>
          </w:p>
        </w:tc>
        <w:tc>
          <w:tcPr>
            <w:tcW w:w="960" w:type="dxa"/>
            <w:tcBorders>
              <w:top w:val="nil"/>
              <w:left w:val="nil"/>
              <w:bottom w:val="nil"/>
              <w:right w:val="nil"/>
            </w:tcBorders>
            <w:noWrap/>
            <w:vAlign w:val="bottom"/>
            <w:hideMark/>
          </w:tcPr>
          <w:p w14:paraId="238CAB2B" w14:textId="77777777" w:rsidR="0076562A" w:rsidRPr="008B396E" w:rsidRDefault="0076562A" w:rsidP="0076562A">
            <w:pPr>
              <w:spacing w:after="0" w:line="240" w:lineRule="auto"/>
              <w:jc w:val="right"/>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2</w:t>
            </w:r>
          </w:p>
        </w:tc>
        <w:tc>
          <w:tcPr>
            <w:tcW w:w="978" w:type="dxa"/>
            <w:tcBorders>
              <w:top w:val="nil"/>
              <w:left w:val="nil"/>
              <w:bottom w:val="nil"/>
              <w:right w:val="nil"/>
            </w:tcBorders>
            <w:noWrap/>
            <w:vAlign w:val="bottom"/>
            <w:hideMark/>
          </w:tcPr>
          <w:p w14:paraId="668F5DF2" w14:textId="77777777" w:rsidR="0076562A" w:rsidRPr="008B396E" w:rsidRDefault="0076562A" w:rsidP="0076562A">
            <w:pPr>
              <w:spacing w:after="0" w:line="240" w:lineRule="auto"/>
              <w:jc w:val="right"/>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12,05556</w:t>
            </w:r>
          </w:p>
        </w:tc>
        <w:tc>
          <w:tcPr>
            <w:tcW w:w="978" w:type="dxa"/>
            <w:tcBorders>
              <w:top w:val="nil"/>
              <w:left w:val="nil"/>
              <w:bottom w:val="nil"/>
              <w:right w:val="nil"/>
            </w:tcBorders>
            <w:noWrap/>
            <w:vAlign w:val="bottom"/>
            <w:hideMark/>
          </w:tcPr>
          <w:p w14:paraId="2513F823" w14:textId="77777777" w:rsidR="0076562A" w:rsidRPr="008B396E" w:rsidRDefault="0076562A" w:rsidP="0076562A">
            <w:pPr>
              <w:spacing w:after="0" w:line="240" w:lineRule="auto"/>
              <w:jc w:val="right"/>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2,200811</w:t>
            </w:r>
          </w:p>
        </w:tc>
        <w:tc>
          <w:tcPr>
            <w:tcW w:w="978" w:type="dxa"/>
            <w:tcBorders>
              <w:top w:val="nil"/>
              <w:left w:val="nil"/>
              <w:bottom w:val="nil"/>
              <w:right w:val="nil"/>
            </w:tcBorders>
            <w:noWrap/>
            <w:vAlign w:val="bottom"/>
            <w:hideMark/>
          </w:tcPr>
          <w:p w14:paraId="0A232DC9" w14:textId="77777777" w:rsidR="0076562A" w:rsidRPr="008B396E" w:rsidRDefault="0076562A" w:rsidP="0076562A">
            <w:pPr>
              <w:spacing w:after="0" w:line="240" w:lineRule="auto"/>
              <w:jc w:val="right"/>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0,145177</w:t>
            </w:r>
          </w:p>
        </w:tc>
        <w:tc>
          <w:tcPr>
            <w:tcW w:w="960" w:type="dxa"/>
            <w:tcBorders>
              <w:top w:val="nil"/>
              <w:left w:val="nil"/>
              <w:bottom w:val="nil"/>
              <w:right w:val="nil"/>
            </w:tcBorders>
            <w:noWrap/>
            <w:vAlign w:val="bottom"/>
            <w:hideMark/>
          </w:tcPr>
          <w:p w14:paraId="02A02E0C" w14:textId="77777777" w:rsidR="0076562A" w:rsidRPr="008B396E" w:rsidRDefault="0076562A" w:rsidP="0076562A">
            <w:pPr>
              <w:spacing w:after="0" w:line="240" w:lineRule="auto"/>
              <w:jc w:val="right"/>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3,68232</w:t>
            </w:r>
          </w:p>
        </w:tc>
        <w:tc>
          <w:tcPr>
            <w:tcW w:w="960" w:type="dxa"/>
            <w:tcBorders>
              <w:top w:val="nil"/>
              <w:left w:val="nil"/>
              <w:bottom w:val="nil"/>
              <w:right w:val="nil"/>
            </w:tcBorders>
            <w:noWrap/>
            <w:vAlign w:val="bottom"/>
            <w:hideMark/>
          </w:tcPr>
          <w:p w14:paraId="56133469" w14:textId="77777777" w:rsidR="0076562A" w:rsidRPr="008B396E" w:rsidRDefault="0076562A" w:rsidP="0076562A">
            <w:pPr>
              <w:spacing w:after="0" w:line="240" w:lineRule="auto"/>
              <w:jc w:val="right"/>
              <w:rPr>
                <w:rFonts w:ascii="Aptos Narrow" w:eastAsia="Times New Roman" w:hAnsi="Aptos Narrow" w:cs="Times New Roman"/>
                <w:color w:val="000000"/>
                <w:lang w:val="sv-SE" w:eastAsia="sv-SE"/>
              </w:rPr>
            </w:pPr>
          </w:p>
        </w:tc>
      </w:tr>
      <w:tr w:rsidR="0076562A" w:rsidRPr="008B396E" w14:paraId="26467A6E" w14:textId="77777777" w:rsidTr="003B49C5">
        <w:trPr>
          <w:trHeight w:val="290"/>
        </w:trPr>
        <w:tc>
          <w:tcPr>
            <w:tcW w:w="1676" w:type="dxa"/>
            <w:tcBorders>
              <w:top w:val="nil"/>
              <w:left w:val="nil"/>
              <w:bottom w:val="nil"/>
              <w:right w:val="nil"/>
            </w:tcBorders>
            <w:noWrap/>
            <w:vAlign w:val="bottom"/>
            <w:hideMark/>
          </w:tcPr>
          <w:p w14:paraId="43190AFA" w14:textId="77777777" w:rsidR="0076562A" w:rsidRPr="008B396E" w:rsidRDefault="0076562A" w:rsidP="0076562A">
            <w:pPr>
              <w:spacing w:after="0" w:line="240" w:lineRule="auto"/>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Within groups</w:t>
            </w:r>
          </w:p>
        </w:tc>
        <w:tc>
          <w:tcPr>
            <w:tcW w:w="978" w:type="dxa"/>
            <w:tcBorders>
              <w:top w:val="nil"/>
              <w:left w:val="nil"/>
              <w:bottom w:val="nil"/>
              <w:right w:val="nil"/>
            </w:tcBorders>
            <w:noWrap/>
            <w:vAlign w:val="bottom"/>
            <w:hideMark/>
          </w:tcPr>
          <w:p w14:paraId="32C6FD3A" w14:textId="77777777" w:rsidR="0076562A" w:rsidRPr="008B396E" w:rsidRDefault="0076562A" w:rsidP="0076562A">
            <w:pPr>
              <w:spacing w:after="0" w:line="240" w:lineRule="auto"/>
              <w:jc w:val="right"/>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82,16667</w:t>
            </w:r>
          </w:p>
        </w:tc>
        <w:tc>
          <w:tcPr>
            <w:tcW w:w="960" w:type="dxa"/>
            <w:tcBorders>
              <w:top w:val="nil"/>
              <w:left w:val="nil"/>
              <w:bottom w:val="nil"/>
              <w:right w:val="nil"/>
            </w:tcBorders>
            <w:noWrap/>
            <w:vAlign w:val="bottom"/>
            <w:hideMark/>
          </w:tcPr>
          <w:p w14:paraId="16ED5CD6" w14:textId="77777777" w:rsidR="0076562A" w:rsidRPr="008B396E" w:rsidRDefault="0076562A" w:rsidP="0076562A">
            <w:pPr>
              <w:spacing w:after="0" w:line="240" w:lineRule="auto"/>
              <w:jc w:val="right"/>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15</w:t>
            </w:r>
          </w:p>
        </w:tc>
        <w:tc>
          <w:tcPr>
            <w:tcW w:w="978" w:type="dxa"/>
            <w:tcBorders>
              <w:top w:val="nil"/>
              <w:left w:val="nil"/>
              <w:bottom w:val="nil"/>
              <w:right w:val="nil"/>
            </w:tcBorders>
            <w:noWrap/>
            <w:vAlign w:val="bottom"/>
            <w:hideMark/>
          </w:tcPr>
          <w:p w14:paraId="2B0F2B26" w14:textId="77777777" w:rsidR="0076562A" w:rsidRPr="008B396E" w:rsidRDefault="0076562A" w:rsidP="0076562A">
            <w:pPr>
              <w:spacing w:after="0" w:line="240" w:lineRule="auto"/>
              <w:jc w:val="right"/>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5,477778</w:t>
            </w:r>
          </w:p>
        </w:tc>
        <w:tc>
          <w:tcPr>
            <w:tcW w:w="978" w:type="dxa"/>
            <w:tcBorders>
              <w:top w:val="nil"/>
              <w:left w:val="nil"/>
              <w:bottom w:val="nil"/>
              <w:right w:val="nil"/>
            </w:tcBorders>
            <w:noWrap/>
            <w:vAlign w:val="bottom"/>
            <w:hideMark/>
          </w:tcPr>
          <w:p w14:paraId="7FF72D7D" w14:textId="77777777" w:rsidR="0076562A" w:rsidRPr="008B396E" w:rsidRDefault="0076562A" w:rsidP="0076562A">
            <w:pPr>
              <w:spacing w:after="0" w:line="240" w:lineRule="auto"/>
              <w:jc w:val="right"/>
              <w:rPr>
                <w:rFonts w:ascii="Aptos Narrow" w:eastAsia="Times New Roman" w:hAnsi="Aptos Narrow" w:cs="Times New Roman"/>
                <w:color w:val="000000"/>
                <w:lang w:val="sv-SE" w:eastAsia="sv-SE"/>
              </w:rPr>
            </w:pPr>
          </w:p>
        </w:tc>
        <w:tc>
          <w:tcPr>
            <w:tcW w:w="978" w:type="dxa"/>
            <w:tcBorders>
              <w:top w:val="nil"/>
              <w:left w:val="nil"/>
              <w:bottom w:val="nil"/>
              <w:right w:val="nil"/>
            </w:tcBorders>
            <w:noWrap/>
            <w:vAlign w:val="bottom"/>
            <w:hideMark/>
          </w:tcPr>
          <w:p w14:paraId="489908B3"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60" w:type="dxa"/>
            <w:tcBorders>
              <w:top w:val="nil"/>
              <w:left w:val="nil"/>
              <w:bottom w:val="nil"/>
              <w:right w:val="nil"/>
            </w:tcBorders>
            <w:noWrap/>
            <w:vAlign w:val="bottom"/>
            <w:hideMark/>
          </w:tcPr>
          <w:p w14:paraId="31EF9145"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60" w:type="dxa"/>
            <w:tcBorders>
              <w:top w:val="nil"/>
              <w:left w:val="nil"/>
              <w:bottom w:val="nil"/>
              <w:right w:val="nil"/>
            </w:tcBorders>
            <w:noWrap/>
            <w:vAlign w:val="bottom"/>
            <w:hideMark/>
          </w:tcPr>
          <w:p w14:paraId="4EA4E087"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r>
      <w:tr w:rsidR="0076562A" w:rsidRPr="008B396E" w14:paraId="0243A09E" w14:textId="77777777" w:rsidTr="003B49C5">
        <w:trPr>
          <w:trHeight w:val="290"/>
        </w:trPr>
        <w:tc>
          <w:tcPr>
            <w:tcW w:w="1676" w:type="dxa"/>
            <w:tcBorders>
              <w:top w:val="nil"/>
              <w:left w:val="nil"/>
              <w:bottom w:val="nil"/>
              <w:right w:val="nil"/>
            </w:tcBorders>
            <w:noWrap/>
            <w:vAlign w:val="bottom"/>
            <w:hideMark/>
          </w:tcPr>
          <w:p w14:paraId="78D38A33"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78" w:type="dxa"/>
            <w:tcBorders>
              <w:top w:val="nil"/>
              <w:left w:val="nil"/>
              <w:bottom w:val="nil"/>
              <w:right w:val="nil"/>
            </w:tcBorders>
            <w:noWrap/>
            <w:vAlign w:val="bottom"/>
            <w:hideMark/>
          </w:tcPr>
          <w:p w14:paraId="6669C83A"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60" w:type="dxa"/>
            <w:tcBorders>
              <w:top w:val="nil"/>
              <w:left w:val="nil"/>
              <w:bottom w:val="nil"/>
              <w:right w:val="nil"/>
            </w:tcBorders>
            <w:noWrap/>
            <w:vAlign w:val="bottom"/>
            <w:hideMark/>
          </w:tcPr>
          <w:p w14:paraId="03334319"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78" w:type="dxa"/>
            <w:tcBorders>
              <w:top w:val="nil"/>
              <w:left w:val="nil"/>
              <w:bottom w:val="nil"/>
              <w:right w:val="nil"/>
            </w:tcBorders>
            <w:noWrap/>
            <w:vAlign w:val="bottom"/>
            <w:hideMark/>
          </w:tcPr>
          <w:p w14:paraId="60A1CA61"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78" w:type="dxa"/>
            <w:tcBorders>
              <w:top w:val="nil"/>
              <w:left w:val="nil"/>
              <w:bottom w:val="nil"/>
              <w:right w:val="nil"/>
            </w:tcBorders>
            <w:noWrap/>
            <w:vAlign w:val="bottom"/>
            <w:hideMark/>
          </w:tcPr>
          <w:p w14:paraId="39DDE334"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78" w:type="dxa"/>
            <w:tcBorders>
              <w:top w:val="nil"/>
              <w:left w:val="nil"/>
              <w:bottom w:val="nil"/>
              <w:right w:val="nil"/>
            </w:tcBorders>
            <w:noWrap/>
            <w:vAlign w:val="bottom"/>
            <w:hideMark/>
          </w:tcPr>
          <w:p w14:paraId="106204F4"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60" w:type="dxa"/>
            <w:tcBorders>
              <w:top w:val="nil"/>
              <w:left w:val="nil"/>
              <w:bottom w:val="nil"/>
              <w:right w:val="nil"/>
            </w:tcBorders>
            <w:noWrap/>
            <w:vAlign w:val="bottom"/>
            <w:hideMark/>
          </w:tcPr>
          <w:p w14:paraId="1B64CDEC"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60" w:type="dxa"/>
            <w:tcBorders>
              <w:top w:val="nil"/>
              <w:left w:val="nil"/>
              <w:bottom w:val="nil"/>
              <w:right w:val="nil"/>
            </w:tcBorders>
            <w:noWrap/>
            <w:vAlign w:val="bottom"/>
            <w:hideMark/>
          </w:tcPr>
          <w:p w14:paraId="053CA2F1"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r>
      <w:tr w:rsidR="0076562A" w:rsidRPr="008B396E" w14:paraId="09476B7F" w14:textId="77777777" w:rsidTr="003B49C5">
        <w:trPr>
          <w:trHeight w:val="300"/>
        </w:trPr>
        <w:tc>
          <w:tcPr>
            <w:tcW w:w="1676" w:type="dxa"/>
            <w:tcBorders>
              <w:top w:val="nil"/>
              <w:left w:val="nil"/>
              <w:bottom w:val="single" w:sz="8" w:space="0" w:color="auto"/>
              <w:right w:val="nil"/>
            </w:tcBorders>
            <w:noWrap/>
            <w:vAlign w:val="bottom"/>
            <w:hideMark/>
          </w:tcPr>
          <w:p w14:paraId="77756F30" w14:textId="77777777" w:rsidR="0076562A" w:rsidRPr="008B396E" w:rsidRDefault="0076562A" w:rsidP="0076562A">
            <w:pPr>
              <w:spacing w:after="0" w:line="240" w:lineRule="auto"/>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Total</w:t>
            </w:r>
          </w:p>
        </w:tc>
        <w:tc>
          <w:tcPr>
            <w:tcW w:w="978" w:type="dxa"/>
            <w:tcBorders>
              <w:top w:val="nil"/>
              <w:left w:val="nil"/>
              <w:bottom w:val="single" w:sz="8" w:space="0" w:color="auto"/>
              <w:right w:val="nil"/>
            </w:tcBorders>
            <w:noWrap/>
            <w:vAlign w:val="bottom"/>
            <w:hideMark/>
          </w:tcPr>
          <w:p w14:paraId="6F378191" w14:textId="77777777" w:rsidR="0076562A" w:rsidRPr="008B396E" w:rsidRDefault="0076562A" w:rsidP="0076562A">
            <w:pPr>
              <w:spacing w:after="0" w:line="240" w:lineRule="auto"/>
              <w:jc w:val="right"/>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106,2778</w:t>
            </w:r>
          </w:p>
        </w:tc>
        <w:tc>
          <w:tcPr>
            <w:tcW w:w="960" w:type="dxa"/>
            <w:tcBorders>
              <w:top w:val="nil"/>
              <w:left w:val="nil"/>
              <w:bottom w:val="single" w:sz="8" w:space="0" w:color="auto"/>
              <w:right w:val="nil"/>
            </w:tcBorders>
            <w:noWrap/>
            <w:vAlign w:val="bottom"/>
            <w:hideMark/>
          </w:tcPr>
          <w:p w14:paraId="3F7295A1" w14:textId="77777777" w:rsidR="0076562A" w:rsidRPr="008B396E" w:rsidRDefault="0076562A" w:rsidP="0076562A">
            <w:pPr>
              <w:spacing w:after="0" w:line="240" w:lineRule="auto"/>
              <w:jc w:val="right"/>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17</w:t>
            </w:r>
          </w:p>
        </w:tc>
        <w:tc>
          <w:tcPr>
            <w:tcW w:w="978" w:type="dxa"/>
            <w:tcBorders>
              <w:top w:val="nil"/>
              <w:left w:val="nil"/>
              <w:bottom w:val="single" w:sz="8" w:space="0" w:color="auto"/>
              <w:right w:val="nil"/>
            </w:tcBorders>
            <w:noWrap/>
            <w:vAlign w:val="bottom"/>
            <w:hideMark/>
          </w:tcPr>
          <w:p w14:paraId="29E3285E" w14:textId="77777777" w:rsidR="0076562A" w:rsidRPr="008B396E" w:rsidRDefault="0076562A" w:rsidP="0076562A">
            <w:pPr>
              <w:spacing w:after="0" w:line="240" w:lineRule="auto"/>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 </w:t>
            </w:r>
          </w:p>
        </w:tc>
        <w:tc>
          <w:tcPr>
            <w:tcW w:w="978" w:type="dxa"/>
            <w:tcBorders>
              <w:top w:val="nil"/>
              <w:left w:val="nil"/>
              <w:bottom w:val="single" w:sz="8" w:space="0" w:color="auto"/>
              <w:right w:val="nil"/>
            </w:tcBorders>
            <w:noWrap/>
            <w:vAlign w:val="bottom"/>
            <w:hideMark/>
          </w:tcPr>
          <w:p w14:paraId="0A9060B0" w14:textId="77777777" w:rsidR="0076562A" w:rsidRPr="008B396E" w:rsidRDefault="0076562A" w:rsidP="0076562A">
            <w:pPr>
              <w:spacing w:after="0" w:line="240" w:lineRule="auto"/>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 </w:t>
            </w:r>
          </w:p>
        </w:tc>
        <w:tc>
          <w:tcPr>
            <w:tcW w:w="978" w:type="dxa"/>
            <w:tcBorders>
              <w:top w:val="nil"/>
              <w:left w:val="nil"/>
              <w:bottom w:val="single" w:sz="8" w:space="0" w:color="auto"/>
              <w:right w:val="nil"/>
            </w:tcBorders>
            <w:noWrap/>
            <w:vAlign w:val="bottom"/>
            <w:hideMark/>
          </w:tcPr>
          <w:p w14:paraId="5FD9FECD" w14:textId="77777777" w:rsidR="0076562A" w:rsidRPr="008B396E" w:rsidRDefault="0076562A" w:rsidP="0076562A">
            <w:pPr>
              <w:spacing w:after="0" w:line="240" w:lineRule="auto"/>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 </w:t>
            </w:r>
          </w:p>
        </w:tc>
        <w:tc>
          <w:tcPr>
            <w:tcW w:w="960" w:type="dxa"/>
            <w:tcBorders>
              <w:top w:val="nil"/>
              <w:left w:val="nil"/>
              <w:bottom w:val="single" w:sz="8" w:space="0" w:color="auto"/>
              <w:right w:val="nil"/>
            </w:tcBorders>
            <w:noWrap/>
            <w:vAlign w:val="bottom"/>
            <w:hideMark/>
          </w:tcPr>
          <w:p w14:paraId="4910E786" w14:textId="77777777" w:rsidR="0076562A" w:rsidRPr="008B396E" w:rsidRDefault="0076562A" w:rsidP="0076562A">
            <w:pPr>
              <w:spacing w:after="0" w:line="240" w:lineRule="auto"/>
              <w:rPr>
                <w:rFonts w:ascii="Aptos Narrow" w:eastAsia="Times New Roman" w:hAnsi="Aptos Narrow" w:cs="Times New Roman"/>
                <w:color w:val="000000"/>
                <w:lang w:val="sv-SE" w:eastAsia="sv-SE"/>
              </w:rPr>
            </w:pPr>
            <w:r w:rsidRPr="008B396E">
              <w:rPr>
                <w:rFonts w:ascii="Aptos Narrow" w:eastAsia="Times New Roman" w:hAnsi="Aptos Narrow" w:cs="Times New Roman"/>
                <w:color w:val="000000"/>
                <w:lang w:val="sv-SE" w:eastAsia="sv-SE"/>
              </w:rPr>
              <w:t> </w:t>
            </w:r>
          </w:p>
        </w:tc>
        <w:tc>
          <w:tcPr>
            <w:tcW w:w="960" w:type="dxa"/>
            <w:tcBorders>
              <w:top w:val="nil"/>
              <w:left w:val="nil"/>
              <w:bottom w:val="nil"/>
              <w:right w:val="nil"/>
            </w:tcBorders>
            <w:noWrap/>
            <w:vAlign w:val="bottom"/>
            <w:hideMark/>
          </w:tcPr>
          <w:p w14:paraId="288ECC7C" w14:textId="77777777" w:rsidR="0076562A" w:rsidRPr="008B396E" w:rsidRDefault="0076562A" w:rsidP="0076562A">
            <w:pPr>
              <w:spacing w:after="0" w:line="240" w:lineRule="auto"/>
              <w:rPr>
                <w:rFonts w:ascii="Aptos Narrow" w:eastAsia="Times New Roman" w:hAnsi="Aptos Narrow" w:cs="Times New Roman"/>
                <w:color w:val="000000"/>
                <w:lang w:val="sv-SE" w:eastAsia="sv-SE"/>
              </w:rPr>
            </w:pPr>
          </w:p>
        </w:tc>
      </w:tr>
      <w:tr w:rsidR="0076562A" w:rsidRPr="008B396E" w14:paraId="67DC8D8F" w14:textId="77777777" w:rsidTr="003B49C5">
        <w:trPr>
          <w:trHeight w:val="290"/>
        </w:trPr>
        <w:tc>
          <w:tcPr>
            <w:tcW w:w="1676" w:type="dxa"/>
            <w:tcBorders>
              <w:top w:val="nil"/>
              <w:left w:val="nil"/>
              <w:bottom w:val="nil"/>
              <w:right w:val="nil"/>
            </w:tcBorders>
            <w:noWrap/>
            <w:vAlign w:val="bottom"/>
            <w:hideMark/>
          </w:tcPr>
          <w:p w14:paraId="13F38E54"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78" w:type="dxa"/>
            <w:tcBorders>
              <w:top w:val="nil"/>
              <w:left w:val="nil"/>
              <w:bottom w:val="nil"/>
              <w:right w:val="nil"/>
            </w:tcBorders>
            <w:noWrap/>
            <w:vAlign w:val="bottom"/>
            <w:hideMark/>
          </w:tcPr>
          <w:p w14:paraId="01A7DFEC"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60" w:type="dxa"/>
            <w:tcBorders>
              <w:top w:val="nil"/>
              <w:left w:val="nil"/>
              <w:bottom w:val="nil"/>
              <w:right w:val="nil"/>
            </w:tcBorders>
            <w:noWrap/>
            <w:vAlign w:val="bottom"/>
            <w:hideMark/>
          </w:tcPr>
          <w:p w14:paraId="20460514"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78" w:type="dxa"/>
            <w:tcBorders>
              <w:top w:val="nil"/>
              <w:left w:val="nil"/>
              <w:bottom w:val="nil"/>
              <w:right w:val="nil"/>
            </w:tcBorders>
            <w:noWrap/>
            <w:vAlign w:val="bottom"/>
            <w:hideMark/>
          </w:tcPr>
          <w:p w14:paraId="393D876A"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78" w:type="dxa"/>
            <w:tcBorders>
              <w:top w:val="nil"/>
              <w:left w:val="nil"/>
              <w:bottom w:val="nil"/>
              <w:right w:val="nil"/>
            </w:tcBorders>
            <w:noWrap/>
            <w:vAlign w:val="bottom"/>
            <w:hideMark/>
          </w:tcPr>
          <w:p w14:paraId="0880C6DD"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78" w:type="dxa"/>
            <w:tcBorders>
              <w:top w:val="nil"/>
              <w:left w:val="nil"/>
              <w:bottom w:val="nil"/>
              <w:right w:val="nil"/>
            </w:tcBorders>
            <w:noWrap/>
            <w:vAlign w:val="bottom"/>
            <w:hideMark/>
          </w:tcPr>
          <w:p w14:paraId="4F59C3E2"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60" w:type="dxa"/>
            <w:tcBorders>
              <w:top w:val="nil"/>
              <w:left w:val="nil"/>
              <w:bottom w:val="nil"/>
              <w:right w:val="nil"/>
            </w:tcBorders>
            <w:noWrap/>
            <w:vAlign w:val="bottom"/>
            <w:hideMark/>
          </w:tcPr>
          <w:p w14:paraId="41BC8666"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c>
          <w:tcPr>
            <w:tcW w:w="960" w:type="dxa"/>
            <w:tcBorders>
              <w:top w:val="nil"/>
              <w:left w:val="nil"/>
              <w:bottom w:val="nil"/>
              <w:right w:val="nil"/>
            </w:tcBorders>
            <w:noWrap/>
            <w:vAlign w:val="bottom"/>
            <w:hideMark/>
          </w:tcPr>
          <w:p w14:paraId="787CD3F6" w14:textId="77777777" w:rsidR="0076562A" w:rsidRPr="008B396E" w:rsidRDefault="0076562A" w:rsidP="0076562A">
            <w:pPr>
              <w:spacing w:after="0" w:line="240" w:lineRule="auto"/>
              <w:rPr>
                <w:rFonts w:ascii="Times New Roman" w:eastAsia="Times New Roman" w:hAnsi="Times New Roman" w:cs="Times New Roman"/>
                <w:sz w:val="20"/>
                <w:szCs w:val="20"/>
                <w:lang w:val="sv-SE" w:eastAsia="sv-SE"/>
              </w:rPr>
            </w:pPr>
          </w:p>
        </w:tc>
      </w:tr>
    </w:tbl>
    <w:p w14:paraId="28F6DE6F" w14:textId="77777777" w:rsidR="008B396E" w:rsidRDefault="008B396E" w:rsidP="00332710">
      <w:pPr>
        <w:rPr>
          <w:rFonts w:ascii="Times New Roman" w:eastAsia="Times New Roman" w:hAnsi="Times New Roman" w:cs="Times New Roman"/>
          <w:sz w:val="24"/>
          <w:szCs w:val="24"/>
          <w:lang w:eastAsia="sv-SE"/>
        </w:rPr>
      </w:pPr>
    </w:p>
    <w:p w14:paraId="221906CE" w14:textId="0F5F44D8" w:rsidR="005F56AF" w:rsidRPr="005F56AF" w:rsidRDefault="005F56AF" w:rsidP="00E9589D">
      <w:pPr>
        <w:pStyle w:val="pdq2pgselectionanchorcontainer"/>
        <w:spacing w:line="360" w:lineRule="auto"/>
        <w:jc w:val="both"/>
        <w:rPr>
          <w:lang w:val="en-GB"/>
        </w:rPr>
      </w:pPr>
      <w:r w:rsidRPr="005F56AF">
        <w:rPr>
          <w:lang w:val="en-GB"/>
        </w:rPr>
        <w:lastRenderedPageBreak/>
        <w:t>To examine whether post-secondary education</w:t>
      </w:r>
      <w:r w:rsidR="00305706">
        <w:rPr>
          <w:lang w:val="en-GB"/>
        </w:rPr>
        <w:t xml:space="preserve"> participation</w:t>
      </w:r>
      <w:r w:rsidRPr="005F56AF">
        <w:rPr>
          <w:lang w:val="en-GB"/>
        </w:rPr>
        <w:t xml:space="preserve"> differed across the first three years following completion of secondary education, a one-way analysis of variance (ANOVA) was conducted using an alpha level of .05. The analysis </w:t>
      </w:r>
      <w:r w:rsidR="009577D5">
        <w:rPr>
          <w:lang w:val="en-GB"/>
        </w:rPr>
        <w:t xml:space="preserve">in table 2 </w:t>
      </w:r>
      <w:r w:rsidRPr="005F56AF">
        <w:rPr>
          <w:lang w:val="en-GB"/>
        </w:rPr>
        <w:t xml:space="preserve">compared participation outcomes across three periods: within one year, within two years, and within three years </w:t>
      </w:r>
      <w:r w:rsidR="00295927">
        <w:rPr>
          <w:lang w:val="en-GB"/>
        </w:rPr>
        <w:t xml:space="preserve">after </w:t>
      </w:r>
      <w:r w:rsidRPr="005F56AF">
        <w:rPr>
          <w:lang w:val="en-GB"/>
        </w:rPr>
        <w:t>secondary education. Th</w:t>
      </w:r>
      <w:r w:rsidR="00174E72">
        <w:rPr>
          <w:lang w:val="en-GB"/>
        </w:rPr>
        <w:t>is specific</w:t>
      </w:r>
      <w:r w:rsidRPr="005F56AF">
        <w:rPr>
          <w:lang w:val="en-GB"/>
        </w:rPr>
        <w:t xml:space="preserve"> data </w:t>
      </w:r>
      <w:r w:rsidR="00254196" w:rsidRPr="005F56AF">
        <w:rPr>
          <w:lang w:val="en-GB"/>
        </w:rPr>
        <w:t>was</w:t>
      </w:r>
      <w:r w:rsidRPr="005F56AF">
        <w:rPr>
          <w:lang w:val="en-GB"/>
        </w:rPr>
        <w:t xml:space="preserve"> drawn from students </w:t>
      </w:r>
      <w:r w:rsidR="00AF2BC1">
        <w:rPr>
          <w:lang w:val="en-GB"/>
        </w:rPr>
        <w:t>pursuing</w:t>
      </w:r>
      <w:r w:rsidRPr="005F56AF">
        <w:rPr>
          <w:lang w:val="en-GB"/>
        </w:rPr>
        <w:t xml:space="preserve"> specialised courses in adult education between 2018 and 2020.</w:t>
      </w:r>
    </w:p>
    <w:p w14:paraId="3526CDBA" w14:textId="6F544B65" w:rsidR="005F56AF" w:rsidRPr="00E9589D" w:rsidRDefault="005F56AF" w:rsidP="00E9589D">
      <w:pPr>
        <w:pStyle w:val="Normalwebb"/>
        <w:spacing w:line="360" w:lineRule="auto"/>
        <w:jc w:val="both"/>
        <w:rPr>
          <w:lang w:val="en-GB"/>
        </w:rPr>
      </w:pPr>
      <w:r w:rsidRPr="005F56AF">
        <w:rPr>
          <w:lang w:val="en-GB"/>
        </w:rPr>
        <w:t xml:space="preserve">Descriptively, mean participation increased across the three periods. </w:t>
      </w:r>
      <w:r w:rsidRPr="00E9589D">
        <w:rPr>
          <w:lang w:val="en-GB"/>
        </w:rPr>
        <w:t>The mean participation score was 9.00</w:t>
      </w:r>
      <w:r w:rsidR="00CF4BBD">
        <w:rPr>
          <w:lang w:val="en-GB"/>
        </w:rPr>
        <w:t>%</w:t>
      </w:r>
      <w:r w:rsidRPr="00E9589D">
        <w:rPr>
          <w:lang w:val="en-GB"/>
        </w:rPr>
        <w:t xml:space="preserve"> (</w:t>
      </w:r>
      <w:r w:rsidRPr="00E9589D">
        <w:rPr>
          <w:rStyle w:val="Betoning"/>
          <w:lang w:val="en-GB"/>
        </w:rPr>
        <w:t>SD</w:t>
      </w:r>
      <w:r w:rsidRPr="00E9589D">
        <w:rPr>
          <w:lang w:val="en-GB"/>
        </w:rPr>
        <w:t xml:space="preserve"> = 2.10) within the first year, increasing to 10.33</w:t>
      </w:r>
      <w:r w:rsidR="00893CBC">
        <w:rPr>
          <w:lang w:val="en-GB"/>
        </w:rPr>
        <w:t>%</w:t>
      </w:r>
      <w:r w:rsidRPr="00E9589D">
        <w:rPr>
          <w:lang w:val="en-GB"/>
        </w:rPr>
        <w:t xml:space="preserve"> (</w:t>
      </w:r>
      <w:r w:rsidRPr="00E9589D">
        <w:rPr>
          <w:rStyle w:val="Betoning"/>
          <w:lang w:val="en-GB"/>
        </w:rPr>
        <w:t>SD</w:t>
      </w:r>
      <w:r w:rsidRPr="00E9589D">
        <w:rPr>
          <w:lang w:val="en-GB"/>
        </w:rPr>
        <w:t xml:space="preserve"> = 2.25) within the second year and 11.83</w:t>
      </w:r>
      <w:r w:rsidR="00893CBC">
        <w:rPr>
          <w:lang w:val="en-GB"/>
        </w:rPr>
        <w:t>%</w:t>
      </w:r>
      <w:r w:rsidRPr="00E9589D">
        <w:rPr>
          <w:lang w:val="en-GB"/>
        </w:rPr>
        <w:t xml:space="preserve"> (</w:t>
      </w:r>
      <w:r w:rsidRPr="00E9589D">
        <w:rPr>
          <w:rStyle w:val="Betoning"/>
          <w:lang w:val="en-GB"/>
        </w:rPr>
        <w:t>SD</w:t>
      </w:r>
      <w:r w:rsidRPr="00E9589D">
        <w:rPr>
          <w:lang w:val="en-GB"/>
        </w:rPr>
        <w:t xml:space="preserve"> = 2.64) within the third year. Thus, the descriptive results indicate an upward pattern in participation over the three-year period.</w:t>
      </w:r>
    </w:p>
    <w:p w14:paraId="40E25E42" w14:textId="3C40144E" w:rsidR="00D11C8C" w:rsidRPr="009D2CD4" w:rsidRDefault="005F56AF" w:rsidP="009D2CD4">
      <w:pPr>
        <w:pStyle w:val="Normalwebb"/>
        <w:spacing w:line="360" w:lineRule="auto"/>
        <w:jc w:val="both"/>
        <w:rPr>
          <w:lang w:val="en-GB"/>
        </w:rPr>
      </w:pPr>
      <w:r w:rsidRPr="00E9589D">
        <w:rPr>
          <w:lang w:val="en-GB"/>
        </w:rPr>
        <w:t xml:space="preserve">However, the one-way ANOVA indicated that the differences between the three periods were not statistically significant, </w:t>
      </w:r>
      <w:r w:rsidRPr="00E9589D">
        <w:rPr>
          <w:rStyle w:val="Betoning"/>
          <w:lang w:val="en-GB"/>
        </w:rPr>
        <w:t>F</w:t>
      </w:r>
      <w:r w:rsidRPr="00E9589D">
        <w:rPr>
          <w:lang w:val="en-GB"/>
        </w:rPr>
        <w:t xml:space="preserve">(2, 15) = 2.20, </w:t>
      </w:r>
      <w:r w:rsidRPr="00E9589D">
        <w:rPr>
          <w:rStyle w:val="Betoning"/>
          <w:lang w:val="en-GB"/>
        </w:rPr>
        <w:t>p</w:t>
      </w:r>
      <w:r w:rsidRPr="00E9589D">
        <w:rPr>
          <w:lang w:val="en-GB"/>
        </w:rPr>
        <w:t xml:space="preserve"> = .145. Because the </w:t>
      </w:r>
      <w:r w:rsidRPr="00E9589D">
        <w:rPr>
          <w:rStyle w:val="Betoning"/>
          <w:lang w:val="en-GB"/>
        </w:rPr>
        <w:t>p</w:t>
      </w:r>
      <w:r w:rsidRPr="00E9589D">
        <w:rPr>
          <w:lang w:val="en-GB"/>
        </w:rPr>
        <w:t xml:space="preserve">-value was greater than the predetermined significance level of .05, the null hypothesis was not rejected. Therefore, there was insufficient statistical evidence to conclude that participation in post-secondary education differed significantly across the first, second, and third years </w:t>
      </w:r>
      <w:r w:rsidR="00AF2BC1">
        <w:rPr>
          <w:lang w:val="en-GB"/>
        </w:rPr>
        <w:t xml:space="preserve">after </w:t>
      </w:r>
      <w:r w:rsidRPr="00E9589D">
        <w:rPr>
          <w:lang w:val="en-GB"/>
        </w:rPr>
        <w:t>secondary education.</w:t>
      </w:r>
      <w:r w:rsidR="008D10C5">
        <w:rPr>
          <w:lang w:val="en-GB"/>
        </w:rPr>
        <w:t xml:space="preserve"> </w:t>
      </w:r>
      <w:r w:rsidRPr="00E9589D">
        <w:rPr>
          <w:lang w:val="en-GB"/>
        </w:rPr>
        <w:t>Overall, the findings indicate a descriptive increase in mean participation over the three-year period; however, this observed increase did not reach statistical significance at the .05 lev</w:t>
      </w:r>
      <w:r w:rsidR="00816FD3">
        <w:rPr>
          <w:lang w:val="en-GB"/>
        </w:rPr>
        <w:t>el.</w:t>
      </w:r>
    </w:p>
    <w:p w14:paraId="2503AB31" w14:textId="3D5354A0" w:rsidR="00082F72" w:rsidRPr="00082F72" w:rsidRDefault="00082F72" w:rsidP="000542D1">
      <w:pPr>
        <w:rPr>
          <w:rFonts w:ascii="Times New Roman" w:eastAsia="Times New Roman" w:hAnsi="Times New Roman" w:cs="Times New Roman"/>
          <w:b/>
          <w:bCs/>
          <w:sz w:val="24"/>
          <w:szCs w:val="24"/>
          <w:lang w:eastAsia="sv-SE"/>
        </w:rPr>
      </w:pPr>
      <w:r w:rsidRPr="00082F72">
        <w:rPr>
          <w:rFonts w:ascii="Times New Roman" w:eastAsia="Times New Roman" w:hAnsi="Times New Roman" w:cs="Times New Roman"/>
          <w:b/>
          <w:bCs/>
          <w:sz w:val="24"/>
          <w:szCs w:val="24"/>
          <w:lang w:eastAsia="sv-SE"/>
        </w:rPr>
        <w:t>Participation across different groups</w:t>
      </w:r>
    </w:p>
    <w:p w14:paraId="1E46DD13" w14:textId="3EEFDAC5" w:rsidR="00BA039A" w:rsidRDefault="00B64D15" w:rsidP="000542D1">
      <w:pPr>
        <w:rPr>
          <w:rFonts w:ascii="Times New Roman" w:eastAsia="Times New Roman" w:hAnsi="Times New Roman" w:cs="Times New Roman"/>
          <w:sz w:val="24"/>
          <w:szCs w:val="24"/>
          <w:lang w:eastAsia="sv-SE"/>
        </w:rPr>
      </w:pPr>
      <w:r w:rsidRPr="00B64D15">
        <w:rPr>
          <w:rFonts w:ascii="Times New Roman" w:eastAsia="Times New Roman" w:hAnsi="Times New Roman" w:cs="Times New Roman"/>
          <w:sz w:val="24"/>
          <w:szCs w:val="24"/>
          <w:lang w:eastAsia="sv-SE"/>
        </w:rPr>
        <w:t>Does participation in post-secondary education change significantly between the first and third years across different disability groups</w:t>
      </w:r>
      <w:r w:rsidR="00C2722E">
        <w:rPr>
          <w:rFonts w:ascii="Times New Roman" w:eastAsia="Times New Roman" w:hAnsi="Times New Roman" w:cs="Times New Roman"/>
          <w:sz w:val="24"/>
          <w:szCs w:val="24"/>
          <w:lang w:eastAsia="sv-SE"/>
        </w:rPr>
        <w:t xml:space="preserve"> represented</w:t>
      </w:r>
      <w:r w:rsidR="007502B5">
        <w:rPr>
          <w:rFonts w:ascii="Times New Roman" w:eastAsia="Times New Roman" w:hAnsi="Times New Roman" w:cs="Times New Roman"/>
          <w:sz w:val="24"/>
          <w:szCs w:val="24"/>
          <w:lang w:eastAsia="sv-SE"/>
        </w:rPr>
        <w:t xml:space="preserve"> in the sample</w:t>
      </w:r>
      <w:r w:rsidRPr="00B64D15">
        <w:rPr>
          <w:rFonts w:ascii="Times New Roman" w:eastAsia="Times New Roman" w:hAnsi="Times New Roman" w:cs="Times New Roman"/>
          <w:sz w:val="24"/>
          <w:szCs w:val="24"/>
          <w:lang w:eastAsia="sv-SE"/>
        </w:rPr>
        <w:t>?</w:t>
      </w:r>
    </w:p>
    <w:p w14:paraId="1094D8D1" w14:textId="72361549" w:rsidR="00AE2C80" w:rsidRPr="00AE2C80" w:rsidRDefault="00AE2C80" w:rsidP="00AE2C80">
      <w:pPr>
        <w:pStyle w:val="pdq2pgselectionanchorcontainer"/>
        <w:rPr>
          <w:lang w:val="en-GB"/>
        </w:rPr>
      </w:pPr>
      <w:r w:rsidRPr="00AE2C80">
        <w:rPr>
          <w:rStyle w:val="Stark"/>
          <w:lang w:val="en-GB"/>
        </w:rPr>
        <w:t xml:space="preserve">H₀ </w:t>
      </w:r>
    </w:p>
    <w:p w14:paraId="394E8FFC" w14:textId="77777777" w:rsidR="00AE2C80" w:rsidRPr="00AE2C80" w:rsidRDefault="00AE2C80" w:rsidP="00AE2C80">
      <w:pPr>
        <w:pStyle w:val="Normalwebb"/>
        <w:rPr>
          <w:lang w:val="en-GB"/>
        </w:rPr>
      </w:pPr>
      <w:r w:rsidRPr="00AE2C80">
        <w:rPr>
          <w:lang w:val="en-GB"/>
        </w:rPr>
        <w:t>There is no statistically significant difference in participation in post-secondary education between the first and third years across disability groups.</w:t>
      </w:r>
    </w:p>
    <w:p w14:paraId="15F68A05" w14:textId="383CDC9E" w:rsidR="00AE2C80" w:rsidRPr="00AE2C80" w:rsidRDefault="00AE2C80" w:rsidP="00AE2C80">
      <w:pPr>
        <w:pStyle w:val="Normalwebb"/>
        <w:rPr>
          <w:lang w:val="en-GB"/>
        </w:rPr>
      </w:pPr>
      <w:r w:rsidRPr="00AE2C80">
        <w:rPr>
          <w:rStyle w:val="Stark"/>
          <w:lang w:val="en-GB"/>
        </w:rPr>
        <w:t xml:space="preserve">H₁ </w:t>
      </w:r>
    </w:p>
    <w:p w14:paraId="2B4B70F4" w14:textId="2ECB39AC" w:rsidR="000048CE" w:rsidRDefault="00AE2C80" w:rsidP="00AE2C80">
      <w:pPr>
        <w:pStyle w:val="Normalwebb"/>
        <w:rPr>
          <w:lang w:val="en-GB"/>
        </w:rPr>
      </w:pPr>
      <w:r w:rsidRPr="00AE2C80">
        <w:rPr>
          <w:lang w:val="en-GB"/>
        </w:rPr>
        <w:t>There is a statistically significant difference in participation in post-secondary education between the first and third years across disability groups.</w:t>
      </w:r>
    </w:p>
    <w:p w14:paraId="13D59828" w14:textId="78358FE0" w:rsidR="00254143" w:rsidRPr="009D2CD4" w:rsidRDefault="000048CE" w:rsidP="00AE2C80">
      <w:pPr>
        <w:pStyle w:val="Normalwebb"/>
        <w:rPr>
          <w:b/>
          <w:bCs/>
          <w:lang w:val="en-GB"/>
        </w:rPr>
      </w:pPr>
      <w:r w:rsidRPr="009D2CD4">
        <w:rPr>
          <w:b/>
          <w:bCs/>
          <w:lang w:val="en-GB"/>
        </w:rPr>
        <w:t>Table 3: t-</w:t>
      </w:r>
      <w:r w:rsidR="00644538">
        <w:rPr>
          <w:b/>
          <w:bCs/>
          <w:lang w:val="en-GB"/>
        </w:rPr>
        <w:t>T</w:t>
      </w:r>
      <w:r w:rsidRPr="009D2CD4">
        <w:rPr>
          <w:b/>
          <w:bCs/>
          <w:lang w:val="en-GB"/>
        </w:rPr>
        <w:t>est: Paired Two-sample for Means</w:t>
      </w:r>
    </w:p>
    <w:tbl>
      <w:tblPr>
        <w:tblW w:w="4712" w:type="dxa"/>
        <w:tblCellMar>
          <w:left w:w="70" w:type="dxa"/>
          <w:right w:w="70" w:type="dxa"/>
        </w:tblCellMar>
        <w:tblLook w:val="04A0" w:firstRow="1" w:lastRow="0" w:firstColumn="1" w:lastColumn="0" w:noHBand="0" w:noVBand="1"/>
      </w:tblPr>
      <w:tblGrid>
        <w:gridCol w:w="2610"/>
        <w:gridCol w:w="978"/>
        <w:gridCol w:w="978"/>
        <w:gridCol w:w="146"/>
      </w:tblGrid>
      <w:tr w:rsidR="0007512D" w:rsidRPr="0007512D" w14:paraId="2CB90837" w14:textId="77777777" w:rsidTr="000C3F5C">
        <w:trPr>
          <w:trHeight w:val="290"/>
        </w:trPr>
        <w:tc>
          <w:tcPr>
            <w:tcW w:w="2610" w:type="dxa"/>
            <w:tcBorders>
              <w:top w:val="single" w:sz="8" w:space="0" w:color="auto"/>
              <w:left w:val="nil"/>
              <w:bottom w:val="single" w:sz="4" w:space="0" w:color="auto"/>
              <w:right w:val="nil"/>
            </w:tcBorders>
            <w:noWrap/>
            <w:vAlign w:val="bottom"/>
            <w:hideMark/>
          </w:tcPr>
          <w:p w14:paraId="3E22217D" w14:textId="77777777" w:rsidR="0007512D" w:rsidRPr="00804866" w:rsidRDefault="0007512D" w:rsidP="0007512D">
            <w:pPr>
              <w:spacing w:after="0" w:line="240" w:lineRule="auto"/>
              <w:jc w:val="center"/>
              <w:rPr>
                <w:rFonts w:ascii="Aptos Narrow" w:eastAsia="Times New Roman" w:hAnsi="Aptos Narrow" w:cs="Times New Roman"/>
                <w:i/>
                <w:iCs/>
                <w:color w:val="000000"/>
                <w:lang w:eastAsia="sv-SE"/>
              </w:rPr>
            </w:pPr>
            <w:r w:rsidRPr="00804866">
              <w:rPr>
                <w:rFonts w:ascii="Aptos Narrow" w:eastAsia="Times New Roman" w:hAnsi="Aptos Narrow" w:cs="Times New Roman"/>
                <w:i/>
                <w:iCs/>
                <w:color w:val="000000"/>
                <w:lang w:eastAsia="sv-SE"/>
              </w:rPr>
              <w:t> </w:t>
            </w:r>
          </w:p>
        </w:tc>
        <w:tc>
          <w:tcPr>
            <w:tcW w:w="978" w:type="dxa"/>
            <w:tcBorders>
              <w:top w:val="single" w:sz="8" w:space="0" w:color="auto"/>
              <w:left w:val="nil"/>
              <w:bottom w:val="single" w:sz="4" w:space="0" w:color="auto"/>
              <w:right w:val="nil"/>
            </w:tcBorders>
            <w:noWrap/>
            <w:vAlign w:val="bottom"/>
            <w:hideMark/>
          </w:tcPr>
          <w:p w14:paraId="3E6B8104" w14:textId="2BCDF4A4" w:rsidR="0007512D" w:rsidRPr="0007512D" w:rsidRDefault="0007512D" w:rsidP="0007512D">
            <w:pPr>
              <w:spacing w:after="0" w:line="240" w:lineRule="auto"/>
              <w:jc w:val="center"/>
              <w:rPr>
                <w:rFonts w:ascii="Aptos Narrow" w:eastAsia="Times New Roman" w:hAnsi="Aptos Narrow" w:cs="Times New Roman"/>
                <w:i/>
                <w:iCs/>
                <w:color w:val="000000"/>
                <w:lang w:val="sv-SE" w:eastAsia="sv-SE"/>
              </w:rPr>
            </w:pPr>
            <w:r w:rsidRPr="0007512D">
              <w:rPr>
                <w:rFonts w:ascii="Aptos Narrow" w:eastAsia="Times New Roman" w:hAnsi="Aptos Narrow" w:cs="Times New Roman"/>
                <w:i/>
                <w:iCs/>
                <w:color w:val="000000"/>
                <w:lang w:val="sv-SE" w:eastAsia="sv-SE"/>
              </w:rPr>
              <w:t>Variab</w:t>
            </w:r>
            <w:r w:rsidR="0077432B">
              <w:rPr>
                <w:rFonts w:ascii="Aptos Narrow" w:eastAsia="Times New Roman" w:hAnsi="Aptos Narrow" w:cs="Times New Roman"/>
                <w:i/>
                <w:iCs/>
                <w:color w:val="000000"/>
                <w:lang w:val="sv-SE" w:eastAsia="sv-SE"/>
              </w:rPr>
              <w:t>le</w:t>
            </w:r>
            <w:r w:rsidRPr="0007512D">
              <w:rPr>
                <w:rFonts w:ascii="Aptos Narrow" w:eastAsia="Times New Roman" w:hAnsi="Aptos Narrow" w:cs="Times New Roman"/>
                <w:i/>
                <w:iCs/>
                <w:color w:val="000000"/>
                <w:lang w:val="sv-SE" w:eastAsia="sv-SE"/>
              </w:rPr>
              <w:t xml:space="preserve"> 1</w:t>
            </w:r>
          </w:p>
        </w:tc>
        <w:tc>
          <w:tcPr>
            <w:tcW w:w="978" w:type="dxa"/>
            <w:tcBorders>
              <w:top w:val="single" w:sz="8" w:space="0" w:color="auto"/>
              <w:left w:val="nil"/>
              <w:bottom w:val="single" w:sz="4" w:space="0" w:color="auto"/>
              <w:right w:val="nil"/>
            </w:tcBorders>
            <w:noWrap/>
            <w:vAlign w:val="bottom"/>
            <w:hideMark/>
          </w:tcPr>
          <w:p w14:paraId="3D4150AB" w14:textId="71BC7BA6" w:rsidR="0007512D" w:rsidRPr="0007512D" w:rsidRDefault="0007512D" w:rsidP="0007512D">
            <w:pPr>
              <w:spacing w:after="0" w:line="240" w:lineRule="auto"/>
              <w:jc w:val="center"/>
              <w:rPr>
                <w:rFonts w:ascii="Aptos Narrow" w:eastAsia="Times New Roman" w:hAnsi="Aptos Narrow" w:cs="Times New Roman"/>
                <w:i/>
                <w:iCs/>
                <w:color w:val="000000"/>
                <w:lang w:val="sv-SE" w:eastAsia="sv-SE"/>
              </w:rPr>
            </w:pPr>
            <w:r w:rsidRPr="0007512D">
              <w:rPr>
                <w:rFonts w:ascii="Aptos Narrow" w:eastAsia="Times New Roman" w:hAnsi="Aptos Narrow" w:cs="Times New Roman"/>
                <w:i/>
                <w:iCs/>
                <w:color w:val="000000"/>
                <w:lang w:val="sv-SE" w:eastAsia="sv-SE"/>
              </w:rPr>
              <w:t>Variab</w:t>
            </w:r>
            <w:r w:rsidR="0077432B">
              <w:rPr>
                <w:rFonts w:ascii="Aptos Narrow" w:eastAsia="Times New Roman" w:hAnsi="Aptos Narrow" w:cs="Times New Roman"/>
                <w:i/>
                <w:iCs/>
                <w:color w:val="000000"/>
                <w:lang w:val="sv-SE" w:eastAsia="sv-SE"/>
              </w:rPr>
              <w:t>le</w:t>
            </w:r>
            <w:r w:rsidRPr="0007512D">
              <w:rPr>
                <w:rFonts w:ascii="Aptos Narrow" w:eastAsia="Times New Roman" w:hAnsi="Aptos Narrow" w:cs="Times New Roman"/>
                <w:i/>
                <w:iCs/>
                <w:color w:val="000000"/>
                <w:lang w:val="sv-SE" w:eastAsia="sv-SE"/>
              </w:rPr>
              <w:t xml:space="preserve"> 2</w:t>
            </w:r>
          </w:p>
        </w:tc>
        <w:tc>
          <w:tcPr>
            <w:tcW w:w="146" w:type="dxa"/>
            <w:tcBorders>
              <w:top w:val="nil"/>
              <w:left w:val="nil"/>
              <w:bottom w:val="nil"/>
              <w:right w:val="nil"/>
            </w:tcBorders>
            <w:noWrap/>
            <w:vAlign w:val="bottom"/>
            <w:hideMark/>
          </w:tcPr>
          <w:p w14:paraId="0DC07E46" w14:textId="77777777" w:rsidR="0007512D" w:rsidRPr="0007512D" w:rsidRDefault="0007512D" w:rsidP="0007512D">
            <w:pPr>
              <w:spacing w:after="0" w:line="240" w:lineRule="auto"/>
              <w:jc w:val="center"/>
              <w:rPr>
                <w:rFonts w:ascii="Aptos Narrow" w:eastAsia="Times New Roman" w:hAnsi="Aptos Narrow" w:cs="Times New Roman"/>
                <w:i/>
                <w:iCs/>
                <w:color w:val="000000"/>
                <w:lang w:val="sv-SE" w:eastAsia="sv-SE"/>
              </w:rPr>
            </w:pPr>
          </w:p>
        </w:tc>
      </w:tr>
      <w:tr w:rsidR="0007512D" w:rsidRPr="0007512D" w14:paraId="27E1492D" w14:textId="77777777" w:rsidTr="000C3F5C">
        <w:trPr>
          <w:trHeight w:val="290"/>
        </w:trPr>
        <w:tc>
          <w:tcPr>
            <w:tcW w:w="2610" w:type="dxa"/>
            <w:tcBorders>
              <w:top w:val="nil"/>
              <w:left w:val="nil"/>
              <w:bottom w:val="nil"/>
              <w:right w:val="nil"/>
            </w:tcBorders>
            <w:noWrap/>
            <w:vAlign w:val="bottom"/>
            <w:hideMark/>
          </w:tcPr>
          <w:p w14:paraId="517CF614" w14:textId="3D14251B" w:rsidR="0007512D" w:rsidRPr="0007512D" w:rsidRDefault="0007512D" w:rsidP="0007512D">
            <w:pPr>
              <w:spacing w:after="0" w:line="240" w:lineRule="auto"/>
              <w:rPr>
                <w:rFonts w:ascii="Aptos Narrow" w:eastAsia="Times New Roman" w:hAnsi="Aptos Narrow" w:cs="Times New Roman"/>
                <w:color w:val="000000"/>
                <w:lang w:val="sv-SE" w:eastAsia="sv-SE"/>
              </w:rPr>
            </w:pPr>
            <w:r w:rsidRPr="0007512D">
              <w:rPr>
                <w:rFonts w:ascii="Aptos Narrow" w:eastAsia="Times New Roman" w:hAnsi="Aptos Narrow" w:cs="Times New Roman"/>
                <w:color w:val="000000"/>
                <w:lang w:val="sv-SE" w:eastAsia="sv-SE"/>
              </w:rPr>
              <w:t>Me</w:t>
            </w:r>
            <w:r w:rsidR="00300A9E">
              <w:rPr>
                <w:rFonts w:ascii="Aptos Narrow" w:eastAsia="Times New Roman" w:hAnsi="Aptos Narrow" w:cs="Times New Roman"/>
                <w:color w:val="000000"/>
                <w:lang w:val="sv-SE" w:eastAsia="sv-SE"/>
              </w:rPr>
              <w:t>an</w:t>
            </w:r>
          </w:p>
        </w:tc>
        <w:tc>
          <w:tcPr>
            <w:tcW w:w="978" w:type="dxa"/>
            <w:tcBorders>
              <w:top w:val="nil"/>
              <w:left w:val="nil"/>
              <w:bottom w:val="nil"/>
              <w:right w:val="nil"/>
            </w:tcBorders>
            <w:noWrap/>
            <w:vAlign w:val="bottom"/>
            <w:hideMark/>
          </w:tcPr>
          <w:p w14:paraId="41F93DC6" w14:textId="77777777" w:rsidR="0007512D" w:rsidRPr="0007512D" w:rsidRDefault="0007512D" w:rsidP="0007512D">
            <w:pPr>
              <w:spacing w:after="0" w:line="240" w:lineRule="auto"/>
              <w:jc w:val="right"/>
              <w:rPr>
                <w:rFonts w:ascii="Aptos Narrow" w:eastAsia="Times New Roman" w:hAnsi="Aptos Narrow" w:cs="Times New Roman"/>
                <w:color w:val="000000"/>
                <w:lang w:val="sv-SE" w:eastAsia="sv-SE"/>
              </w:rPr>
            </w:pPr>
            <w:r w:rsidRPr="0007512D">
              <w:rPr>
                <w:rFonts w:ascii="Aptos Narrow" w:eastAsia="Times New Roman" w:hAnsi="Aptos Narrow" w:cs="Times New Roman"/>
                <w:color w:val="000000"/>
                <w:lang w:val="sv-SE" w:eastAsia="sv-SE"/>
              </w:rPr>
              <w:t>39</w:t>
            </w:r>
          </w:p>
        </w:tc>
        <w:tc>
          <w:tcPr>
            <w:tcW w:w="978" w:type="dxa"/>
            <w:tcBorders>
              <w:top w:val="nil"/>
              <w:left w:val="nil"/>
              <w:bottom w:val="nil"/>
              <w:right w:val="nil"/>
            </w:tcBorders>
            <w:noWrap/>
            <w:vAlign w:val="bottom"/>
            <w:hideMark/>
          </w:tcPr>
          <w:p w14:paraId="11C3ACF9" w14:textId="77777777" w:rsidR="0007512D" w:rsidRPr="0007512D" w:rsidRDefault="0007512D" w:rsidP="0007512D">
            <w:pPr>
              <w:spacing w:after="0" w:line="240" w:lineRule="auto"/>
              <w:jc w:val="right"/>
              <w:rPr>
                <w:rFonts w:ascii="Aptos Narrow" w:eastAsia="Times New Roman" w:hAnsi="Aptos Narrow" w:cs="Times New Roman"/>
                <w:color w:val="000000"/>
                <w:lang w:val="sv-SE" w:eastAsia="sv-SE"/>
              </w:rPr>
            </w:pPr>
            <w:r w:rsidRPr="0007512D">
              <w:rPr>
                <w:rFonts w:ascii="Aptos Narrow" w:eastAsia="Times New Roman" w:hAnsi="Aptos Narrow" w:cs="Times New Roman"/>
                <w:color w:val="000000"/>
                <w:lang w:val="sv-SE" w:eastAsia="sv-SE"/>
              </w:rPr>
              <w:t>54,92857</w:t>
            </w:r>
          </w:p>
        </w:tc>
        <w:tc>
          <w:tcPr>
            <w:tcW w:w="146" w:type="dxa"/>
            <w:tcBorders>
              <w:top w:val="nil"/>
              <w:left w:val="nil"/>
              <w:bottom w:val="nil"/>
              <w:right w:val="nil"/>
            </w:tcBorders>
            <w:noWrap/>
            <w:vAlign w:val="bottom"/>
            <w:hideMark/>
          </w:tcPr>
          <w:p w14:paraId="1ACF9058" w14:textId="77777777" w:rsidR="0007512D" w:rsidRPr="0007512D" w:rsidRDefault="0007512D" w:rsidP="0007512D">
            <w:pPr>
              <w:spacing w:after="0" w:line="240" w:lineRule="auto"/>
              <w:jc w:val="right"/>
              <w:rPr>
                <w:rFonts w:ascii="Aptos Narrow" w:eastAsia="Times New Roman" w:hAnsi="Aptos Narrow" w:cs="Times New Roman"/>
                <w:color w:val="000000"/>
                <w:lang w:val="sv-SE" w:eastAsia="sv-SE"/>
              </w:rPr>
            </w:pPr>
          </w:p>
        </w:tc>
      </w:tr>
      <w:tr w:rsidR="0007512D" w:rsidRPr="0007512D" w14:paraId="17F9D828" w14:textId="77777777" w:rsidTr="000C3F5C">
        <w:trPr>
          <w:trHeight w:val="290"/>
        </w:trPr>
        <w:tc>
          <w:tcPr>
            <w:tcW w:w="2610" w:type="dxa"/>
            <w:tcBorders>
              <w:top w:val="nil"/>
              <w:left w:val="nil"/>
              <w:bottom w:val="nil"/>
              <w:right w:val="nil"/>
            </w:tcBorders>
            <w:noWrap/>
            <w:vAlign w:val="bottom"/>
            <w:hideMark/>
          </w:tcPr>
          <w:p w14:paraId="08C10896" w14:textId="21DC0F79" w:rsidR="0007512D" w:rsidRPr="0007512D" w:rsidRDefault="0007512D" w:rsidP="0007512D">
            <w:pPr>
              <w:spacing w:after="0" w:line="240" w:lineRule="auto"/>
              <w:rPr>
                <w:rFonts w:ascii="Aptos Narrow" w:eastAsia="Times New Roman" w:hAnsi="Aptos Narrow" w:cs="Times New Roman"/>
                <w:color w:val="000000"/>
                <w:lang w:val="sv-SE" w:eastAsia="sv-SE"/>
              </w:rPr>
            </w:pPr>
            <w:r w:rsidRPr="0007512D">
              <w:rPr>
                <w:rFonts w:ascii="Aptos Narrow" w:eastAsia="Times New Roman" w:hAnsi="Aptos Narrow" w:cs="Times New Roman"/>
                <w:color w:val="000000"/>
                <w:lang w:val="sv-SE" w:eastAsia="sv-SE"/>
              </w:rPr>
              <w:t>Varian</w:t>
            </w:r>
            <w:r w:rsidR="00300A9E">
              <w:rPr>
                <w:rFonts w:ascii="Aptos Narrow" w:eastAsia="Times New Roman" w:hAnsi="Aptos Narrow" w:cs="Times New Roman"/>
                <w:color w:val="000000"/>
                <w:lang w:val="sv-SE" w:eastAsia="sv-SE"/>
              </w:rPr>
              <w:t>ce</w:t>
            </w:r>
          </w:p>
        </w:tc>
        <w:tc>
          <w:tcPr>
            <w:tcW w:w="978" w:type="dxa"/>
            <w:tcBorders>
              <w:top w:val="nil"/>
              <w:left w:val="nil"/>
              <w:bottom w:val="nil"/>
              <w:right w:val="nil"/>
            </w:tcBorders>
            <w:noWrap/>
            <w:vAlign w:val="bottom"/>
            <w:hideMark/>
          </w:tcPr>
          <w:p w14:paraId="70730FAC" w14:textId="77777777" w:rsidR="0007512D" w:rsidRPr="0007512D" w:rsidRDefault="0007512D" w:rsidP="0007512D">
            <w:pPr>
              <w:spacing w:after="0" w:line="240" w:lineRule="auto"/>
              <w:jc w:val="right"/>
              <w:rPr>
                <w:rFonts w:ascii="Aptos Narrow" w:eastAsia="Times New Roman" w:hAnsi="Aptos Narrow" w:cs="Times New Roman"/>
                <w:color w:val="000000"/>
                <w:lang w:val="sv-SE" w:eastAsia="sv-SE"/>
              </w:rPr>
            </w:pPr>
            <w:r w:rsidRPr="0007512D">
              <w:rPr>
                <w:rFonts w:ascii="Aptos Narrow" w:eastAsia="Times New Roman" w:hAnsi="Aptos Narrow" w:cs="Times New Roman"/>
                <w:color w:val="000000"/>
                <w:lang w:val="sv-SE" w:eastAsia="sv-SE"/>
              </w:rPr>
              <w:t>148</w:t>
            </w:r>
          </w:p>
        </w:tc>
        <w:tc>
          <w:tcPr>
            <w:tcW w:w="978" w:type="dxa"/>
            <w:tcBorders>
              <w:top w:val="nil"/>
              <w:left w:val="nil"/>
              <w:bottom w:val="nil"/>
              <w:right w:val="nil"/>
            </w:tcBorders>
            <w:noWrap/>
            <w:vAlign w:val="bottom"/>
            <w:hideMark/>
          </w:tcPr>
          <w:p w14:paraId="092D27A2" w14:textId="77777777" w:rsidR="0007512D" w:rsidRPr="0007512D" w:rsidRDefault="0007512D" w:rsidP="0007512D">
            <w:pPr>
              <w:spacing w:after="0" w:line="240" w:lineRule="auto"/>
              <w:jc w:val="right"/>
              <w:rPr>
                <w:rFonts w:ascii="Aptos Narrow" w:eastAsia="Times New Roman" w:hAnsi="Aptos Narrow" w:cs="Times New Roman"/>
                <w:color w:val="000000"/>
                <w:lang w:val="sv-SE" w:eastAsia="sv-SE"/>
              </w:rPr>
            </w:pPr>
            <w:r w:rsidRPr="0007512D">
              <w:rPr>
                <w:rFonts w:ascii="Aptos Narrow" w:eastAsia="Times New Roman" w:hAnsi="Aptos Narrow" w:cs="Times New Roman"/>
                <w:color w:val="000000"/>
                <w:lang w:val="sv-SE" w:eastAsia="sv-SE"/>
              </w:rPr>
              <w:t>118,8407</w:t>
            </w:r>
          </w:p>
        </w:tc>
        <w:tc>
          <w:tcPr>
            <w:tcW w:w="146" w:type="dxa"/>
            <w:tcBorders>
              <w:top w:val="nil"/>
              <w:left w:val="nil"/>
              <w:bottom w:val="nil"/>
              <w:right w:val="nil"/>
            </w:tcBorders>
            <w:noWrap/>
            <w:vAlign w:val="bottom"/>
            <w:hideMark/>
          </w:tcPr>
          <w:p w14:paraId="245625EE" w14:textId="77777777" w:rsidR="0007512D" w:rsidRPr="0007512D" w:rsidRDefault="0007512D" w:rsidP="0007512D">
            <w:pPr>
              <w:spacing w:after="0" w:line="240" w:lineRule="auto"/>
              <w:jc w:val="right"/>
              <w:rPr>
                <w:rFonts w:ascii="Aptos Narrow" w:eastAsia="Times New Roman" w:hAnsi="Aptos Narrow" w:cs="Times New Roman"/>
                <w:color w:val="000000"/>
                <w:lang w:val="sv-SE" w:eastAsia="sv-SE"/>
              </w:rPr>
            </w:pPr>
          </w:p>
        </w:tc>
      </w:tr>
      <w:tr w:rsidR="0007512D" w:rsidRPr="0007512D" w14:paraId="63DAEEAF" w14:textId="77777777" w:rsidTr="000C3F5C">
        <w:trPr>
          <w:trHeight w:val="290"/>
        </w:trPr>
        <w:tc>
          <w:tcPr>
            <w:tcW w:w="2610" w:type="dxa"/>
            <w:tcBorders>
              <w:top w:val="nil"/>
              <w:left w:val="nil"/>
              <w:bottom w:val="nil"/>
              <w:right w:val="nil"/>
            </w:tcBorders>
            <w:noWrap/>
            <w:vAlign w:val="bottom"/>
            <w:hideMark/>
          </w:tcPr>
          <w:p w14:paraId="66E62EF3" w14:textId="322944CB" w:rsidR="0007512D" w:rsidRPr="0007512D" w:rsidRDefault="0007512D" w:rsidP="0007512D">
            <w:pPr>
              <w:spacing w:after="0" w:line="240" w:lineRule="auto"/>
              <w:rPr>
                <w:rFonts w:ascii="Aptos Narrow" w:eastAsia="Times New Roman" w:hAnsi="Aptos Narrow" w:cs="Times New Roman"/>
                <w:color w:val="000000"/>
                <w:lang w:val="sv-SE" w:eastAsia="sv-SE"/>
              </w:rPr>
            </w:pPr>
            <w:r w:rsidRPr="0007512D">
              <w:rPr>
                <w:rFonts w:ascii="Aptos Narrow" w:eastAsia="Times New Roman" w:hAnsi="Aptos Narrow" w:cs="Times New Roman"/>
                <w:color w:val="000000"/>
                <w:lang w:val="sv-SE" w:eastAsia="sv-SE"/>
              </w:rPr>
              <w:t>Observation</w:t>
            </w:r>
            <w:r w:rsidR="00804866">
              <w:rPr>
                <w:rFonts w:ascii="Aptos Narrow" w:eastAsia="Times New Roman" w:hAnsi="Aptos Narrow" w:cs="Times New Roman"/>
                <w:color w:val="000000"/>
                <w:lang w:val="sv-SE" w:eastAsia="sv-SE"/>
              </w:rPr>
              <w:t>s</w:t>
            </w:r>
          </w:p>
        </w:tc>
        <w:tc>
          <w:tcPr>
            <w:tcW w:w="978" w:type="dxa"/>
            <w:tcBorders>
              <w:top w:val="nil"/>
              <w:left w:val="nil"/>
              <w:bottom w:val="nil"/>
              <w:right w:val="nil"/>
            </w:tcBorders>
            <w:noWrap/>
            <w:vAlign w:val="bottom"/>
            <w:hideMark/>
          </w:tcPr>
          <w:p w14:paraId="27A417DD" w14:textId="77777777" w:rsidR="0007512D" w:rsidRPr="0007512D" w:rsidRDefault="0007512D" w:rsidP="0007512D">
            <w:pPr>
              <w:spacing w:after="0" w:line="240" w:lineRule="auto"/>
              <w:jc w:val="right"/>
              <w:rPr>
                <w:rFonts w:ascii="Aptos Narrow" w:eastAsia="Times New Roman" w:hAnsi="Aptos Narrow" w:cs="Times New Roman"/>
                <w:color w:val="000000"/>
                <w:lang w:val="sv-SE" w:eastAsia="sv-SE"/>
              </w:rPr>
            </w:pPr>
            <w:r w:rsidRPr="0007512D">
              <w:rPr>
                <w:rFonts w:ascii="Aptos Narrow" w:eastAsia="Times New Roman" w:hAnsi="Aptos Narrow" w:cs="Times New Roman"/>
                <w:color w:val="000000"/>
                <w:lang w:val="sv-SE" w:eastAsia="sv-SE"/>
              </w:rPr>
              <w:t>14</w:t>
            </w:r>
          </w:p>
        </w:tc>
        <w:tc>
          <w:tcPr>
            <w:tcW w:w="978" w:type="dxa"/>
            <w:tcBorders>
              <w:top w:val="nil"/>
              <w:left w:val="nil"/>
              <w:bottom w:val="nil"/>
              <w:right w:val="nil"/>
            </w:tcBorders>
            <w:noWrap/>
            <w:vAlign w:val="bottom"/>
            <w:hideMark/>
          </w:tcPr>
          <w:p w14:paraId="5D344F3A" w14:textId="77777777" w:rsidR="0007512D" w:rsidRPr="0007512D" w:rsidRDefault="0007512D" w:rsidP="0007512D">
            <w:pPr>
              <w:spacing w:after="0" w:line="240" w:lineRule="auto"/>
              <w:jc w:val="right"/>
              <w:rPr>
                <w:rFonts w:ascii="Aptos Narrow" w:eastAsia="Times New Roman" w:hAnsi="Aptos Narrow" w:cs="Times New Roman"/>
                <w:color w:val="000000"/>
                <w:lang w:val="sv-SE" w:eastAsia="sv-SE"/>
              </w:rPr>
            </w:pPr>
            <w:r w:rsidRPr="0007512D">
              <w:rPr>
                <w:rFonts w:ascii="Aptos Narrow" w:eastAsia="Times New Roman" w:hAnsi="Aptos Narrow" w:cs="Times New Roman"/>
                <w:color w:val="000000"/>
                <w:lang w:val="sv-SE" w:eastAsia="sv-SE"/>
              </w:rPr>
              <w:t>14</w:t>
            </w:r>
          </w:p>
        </w:tc>
        <w:tc>
          <w:tcPr>
            <w:tcW w:w="146" w:type="dxa"/>
            <w:tcBorders>
              <w:top w:val="nil"/>
              <w:left w:val="nil"/>
              <w:bottom w:val="nil"/>
              <w:right w:val="nil"/>
            </w:tcBorders>
            <w:noWrap/>
            <w:vAlign w:val="bottom"/>
            <w:hideMark/>
          </w:tcPr>
          <w:p w14:paraId="3AD04B06" w14:textId="77777777" w:rsidR="0007512D" w:rsidRPr="0007512D" w:rsidRDefault="0007512D" w:rsidP="0007512D">
            <w:pPr>
              <w:spacing w:after="0" w:line="240" w:lineRule="auto"/>
              <w:jc w:val="right"/>
              <w:rPr>
                <w:rFonts w:ascii="Aptos Narrow" w:eastAsia="Times New Roman" w:hAnsi="Aptos Narrow" w:cs="Times New Roman"/>
                <w:color w:val="000000"/>
                <w:lang w:val="sv-SE" w:eastAsia="sv-SE"/>
              </w:rPr>
            </w:pPr>
          </w:p>
        </w:tc>
      </w:tr>
      <w:tr w:rsidR="0007512D" w:rsidRPr="0007512D" w14:paraId="15B2BF1B" w14:textId="77777777" w:rsidTr="000C3F5C">
        <w:trPr>
          <w:trHeight w:val="290"/>
        </w:trPr>
        <w:tc>
          <w:tcPr>
            <w:tcW w:w="2610" w:type="dxa"/>
            <w:tcBorders>
              <w:top w:val="nil"/>
              <w:left w:val="nil"/>
              <w:bottom w:val="nil"/>
              <w:right w:val="nil"/>
            </w:tcBorders>
            <w:noWrap/>
            <w:vAlign w:val="bottom"/>
            <w:hideMark/>
          </w:tcPr>
          <w:p w14:paraId="610390AE" w14:textId="11D704AA" w:rsidR="0007512D" w:rsidRPr="0007512D" w:rsidRDefault="0007512D" w:rsidP="0007512D">
            <w:pPr>
              <w:spacing w:after="0" w:line="240" w:lineRule="auto"/>
              <w:rPr>
                <w:rFonts w:ascii="Aptos Narrow" w:eastAsia="Times New Roman" w:hAnsi="Aptos Narrow" w:cs="Times New Roman"/>
                <w:color w:val="000000"/>
                <w:lang w:val="sv-SE" w:eastAsia="sv-SE"/>
              </w:rPr>
            </w:pPr>
            <w:r w:rsidRPr="0007512D">
              <w:rPr>
                <w:rFonts w:ascii="Aptos Narrow" w:eastAsia="Times New Roman" w:hAnsi="Aptos Narrow" w:cs="Times New Roman"/>
                <w:color w:val="000000"/>
                <w:lang w:val="sv-SE" w:eastAsia="sv-SE"/>
              </w:rPr>
              <w:lastRenderedPageBreak/>
              <w:t>Pearson-</w:t>
            </w:r>
            <w:r w:rsidR="00300A9E">
              <w:rPr>
                <w:rFonts w:ascii="Aptos Narrow" w:eastAsia="Times New Roman" w:hAnsi="Aptos Narrow" w:cs="Times New Roman"/>
                <w:color w:val="000000"/>
                <w:lang w:val="sv-SE" w:eastAsia="sv-SE"/>
              </w:rPr>
              <w:t>c</w:t>
            </w:r>
            <w:r w:rsidRPr="0007512D">
              <w:rPr>
                <w:rFonts w:ascii="Aptos Narrow" w:eastAsia="Times New Roman" w:hAnsi="Aptos Narrow" w:cs="Times New Roman"/>
                <w:color w:val="000000"/>
                <w:lang w:val="sv-SE" w:eastAsia="sv-SE"/>
              </w:rPr>
              <w:t>orrelation</w:t>
            </w:r>
          </w:p>
        </w:tc>
        <w:tc>
          <w:tcPr>
            <w:tcW w:w="978" w:type="dxa"/>
            <w:tcBorders>
              <w:top w:val="nil"/>
              <w:left w:val="nil"/>
              <w:bottom w:val="nil"/>
              <w:right w:val="nil"/>
            </w:tcBorders>
            <w:noWrap/>
            <w:vAlign w:val="bottom"/>
            <w:hideMark/>
          </w:tcPr>
          <w:p w14:paraId="60D24CA2" w14:textId="77777777" w:rsidR="0007512D" w:rsidRPr="0007512D" w:rsidRDefault="0007512D" w:rsidP="0007512D">
            <w:pPr>
              <w:spacing w:after="0" w:line="240" w:lineRule="auto"/>
              <w:jc w:val="right"/>
              <w:rPr>
                <w:rFonts w:ascii="Aptos Narrow" w:eastAsia="Times New Roman" w:hAnsi="Aptos Narrow" w:cs="Times New Roman"/>
                <w:color w:val="000000"/>
                <w:lang w:val="sv-SE" w:eastAsia="sv-SE"/>
              </w:rPr>
            </w:pPr>
            <w:r w:rsidRPr="0007512D">
              <w:rPr>
                <w:rFonts w:ascii="Aptos Narrow" w:eastAsia="Times New Roman" w:hAnsi="Aptos Narrow" w:cs="Times New Roman"/>
                <w:color w:val="000000"/>
                <w:lang w:val="sv-SE" w:eastAsia="sv-SE"/>
              </w:rPr>
              <w:t>0,727346</w:t>
            </w:r>
          </w:p>
        </w:tc>
        <w:tc>
          <w:tcPr>
            <w:tcW w:w="978" w:type="dxa"/>
            <w:tcBorders>
              <w:top w:val="nil"/>
              <w:left w:val="nil"/>
              <w:bottom w:val="nil"/>
              <w:right w:val="nil"/>
            </w:tcBorders>
            <w:noWrap/>
            <w:vAlign w:val="bottom"/>
            <w:hideMark/>
          </w:tcPr>
          <w:p w14:paraId="7ED2D27E" w14:textId="77777777" w:rsidR="0007512D" w:rsidRPr="0007512D" w:rsidRDefault="0007512D" w:rsidP="0007512D">
            <w:pPr>
              <w:spacing w:after="0" w:line="240" w:lineRule="auto"/>
              <w:jc w:val="right"/>
              <w:rPr>
                <w:rFonts w:ascii="Aptos Narrow" w:eastAsia="Times New Roman" w:hAnsi="Aptos Narrow" w:cs="Times New Roman"/>
                <w:color w:val="000000"/>
                <w:lang w:val="sv-SE" w:eastAsia="sv-SE"/>
              </w:rPr>
            </w:pPr>
          </w:p>
        </w:tc>
        <w:tc>
          <w:tcPr>
            <w:tcW w:w="146" w:type="dxa"/>
            <w:tcBorders>
              <w:top w:val="nil"/>
              <w:left w:val="nil"/>
              <w:bottom w:val="nil"/>
              <w:right w:val="nil"/>
            </w:tcBorders>
            <w:noWrap/>
            <w:vAlign w:val="bottom"/>
            <w:hideMark/>
          </w:tcPr>
          <w:p w14:paraId="78E21E56" w14:textId="77777777" w:rsidR="0007512D" w:rsidRPr="0007512D" w:rsidRDefault="0007512D" w:rsidP="0007512D">
            <w:pPr>
              <w:spacing w:after="0" w:line="240" w:lineRule="auto"/>
              <w:rPr>
                <w:rFonts w:ascii="Times New Roman" w:eastAsia="Times New Roman" w:hAnsi="Times New Roman" w:cs="Times New Roman"/>
                <w:sz w:val="20"/>
                <w:szCs w:val="20"/>
                <w:lang w:val="sv-SE" w:eastAsia="sv-SE"/>
              </w:rPr>
            </w:pPr>
          </w:p>
        </w:tc>
      </w:tr>
      <w:tr w:rsidR="0007512D" w:rsidRPr="0007512D" w14:paraId="1CCFD1C6" w14:textId="77777777" w:rsidTr="000C3F5C">
        <w:trPr>
          <w:trHeight w:val="290"/>
        </w:trPr>
        <w:tc>
          <w:tcPr>
            <w:tcW w:w="2610" w:type="dxa"/>
            <w:tcBorders>
              <w:top w:val="nil"/>
              <w:left w:val="nil"/>
              <w:bottom w:val="nil"/>
              <w:right w:val="nil"/>
            </w:tcBorders>
            <w:noWrap/>
            <w:vAlign w:val="bottom"/>
            <w:hideMark/>
          </w:tcPr>
          <w:p w14:paraId="055A3E03" w14:textId="79122691" w:rsidR="0007512D" w:rsidRPr="0007512D" w:rsidRDefault="002E21B0" w:rsidP="0007512D">
            <w:pPr>
              <w:spacing w:after="0" w:line="240" w:lineRule="auto"/>
              <w:rPr>
                <w:rFonts w:ascii="Aptos Narrow" w:eastAsia="Times New Roman" w:hAnsi="Aptos Narrow" w:cs="Times New Roman"/>
                <w:color w:val="000000"/>
                <w:lang w:val="sv-SE" w:eastAsia="sv-SE"/>
              </w:rPr>
            </w:pPr>
            <w:r>
              <w:rPr>
                <w:rFonts w:ascii="Aptos Narrow" w:eastAsia="Times New Roman" w:hAnsi="Aptos Narrow" w:cs="Times New Roman"/>
                <w:color w:val="000000"/>
                <w:lang w:val="sv-SE" w:eastAsia="sv-SE"/>
              </w:rPr>
              <w:t>Hypothesi</w:t>
            </w:r>
            <w:r w:rsidR="0024787E">
              <w:rPr>
                <w:rFonts w:ascii="Aptos Narrow" w:eastAsia="Times New Roman" w:hAnsi="Aptos Narrow" w:cs="Times New Roman"/>
                <w:color w:val="000000"/>
                <w:lang w:val="sv-SE" w:eastAsia="sv-SE"/>
              </w:rPr>
              <w:t>z</w:t>
            </w:r>
            <w:r w:rsidR="00AB5559">
              <w:rPr>
                <w:rFonts w:ascii="Aptos Narrow" w:eastAsia="Times New Roman" w:hAnsi="Aptos Narrow" w:cs="Times New Roman"/>
                <w:color w:val="000000"/>
                <w:lang w:val="sv-SE" w:eastAsia="sv-SE"/>
              </w:rPr>
              <w:t>ed mean difference</w:t>
            </w:r>
          </w:p>
        </w:tc>
        <w:tc>
          <w:tcPr>
            <w:tcW w:w="978" w:type="dxa"/>
            <w:tcBorders>
              <w:top w:val="nil"/>
              <w:left w:val="nil"/>
              <w:bottom w:val="nil"/>
              <w:right w:val="nil"/>
            </w:tcBorders>
            <w:noWrap/>
            <w:vAlign w:val="bottom"/>
            <w:hideMark/>
          </w:tcPr>
          <w:p w14:paraId="7209AC57" w14:textId="77777777" w:rsidR="0007512D" w:rsidRPr="0007512D" w:rsidRDefault="0007512D" w:rsidP="0007512D">
            <w:pPr>
              <w:spacing w:after="0" w:line="240" w:lineRule="auto"/>
              <w:jc w:val="right"/>
              <w:rPr>
                <w:rFonts w:ascii="Aptos Narrow" w:eastAsia="Times New Roman" w:hAnsi="Aptos Narrow" w:cs="Times New Roman"/>
                <w:color w:val="000000"/>
                <w:lang w:val="sv-SE" w:eastAsia="sv-SE"/>
              </w:rPr>
            </w:pPr>
            <w:r w:rsidRPr="0007512D">
              <w:rPr>
                <w:rFonts w:ascii="Aptos Narrow" w:eastAsia="Times New Roman" w:hAnsi="Aptos Narrow" w:cs="Times New Roman"/>
                <w:color w:val="000000"/>
                <w:lang w:val="sv-SE" w:eastAsia="sv-SE"/>
              </w:rPr>
              <w:t>0</w:t>
            </w:r>
          </w:p>
        </w:tc>
        <w:tc>
          <w:tcPr>
            <w:tcW w:w="978" w:type="dxa"/>
            <w:tcBorders>
              <w:top w:val="nil"/>
              <w:left w:val="nil"/>
              <w:bottom w:val="nil"/>
              <w:right w:val="nil"/>
            </w:tcBorders>
            <w:noWrap/>
            <w:vAlign w:val="bottom"/>
            <w:hideMark/>
          </w:tcPr>
          <w:p w14:paraId="782568BC" w14:textId="77777777" w:rsidR="0007512D" w:rsidRPr="0007512D" w:rsidRDefault="0007512D" w:rsidP="0007512D">
            <w:pPr>
              <w:spacing w:after="0" w:line="240" w:lineRule="auto"/>
              <w:jc w:val="right"/>
              <w:rPr>
                <w:rFonts w:ascii="Aptos Narrow" w:eastAsia="Times New Roman" w:hAnsi="Aptos Narrow" w:cs="Times New Roman"/>
                <w:color w:val="000000"/>
                <w:lang w:val="sv-SE" w:eastAsia="sv-SE"/>
              </w:rPr>
            </w:pPr>
          </w:p>
        </w:tc>
        <w:tc>
          <w:tcPr>
            <w:tcW w:w="146" w:type="dxa"/>
            <w:tcBorders>
              <w:top w:val="nil"/>
              <w:left w:val="nil"/>
              <w:bottom w:val="nil"/>
              <w:right w:val="nil"/>
            </w:tcBorders>
            <w:noWrap/>
            <w:vAlign w:val="bottom"/>
            <w:hideMark/>
          </w:tcPr>
          <w:p w14:paraId="4E2FDA20" w14:textId="77777777" w:rsidR="0007512D" w:rsidRPr="0007512D" w:rsidRDefault="0007512D" w:rsidP="0007512D">
            <w:pPr>
              <w:spacing w:after="0" w:line="240" w:lineRule="auto"/>
              <w:rPr>
                <w:rFonts w:ascii="Times New Roman" w:eastAsia="Times New Roman" w:hAnsi="Times New Roman" w:cs="Times New Roman"/>
                <w:sz w:val="20"/>
                <w:szCs w:val="20"/>
                <w:lang w:val="sv-SE" w:eastAsia="sv-SE"/>
              </w:rPr>
            </w:pPr>
          </w:p>
        </w:tc>
      </w:tr>
      <w:tr w:rsidR="0007512D" w:rsidRPr="0007512D" w14:paraId="45CE5F2C" w14:textId="77777777" w:rsidTr="000C3F5C">
        <w:trPr>
          <w:trHeight w:val="290"/>
        </w:trPr>
        <w:tc>
          <w:tcPr>
            <w:tcW w:w="2610" w:type="dxa"/>
            <w:tcBorders>
              <w:top w:val="nil"/>
              <w:left w:val="nil"/>
              <w:bottom w:val="nil"/>
              <w:right w:val="nil"/>
            </w:tcBorders>
            <w:noWrap/>
            <w:vAlign w:val="bottom"/>
            <w:hideMark/>
          </w:tcPr>
          <w:p w14:paraId="6BAF4BBB" w14:textId="7A0519CA" w:rsidR="0007512D" w:rsidRPr="0007512D" w:rsidRDefault="00D84F94" w:rsidP="0007512D">
            <w:pPr>
              <w:spacing w:after="0" w:line="240" w:lineRule="auto"/>
              <w:rPr>
                <w:rFonts w:ascii="Aptos Narrow" w:eastAsia="Times New Roman" w:hAnsi="Aptos Narrow" w:cs="Times New Roman"/>
                <w:color w:val="000000"/>
                <w:lang w:val="sv-SE" w:eastAsia="sv-SE"/>
              </w:rPr>
            </w:pPr>
            <w:r>
              <w:rPr>
                <w:rFonts w:ascii="Aptos Narrow" w:eastAsia="Times New Roman" w:hAnsi="Aptos Narrow" w:cs="Times New Roman"/>
                <w:color w:val="000000"/>
                <w:lang w:val="sv-SE" w:eastAsia="sv-SE"/>
              </w:rPr>
              <w:t>df</w:t>
            </w:r>
          </w:p>
        </w:tc>
        <w:tc>
          <w:tcPr>
            <w:tcW w:w="978" w:type="dxa"/>
            <w:tcBorders>
              <w:top w:val="nil"/>
              <w:left w:val="nil"/>
              <w:bottom w:val="nil"/>
              <w:right w:val="nil"/>
            </w:tcBorders>
            <w:noWrap/>
            <w:vAlign w:val="bottom"/>
            <w:hideMark/>
          </w:tcPr>
          <w:p w14:paraId="3EF9249E" w14:textId="77777777" w:rsidR="0007512D" w:rsidRPr="0007512D" w:rsidRDefault="0007512D" w:rsidP="0007512D">
            <w:pPr>
              <w:spacing w:after="0" w:line="240" w:lineRule="auto"/>
              <w:jc w:val="right"/>
              <w:rPr>
                <w:rFonts w:ascii="Aptos Narrow" w:eastAsia="Times New Roman" w:hAnsi="Aptos Narrow" w:cs="Times New Roman"/>
                <w:color w:val="000000"/>
                <w:lang w:val="sv-SE" w:eastAsia="sv-SE"/>
              </w:rPr>
            </w:pPr>
            <w:r w:rsidRPr="0007512D">
              <w:rPr>
                <w:rFonts w:ascii="Aptos Narrow" w:eastAsia="Times New Roman" w:hAnsi="Aptos Narrow" w:cs="Times New Roman"/>
                <w:color w:val="000000"/>
                <w:lang w:val="sv-SE" w:eastAsia="sv-SE"/>
              </w:rPr>
              <w:t>13</w:t>
            </w:r>
          </w:p>
        </w:tc>
        <w:tc>
          <w:tcPr>
            <w:tcW w:w="978" w:type="dxa"/>
            <w:tcBorders>
              <w:top w:val="nil"/>
              <w:left w:val="nil"/>
              <w:bottom w:val="nil"/>
              <w:right w:val="nil"/>
            </w:tcBorders>
            <w:noWrap/>
            <w:vAlign w:val="bottom"/>
            <w:hideMark/>
          </w:tcPr>
          <w:p w14:paraId="76FE9996" w14:textId="77777777" w:rsidR="0007512D" w:rsidRPr="0007512D" w:rsidRDefault="0007512D" w:rsidP="0007512D">
            <w:pPr>
              <w:spacing w:after="0" w:line="240" w:lineRule="auto"/>
              <w:jc w:val="right"/>
              <w:rPr>
                <w:rFonts w:ascii="Aptos Narrow" w:eastAsia="Times New Roman" w:hAnsi="Aptos Narrow" w:cs="Times New Roman"/>
                <w:color w:val="000000"/>
                <w:lang w:val="sv-SE" w:eastAsia="sv-SE"/>
              </w:rPr>
            </w:pPr>
          </w:p>
        </w:tc>
        <w:tc>
          <w:tcPr>
            <w:tcW w:w="146" w:type="dxa"/>
            <w:tcBorders>
              <w:top w:val="nil"/>
              <w:left w:val="nil"/>
              <w:bottom w:val="nil"/>
              <w:right w:val="nil"/>
            </w:tcBorders>
            <w:noWrap/>
            <w:vAlign w:val="bottom"/>
            <w:hideMark/>
          </w:tcPr>
          <w:p w14:paraId="205707AE" w14:textId="77777777" w:rsidR="0007512D" w:rsidRPr="0007512D" w:rsidRDefault="0007512D" w:rsidP="0007512D">
            <w:pPr>
              <w:spacing w:after="0" w:line="240" w:lineRule="auto"/>
              <w:rPr>
                <w:rFonts w:ascii="Times New Roman" w:eastAsia="Times New Roman" w:hAnsi="Times New Roman" w:cs="Times New Roman"/>
                <w:sz w:val="20"/>
                <w:szCs w:val="20"/>
                <w:lang w:val="sv-SE" w:eastAsia="sv-SE"/>
              </w:rPr>
            </w:pPr>
          </w:p>
        </w:tc>
      </w:tr>
      <w:tr w:rsidR="0007512D" w:rsidRPr="0007512D" w14:paraId="1EE1E01B" w14:textId="77777777" w:rsidTr="000C3F5C">
        <w:trPr>
          <w:trHeight w:val="290"/>
        </w:trPr>
        <w:tc>
          <w:tcPr>
            <w:tcW w:w="2610" w:type="dxa"/>
            <w:tcBorders>
              <w:top w:val="nil"/>
              <w:left w:val="nil"/>
              <w:bottom w:val="nil"/>
              <w:right w:val="nil"/>
            </w:tcBorders>
            <w:noWrap/>
            <w:vAlign w:val="bottom"/>
            <w:hideMark/>
          </w:tcPr>
          <w:p w14:paraId="19260755" w14:textId="5D27604C" w:rsidR="0007512D" w:rsidRPr="0007512D" w:rsidRDefault="0007512D" w:rsidP="0007512D">
            <w:pPr>
              <w:spacing w:after="0" w:line="240" w:lineRule="auto"/>
              <w:rPr>
                <w:rFonts w:ascii="Aptos Narrow" w:eastAsia="Times New Roman" w:hAnsi="Aptos Narrow" w:cs="Times New Roman"/>
                <w:color w:val="000000"/>
                <w:lang w:val="sv-SE" w:eastAsia="sv-SE"/>
              </w:rPr>
            </w:pPr>
            <w:r w:rsidRPr="0007512D">
              <w:rPr>
                <w:rFonts w:ascii="Aptos Narrow" w:eastAsia="Times New Roman" w:hAnsi="Aptos Narrow" w:cs="Times New Roman"/>
                <w:color w:val="000000"/>
                <w:lang w:val="sv-SE" w:eastAsia="sv-SE"/>
              </w:rPr>
              <w:t>t-</w:t>
            </w:r>
            <w:r w:rsidR="003D3238">
              <w:rPr>
                <w:rFonts w:ascii="Aptos Narrow" w:eastAsia="Times New Roman" w:hAnsi="Aptos Narrow" w:cs="Times New Roman"/>
                <w:color w:val="000000"/>
                <w:lang w:val="sv-SE" w:eastAsia="sv-SE"/>
              </w:rPr>
              <w:t>Sta</w:t>
            </w:r>
            <w:r w:rsidRPr="0007512D">
              <w:rPr>
                <w:rFonts w:ascii="Aptos Narrow" w:eastAsia="Times New Roman" w:hAnsi="Aptos Narrow" w:cs="Times New Roman"/>
                <w:color w:val="000000"/>
                <w:lang w:val="sv-SE" w:eastAsia="sv-SE"/>
              </w:rPr>
              <w:t>t</w:t>
            </w:r>
          </w:p>
        </w:tc>
        <w:tc>
          <w:tcPr>
            <w:tcW w:w="978" w:type="dxa"/>
            <w:tcBorders>
              <w:top w:val="nil"/>
              <w:left w:val="nil"/>
              <w:bottom w:val="nil"/>
              <w:right w:val="nil"/>
            </w:tcBorders>
            <w:noWrap/>
            <w:vAlign w:val="bottom"/>
            <w:hideMark/>
          </w:tcPr>
          <w:p w14:paraId="62F41461" w14:textId="77777777" w:rsidR="0007512D" w:rsidRPr="0007512D" w:rsidRDefault="0007512D" w:rsidP="0007512D">
            <w:pPr>
              <w:spacing w:after="0" w:line="240" w:lineRule="auto"/>
              <w:jc w:val="right"/>
              <w:rPr>
                <w:rFonts w:ascii="Aptos Narrow" w:eastAsia="Times New Roman" w:hAnsi="Aptos Narrow" w:cs="Times New Roman"/>
                <w:color w:val="000000"/>
                <w:lang w:val="sv-SE" w:eastAsia="sv-SE"/>
              </w:rPr>
            </w:pPr>
            <w:r w:rsidRPr="0007512D">
              <w:rPr>
                <w:rFonts w:ascii="Aptos Narrow" w:eastAsia="Times New Roman" w:hAnsi="Aptos Narrow" w:cs="Times New Roman"/>
                <w:color w:val="000000"/>
                <w:lang w:val="sv-SE" w:eastAsia="sv-SE"/>
              </w:rPr>
              <w:t>-6,93213</w:t>
            </w:r>
          </w:p>
        </w:tc>
        <w:tc>
          <w:tcPr>
            <w:tcW w:w="978" w:type="dxa"/>
            <w:tcBorders>
              <w:top w:val="nil"/>
              <w:left w:val="nil"/>
              <w:bottom w:val="nil"/>
              <w:right w:val="nil"/>
            </w:tcBorders>
            <w:noWrap/>
            <w:vAlign w:val="bottom"/>
            <w:hideMark/>
          </w:tcPr>
          <w:p w14:paraId="48BEB889" w14:textId="77777777" w:rsidR="0007512D" w:rsidRPr="0007512D" w:rsidRDefault="0007512D" w:rsidP="0007512D">
            <w:pPr>
              <w:spacing w:after="0" w:line="240" w:lineRule="auto"/>
              <w:jc w:val="right"/>
              <w:rPr>
                <w:rFonts w:ascii="Aptos Narrow" w:eastAsia="Times New Roman" w:hAnsi="Aptos Narrow" w:cs="Times New Roman"/>
                <w:color w:val="000000"/>
                <w:lang w:val="sv-SE" w:eastAsia="sv-SE"/>
              </w:rPr>
            </w:pPr>
          </w:p>
        </w:tc>
        <w:tc>
          <w:tcPr>
            <w:tcW w:w="146" w:type="dxa"/>
            <w:tcBorders>
              <w:top w:val="nil"/>
              <w:left w:val="nil"/>
              <w:bottom w:val="nil"/>
              <w:right w:val="nil"/>
            </w:tcBorders>
            <w:noWrap/>
            <w:vAlign w:val="bottom"/>
            <w:hideMark/>
          </w:tcPr>
          <w:p w14:paraId="57BA3DCE" w14:textId="77777777" w:rsidR="0007512D" w:rsidRPr="0007512D" w:rsidRDefault="0007512D" w:rsidP="0007512D">
            <w:pPr>
              <w:spacing w:after="0" w:line="240" w:lineRule="auto"/>
              <w:rPr>
                <w:rFonts w:ascii="Times New Roman" w:eastAsia="Times New Roman" w:hAnsi="Times New Roman" w:cs="Times New Roman"/>
                <w:sz w:val="20"/>
                <w:szCs w:val="20"/>
                <w:lang w:val="sv-SE" w:eastAsia="sv-SE"/>
              </w:rPr>
            </w:pPr>
          </w:p>
        </w:tc>
      </w:tr>
      <w:tr w:rsidR="0007512D" w:rsidRPr="0007512D" w14:paraId="36677121" w14:textId="77777777" w:rsidTr="000C3F5C">
        <w:trPr>
          <w:trHeight w:val="290"/>
        </w:trPr>
        <w:tc>
          <w:tcPr>
            <w:tcW w:w="2610" w:type="dxa"/>
            <w:tcBorders>
              <w:top w:val="nil"/>
              <w:left w:val="nil"/>
              <w:bottom w:val="nil"/>
              <w:right w:val="nil"/>
            </w:tcBorders>
            <w:noWrap/>
            <w:vAlign w:val="bottom"/>
            <w:hideMark/>
          </w:tcPr>
          <w:p w14:paraId="5A5F1E3C" w14:textId="1BCEBD4B" w:rsidR="0007512D" w:rsidRPr="00A7381E" w:rsidRDefault="0007512D" w:rsidP="0007512D">
            <w:pPr>
              <w:spacing w:after="0" w:line="240" w:lineRule="auto"/>
              <w:rPr>
                <w:rFonts w:ascii="Aptos Narrow" w:eastAsia="Times New Roman" w:hAnsi="Aptos Narrow" w:cs="Times New Roman"/>
                <w:color w:val="000000"/>
                <w:lang w:eastAsia="sv-SE"/>
              </w:rPr>
            </w:pPr>
            <w:r w:rsidRPr="00A7381E">
              <w:rPr>
                <w:rFonts w:ascii="Aptos Narrow" w:eastAsia="Times New Roman" w:hAnsi="Aptos Narrow" w:cs="Times New Roman"/>
                <w:color w:val="000000"/>
                <w:lang w:eastAsia="sv-SE"/>
              </w:rPr>
              <w:t xml:space="preserve">P(T&lt;=t) </w:t>
            </w:r>
            <w:r w:rsidR="00A7381E" w:rsidRPr="00A7381E">
              <w:rPr>
                <w:rFonts w:ascii="Aptos Narrow" w:eastAsia="Times New Roman" w:hAnsi="Aptos Narrow" w:cs="Times New Roman"/>
                <w:color w:val="000000"/>
                <w:lang w:eastAsia="sv-SE"/>
              </w:rPr>
              <w:t>one-tail</w:t>
            </w:r>
            <w:r w:rsidR="00151C69">
              <w:rPr>
                <w:rFonts w:ascii="Aptos Narrow" w:eastAsia="Times New Roman" w:hAnsi="Aptos Narrow" w:cs="Times New Roman"/>
                <w:color w:val="000000"/>
                <w:lang w:eastAsia="sv-SE"/>
              </w:rPr>
              <w:t>ed</w:t>
            </w:r>
          </w:p>
        </w:tc>
        <w:tc>
          <w:tcPr>
            <w:tcW w:w="978" w:type="dxa"/>
            <w:tcBorders>
              <w:top w:val="nil"/>
              <w:left w:val="nil"/>
              <w:bottom w:val="nil"/>
              <w:right w:val="nil"/>
            </w:tcBorders>
            <w:noWrap/>
            <w:vAlign w:val="bottom"/>
            <w:hideMark/>
          </w:tcPr>
          <w:p w14:paraId="0E17C701" w14:textId="77777777" w:rsidR="0007512D" w:rsidRPr="0007512D" w:rsidRDefault="0007512D" w:rsidP="0007512D">
            <w:pPr>
              <w:spacing w:after="0" w:line="240" w:lineRule="auto"/>
              <w:jc w:val="right"/>
              <w:rPr>
                <w:rFonts w:ascii="Aptos Narrow" w:eastAsia="Times New Roman" w:hAnsi="Aptos Narrow" w:cs="Times New Roman"/>
                <w:color w:val="000000"/>
                <w:lang w:val="sv-SE" w:eastAsia="sv-SE"/>
              </w:rPr>
            </w:pPr>
            <w:r w:rsidRPr="0007512D">
              <w:rPr>
                <w:rFonts w:ascii="Aptos Narrow" w:eastAsia="Times New Roman" w:hAnsi="Aptos Narrow" w:cs="Times New Roman"/>
                <w:color w:val="000000"/>
                <w:lang w:val="sv-SE" w:eastAsia="sv-SE"/>
              </w:rPr>
              <w:t>5,17E-06</w:t>
            </w:r>
          </w:p>
        </w:tc>
        <w:tc>
          <w:tcPr>
            <w:tcW w:w="978" w:type="dxa"/>
            <w:tcBorders>
              <w:top w:val="nil"/>
              <w:left w:val="nil"/>
              <w:bottom w:val="nil"/>
              <w:right w:val="nil"/>
            </w:tcBorders>
            <w:noWrap/>
            <w:vAlign w:val="bottom"/>
            <w:hideMark/>
          </w:tcPr>
          <w:p w14:paraId="413A37B9" w14:textId="77777777" w:rsidR="0007512D" w:rsidRPr="0007512D" w:rsidRDefault="0007512D" w:rsidP="0007512D">
            <w:pPr>
              <w:spacing w:after="0" w:line="240" w:lineRule="auto"/>
              <w:jc w:val="right"/>
              <w:rPr>
                <w:rFonts w:ascii="Aptos Narrow" w:eastAsia="Times New Roman" w:hAnsi="Aptos Narrow" w:cs="Times New Roman"/>
                <w:color w:val="000000"/>
                <w:lang w:val="sv-SE" w:eastAsia="sv-SE"/>
              </w:rPr>
            </w:pPr>
          </w:p>
        </w:tc>
        <w:tc>
          <w:tcPr>
            <w:tcW w:w="146" w:type="dxa"/>
            <w:tcBorders>
              <w:top w:val="nil"/>
              <w:left w:val="nil"/>
              <w:bottom w:val="nil"/>
              <w:right w:val="nil"/>
            </w:tcBorders>
            <w:noWrap/>
            <w:vAlign w:val="bottom"/>
            <w:hideMark/>
          </w:tcPr>
          <w:p w14:paraId="71787D2F" w14:textId="77777777" w:rsidR="0007512D" w:rsidRPr="0007512D" w:rsidRDefault="0007512D" w:rsidP="0007512D">
            <w:pPr>
              <w:spacing w:after="0" w:line="240" w:lineRule="auto"/>
              <w:rPr>
                <w:rFonts w:ascii="Times New Roman" w:eastAsia="Times New Roman" w:hAnsi="Times New Roman" w:cs="Times New Roman"/>
                <w:sz w:val="20"/>
                <w:szCs w:val="20"/>
                <w:lang w:val="sv-SE" w:eastAsia="sv-SE"/>
              </w:rPr>
            </w:pPr>
          </w:p>
        </w:tc>
      </w:tr>
      <w:tr w:rsidR="0007512D" w:rsidRPr="0007512D" w14:paraId="69A57BE7" w14:textId="77777777" w:rsidTr="000C3F5C">
        <w:trPr>
          <w:trHeight w:val="290"/>
        </w:trPr>
        <w:tc>
          <w:tcPr>
            <w:tcW w:w="2610" w:type="dxa"/>
            <w:tcBorders>
              <w:top w:val="nil"/>
              <w:left w:val="nil"/>
              <w:bottom w:val="nil"/>
              <w:right w:val="nil"/>
            </w:tcBorders>
            <w:noWrap/>
            <w:vAlign w:val="bottom"/>
            <w:hideMark/>
          </w:tcPr>
          <w:p w14:paraId="396BDEF9" w14:textId="7C55C8DB" w:rsidR="0007512D" w:rsidRPr="0007512D" w:rsidRDefault="0007512D" w:rsidP="0007512D">
            <w:pPr>
              <w:spacing w:after="0" w:line="240" w:lineRule="auto"/>
              <w:rPr>
                <w:rFonts w:ascii="Aptos Narrow" w:eastAsia="Times New Roman" w:hAnsi="Aptos Narrow" w:cs="Times New Roman"/>
                <w:color w:val="000000"/>
                <w:lang w:val="sv-SE" w:eastAsia="sv-SE"/>
              </w:rPr>
            </w:pPr>
            <w:r w:rsidRPr="0007512D">
              <w:rPr>
                <w:rFonts w:ascii="Aptos Narrow" w:eastAsia="Times New Roman" w:hAnsi="Aptos Narrow" w:cs="Times New Roman"/>
                <w:color w:val="000000"/>
                <w:lang w:val="sv-SE" w:eastAsia="sv-SE"/>
              </w:rPr>
              <w:t>t-</w:t>
            </w:r>
            <w:r w:rsidR="00A7381E">
              <w:rPr>
                <w:rFonts w:ascii="Aptos Narrow" w:eastAsia="Times New Roman" w:hAnsi="Aptos Narrow" w:cs="Times New Roman"/>
                <w:color w:val="000000"/>
                <w:lang w:val="sv-SE" w:eastAsia="sv-SE"/>
              </w:rPr>
              <w:t>critical</w:t>
            </w:r>
            <w:r w:rsidRPr="0007512D">
              <w:rPr>
                <w:rFonts w:ascii="Aptos Narrow" w:eastAsia="Times New Roman" w:hAnsi="Aptos Narrow" w:cs="Times New Roman"/>
                <w:color w:val="000000"/>
                <w:lang w:val="sv-SE" w:eastAsia="sv-SE"/>
              </w:rPr>
              <w:t xml:space="preserve"> </w:t>
            </w:r>
            <w:r w:rsidR="00A7381E">
              <w:rPr>
                <w:rFonts w:ascii="Aptos Narrow" w:eastAsia="Times New Roman" w:hAnsi="Aptos Narrow" w:cs="Times New Roman"/>
                <w:color w:val="000000"/>
                <w:lang w:val="sv-SE" w:eastAsia="sv-SE"/>
              </w:rPr>
              <w:t>one-tail</w:t>
            </w:r>
            <w:r w:rsidR="00151C69">
              <w:rPr>
                <w:rFonts w:ascii="Aptos Narrow" w:eastAsia="Times New Roman" w:hAnsi="Aptos Narrow" w:cs="Times New Roman"/>
                <w:color w:val="000000"/>
                <w:lang w:val="sv-SE" w:eastAsia="sv-SE"/>
              </w:rPr>
              <w:t>ed</w:t>
            </w:r>
          </w:p>
        </w:tc>
        <w:tc>
          <w:tcPr>
            <w:tcW w:w="978" w:type="dxa"/>
            <w:tcBorders>
              <w:top w:val="nil"/>
              <w:left w:val="nil"/>
              <w:bottom w:val="nil"/>
              <w:right w:val="nil"/>
            </w:tcBorders>
            <w:noWrap/>
            <w:vAlign w:val="bottom"/>
            <w:hideMark/>
          </w:tcPr>
          <w:p w14:paraId="7A55C414" w14:textId="77777777" w:rsidR="0007512D" w:rsidRPr="0007512D" w:rsidRDefault="0007512D" w:rsidP="0007512D">
            <w:pPr>
              <w:spacing w:after="0" w:line="240" w:lineRule="auto"/>
              <w:jc w:val="right"/>
              <w:rPr>
                <w:rFonts w:ascii="Aptos Narrow" w:eastAsia="Times New Roman" w:hAnsi="Aptos Narrow" w:cs="Times New Roman"/>
                <w:color w:val="000000"/>
                <w:lang w:val="sv-SE" w:eastAsia="sv-SE"/>
              </w:rPr>
            </w:pPr>
            <w:r w:rsidRPr="0007512D">
              <w:rPr>
                <w:rFonts w:ascii="Aptos Narrow" w:eastAsia="Times New Roman" w:hAnsi="Aptos Narrow" w:cs="Times New Roman"/>
                <w:color w:val="000000"/>
                <w:lang w:val="sv-SE" w:eastAsia="sv-SE"/>
              </w:rPr>
              <w:t>1,770933</w:t>
            </w:r>
          </w:p>
        </w:tc>
        <w:tc>
          <w:tcPr>
            <w:tcW w:w="978" w:type="dxa"/>
            <w:tcBorders>
              <w:top w:val="nil"/>
              <w:left w:val="nil"/>
              <w:bottom w:val="nil"/>
              <w:right w:val="nil"/>
            </w:tcBorders>
            <w:noWrap/>
            <w:vAlign w:val="bottom"/>
            <w:hideMark/>
          </w:tcPr>
          <w:p w14:paraId="47503A5C" w14:textId="77777777" w:rsidR="0007512D" w:rsidRPr="0007512D" w:rsidRDefault="0007512D" w:rsidP="0007512D">
            <w:pPr>
              <w:spacing w:after="0" w:line="240" w:lineRule="auto"/>
              <w:jc w:val="right"/>
              <w:rPr>
                <w:rFonts w:ascii="Aptos Narrow" w:eastAsia="Times New Roman" w:hAnsi="Aptos Narrow" w:cs="Times New Roman"/>
                <w:color w:val="000000"/>
                <w:lang w:val="sv-SE" w:eastAsia="sv-SE"/>
              </w:rPr>
            </w:pPr>
          </w:p>
        </w:tc>
        <w:tc>
          <w:tcPr>
            <w:tcW w:w="146" w:type="dxa"/>
            <w:tcBorders>
              <w:top w:val="nil"/>
              <w:left w:val="nil"/>
              <w:bottom w:val="nil"/>
              <w:right w:val="nil"/>
            </w:tcBorders>
            <w:noWrap/>
            <w:vAlign w:val="bottom"/>
            <w:hideMark/>
          </w:tcPr>
          <w:p w14:paraId="6BDBC871" w14:textId="77777777" w:rsidR="0007512D" w:rsidRPr="0007512D" w:rsidRDefault="0007512D" w:rsidP="0007512D">
            <w:pPr>
              <w:spacing w:after="0" w:line="240" w:lineRule="auto"/>
              <w:rPr>
                <w:rFonts w:ascii="Times New Roman" w:eastAsia="Times New Roman" w:hAnsi="Times New Roman" w:cs="Times New Roman"/>
                <w:sz w:val="20"/>
                <w:szCs w:val="20"/>
                <w:lang w:val="sv-SE" w:eastAsia="sv-SE"/>
              </w:rPr>
            </w:pPr>
          </w:p>
        </w:tc>
      </w:tr>
      <w:tr w:rsidR="0007512D" w:rsidRPr="0007512D" w14:paraId="6961E1F0" w14:textId="77777777" w:rsidTr="000C3F5C">
        <w:trPr>
          <w:trHeight w:val="290"/>
        </w:trPr>
        <w:tc>
          <w:tcPr>
            <w:tcW w:w="2610" w:type="dxa"/>
            <w:tcBorders>
              <w:top w:val="nil"/>
              <w:left w:val="nil"/>
              <w:bottom w:val="nil"/>
              <w:right w:val="nil"/>
            </w:tcBorders>
            <w:noWrap/>
            <w:vAlign w:val="bottom"/>
            <w:hideMark/>
          </w:tcPr>
          <w:p w14:paraId="0C8F39A4" w14:textId="73138861" w:rsidR="0007512D" w:rsidRPr="00A7381E" w:rsidRDefault="0007512D" w:rsidP="0007512D">
            <w:pPr>
              <w:spacing w:after="0" w:line="240" w:lineRule="auto"/>
              <w:rPr>
                <w:rFonts w:ascii="Aptos Narrow" w:eastAsia="Times New Roman" w:hAnsi="Aptos Narrow" w:cs="Times New Roman"/>
                <w:color w:val="000000"/>
                <w:lang w:eastAsia="sv-SE"/>
              </w:rPr>
            </w:pPr>
            <w:r w:rsidRPr="00A7381E">
              <w:rPr>
                <w:rFonts w:ascii="Aptos Narrow" w:eastAsia="Times New Roman" w:hAnsi="Aptos Narrow" w:cs="Times New Roman"/>
                <w:color w:val="000000"/>
                <w:lang w:eastAsia="sv-SE"/>
              </w:rPr>
              <w:t>P(T&lt;=t) t</w:t>
            </w:r>
            <w:r w:rsidR="00A7381E" w:rsidRPr="00A7381E">
              <w:rPr>
                <w:rFonts w:ascii="Aptos Narrow" w:eastAsia="Times New Roman" w:hAnsi="Aptos Narrow" w:cs="Times New Roman"/>
                <w:color w:val="000000"/>
                <w:lang w:eastAsia="sv-SE"/>
              </w:rPr>
              <w:t>wo-tail</w:t>
            </w:r>
            <w:r w:rsidR="00151C69">
              <w:rPr>
                <w:rFonts w:ascii="Aptos Narrow" w:eastAsia="Times New Roman" w:hAnsi="Aptos Narrow" w:cs="Times New Roman"/>
                <w:color w:val="000000"/>
                <w:lang w:eastAsia="sv-SE"/>
              </w:rPr>
              <w:t>ed</w:t>
            </w:r>
          </w:p>
        </w:tc>
        <w:tc>
          <w:tcPr>
            <w:tcW w:w="978" w:type="dxa"/>
            <w:tcBorders>
              <w:top w:val="nil"/>
              <w:left w:val="nil"/>
              <w:bottom w:val="nil"/>
              <w:right w:val="nil"/>
            </w:tcBorders>
            <w:noWrap/>
            <w:vAlign w:val="bottom"/>
            <w:hideMark/>
          </w:tcPr>
          <w:p w14:paraId="6DA3118E" w14:textId="77777777" w:rsidR="0007512D" w:rsidRPr="0007512D" w:rsidRDefault="0007512D" w:rsidP="0007512D">
            <w:pPr>
              <w:spacing w:after="0" w:line="240" w:lineRule="auto"/>
              <w:jc w:val="right"/>
              <w:rPr>
                <w:rFonts w:ascii="Aptos Narrow" w:eastAsia="Times New Roman" w:hAnsi="Aptos Narrow" w:cs="Times New Roman"/>
                <w:color w:val="000000"/>
                <w:lang w:val="sv-SE" w:eastAsia="sv-SE"/>
              </w:rPr>
            </w:pPr>
            <w:r w:rsidRPr="0007512D">
              <w:rPr>
                <w:rFonts w:ascii="Aptos Narrow" w:eastAsia="Times New Roman" w:hAnsi="Aptos Narrow" w:cs="Times New Roman"/>
                <w:color w:val="000000"/>
                <w:lang w:val="sv-SE" w:eastAsia="sv-SE"/>
              </w:rPr>
              <w:t>1,03E-05</w:t>
            </w:r>
          </w:p>
        </w:tc>
        <w:tc>
          <w:tcPr>
            <w:tcW w:w="978" w:type="dxa"/>
            <w:tcBorders>
              <w:top w:val="nil"/>
              <w:left w:val="nil"/>
              <w:bottom w:val="nil"/>
              <w:right w:val="nil"/>
            </w:tcBorders>
            <w:noWrap/>
            <w:vAlign w:val="bottom"/>
            <w:hideMark/>
          </w:tcPr>
          <w:p w14:paraId="23E571A5" w14:textId="77777777" w:rsidR="0007512D" w:rsidRPr="0007512D" w:rsidRDefault="0007512D" w:rsidP="0007512D">
            <w:pPr>
              <w:spacing w:after="0" w:line="240" w:lineRule="auto"/>
              <w:jc w:val="right"/>
              <w:rPr>
                <w:rFonts w:ascii="Aptos Narrow" w:eastAsia="Times New Roman" w:hAnsi="Aptos Narrow" w:cs="Times New Roman"/>
                <w:color w:val="000000"/>
                <w:lang w:val="sv-SE" w:eastAsia="sv-SE"/>
              </w:rPr>
            </w:pPr>
          </w:p>
        </w:tc>
        <w:tc>
          <w:tcPr>
            <w:tcW w:w="146" w:type="dxa"/>
            <w:tcBorders>
              <w:top w:val="nil"/>
              <w:left w:val="nil"/>
              <w:bottom w:val="nil"/>
              <w:right w:val="nil"/>
            </w:tcBorders>
            <w:noWrap/>
            <w:vAlign w:val="bottom"/>
            <w:hideMark/>
          </w:tcPr>
          <w:p w14:paraId="34458090" w14:textId="77777777" w:rsidR="0007512D" w:rsidRPr="0007512D" w:rsidRDefault="0007512D" w:rsidP="0007512D">
            <w:pPr>
              <w:spacing w:after="0" w:line="240" w:lineRule="auto"/>
              <w:rPr>
                <w:rFonts w:ascii="Times New Roman" w:eastAsia="Times New Roman" w:hAnsi="Times New Roman" w:cs="Times New Roman"/>
                <w:sz w:val="20"/>
                <w:szCs w:val="20"/>
                <w:lang w:val="sv-SE" w:eastAsia="sv-SE"/>
              </w:rPr>
            </w:pPr>
          </w:p>
        </w:tc>
      </w:tr>
      <w:tr w:rsidR="0007512D" w:rsidRPr="0007512D" w14:paraId="60DC4D4A" w14:textId="77777777" w:rsidTr="000C3F5C">
        <w:trPr>
          <w:trHeight w:val="300"/>
        </w:trPr>
        <w:tc>
          <w:tcPr>
            <w:tcW w:w="2610" w:type="dxa"/>
            <w:tcBorders>
              <w:top w:val="nil"/>
              <w:left w:val="nil"/>
              <w:bottom w:val="single" w:sz="8" w:space="0" w:color="auto"/>
              <w:right w:val="nil"/>
            </w:tcBorders>
            <w:noWrap/>
            <w:vAlign w:val="bottom"/>
            <w:hideMark/>
          </w:tcPr>
          <w:p w14:paraId="6B2594EB" w14:textId="452D2797" w:rsidR="0007512D" w:rsidRPr="0007512D" w:rsidRDefault="0007512D" w:rsidP="0007512D">
            <w:pPr>
              <w:spacing w:after="0" w:line="240" w:lineRule="auto"/>
              <w:rPr>
                <w:rFonts w:ascii="Aptos Narrow" w:eastAsia="Times New Roman" w:hAnsi="Aptos Narrow" w:cs="Times New Roman"/>
                <w:color w:val="000000"/>
                <w:lang w:val="sv-SE" w:eastAsia="sv-SE"/>
              </w:rPr>
            </w:pPr>
            <w:r w:rsidRPr="0007512D">
              <w:rPr>
                <w:rFonts w:ascii="Aptos Narrow" w:eastAsia="Times New Roman" w:hAnsi="Aptos Narrow" w:cs="Times New Roman"/>
                <w:color w:val="000000"/>
                <w:lang w:val="sv-SE" w:eastAsia="sv-SE"/>
              </w:rPr>
              <w:t>t-</w:t>
            </w:r>
            <w:r w:rsidR="00A7381E">
              <w:rPr>
                <w:rFonts w:ascii="Aptos Narrow" w:eastAsia="Times New Roman" w:hAnsi="Aptos Narrow" w:cs="Times New Roman"/>
                <w:color w:val="000000"/>
                <w:lang w:val="sv-SE" w:eastAsia="sv-SE"/>
              </w:rPr>
              <w:t>critical</w:t>
            </w:r>
            <w:r w:rsidRPr="0007512D">
              <w:rPr>
                <w:rFonts w:ascii="Aptos Narrow" w:eastAsia="Times New Roman" w:hAnsi="Aptos Narrow" w:cs="Times New Roman"/>
                <w:color w:val="000000"/>
                <w:lang w:val="sv-SE" w:eastAsia="sv-SE"/>
              </w:rPr>
              <w:t xml:space="preserve"> </w:t>
            </w:r>
            <w:r w:rsidR="00A7381E">
              <w:rPr>
                <w:rFonts w:ascii="Aptos Narrow" w:eastAsia="Times New Roman" w:hAnsi="Aptos Narrow" w:cs="Times New Roman"/>
                <w:color w:val="000000"/>
                <w:lang w:val="sv-SE" w:eastAsia="sv-SE"/>
              </w:rPr>
              <w:t>two-tail</w:t>
            </w:r>
            <w:r w:rsidR="00151C69">
              <w:rPr>
                <w:rFonts w:ascii="Aptos Narrow" w:eastAsia="Times New Roman" w:hAnsi="Aptos Narrow" w:cs="Times New Roman"/>
                <w:color w:val="000000"/>
                <w:lang w:val="sv-SE" w:eastAsia="sv-SE"/>
              </w:rPr>
              <w:t>ed</w:t>
            </w:r>
          </w:p>
        </w:tc>
        <w:tc>
          <w:tcPr>
            <w:tcW w:w="978" w:type="dxa"/>
            <w:tcBorders>
              <w:top w:val="nil"/>
              <w:left w:val="nil"/>
              <w:bottom w:val="single" w:sz="8" w:space="0" w:color="auto"/>
              <w:right w:val="nil"/>
            </w:tcBorders>
            <w:noWrap/>
            <w:vAlign w:val="bottom"/>
            <w:hideMark/>
          </w:tcPr>
          <w:p w14:paraId="1BCEE852" w14:textId="77777777" w:rsidR="0007512D" w:rsidRPr="0007512D" w:rsidRDefault="0007512D" w:rsidP="0007512D">
            <w:pPr>
              <w:spacing w:after="0" w:line="240" w:lineRule="auto"/>
              <w:jc w:val="right"/>
              <w:rPr>
                <w:rFonts w:ascii="Aptos Narrow" w:eastAsia="Times New Roman" w:hAnsi="Aptos Narrow" w:cs="Times New Roman"/>
                <w:color w:val="000000"/>
                <w:lang w:val="sv-SE" w:eastAsia="sv-SE"/>
              </w:rPr>
            </w:pPr>
            <w:r w:rsidRPr="0007512D">
              <w:rPr>
                <w:rFonts w:ascii="Aptos Narrow" w:eastAsia="Times New Roman" w:hAnsi="Aptos Narrow" w:cs="Times New Roman"/>
                <w:color w:val="000000"/>
                <w:lang w:val="sv-SE" w:eastAsia="sv-SE"/>
              </w:rPr>
              <w:t>2,160369</w:t>
            </w:r>
          </w:p>
        </w:tc>
        <w:tc>
          <w:tcPr>
            <w:tcW w:w="978" w:type="dxa"/>
            <w:tcBorders>
              <w:top w:val="nil"/>
              <w:left w:val="nil"/>
              <w:bottom w:val="single" w:sz="8" w:space="0" w:color="auto"/>
              <w:right w:val="nil"/>
            </w:tcBorders>
            <w:noWrap/>
            <w:vAlign w:val="bottom"/>
            <w:hideMark/>
          </w:tcPr>
          <w:p w14:paraId="6BB34975" w14:textId="77777777" w:rsidR="0007512D" w:rsidRPr="0007512D" w:rsidRDefault="0007512D" w:rsidP="0007512D">
            <w:pPr>
              <w:spacing w:after="0" w:line="240" w:lineRule="auto"/>
              <w:rPr>
                <w:rFonts w:ascii="Aptos Narrow" w:eastAsia="Times New Roman" w:hAnsi="Aptos Narrow" w:cs="Times New Roman"/>
                <w:color w:val="000000"/>
                <w:lang w:val="sv-SE" w:eastAsia="sv-SE"/>
              </w:rPr>
            </w:pPr>
            <w:r w:rsidRPr="0007512D">
              <w:rPr>
                <w:rFonts w:ascii="Aptos Narrow" w:eastAsia="Times New Roman" w:hAnsi="Aptos Narrow" w:cs="Times New Roman"/>
                <w:color w:val="000000"/>
                <w:lang w:val="sv-SE" w:eastAsia="sv-SE"/>
              </w:rPr>
              <w:t> </w:t>
            </w:r>
          </w:p>
        </w:tc>
        <w:tc>
          <w:tcPr>
            <w:tcW w:w="146" w:type="dxa"/>
            <w:tcBorders>
              <w:top w:val="nil"/>
              <w:left w:val="nil"/>
              <w:bottom w:val="nil"/>
              <w:right w:val="nil"/>
            </w:tcBorders>
            <w:noWrap/>
            <w:vAlign w:val="bottom"/>
            <w:hideMark/>
          </w:tcPr>
          <w:p w14:paraId="58160C22" w14:textId="77777777" w:rsidR="0007512D" w:rsidRPr="0007512D" w:rsidRDefault="0007512D" w:rsidP="0007512D">
            <w:pPr>
              <w:spacing w:after="0" w:line="240" w:lineRule="auto"/>
              <w:rPr>
                <w:rFonts w:ascii="Aptos Narrow" w:eastAsia="Times New Roman" w:hAnsi="Aptos Narrow" w:cs="Times New Roman"/>
                <w:color w:val="000000"/>
                <w:lang w:val="sv-SE" w:eastAsia="sv-SE"/>
              </w:rPr>
            </w:pPr>
          </w:p>
        </w:tc>
      </w:tr>
    </w:tbl>
    <w:p w14:paraId="0C10F9F6" w14:textId="7045C3B0" w:rsidR="0011085C" w:rsidRDefault="0011085C" w:rsidP="000542D1">
      <w:pPr>
        <w:rPr>
          <w:rFonts w:ascii="Times New Roman" w:eastAsia="Times New Roman" w:hAnsi="Times New Roman" w:cs="Times New Roman"/>
          <w:sz w:val="24"/>
          <w:szCs w:val="24"/>
          <w:lang w:eastAsia="sv-SE"/>
        </w:rPr>
      </w:pPr>
    </w:p>
    <w:p w14:paraId="4BC91EA0" w14:textId="44A8A71A" w:rsidR="0031083D" w:rsidRPr="0031083D" w:rsidRDefault="00DD4D37" w:rsidP="0031083D">
      <w:pPr>
        <w:spacing w:before="100" w:beforeAutospacing="1" w:after="100" w:afterAutospacing="1" w:line="360" w:lineRule="auto"/>
        <w:jc w:val="both"/>
        <w:rPr>
          <w:rFonts w:ascii="Times New Roman" w:eastAsia="Times New Roman" w:hAnsi="Times New Roman" w:cs="Times New Roman"/>
          <w:sz w:val="24"/>
          <w:szCs w:val="24"/>
          <w:lang w:eastAsia="sv-SE"/>
        </w:rPr>
      </w:pPr>
      <w:r w:rsidRPr="000A304A">
        <w:rPr>
          <w:rFonts w:ascii="Times New Roman" w:eastAsia="Times New Roman" w:hAnsi="Times New Roman" w:cs="Times New Roman"/>
          <w:sz w:val="24"/>
          <w:szCs w:val="24"/>
          <w:lang w:eastAsia="sv-SE"/>
        </w:rPr>
        <w:t>In table 3,</w:t>
      </w:r>
      <w:r>
        <w:rPr>
          <w:rFonts w:ascii="Times New Roman" w:eastAsia="Times New Roman" w:hAnsi="Times New Roman" w:cs="Times New Roman"/>
          <w:sz w:val="24"/>
          <w:szCs w:val="24"/>
          <w:lang w:eastAsia="sv-SE"/>
        </w:rPr>
        <w:t xml:space="preserve"> a</w:t>
      </w:r>
      <w:r w:rsidR="0031083D" w:rsidRPr="0031083D">
        <w:rPr>
          <w:rFonts w:ascii="Times New Roman" w:eastAsia="Times New Roman" w:hAnsi="Times New Roman" w:cs="Times New Roman"/>
          <w:sz w:val="24"/>
          <w:szCs w:val="24"/>
          <w:lang w:eastAsia="sv-SE"/>
        </w:rPr>
        <w:t xml:space="preserve"> paired-samples </w:t>
      </w:r>
      <w:r w:rsidR="0031083D" w:rsidRPr="0031083D">
        <w:rPr>
          <w:rFonts w:ascii="Times New Roman" w:eastAsia="Times New Roman" w:hAnsi="Times New Roman" w:cs="Times New Roman"/>
          <w:i/>
          <w:iCs/>
          <w:sz w:val="24"/>
          <w:szCs w:val="24"/>
          <w:lang w:eastAsia="sv-SE"/>
        </w:rPr>
        <w:t>t</w:t>
      </w:r>
      <w:r w:rsidR="0031083D" w:rsidRPr="0031083D">
        <w:rPr>
          <w:rFonts w:ascii="Times New Roman" w:eastAsia="Times New Roman" w:hAnsi="Times New Roman" w:cs="Times New Roman"/>
          <w:sz w:val="24"/>
          <w:szCs w:val="24"/>
          <w:lang w:eastAsia="sv-SE"/>
        </w:rPr>
        <w:t>-test was conducted to examine whether participation in post-secondary education differed between the first and third years following completion of secondary education. The analysis was based on 14 matched observations representing female and male students across seven disability categories: dyslexia, deafness, hearing loss, medical impairments, neurodevelopmental impairments, psychiatric disabilities, and language impairments. Mean participation increased from 39.00 students (SD = 12.17) in Year 1 to 54.93 students (SD = 10.90) in Year 3, representing a mean difference of 15.93 students.</w:t>
      </w:r>
    </w:p>
    <w:p w14:paraId="2DF637B2" w14:textId="77777777" w:rsidR="00EB4CF0" w:rsidRDefault="0031083D" w:rsidP="00BC3DF5">
      <w:pPr>
        <w:spacing w:before="100" w:beforeAutospacing="1" w:after="100" w:afterAutospacing="1" w:line="360" w:lineRule="auto"/>
        <w:jc w:val="both"/>
        <w:rPr>
          <w:rFonts w:ascii="Times New Roman" w:eastAsia="Times New Roman" w:hAnsi="Times New Roman" w:cs="Times New Roman"/>
          <w:sz w:val="24"/>
          <w:szCs w:val="24"/>
          <w:lang w:eastAsia="sv-SE"/>
        </w:rPr>
      </w:pPr>
      <w:r w:rsidRPr="0031083D">
        <w:rPr>
          <w:rFonts w:ascii="Times New Roman" w:eastAsia="Times New Roman" w:hAnsi="Times New Roman" w:cs="Times New Roman"/>
          <w:sz w:val="24"/>
          <w:szCs w:val="24"/>
          <w:lang w:eastAsia="sv-SE"/>
        </w:rPr>
        <w:t xml:space="preserve">The difference between the two time points was statistically significant, </w:t>
      </w:r>
      <w:r w:rsidRPr="0031083D">
        <w:rPr>
          <w:rFonts w:ascii="Times New Roman" w:eastAsia="Times New Roman" w:hAnsi="Times New Roman" w:cs="Times New Roman"/>
          <w:i/>
          <w:iCs/>
          <w:sz w:val="24"/>
          <w:szCs w:val="24"/>
          <w:lang w:eastAsia="sv-SE"/>
        </w:rPr>
        <w:t>t</w:t>
      </w:r>
      <w:r w:rsidRPr="0031083D">
        <w:rPr>
          <w:rFonts w:ascii="Times New Roman" w:eastAsia="Times New Roman" w:hAnsi="Times New Roman" w:cs="Times New Roman"/>
          <w:sz w:val="24"/>
          <w:szCs w:val="24"/>
          <w:lang w:eastAsia="sv-SE"/>
        </w:rPr>
        <w:t xml:space="preserve">(13) = −6.93, </w:t>
      </w:r>
      <w:r w:rsidRPr="0031083D">
        <w:rPr>
          <w:rFonts w:ascii="Times New Roman" w:eastAsia="Times New Roman" w:hAnsi="Times New Roman" w:cs="Times New Roman"/>
          <w:i/>
          <w:iCs/>
          <w:sz w:val="24"/>
          <w:szCs w:val="24"/>
          <w:lang w:eastAsia="sv-SE"/>
        </w:rPr>
        <w:t>p</w:t>
      </w:r>
      <w:r w:rsidRPr="0031083D">
        <w:rPr>
          <w:rFonts w:ascii="Times New Roman" w:eastAsia="Times New Roman" w:hAnsi="Times New Roman" w:cs="Times New Roman"/>
          <w:sz w:val="24"/>
          <w:szCs w:val="24"/>
          <w:lang w:eastAsia="sv-SE"/>
        </w:rPr>
        <w:t xml:space="preserve"> &lt; .001, two-tailed. The null hypothesis, which stated that there was no statistically significant difference in post-secondary participation between Year 1</w:t>
      </w:r>
      <w:r w:rsidR="00AD61E1">
        <w:rPr>
          <w:rFonts w:ascii="Times New Roman" w:eastAsia="Times New Roman" w:hAnsi="Times New Roman" w:cs="Times New Roman"/>
          <w:sz w:val="24"/>
          <w:szCs w:val="24"/>
          <w:lang w:eastAsia="sv-SE"/>
        </w:rPr>
        <w:t xml:space="preserve"> (variable 1)</w:t>
      </w:r>
      <w:r w:rsidRPr="0031083D">
        <w:rPr>
          <w:rFonts w:ascii="Times New Roman" w:eastAsia="Times New Roman" w:hAnsi="Times New Roman" w:cs="Times New Roman"/>
          <w:sz w:val="24"/>
          <w:szCs w:val="24"/>
          <w:lang w:eastAsia="sv-SE"/>
        </w:rPr>
        <w:t xml:space="preserve"> and Year 3</w:t>
      </w:r>
      <w:r w:rsidR="00AD61E1">
        <w:rPr>
          <w:rFonts w:ascii="Times New Roman" w:eastAsia="Times New Roman" w:hAnsi="Times New Roman" w:cs="Times New Roman"/>
          <w:sz w:val="24"/>
          <w:szCs w:val="24"/>
          <w:lang w:eastAsia="sv-SE"/>
        </w:rPr>
        <w:t xml:space="preserve"> (variable 2)</w:t>
      </w:r>
      <w:r w:rsidRPr="0031083D">
        <w:rPr>
          <w:rFonts w:ascii="Times New Roman" w:eastAsia="Times New Roman" w:hAnsi="Times New Roman" w:cs="Times New Roman"/>
          <w:sz w:val="24"/>
          <w:szCs w:val="24"/>
          <w:lang w:eastAsia="sv-SE"/>
        </w:rPr>
        <w:t>, was therefore rejected. The findings provide evidence that participation was significantly higher in Year 3 than in Year 1 among the disability groups represented in the paired observations. This result indicates a significant difference in participation over the period examined, although it does not by itself establish why the difference occurred.</w:t>
      </w:r>
    </w:p>
    <w:p w14:paraId="71221757" w14:textId="59C36434" w:rsidR="00E20935" w:rsidRPr="00BC3DF5" w:rsidRDefault="00E20935" w:rsidP="00BC3DF5">
      <w:pPr>
        <w:spacing w:before="100" w:beforeAutospacing="1" w:after="100" w:afterAutospacing="1" w:line="360" w:lineRule="auto"/>
        <w:jc w:val="both"/>
        <w:rPr>
          <w:rFonts w:ascii="Times New Roman" w:eastAsia="Times New Roman" w:hAnsi="Times New Roman" w:cs="Times New Roman"/>
          <w:sz w:val="24"/>
          <w:szCs w:val="24"/>
          <w:lang w:eastAsia="sv-SE"/>
        </w:rPr>
      </w:pPr>
      <w:r w:rsidRPr="00E20935">
        <w:rPr>
          <w:rFonts w:ascii="Times New Roman" w:eastAsia="Times New Roman" w:hAnsi="Times New Roman" w:cs="Times New Roman"/>
          <w:b/>
          <w:bCs/>
          <w:sz w:val="24"/>
          <w:szCs w:val="24"/>
          <w:lang w:eastAsia="sv-SE"/>
        </w:rPr>
        <w:t xml:space="preserve">Disparities in participation </w:t>
      </w:r>
      <w:r w:rsidR="0070762D">
        <w:rPr>
          <w:rFonts w:ascii="Times New Roman" w:eastAsia="Times New Roman" w:hAnsi="Times New Roman" w:cs="Times New Roman"/>
          <w:b/>
          <w:bCs/>
          <w:sz w:val="24"/>
          <w:szCs w:val="24"/>
          <w:lang w:eastAsia="sv-SE"/>
        </w:rPr>
        <w:t xml:space="preserve">by </w:t>
      </w:r>
      <w:r w:rsidR="00A84366">
        <w:rPr>
          <w:rFonts w:ascii="Times New Roman" w:eastAsia="Times New Roman" w:hAnsi="Times New Roman" w:cs="Times New Roman"/>
          <w:b/>
          <w:bCs/>
          <w:sz w:val="24"/>
          <w:szCs w:val="24"/>
          <w:lang w:eastAsia="sv-SE"/>
        </w:rPr>
        <w:t>D</w:t>
      </w:r>
      <w:r w:rsidRPr="00E20935">
        <w:rPr>
          <w:rFonts w:ascii="Times New Roman" w:eastAsia="Times New Roman" w:hAnsi="Times New Roman" w:cs="Times New Roman"/>
          <w:b/>
          <w:bCs/>
          <w:sz w:val="24"/>
          <w:szCs w:val="24"/>
          <w:lang w:eastAsia="sv-SE"/>
        </w:rPr>
        <w:t>isabilit</w:t>
      </w:r>
      <w:r w:rsidR="0070762D">
        <w:rPr>
          <w:rFonts w:ascii="Times New Roman" w:eastAsia="Times New Roman" w:hAnsi="Times New Roman" w:cs="Times New Roman"/>
          <w:b/>
          <w:bCs/>
          <w:sz w:val="24"/>
          <w:szCs w:val="24"/>
          <w:lang w:eastAsia="sv-SE"/>
        </w:rPr>
        <w:t>y type and Gender</w:t>
      </w:r>
    </w:p>
    <w:p w14:paraId="64422DD5" w14:textId="370FCFE7" w:rsidR="001E70DE" w:rsidRDefault="00B65054" w:rsidP="001E70DE">
      <w:pPr>
        <w:spacing w:line="360" w:lineRule="auto"/>
        <w:jc w:val="both"/>
        <w:rPr>
          <w:rFonts w:ascii="Times New Roman" w:eastAsia="Times New Roman" w:hAnsi="Times New Roman" w:cs="Times New Roman"/>
          <w:sz w:val="24"/>
          <w:szCs w:val="24"/>
          <w:lang w:eastAsia="sv-SE"/>
        </w:rPr>
      </w:pPr>
      <w:r w:rsidRPr="00B65054">
        <w:rPr>
          <w:rFonts w:ascii="Times New Roman" w:eastAsia="Times New Roman" w:hAnsi="Times New Roman" w:cs="Times New Roman"/>
          <w:sz w:val="24"/>
          <w:szCs w:val="24"/>
          <w:lang w:eastAsia="sv-SE"/>
        </w:rPr>
        <w:t xml:space="preserve">To examine patterns of disparity in post-secondary participation, the analysis compared participation rates across different disability types and gender over the three-year period from 2018 to 2020. The analysis focused on identifying which disability groups had the highest and lowest participation rates and, within each disability group, whether participation differed between female and male students. The analysis therefore sought to identify whether </w:t>
      </w:r>
      <w:r w:rsidR="003A31D9" w:rsidRPr="00B65054">
        <w:rPr>
          <w:rFonts w:ascii="Times New Roman" w:eastAsia="Times New Roman" w:hAnsi="Times New Roman" w:cs="Times New Roman"/>
          <w:sz w:val="24"/>
          <w:szCs w:val="24"/>
          <w:lang w:eastAsia="sv-SE"/>
        </w:rPr>
        <w:t>disability</w:t>
      </w:r>
      <w:r w:rsidRPr="00B65054">
        <w:rPr>
          <w:rFonts w:ascii="Times New Roman" w:eastAsia="Times New Roman" w:hAnsi="Times New Roman" w:cs="Times New Roman"/>
          <w:sz w:val="24"/>
          <w:szCs w:val="24"/>
          <w:lang w:eastAsia="sv-SE"/>
        </w:rPr>
        <w:t xml:space="preserve"> groups demonstrated relatively higher or lower levels of post-secondary participation and whether these patterns varied by gender.</w:t>
      </w:r>
    </w:p>
    <w:p w14:paraId="5D6BBBE0" w14:textId="77777777" w:rsidR="00BE6EAD" w:rsidRPr="001E70DE" w:rsidRDefault="00BE6EAD" w:rsidP="001E70DE">
      <w:pPr>
        <w:spacing w:line="360" w:lineRule="auto"/>
        <w:jc w:val="both"/>
        <w:rPr>
          <w:rFonts w:ascii="Times New Roman" w:eastAsia="Times New Roman" w:hAnsi="Times New Roman" w:cs="Times New Roman"/>
          <w:sz w:val="24"/>
          <w:szCs w:val="24"/>
          <w:lang w:eastAsia="sv-SE"/>
        </w:rPr>
      </w:pPr>
    </w:p>
    <w:tbl>
      <w:tblPr>
        <w:tblStyle w:val="Mellanmrkskuggning2-dekorfrg5"/>
        <w:tblpPr w:leftFromText="141" w:rightFromText="141" w:vertAnchor="page" w:horzAnchor="margin" w:tblpXSpec="center" w:tblpY="3291"/>
        <w:tblW w:w="5578" w:type="pct"/>
        <w:tblLook w:val="0660" w:firstRow="1" w:lastRow="1" w:firstColumn="0" w:lastColumn="0" w:noHBand="1" w:noVBand="1"/>
      </w:tblPr>
      <w:tblGrid>
        <w:gridCol w:w="4427"/>
        <w:gridCol w:w="1668"/>
        <w:gridCol w:w="1668"/>
        <w:gridCol w:w="2358"/>
      </w:tblGrid>
      <w:tr w:rsidR="00EE326F" w14:paraId="4E18D9D5" w14:textId="77777777" w:rsidTr="00EE326F">
        <w:trPr>
          <w:cnfStyle w:val="100000000000" w:firstRow="1" w:lastRow="0" w:firstColumn="0" w:lastColumn="0" w:oddVBand="0" w:evenVBand="0" w:oddHBand="0" w:evenHBand="0" w:firstRowFirstColumn="0" w:firstRowLastColumn="0" w:lastRowFirstColumn="0" w:lastRowLastColumn="0"/>
          <w:trHeight w:val="592"/>
        </w:trPr>
        <w:tc>
          <w:tcPr>
            <w:tcW w:w="2187" w:type="pct"/>
            <w:noWrap/>
          </w:tcPr>
          <w:p w14:paraId="3A066070" w14:textId="77777777" w:rsidR="00EE326F" w:rsidRDefault="00EE326F" w:rsidP="00EE326F">
            <w:r>
              <w:lastRenderedPageBreak/>
              <w:t>Disability type</w:t>
            </w:r>
          </w:p>
        </w:tc>
        <w:tc>
          <w:tcPr>
            <w:tcW w:w="824" w:type="pct"/>
          </w:tcPr>
          <w:p w14:paraId="21AE817B" w14:textId="77777777" w:rsidR="00EE326F" w:rsidRDefault="00EE326F" w:rsidP="00EE326F">
            <w:r>
              <w:t>Female participation (%)</w:t>
            </w:r>
          </w:p>
        </w:tc>
        <w:tc>
          <w:tcPr>
            <w:tcW w:w="824" w:type="pct"/>
          </w:tcPr>
          <w:p w14:paraId="3EAA1F87" w14:textId="77777777" w:rsidR="00EE326F" w:rsidRDefault="00EE326F" w:rsidP="00EE326F">
            <w:r>
              <w:t>Male participation (%)</w:t>
            </w:r>
          </w:p>
        </w:tc>
        <w:tc>
          <w:tcPr>
            <w:tcW w:w="1165" w:type="pct"/>
          </w:tcPr>
          <w:p w14:paraId="1F8861B3" w14:textId="77777777" w:rsidR="00EE326F" w:rsidRDefault="00EE326F" w:rsidP="00EE326F">
            <w:r>
              <w:t>gender    differences (percentage points)</w:t>
            </w:r>
          </w:p>
        </w:tc>
      </w:tr>
      <w:tr w:rsidR="00EE326F" w14:paraId="4393918D" w14:textId="77777777" w:rsidTr="00EE326F">
        <w:trPr>
          <w:trHeight w:val="289"/>
        </w:trPr>
        <w:tc>
          <w:tcPr>
            <w:tcW w:w="2187" w:type="pct"/>
            <w:noWrap/>
          </w:tcPr>
          <w:p w14:paraId="2A6996FF" w14:textId="77777777" w:rsidR="00EE326F" w:rsidRDefault="00EE326F" w:rsidP="00EE326F"/>
        </w:tc>
        <w:tc>
          <w:tcPr>
            <w:tcW w:w="824" w:type="pct"/>
          </w:tcPr>
          <w:p w14:paraId="2FD28D94" w14:textId="77777777" w:rsidR="00EE326F" w:rsidRDefault="00EE326F" w:rsidP="00EE326F">
            <w:pPr>
              <w:rPr>
                <w:rStyle w:val="Diskretbetoning"/>
              </w:rPr>
            </w:pPr>
          </w:p>
        </w:tc>
        <w:tc>
          <w:tcPr>
            <w:tcW w:w="824" w:type="pct"/>
          </w:tcPr>
          <w:p w14:paraId="3B8E318B" w14:textId="77777777" w:rsidR="00EE326F" w:rsidRDefault="00EE326F" w:rsidP="00EE326F"/>
        </w:tc>
        <w:tc>
          <w:tcPr>
            <w:tcW w:w="1165" w:type="pct"/>
          </w:tcPr>
          <w:p w14:paraId="590F85F9" w14:textId="77777777" w:rsidR="00EE326F" w:rsidRDefault="00EE326F" w:rsidP="00EE326F"/>
        </w:tc>
      </w:tr>
      <w:tr w:rsidR="00EE326F" w14:paraId="53BC8993" w14:textId="77777777" w:rsidTr="00EE326F">
        <w:trPr>
          <w:trHeight w:val="556"/>
        </w:trPr>
        <w:tc>
          <w:tcPr>
            <w:tcW w:w="2187" w:type="pct"/>
            <w:noWrap/>
          </w:tcPr>
          <w:p w14:paraId="0F439DE0" w14:textId="77777777" w:rsidR="00EE326F" w:rsidRDefault="00EE326F" w:rsidP="00EE326F">
            <w:r>
              <w:t>Dyslexia</w:t>
            </w:r>
          </w:p>
        </w:tc>
        <w:tc>
          <w:tcPr>
            <w:tcW w:w="824" w:type="pct"/>
          </w:tcPr>
          <w:p w14:paraId="300C5113" w14:textId="77777777" w:rsidR="00EE326F" w:rsidRDefault="00EE326F" w:rsidP="00EE326F">
            <w:pPr>
              <w:pStyle w:val="DecimalAligned"/>
            </w:pPr>
            <w:r>
              <w:t>56</w:t>
            </w:r>
          </w:p>
        </w:tc>
        <w:tc>
          <w:tcPr>
            <w:tcW w:w="824" w:type="pct"/>
          </w:tcPr>
          <w:p w14:paraId="638F104E" w14:textId="77777777" w:rsidR="00EE326F" w:rsidRDefault="00EE326F" w:rsidP="00EE326F">
            <w:pPr>
              <w:pStyle w:val="DecimalAligned"/>
            </w:pPr>
            <w:r>
              <w:t>44</w:t>
            </w:r>
          </w:p>
        </w:tc>
        <w:tc>
          <w:tcPr>
            <w:tcW w:w="1165" w:type="pct"/>
          </w:tcPr>
          <w:p w14:paraId="02716857" w14:textId="77777777" w:rsidR="00EE326F" w:rsidRDefault="00EE326F" w:rsidP="00EE326F">
            <w:pPr>
              <w:pStyle w:val="DecimalAligned"/>
            </w:pPr>
            <w:r>
              <w:t>12</w:t>
            </w:r>
          </w:p>
        </w:tc>
      </w:tr>
      <w:tr w:rsidR="00EE326F" w14:paraId="0DD2EA62" w14:textId="77777777" w:rsidTr="00EE326F">
        <w:trPr>
          <w:trHeight w:val="556"/>
        </w:trPr>
        <w:tc>
          <w:tcPr>
            <w:tcW w:w="2187" w:type="pct"/>
            <w:noWrap/>
          </w:tcPr>
          <w:p w14:paraId="02F6C08C" w14:textId="77777777" w:rsidR="00EE326F" w:rsidRDefault="00EE326F" w:rsidP="00EE326F">
            <w:r>
              <w:t>Deaf</w:t>
            </w:r>
          </w:p>
        </w:tc>
        <w:tc>
          <w:tcPr>
            <w:tcW w:w="824" w:type="pct"/>
          </w:tcPr>
          <w:p w14:paraId="4F4573CE" w14:textId="77777777" w:rsidR="00EE326F" w:rsidRDefault="00EE326F" w:rsidP="00EE326F">
            <w:pPr>
              <w:pStyle w:val="DecimalAligned"/>
            </w:pPr>
            <w:r>
              <w:t>68</w:t>
            </w:r>
          </w:p>
        </w:tc>
        <w:tc>
          <w:tcPr>
            <w:tcW w:w="824" w:type="pct"/>
          </w:tcPr>
          <w:p w14:paraId="3678817A" w14:textId="77777777" w:rsidR="00EE326F" w:rsidRDefault="00EE326F" w:rsidP="00EE326F">
            <w:pPr>
              <w:pStyle w:val="DecimalAligned"/>
            </w:pPr>
            <w:r>
              <w:t>32</w:t>
            </w:r>
          </w:p>
        </w:tc>
        <w:tc>
          <w:tcPr>
            <w:tcW w:w="1165" w:type="pct"/>
          </w:tcPr>
          <w:p w14:paraId="480BF56B" w14:textId="77777777" w:rsidR="00EE326F" w:rsidRDefault="00EE326F" w:rsidP="00EE326F">
            <w:pPr>
              <w:pStyle w:val="DecimalAligned"/>
            </w:pPr>
            <w:r>
              <w:t>36</w:t>
            </w:r>
          </w:p>
        </w:tc>
      </w:tr>
      <w:tr w:rsidR="00EE326F" w14:paraId="0CA082F4" w14:textId="77777777" w:rsidTr="00EE326F">
        <w:trPr>
          <w:trHeight w:val="556"/>
        </w:trPr>
        <w:tc>
          <w:tcPr>
            <w:tcW w:w="2187" w:type="pct"/>
            <w:noWrap/>
          </w:tcPr>
          <w:p w14:paraId="6F766347" w14:textId="77777777" w:rsidR="00EE326F" w:rsidRDefault="00EE326F" w:rsidP="00EE326F">
            <w:r>
              <w:t>Language impairment</w:t>
            </w:r>
          </w:p>
        </w:tc>
        <w:tc>
          <w:tcPr>
            <w:tcW w:w="824" w:type="pct"/>
          </w:tcPr>
          <w:p w14:paraId="2BCB850B" w14:textId="77777777" w:rsidR="00EE326F" w:rsidRDefault="00EE326F" w:rsidP="00EE326F">
            <w:pPr>
              <w:pStyle w:val="DecimalAligned"/>
            </w:pPr>
            <w:r>
              <w:t>38</w:t>
            </w:r>
          </w:p>
        </w:tc>
        <w:tc>
          <w:tcPr>
            <w:tcW w:w="824" w:type="pct"/>
          </w:tcPr>
          <w:p w14:paraId="39BBC05A" w14:textId="77777777" w:rsidR="00EE326F" w:rsidRDefault="00EE326F" w:rsidP="00EE326F">
            <w:pPr>
              <w:pStyle w:val="DecimalAligned"/>
            </w:pPr>
            <w:r>
              <w:t>62</w:t>
            </w:r>
          </w:p>
        </w:tc>
        <w:tc>
          <w:tcPr>
            <w:tcW w:w="1165" w:type="pct"/>
          </w:tcPr>
          <w:p w14:paraId="72CF0FDD" w14:textId="77777777" w:rsidR="00EE326F" w:rsidRDefault="00EE326F" w:rsidP="00EE326F">
            <w:pPr>
              <w:pStyle w:val="DecimalAligned"/>
            </w:pPr>
            <w:r>
              <w:t>24</w:t>
            </w:r>
          </w:p>
        </w:tc>
      </w:tr>
      <w:tr w:rsidR="00EE326F" w14:paraId="41F2953F" w14:textId="77777777" w:rsidTr="00EE326F">
        <w:trPr>
          <w:trHeight w:val="556"/>
        </w:trPr>
        <w:tc>
          <w:tcPr>
            <w:tcW w:w="2187" w:type="pct"/>
            <w:noWrap/>
          </w:tcPr>
          <w:p w14:paraId="04CC9340" w14:textId="77777777" w:rsidR="00EE326F" w:rsidRDefault="00EE326F" w:rsidP="00EE326F">
            <w:r>
              <w:t>Psychiatric disability</w:t>
            </w:r>
          </w:p>
        </w:tc>
        <w:tc>
          <w:tcPr>
            <w:tcW w:w="824" w:type="pct"/>
          </w:tcPr>
          <w:p w14:paraId="3739B21A" w14:textId="77777777" w:rsidR="00EE326F" w:rsidRDefault="00EE326F" w:rsidP="00EE326F">
            <w:pPr>
              <w:pStyle w:val="DecimalAligned"/>
            </w:pPr>
            <w:r>
              <w:t>56</w:t>
            </w:r>
          </w:p>
        </w:tc>
        <w:tc>
          <w:tcPr>
            <w:tcW w:w="824" w:type="pct"/>
          </w:tcPr>
          <w:p w14:paraId="3B725D99" w14:textId="77777777" w:rsidR="00EE326F" w:rsidRDefault="00EE326F" w:rsidP="00EE326F">
            <w:pPr>
              <w:pStyle w:val="DecimalAligned"/>
            </w:pPr>
            <w:r>
              <w:t>44</w:t>
            </w:r>
          </w:p>
        </w:tc>
        <w:tc>
          <w:tcPr>
            <w:tcW w:w="1165" w:type="pct"/>
          </w:tcPr>
          <w:p w14:paraId="2D7D7B5E" w14:textId="77777777" w:rsidR="00EE326F" w:rsidRDefault="00EE326F" w:rsidP="00EE326F">
            <w:pPr>
              <w:pStyle w:val="DecimalAligned"/>
            </w:pPr>
            <w:r>
              <w:t>12</w:t>
            </w:r>
          </w:p>
        </w:tc>
      </w:tr>
      <w:tr w:rsidR="00EE326F" w14:paraId="20C2F764" w14:textId="77777777" w:rsidTr="00EE326F">
        <w:trPr>
          <w:cnfStyle w:val="010000000000" w:firstRow="0" w:lastRow="1" w:firstColumn="0" w:lastColumn="0" w:oddVBand="0" w:evenVBand="0" w:oddHBand="0" w:evenHBand="0" w:firstRowFirstColumn="0" w:firstRowLastColumn="0" w:lastRowFirstColumn="0" w:lastRowLastColumn="0"/>
          <w:trHeight w:val="289"/>
        </w:trPr>
        <w:tc>
          <w:tcPr>
            <w:tcW w:w="2187" w:type="pct"/>
            <w:noWrap/>
          </w:tcPr>
          <w:p w14:paraId="12547266" w14:textId="77777777" w:rsidR="00EE326F" w:rsidRPr="00474378" w:rsidRDefault="00EE326F" w:rsidP="00EE326F">
            <w:pPr>
              <w:rPr>
                <w:i/>
                <w:iCs/>
              </w:rPr>
            </w:pPr>
            <w:r w:rsidRPr="00474378">
              <w:rPr>
                <w:i/>
                <w:iCs/>
              </w:rPr>
              <w:t>Note</w:t>
            </w:r>
            <w:r>
              <w:rPr>
                <w:i/>
                <w:iCs/>
              </w:rPr>
              <w:t>:</w:t>
            </w:r>
            <w:r w:rsidRPr="00474378">
              <w:rPr>
                <w:i/>
                <w:iCs/>
              </w:rPr>
              <w:t xml:space="preserve"> </w:t>
            </w:r>
            <w:r>
              <w:rPr>
                <w:i/>
                <w:iCs/>
              </w:rPr>
              <w:t>A</w:t>
            </w:r>
            <w:r w:rsidRPr="00474378">
              <w:rPr>
                <w:i/>
                <w:iCs/>
              </w:rPr>
              <w:t>ll figures above are in percentage</w:t>
            </w:r>
            <w:r>
              <w:rPr>
                <w:i/>
                <w:iCs/>
              </w:rPr>
              <w:t xml:space="preserve"> form.</w:t>
            </w:r>
          </w:p>
        </w:tc>
        <w:tc>
          <w:tcPr>
            <w:tcW w:w="824" w:type="pct"/>
          </w:tcPr>
          <w:p w14:paraId="4CB564BB" w14:textId="77777777" w:rsidR="00EE326F" w:rsidRDefault="00EE326F" w:rsidP="00EE326F">
            <w:pPr>
              <w:rPr>
                <w:rStyle w:val="Diskretbetoning"/>
              </w:rPr>
            </w:pPr>
          </w:p>
        </w:tc>
        <w:tc>
          <w:tcPr>
            <w:tcW w:w="824" w:type="pct"/>
          </w:tcPr>
          <w:p w14:paraId="65E6442E" w14:textId="77777777" w:rsidR="00EE326F" w:rsidRDefault="00EE326F" w:rsidP="00EE326F"/>
        </w:tc>
        <w:tc>
          <w:tcPr>
            <w:tcW w:w="1165" w:type="pct"/>
          </w:tcPr>
          <w:p w14:paraId="4DD28847" w14:textId="77777777" w:rsidR="00EE326F" w:rsidRDefault="00EE326F" w:rsidP="00EE326F"/>
        </w:tc>
      </w:tr>
    </w:tbl>
    <w:p w14:paraId="3A998EF1" w14:textId="168A3C35" w:rsidR="00B16B8F" w:rsidRPr="00C5662B" w:rsidRDefault="001E70DE">
      <w:pPr>
        <w:rPr>
          <w:rFonts w:ascii="Times New Roman" w:hAnsi="Times New Roman" w:cs="Times New Roman"/>
          <w:b/>
          <w:bCs/>
          <w:sz w:val="24"/>
          <w:szCs w:val="24"/>
        </w:rPr>
      </w:pPr>
      <w:r w:rsidRPr="00C5662B">
        <w:rPr>
          <w:rFonts w:ascii="Times New Roman" w:hAnsi="Times New Roman" w:cs="Times New Roman"/>
          <w:b/>
          <w:bCs/>
          <w:sz w:val="24"/>
          <w:szCs w:val="24"/>
        </w:rPr>
        <w:t>Table 4: Descriptive comparison from 2018-2020</w:t>
      </w:r>
    </w:p>
    <w:p w14:paraId="3464A276" w14:textId="77777777" w:rsidR="00BE6EAD" w:rsidRDefault="00BE6EAD" w:rsidP="009E286B">
      <w:pPr>
        <w:spacing w:before="100" w:beforeAutospacing="1" w:after="100" w:afterAutospacing="1" w:line="240" w:lineRule="auto"/>
        <w:rPr>
          <w:rFonts w:ascii="Times New Roman" w:hAnsi="Times New Roman" w:cs="Times New Roman"/>
          <w:sz w:val="24"/>
          <w:szCs w:val="24"/>
        </w:rPr>
      </w:pPr>
    </w:p>
    <w:p w14:paraId="52AD06EA" w14:textId="77777777" w:rsidR="00F32A5D" w:rsidRDefault="00F32A5D" w:rsidP="009E286B">
      <w:pPr>
        <w:spacing w:before="100" w:beforeAutospacing="1" w:after="100" w:afterAutospacing="1" w:line="240" w:lineRule="auto"/>
        <w:rPr>
          <w:rFonts w:ascii="Times New Roman" w:hAnsi="Times New Roman" w:cs="Times New Roman"/>
          <w:sz w:val="24"/>
          <w:szCs w:val="24"/>
        </w:rPr>
      </w:pPr>
    </w:p>
    <w:p w14:paraId="41419F67" w14:textId="77777777" w:rsidR="00F32A5D" w:rsidRDefault="00F32A5D" w:rsidP="009E286B">
      <w:pPr>
        <w:spacing w:before="100" w:beforeAutospacing="1" w:after="100" w:afterAutospacing="1" w:line="240" w:lineRule="auto"/>
        <w:rPr>
          <w:rFonts w:ascii="Times New Roman" w:hAnsi="Times New Roman" w:cs="Times New Roman"/>
          <w:sz w:val="24"/>
          <w:szCs w:val="24"/>
        </w:rPr>
      </w:pPr>
    </w:p>
    <w:p w14:paraId="75AC2233" w14:textId="77777777" w:rsidR="00F32A5D" w:rsidRDefault="00F32A5D" w:rsidP="009E286B">
      <w:pPr>
        <w:spacing w:before="100" w:beforeAutospacing="1" w:after="100" w:afterAutospacing="1" w:line="240" w:lineRule="auto"/>
        <w:rPr>
          <w:rFonts w:ascii="Times New Roman" w:hAnsi="Times New Roman" w:cs="Times New Roman"/>
          <w:sz w:val="24"/>
          <w:szCs w:val="24"/>
        </w:rPr>
      </w:pPr>
    </w:p>
    <w:p w14:paraId="5A02BF33" w14:textId="0D8D02AB" w:rsidR="00C70DD2" w:rsidRPr="00222265" w:rsidRDefault="00C8336A" w:rsidP="009E286B">
      <w:pPr>
        <w:spacing w:before="100" w:beforeAutospacing="1" w:after="100" w:afterAutospacing="1" w:line="240" w:lineRule="auto"/>
        <w:rPr>
          <w:rFonts w:ascii="Times New Roman" w:hAnsi="Times New Roman" w:cs="Times New Roman"/>
          <w:b/>
          <w:bCs/>
          <w:sz w:val="24"/>
          <w:szCs w:val="24"/>
        </w:rPr>
      </w:pPr>
      <w:r w:rsidRPr="00222265">
        <w:rPr>
          <w:rFonts w:ascii="Times New Roman" w:hAnsi="Times New Roman" w:cs="Times New Roman"/>
          <w:b/>
          <w:bCs/>
          <w:sz w:val="24"/>
          <w:szCs w:val="24"/>
        </w:rPr>
        <w:t xml:space="preserve">Table 5: </w:t>
      </w:r>
      <w:r w:rsidR="00C70DD2" w:rsidRPr="00222265">
        <w:rPr>
          <w:rFonts w:ascii="Times New Roman" w:hAnsi="Times New Roman" w:cs="Times New Roman"/>
          <w:b/>
          <w:bCs/>
          <w:sz w:val="24"/>
          <w:szCs w:val="24"/>
        </w:rPr>
        <w:t>Post-secondary participation by disability type and gender, 2018–2020</w:t>
      </w:r>
    </w:p>
    <w:p w14:paraId="782995E2" w14:textId="77777777" w:rsidR="00AC0732" w:rsidRDefault="004C2C7A" w:rsidP="00C5048D">
      <w:pPr>
        <w:pStyle w:val="pdq2pgselectionanchorcontainer"/>
        <w:rPr>
          <w:lang w:val="en-GB"/>
        </w:rPr>
      </w:pPr>
      <w:r>
        <w:rPr>
          <w:noProof/>
        </w:rPr>
        <w:drawing>
          <wp:anchor distT="0" distB="0" distL="114300" distR="114300" simplePos="0" relativeHeight="251658240" behindDoc="0" locked="0" layoutInCell="1" allowOverlap="1" wp14:anchorId="0418E9E5" wp14:editId="10F098A8">
            <wp:simplePos x="898497" y="4015409"/>
            <wp:positionH relativeFrom="column">
              <wp:align>left</wp:align>
            </wp:positionH>
            <wp:positionV relativeFrom="paragraph">
              <wp:align>top</wp:align>
            </wp:positionV>
            <wp:extent cx="5486400" cy="3200400"/>
            <wp:effectExtent l="0" t="0" r="0" b="0"/>
            <wp:wrapSquare wrapText="bothSides"/>
            <wp:docPr id="644311441" name="Diagram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sidR="0045565B" w:rsidRPr="00F803A4">
        <w:rPr>
          <w:lang w:val="en-GB"/>
        </w:rPr>
        <w:br w:type="textWrapping" w:clear="all"/>
      </w:r>
    </w:p>
    <w:p w14:paraId="232DCDF4" w14:textId="77777777" w:rsidR="00AC0732" w:rsidRDefault="00AC0732" w:rsidP="00C5048D">
      <w:pPr>
        <w:pStyle w:val="pdq2pgselectionanchorcontainer"/>
        <w:rPr>
          <w:lang w:val="en-GB"/>
        </w:rPr>
      </w:pPr>
    </w:p>
    <w:p w14:paraId="52C892FB" w14:textId="2F42C19D" w:rsidR="00C5048D" w:rsidRPr="00F803A4" w:rsidRDefault="00A974EE" w:rsidP="00C5048D">
      <w:pPr>
        <w:pStyle w:val="pdq2pgselectionanchorcontainer"/>
        <w:rPr>
          <w:lang w:val="en-GB"/>
        </w:rPr>
      </w:pPr>
      <w:r>
        <w:rPr>
          <w:lang w:val="en-GB"/>
        </w:rPr>
        <w:lastRenderedPageBreak/>
        <w:t>D</w:t>
      </w:r>
      <w:r w:rsidR="00BB2CE0">
        <w:rPr>
          <w:lang w:val="en-GB"/>
        </w:rPr>
        <w:t xml:space="preserve">isability type and </w:t>
      </w:r>
      <w:r>
        <w:rPr>
          <w:lang w:val="en-GB"/>
        </w:rPr>
        <w:t>G</w:t>
      </w:r>
      <w:r w:rsidR="00BB2CE0">
        <w:rPr>
          <w:lang w:val="en-GB"/>
        </w:rPr>
        <w:t>ender co</w:t>
      </w:r>
      <w:r>
        <w:rPr>
          <w:lang w:val="en-GB"/>
        </w:rPr>
        <w:t>mparisons</w:t>
      </w:r>
      <w:r w:rsidR="00AC0732">
        <w:rPr>
          <w:lang w:val="en-GB"/>
        </w:rPr>
        <w:t>:</w:t>
      </w:r>
    </w:p>
    <w:p w14:paraId="73BB9B65" w14:textId="77777777" w:rsidR="00C5048D" w:rsidRPr="00B11CFA" w:rsidRDefault="00C5048D" w:rsidP="00125F9A">
      <w:pPr>
        <w:spacing w:before="100" w:beforeAutospacing="1" w:after="100" w:afterAutospacing="1" w:line="240" w:lineRule="auto"/>
        <w:ind w:left="720"/>
        <w:rPr>
          <w:rFonts w:ascii="Times New Roman" w:eastAsia="Times New Roman" w:hAnsi="Times New Roman" w:cs="Times New Roman"/>
          <w:sz w:val="24"/>
          <w:szCs w:val="24"/>
          <w:lang w:eastAsia="sv-SE"/>
        </w:rPr>
      </w:pPr>
      <w:r w:rsidRPr="00B11CFA">
        <w:rPr>
          <w:rFonts w:ascii="Times New Roman" w:eastAsia="Times New Roman" w:hAnsi="Times New Roman" w:cs="Times New Roman"/>
          <w:b/>
          <w:bCs/>
          <w:sz w:val="24"/>
          <w:szCs w:val="24"/>
          <w:lang w:eastAsia="sv-SE"/>
        </w:rPr>
        <w:t>Differences between disability groups</w:t>
      </w:r>
      <w:r w:rsidRPr="00B11CFA">
        <w:rPr>
          <w:rFonts w:ascii="Times New Roman" w:eastAsia="Times New Roman" w:hAnsi="Times New Roman" w:cs="Times New Roman"/>
          <w:sz w:val="24"/>
          <w:szCs w:val="24"/>
          <w:lang w:eastAsia="sv-SE"/>
        </w:rPr>
        <w:t xml:space="preserve"> </w:t>
      </w:r>
    </w:p>
    <w:p w14:paraId="7F456753" w14:textId="6872CD66" w:rsidR="00C5048D" w:rsidRPr="00125F9A" w:rsidRDefault="00C5048D">
      <w:pPr>
        <w:pStyle w:val="Liststycke"/>
        <w:numPr>
          <w:ilvl w:val="0"/>
          <w:numId w:val="1"/>
        </w:numPr>
        <w:spacing w:before="100" w:beforeAutospacing="1" w:after="100" w:afterAutospacing="1" w:line="240" w:lineRule="auto"/>
        <w:rPr>
          <w:rFonts w:ascii="Times New Roman" w:eastAsia="Times New Roman" w:hAnsi="Times New Roman" w:cs="Times New Roman"/>
          <w:sz w:val="24"/>
          <w:szCs w:val="24"/>
          <w:lang w:eastAsia="sv-SE"/>
        </w:rPr>
      </w:pPr>
      <w:r w:rsidRPr="00125F9A">
        <w:rPr>
          <w:rFonts w:ascii="Times New Roman" w:eastAsia="Times New Roman" w:hAnsi="Times New Roman" w:cs="Times New Roman"/>
          <w:sz w:val="24"/>
          <w:szCs w:val="24"/>
          <w:lang w:eastAsia="sv-SE"/>
        </w:rPr>
        <w:t xml:space="preserve">Deaf students </w:t>
      </w:r>
      <w:r w:rsidR="005555EE">
        <w:rPr>
          <w:rFonts w:ascii="Times New Roman" w:eastAsia="Times New Roman" w:hAnsi="Times New Roman" w:cs="Times New Roman"/>
          <w:sz w:val="24"/>
          <w:szCs w:val="24"/>
          <w:lang w:eastAsia="sv-SE"/>
        </w:rPr>
        <w:t>have the</w:t>
      </w:r>
      <w:r w:rsidRPr="00125F9A">
        <w:rPr>
          <w:rFonts w:ascii="Times New Roman" w:eastAsia="Times New Roman" w:hAnsi="Times New Roman" w:cs="Times New Roman"/>
          <w:sz w:val="24"/>
          <w:szCs w:val="24"/>
          <w:lang w:eastAsia="sv-SE"/>
        </w:rPr>
        <w:t xml:space="preserve"> highest female participation (68%). </w:t>
      </w:r>
    </w:p>
    <w:p w14:paraId="2499E240" w14:textId="77777777" w:rsidR="00C5048D" w:rsidRPr="00125F9A" w:rsidRDefault="00C5048D">
      <w:pPr>
        <w:pStyle w:val="Liststycke"/>
        <w:numPr>
          <w:ilvl w:val="0"/>
          <w:numId w:val="1"/>
        </w:numPr>
        <w:spacing w:before="100" w:beforeAutospacing="1" w:after="100" w:afterAutospacing="1" w:line="240" w:lineRule="auto"/>
        <w:rPr>
          <w:rFonts w:ascii="Times New Roman" w:eastAsia="Times New Roman" w:hAnsi="Times New Roman" w:cs="Times New Roman"/>
          <w:sz w:val="24"/>
          <w:szCs w:val="24"/>
          <w:lang w:eastAsia="sv-SE"/>
        </w:rPr>
      </w:pPr>
      <w:r w:rsidRPr="00125F9A">
        <w:rPr>
          <w:rFonts w:ascii="Times New Roman" w:eastAsia="Times New Roman" w:hAnsi="Times New Roman" w:cs="Times New Roman"/>
          <w:sz w:val="24"/>
          <w:szCs w:val="24"/>
          <w:lang w:eastAsia="sv-SE"/>
        </w:rPr>
        <w:t xml:space="preserve">Language impairment has the lowest female participation (38%). </w:t>
      </w:r>
    </w:p>
    <w:p w14:paraId="3E8977E8" w14:textId="77777777" w:rsidR="00C5048D" w:rsidRPr="00C5048D" w:rsidRDefault="00C5048D" w:rsidP="00830A6D">
      <w:pPr>
        <w:spacing w:before="100" w:beforeAutospacing="1" w:after="100" w:afterAutospacing="1" w:line="240" w:lineRule="auto"/>
        <w:ind w:left="720"/>
        <w:rPr>
          <w:rFonts w:ascii="Times New Roman" w:eastAsia="Times New Roman" w:hAnsi="Times New Roman" w:cs="Times New Roman"/>
          <w:sz w:val="24"/>
          <w:szCs w:val="24"/>
          <w:lang w:val="sv-SE" w:eastAsia="sv-SE"/>
        </w:rPr>
      </w:pPr>
      <w:r w:rsidRPr="00C5048D">
        <w:rPr>
          <w:rFonts w:ascii="Times New Roman" w:eastAsia="Times New Roman" w:hAnsi="Times New Roman" w:cs="Times New Roman"/>
          <w:b/>
          <w:bCs/>
          <w:sz w:val="24"/>
          <w:szCs w:val="24"/>
          <w:lang w:val="sv-SE" w:eastAsia="sv-SE"/>
        </w:rPr>
        <w:t>Gender differences within disability groups</w:t>
      </w:r>
      <w:r w:rsidRPr="00C5048D">
        <w:rPr>
          <w:rFonts w:ascii="Times New Roman" w:eastAsia="Times New Roman" w:hAnsi="Times New Roman" w:cs="Times New Roman"/>
          <w:sz w:val="24"/>
          <w:szCs w:val="24"/>
          <w:lang w:val="sv-SE" w:eastAsia="sv-SE"/>
        </w:rPr>
        <w:t xml:space="preserve"> </w:t>
      </w:r>
    </w:p>
    <w:p w14:paraId="3AC9E423" w14:textId="77777777" w:rsidR="00C5048D" w:rsidRPr="00830A6D" w:rsidRDefault="00C5048D">
      <w:pPr>
        <w:pStyle w:val="Liststycke"/>
        <w:numPr>
          <w:ilvl w:val="0"/>
          <w:numId w:val="2"/>
        </w:numPr>
        <w:spacing w:before="100" w:beforeAutospacing="1" w:after="100" w:afterAutospacing="1" w:line="240" w:lineRule="auto"/>
        <w:rPr>
          <w:rFonts w:ascii="Times New Roman" w:eastAsia="Times New Roman" w:hAnsi="Times New Roman" w:cs="Times New Roman"/>
          <w:sz w:val="24"/>
          <w:szCs w:val="24"/>
          <w:lang w:eastAsia="sv-SE"/>
        </w:rPr>
      </w:pPr>
      <w:r w:rsidRPr="00830A6D">
        <w:rPr>
          <w:rFonts w:ascii="Times New Roman" w:eastAsia="Times New Roman" w:hAnsi="Times New Roman" w:cs="Times New Roman"/>
          <w:sz w:val="24"/>
          <w:szCs w:val="24"/>
          <w:lang w:eastAsia="sv-SE"/>
        </w:rPr>
        <w:t xml:space="preserve">Female participation is higher for dyslexia, deafness, and psychiatric disability. </w:t>
      </w:r>
    </w:p>
    <w:p w14:paraId="6E41D8EC" w14:textId="77777777" w:rsidR="00C5048D" w:rsidRPr="00830A6D" w:rsidRDefault="00C5048D">
      <w:pPr>
        <w:pStyle w:val="Liststycke"/>
        <w:numPr>
          <w:ilvl w:val="0"/>
          <w:numId w:val="2"/>
        </w:numPr>
        <w:spacing w:before="100" w:beforeAutospacing="1" w:after="100" w:afterAutospacing="1" w:line="240" w:lineRule="auto"/>
        <w:rPr>
          <w:rFonts w:ascii="Times New Roman" w:eastAsia="Times New Roman" w:hAnsi="Times New Roman" w:cs="Times New Roman"/>
          <w:sz w:val="24"/>
          <w:szCs w:val="24"/>
          <w:lang w:eastAsia="sv-SE"/>
        </w:rPr>
      </w:pPr>
      <w:r w:rsidRPr="00830A6D">
        <w:rPr>
          <w:rFonts w:ascii="Times New Roman" w:eastAsia="Times New Roman" w:hAnsi="Times New Roman" w:cs="Times New Roman"/>
          <w:sz w:val="24"/>
          <w:szCs w:val="24"/>
          <w:lang w:eastAsia="sv-SE"/>
        </w:rPr>
        <w:t xml:space="preserve">Male participation is higher for language impairment. </w:t>
      </w:r>
    </w:p>
    <w:p w14:paraId="6F2BB723" w14:textId="77777777" w:rsidR="00C5048D" w:rsidRPr="00C5662B" w:rsidRDefault="00C5048D" w:rsidP="00830A6D">
      <w:pPr>
        <w:spacing w:before="100" w:beforeAutospacing="1" w:after="100" w:afterAutospacing="1" w:line="240" w:lineRule="auto"/>
        <w:ind w:left="720"/>
        <w:rPr>
          <w:rFonts w:ascii="Times New Roman" w:eastAsia="Times New Roman" w:hAnsi="Times New Roman" w:cs="Times New Roman"/>
          <w:b/>
          <w:bCs/>
          <w:sz w:val="24"/>
          <w:szCs w:val="24"/>
          <w:lang w:val="sv-SE" w:eastAsia="sv-SE"/>
        </w:rPr>
      </w:pPr>
      <w:r w:rsidRPr="00C5662B">
        <w:rPr>
          <w:rFonts w:ascii="Times New Roman" w:eastAsia="Times New Roman" w:hAnsi="Times New Roman" w:cs="Times New Roman"/>
          <w:b/>
          <w:bCs/>
          <w:sz w:val="24"/>
          <w:szCs w:val="24"/>
          <w:lang w:val="sv-SE" w:eastAsia="sv-SE"/>
        </w:rPr>
        <w:t xml:space="preserve">Magnitude of the gender difference </w:t>
      </w:r>
    </w:p>
    <w:p w14:paraId="7B1DBF02" w14:textId="77777777" w:rsidR="00C5048D" w:rsidRPr="00830A6D" w:rsidRDefault="00C5048D">
      <w:pPr>
        <w:pStyle w:val="Liststycke"/>
        <w:numPr>
          <w:ilvl w:val="0"/>
          <w:numId w:val="3"/>
        </w:numPr>
        <w:spacing w:before="100" w:beforeAutospacing="1" w:after="100" w:afterAutospacing="1" w:line="240" w:lineRule="auto"/>
        <w:rPr>
          <w:rFonts w:ascii="Times New Roman" w:eastAsia="Times New Roman" w:hAnsi="Times New Roman" w:cs="Times New Roman"/>
          <w:sz w:val="24"/>
          <w:szCs w:val="24"/>
          <w:lang w:eastAsia="sv-SE"/>
        </w:rPr>
      </w:pPr>
      <w:r w:rsidRPr="00830A6D">
        <w:rPr>
          <w:rFonts w:ascii="Times New Roman" w:eastAsia="Times New Roman" w:hAnsi="Times New Roman" w:cs="Times New Roman"/>
          <w:sz w:val="24"/>
          <w:szCs w:val="24"/>
          <w:lang w:eastAsia="sv-SE"/>
        </w:rPr>
        <w:t xml:space="preserve">The difference is particularly large for deaf students (36 percentage points). </w:t>
      </w:r>
    </w:p>
    <w:p w14:paraId="3F35B553" w14:textId="77777777" w:rsidR="00C5048D" w:rsidRPr="00830A6D" w:rsidRDefault="00C5048D">
      <w:pPr>
        <w:pStyle w:val="Liststycke"/>
        <w:numPr>
          <w:ilvl w:val="0"/>
          <w:numId w:val="3"/>
        </w:numPr>
        <w:spacing w:before="100" w:beforeAutospacing="1" w:after="100" w:afterAutospacing="1" w:line="240" w:lineRule="auto"/>
        <w:rPr>
          <w:rFonts w:ascii="Times New Roman" w:eastAsia="Times New Roman" w:hAnsi="Times New Roman" w:cs="Times New Roman"/>
          <w:sz w:val="24"/>
          <w:szCs w:val="24"/>
          <w:lang w:eastAsia="sv-SE"/>
        </w:rPr>
      </w:pPr>
      <w:r w:rsidRPr="00830A6D">
        <w:rPr>
          <w:rFonts w:ascii="Times New Roman" w:eastAsia="Times New Roman" w:hAnsi="Times New Roman" w:cs="Times New Roman"/>
          <w:sz w:val="24"/>
          <w:szCs w:val="24"/>
          <w:lang w:eastAsia="sv-SE"/>
        </w:rPr>
        <w:t>It is smaller for dyslexia and psychiatric disability (12 percentage points).</w:t>
      </w:r>
    </w:p>
    <w:p w14:paraId="2FB96CD7" w14:textId="0A7A05E6" w:rsidR="00C70DD2" w:rsidRDefault="00C70DD2" w:rsidP="009E286B">
      <w:pPr>
        <w:spacing w:before="100" w:beforeAutospacing="1" w:after="100" w:afterAutospacing="1" w:line="240" w:lineRule="auto"/>
        <w:rPr>
          <w:rFonts w:ascii="Times New Roman" w:eastAsia="Times New Roman" w:hAnsi="Times New Roman" w:cs="Times New Roman"/>
          <w:sz w:val="24"/>
          <w:szCs w:val="24"/>
          <w:lang w:eastAsia="sv-SE"/>
        </w:rPr>
      </w:pPr>
    </w:p>
    <w:p w14:paraId="45EE0DE3" w14:textId="10738214" w:rsidR="009E286B" w:rsidRPr="0070762D" w:rsidRDefault="0065411D" w:rsidP="008D10C5">
      <w:pPr>
        <w:spacing w:before="100" w:beforeAutospacing="1" w:after="100" w:afterAutospacing="1" w:line="360" w:lineRule="auto"/>
        <w:jc w:val="both"/>
        <w:rPr>
          <w:rFonts w:ascii="Times New Roman" w:eastAsia="Times New Roman" w:hAnsi="Times New Roman" w:cs="Times New Roman"/>
          <w:sz w:val="24"/>
          <w:szCs w:val="24"/>
          <w:lang w:eastAsia="sv-SE"/>
        </w:rPr>
      </w:pPr>
      <w:r w:rsidRPr="000A304A">
        <w:rPr>
          <w:rFonts w:ascii="Times New Roman" w:eastAsia="Times New Roman" w:hAnsi="Times New Roman" w:cs="Times New Roman"/>
          <w:sz w:val="24"/>
          <w:szCs w:val="24"/>
          <w:lang w:eastAsia="sv-SE"/>
        </w:rPr>
        <w:t xml:space="preserve">In table 4 </w:t>
      </w:r>
      <w:r w:rsidR="007336D6" w:rsidRPr="000A304A">
        <w:rPr>
          <w:rFonts w:ascii="Times New Roman" w:eastAsia="Times New Roman" w:hAnsi="Times New Roman" w:cs="Times New Roman"/>
          <w:sz w:val="24"/>
          <w:szCs w:val="24"/>
          <w:lang w:eastAsia="sv-SE"/>
        </w:rPr>
        <w:t>&amp; 5,</w:t>
      </w:r>
      <w:r w:rsidR="007336D6">
        <w:rPr>
          <w:rFonts w:ascii="Times New Roman" w:eastAsia="Times New Roman" w:hAnsi="Times New Roman" w:cs="Times New Roman"/>
          <w:sz w:val="24"/>
          <w:szCs w:val="24"/>
          <w:lang w:eastAsia="sv-SE"/>
        </w:rPr>
        <w:t xml:space="preserve"> t</w:t>
      </w:r>
      <w:r w:rsidR="009E286B" w:rsidRPr="0070762D">
        <w:rPr>
          <w:rFonts w:ascii="Times New Roman" w:eastAsia="Times New Roman" w:hAnsi="Times New Roman" w:cs="Times New Roman"/>
          <w:sz w:val="24"/>
          <w:szCs w:val="24"/>
          <w:lang w:eastAsia="sv-SE"/>
        </w:rPr>
        <w:t>he descriptive results indicate differences in post-secondary participation across disability types and gender. Female participation was higher than male participation in three of the four disability groups examined. Among students with dyslexia, female participation was 56%, compared with 44% among males, representing a difference of 12 percentage points. Among deaf students, female participation was 68%, compared with 32% among males, resulting in the largest gender difference of 36 percentage points. Similarly, among students with psychiatric disabilities, female participation was 56%, compared with 44% among males, also representing a difference of 12 percentage points.</w:t>
      </w:r>
    </w:p>
    <w:p w14:paraId="5897914F" w14:textId="77777777" w:rsidR="009E286B" w:rsidRPr="0070762D" w:rsidRDefault="009E286B" w:rsidP="008D10C5">
      <w:pPr>
        <w:spacing w:before="100" w:beforeAutospacing="1" w:after="100" w:afterAutospacing="1" w:line="360" w:lineRule="auto"/>
        <w:jc w:val="both"/>
        <w:rPr>
          <w:rFonts w:ascii="Times New Roman" w:eastAsia="Times New Roman" w:hAnsi="Times New Roman" w:cs="Times New Roman"/>
          <w:sz w:val="24"/>
          <w:szCs w:val="24"/>
          <w:lang w:eastAsia="sv-SE"/>
        </w:rPr>
      </w:pPr>
      <w:r w:rsidRPr="0070762D">
        <w:rPr>
          <w:rFonts w:ascii="Times New Roman" w:eastAsia="Times New Roman" w:hAnsi="Times New Roman" w:cs="Times New Roman"/>
          <w:sz w:val="24"/>
          <w:szCs w:val="24"/>
          <w:lang w:eastAsia="sv-SE"/>
        </w:rPr>
        <w:t>In contrast, students with language impairment showed a different pattern. Male participation was 62%, compared with 38% among females, representing a difference of 24 percentage points. Thus, female participation was higher among students with dyslexia, deafness, and psychiatric disabilities, whereas male participation was higher among students with language impairment. This indicates that the gender pattern was not consistent across the disability groups.</w:t>
      </w:r>
    </w:p>
    <w:p w14:paraId="49AE675B" w14:textId="77777777" w:rsidR="009E286B" w:rsidRPr="0070762D" w:rsidRDefault="009E286B" w:rsidP="008D10C5">
      <w:pPr>
        <w:spacing w:before="100" w:beforeAutospacing="1" w:after="100" w:afterAutospacing="1" w:line="360" w:lineRule="auto"/>
        <w:jc w:val="both"/>
        <w:rPr>
          <w:rFonts w:ascii="Times New Roman" w:eastAsia="Times New Roman" w:hAnsi="Times New Roman" w:cs="Times New Roman"/>
          <w:sz w:val="24"/>
          <w:szCs w:val="24"/>
          <w:lang w:eastAsia="sv-SE"/>
        </w:rPr>
      </w:pPr>
      <w:r w:rsidRPr="0070762D">
        <w:rPr>
          <w:rFonts w:ascii="Times New Roman" w:eastAsia="Times New Roman" w:hAnsi="Times New Roman" w:cs="Times New Roman"/>
          <w:sz w:val="24"/>
          <w:szCs w:val="24"/>
          <w:lang w:eastAsia="sv-SE"/>
        </w:rPr>
        <w:t xml:space="preserve">The magnitude of the gender differences also varied across disability types. The largest difference was observed among deaf students, at 36 percentage points, followed by students with language impairment, at 24 percentage points. The smallest differences were observed among students with dyslexia and psychiatric disabilities, at 12 percentage points each. These </w:t>
      </w:r>
      <w:r w:rsidRPr="0070762D">
        <w:rPr>
          <w:rFonts w:ascii="Times New Roman" w:eastAsia="Times New Roman" w:hAnsi="Times New Roman" w:cs="Times New Roman"/>
          <w:sz w:val="24"/>
          <w:szCs w:val="24"/>
          <w:lang w:eastAsia="sv-SE"/>
        </w:rPr>
        <w:lastRenderedPageBreak/>
        <w:t>descriptive patterns indicate that differences in participation varied according to both disability type and gender.</w:t>
      </w:r>
    </w:p>
    <w:p w14:paraId="42BFD7DD" w14:textId="77777777" w:rsidR="009E286B" w:rsidRPr="0070762D" w:rsidRDefault="009E286B" w:rsidP="00601CDD">
      <w:pPr>
        <w:spacing w:before="100" w:beforeAutospacing="1" w:after="100" w:afterAutospacing="1" w:line="360" w:lineRule="auto"/>
        <w:jc w:val="both"/>
        <w:rPr>
          <w:rFonts w:ascii="Times New Roman" w:eastAsia="Times New Roman" w:hAnsi="Times New Roman" w:cs="Times New Roman"/>
          <w:sz w:val="24"/>
          <w:szCs w:val="24"/>
          <w:lang w:eastAsia="sv-SE"/>
        </w:rPr>
      </w:pPr>
      <w:r w:rsidRPr="0070762D">
        <w:rPr>
          <w:rFonts w:ascii="Times New Roman" w:eastAsia="Times New Roman" w:hAnsi="Times New Roman" w:cs="Times New Roman"/>
          <w:sz w:val="24"/>
          <w:szCs w:val="24"/>
          <w:lang w:eastAsia="sv-SE"/>
        </w:rPr>
        <w:t>The mean participation across the four disability categories was 54.5% for females and 45.5% for males, giving an overall difference of 9 percentage points between the two gender groups. However, these means represent the unweighted average of the four disability-group percentages and should therefore be interpreted as descriptive averages rather than overall participation rates for the entire sample.</w:t>
      </w:r>
    </w:p>
    <w:p w14:paraId="38724778" w14:textId="6BF97F0A" w:rsidR="00360FDB" w:rsidRPr="0070762D" w:rsidRDefault="009E286B" w:rsidP="00D668AD">
      <w:pPr>
        <w:spacing w:before="100" w:beforeAutospacing="1" w:after="100" w:afterAutospacing="1" w:line="360" w:lineRule="auto"/>
        <w:jc w:val="both"/>
        <w:rPr>
          <w:rFonts w:ascii="Times New Roman" w:eastAsia="Times New Roman" w:hAnsi="Times New Roman" w:cs="Times New Roman"/>
          <w:sz w:val="24"/>
          <w:szCs w:val="24"/>
          <w:lang w:eastAsia="sv-SE"/>
        </w:rPr>
      </w:pPr>
      <w:r w:rsidRPr="0070762D">
        <w:rPr>
          <w:rFonts w:ascii="Times New Roman" w:eastAsia="Times New Roman" w:hAnsi="Times New Roman" w:cs="Times New Roman"/>
          <w:sz w:val="24"/>
          <w:szCs w:val="24"/>
          <w:lang w:eastAsia="sv-SE"/>
        </w:rPr>
        <w:t>Taken together, the descriptive results suggest a pattern in which gender differences in post-secondary participation vary across disability types. In particular, the direction of the gender difference changes for students with language impairment, where male participation exceeds female participation. The findings therefore indicate variation in participation across the intersection of disability type and gender. These descriptive results do not, however, establish whether the observed differences are statistically significant.</w:t>
      </w:r>
    </w:p>
    <w:p w14:paraId="5FE6F52F" w14:textId="77777777" w:rsidR="00E40F99" w:rsidRDefault="00E40F99" w:rsidP="00360FDB">
      <w:pPr>
        <w:pStyle w:val="Fotnotstext"/>
        <w:rPr>
          <w:rFonts w:ascii="Times New Roman" w:hAnsi="Times New Roman"/>
          <w:b/>
          <w:bCs/>
          <w:sz w:val="24"/>
          <w:szCs w:val="24"/>
          <w:lang w:val="en-GB"/>
        </w:rPr>
      </w:pPr>
    </w:p>
    <w:p w14:paraId="6DD2593C" w14:textId="08B697B7" w:rsidR="00360FDB" w:rsidRDefault="00360FDB" w:rsidP="00360FDB">
      <w:pPr>
        <w:pStyle w:val="Fotnotstext"/>
        <w:rPr>
          <w:rFonts w:ascii="Times New Roman" w:hAnsi="Times New Roman"/>
          <w:b/>
          <w:bCs/>
          <w:sz w:val="24"/>
          <w:szCs w:val="24"/>
          <w:lang w:val="en-GB"/>
        </w:rPr>
      </w:pPr>
      <w:r w:rsidRPr="00196B2D">
        <w:rPr>
          <w:rFonts w:ascii="Times New Roman" w:hAnsi="Times New Roman"/>
          <w:b/>
          <w:bCs/>
          <w:sz w:val="24"/>
          <w:szCs w:val="24"/>
          <w:lang w:val="en-GB"/>
        </w:rPr>
        <w:t xml:space="preserve">Participation changes </w:t>
      </w:r>
      <w:r w:rsidR="000F4ED7">
        <w:rPr>
          <w:rFonts w:ascii="Times New Roman" w:hAnsi="Times New Roman"/>
          <w:b/>
          <w:bCs/>
          <w:sz w:val="24"/>
          <w:szCs w:val="24"/>
          <w:lang w:val="en-GB"/>
        </w:rPr>
        <w:t>upon</w:t>
      </w:r>
      <w:r w:rsidRPr="00196B2D">
        <w:rPr>
          <w:rFonts w:ascii="Times New Roman" w:hAnsi="Times New Roman"/>
          <w:b/>
          <w:bCs/>
          <w:sz w:val="24"/>
          <w:szCs w:val="24"/>
          <w:lang w:val="en-GB"/>
        </w:rPr>
        <w:t xml:space="preserve"> completion of </w:t>
      </w:r>
      <w:r w:rsidR="00151C69" w:rsidRPr="00196B2D">
        <w:rPr>
          <w:rFonts w:ascii="Times New Roman" w:hAnsi="Times New Roman"/>
          <w:b/>
          <w:bCs/>
          <w:sz w:val="24"/>
          <w:szCs w:val="24"/>
          <w:lang w:val="en-GB"/>
        </w:rPr>
        <w:t>secondary</w:t>
      </w:r>
      <w:r w:rsidRPr="00196B2D">
        <w:rPr>
          <w:rFonts w:ascii="Times New Roman" w:hAnsi="Times New Roman"/>
          <w:b/>
          <w:bCs/>
          <w:sz w:val="24"/>
          <w:szCs w:val="24"/>
          <w:lang w:val="en-GB"/>
        </w:rPr>
        <w:t xml:space="preserve"> school education</w:t>
      </w:r>
    </w:p>
    <w:p w14:paraId="27C4D54B" w14:textId="77777777" w:rsidR="00DF1FB2" w:rsidRPr="00196B2D" w:rsidRDefault="00DF1FB2" w:rsidP="00360FDB">
      <w:pPr>
        <w:pStyle w:val="Fotnotstext"/>
        <w:rPr>
          <w:rFonts w:ascii="Times New Roman" w:hAnsi="Times New Roman"/>
          <w:b/>
          <w:bCs/>
          <w:sz w:val="24"/>
          <w:szCs w:val="24"/>
          <w:lang w:val="en-GB"/>
        </w:rPr>
      </w:pPr>
    </w:p>
    <w:p w14:paraId="4A52E119" w14:textId="33FC36E2" w:rsidR="00E20935" w:rsidRDefault="006C09C1" w:rsidP="00360FDB">
      <w:pPr>
        <w:pStyle w:val="Fotnotstext"/>
        <w:rPr>
          <w:rFonts w:ascii="Times New Roman" w:eastAsia="Times New Roman" w:hAnsi="Times New Roman"/>
          <w:sz w:val="24"/>
          <w:szCs w:val="24"/>
          <w:lang w:val="en-GB"/>
        </w:rPr>
      </w:pPr>
      <w:r w:rsidRPr="00360FDB">
        <w:rPr>
          <w:rFonts w:ascii="Times New Roman" w:eastAsia="Times New Roman" w:hAnsi="Times New Roman"/>
          <w:sz w:val="24"/>
          <w:szCs w:val="24"/>
          <w:lang w:val="en-GB"/>
        </w:rPr>
        <w:t>To what extent does post-secondary participation change between the first and third years following completion of secondary education?</w:t>
      </w:r>
    </w:p>
    <w:p w14:paraId="7F2A6F40" w14:textId="77777777" w:rsidR="00C74531" w:rsidRDefault="00C74531" w:rsidP="00360FDB">
      <w:pPr>
        <w:pStyle w:val="Fotnotstext"/>
        <w:rPr>
          <w:rFonts w:ascii="Times New Roman" w:eastAsia="Times New Roman" w:hAnsi="Times New Roman"/>
          <w:sz w:val="24"/>
          <w:szCs w:val="24"/>
          <w:lang w:val="en-GB"/>
        </w:rPr>
      </w:pPr>
    </w:p>
    <w:p w14:paraId="476653E4" w14:textId="6EF7CE8C" w:rsidR="00C74531" w:rsidRDefault="00C74531" w:rsidP="00360FDB">
      <w:pPr>
        <w:pStyle w:val="Fotnotstext"/>
        <w:rPr>
          <w:rFonts w:ascii="Times New Roman" w:eastAsia="Times New Roman" w:hAnsi="Times New Roman"/>
          <w:sz w:val="24"/>
          <w:szCs w:val="24"/>
          <w:lang w:val="en-GB"/>
        </w:rPr>
      </w:pPr>
      <w:r w:rsidRPr="00C74531">
        <w:rPr>
          <w:rFonts w:ascii="Times New Roman" w:eastAsia="Times New Roman" w:hAnsi="Times New Roman"/>
          <w:sz w:val="24"/>
          <w:szCs w:val="24"/>
          <w:lang w:val="en-GB"/>
        </w:rPr>
        <w:t>H₀: There is no statistically significant difference in post-secondary participation between the first and third years following completion of secondary education.</w:t>
      </w:r>
    </w:p>
    <w:p w14:paraId="1BD67F15" w14:textId="77777777" w:rsidR="00C74531" w:rsidRPr="00C74531" w:rsidRDefault="00C74531" w:rsidP="00360FDB">
      <w:pPr>
        <w:pStyle w:val="Fotnotstext"/>
        <w:rPr>
          <w:rFonts w:ascii="Times New Roman" w:eastAsia="Times New Roman" w:hAnsi="Times New Roman"/>
          <w:sz w:val="24"/>
          <w:szCs w:val="24"/>
          <w:lang w:val="en-GB"/>
        </w:rPr>
      </w:pPr>
    </w:p>
    <w:p w14:paraId="48AC3741" w14:textId="77777777" w:rsidR="006D04DA" w:rsidRDefault="0006422F" w:rsidP="00360FDB">
      <w:pPr>
        <w:pStyle w:val="Fotnotstext"/>
        <w:rPr>
          <w:rFonts w:ascii="Times New Roman" w:eastAsia="Times New Roman" w:hAnsi="Times New Roman"/>
          <w:sz w:val="24"/>
          <w:szCs w:val="24"/>
          <w:lang w:val="en-GB"/>
        </w:rPr>
      </w:pPr>
      <w:r w:rsidRPr="0006422F">
        <w:rPr>
          <w:rFonts w:ascii="Times New Roman" w:eastAsia="Times New Roman" w:hAnsi="Times New Roman"/>
          <w:sz w:val="24"/>
          <w:szCs w:val="24"/>
          <w:lang w:val="en-GB"/>
        </w:rPr>
        <w:t>H₁: There is a statistically significant difference in post-secondary participation between the first and third years following completion of secondary education.</w:t>
      </w:r>
      <w:r w:rsidR="002366C5">
        <w:rPr>
          <w:rFonts w:ascii="Times New Roman" w:eastAsia="Times New Roman" w:hAnsi="Times New Roman"/>
          <w:sz w:val="24"/>
          <w:szCs w:val="24"/>
          <w:lang w:val="en-GB"/>
        </w:rPr>
        <w:t xml:space="preserve"> </w:t>
      </w:r>
    </w:p>
    <w:p w14:paraId="3E08A732" w14:textId="77777777" w:rsidR="00517F52" w:rsidRDefault="00517F52" w:rsidP="00360FDB">
      <w:pPr>
        <w:pStyle w:val="Fotnotstext"/>
        <w:rPr>
          <w:rFonts w:ascii="Times New Roman" w:eastAsia="Times New Roman" w:hAnsi="Times New Roman"/>
          <w:sz w:val="24"/>
          <w:szCs w:val="24"/>
          <w:lang w:val="en-GB"/>
        </w:rPr>
      </w:pPr>
    </w:p>
    <w:p w14:paraId="0BAE8560" w14:textId="77777777" w:rsidR="006D04DA" w:rsidRDefault="006D04DA" w:rsidP="00360FDB">
      <w:pPr>
        <w:pStyle w:val="Fotnotstext"/>
        <w:rPr>
          <w:rFonts w:ascii="Times New Roman" w:eastAsia="Times New Roman" w:hAnsi="Times New Roman"/>
          <w:sz w:val="24"/>
          <w:szCs w:val="24"/>
          <w:lang w:val="en-GB"/>
        </w:rPr>
      </w:pPr>
    </w:p>
    <w:p w14:paraId="3238FDC8" w14:textId="11D0A09E" w:rsidR="00360FDB" w:rsidRPr="009F6393" w:rsidRDefault="002366C5" w:rsidP="00360FDB">
      <w:pPr>
        <w:pStyle w:val="Fotnotstext"/>
        <w:rPr>
          <w:rFonts w:ascii="Times New Roman" w:eastAsia="Times New Roman" w:hAnsi="Times New Roman"/>
          <w:b/>
          <w:bCs/>
          <w:sz w:val="24"/>
          <w:szCs w:val="24"/>
          <w:lang w:val="en-GB"/>
        </w:rPr>
      </w:pPr>
      <w:r w:rsidRPr="009F6393">
        <w:rPr>
          <w:rFonts w:ascii="Times New Roman" w:eastAsia="Times New Roman" w:hAnsi="Times New Roman"/>
          <w:b/>
          <w:bCs/>
          <w:sz w:val="24"/>
          <w:szCs w:val="24"/>
          <w:lang w:val="en-GB"/>
        </w:rPr>
        <w:t xml:space="preserve">Table 6: t-Test: </w:t>
      </w:r>
      <w:r w:rsidR="009A787E" w:rsidRPr="009F6393">
        <w:rPr>
          <w:rFonts w:ascii="Times New Roman" w:eastAsia="Times New Roman" w:hAnsi="Times New Roman"/>
          <w:b/>
          <w:bCs/>
          <w:sz w:val="24"/>
          <w:szCs w:val="24"/>
          <w:lang w:val="en-GB"/>
        </w:rPr>
        <w:t>Paired two-sample fo</w:t>
      </w:r>
      <w:r w:rsidR="006D04DA" w:rsidRPr="009F6393">
        <w:rPr>
          <w:rFonts w:ascii="Times New Roman" w:eastAsia="Times New Roman" w:hAnsi="Times New Roman"/>
          <w:b/>
          <w:bCs/>
          <w:sz w:val="24"/>
          <w:szCs w:val="24"/>
          <w:lang w:val="en-GB"/>
        </w:rPr>
        <w:t>r Means</w:t>
      </w:r>
    </w:p>
    <w:p w14:paraId="15D571AE" w14:textId="77777777" w:rsidR="00360FDB" w:rsidRDefault="00360FDB" w:rsidP="00360FDB">
      <w:pPr>
        <w:pStyle w:val="Fotnotstext"/>
        <w:rPr>
          <w:rFonts w:ascii="Times New Roman" w:eastAsia="Times New Roman" w:hAnsi="Times New Roman"/>
          <w:sz w:val="24"/>
          <w:szCs w:val="24"/>
          <w:lang w:val="en-GB"/>
        </w:rPr>
      </w:pPr>
    </w:p>
    <w:tbl>
      <w:tblPr>
        <w:tblW w:w="4566" w:type="dxa"/>
        <w:tblCellMar>
          <w:left w:w="70" w:type="dxa"/>
          <w:right w:w="70" w:type="dxa"/>
        </w:tblCellMar>
        <w:tblLook w:val="04A0" w:firstRow="1" w:lastRow="0" w:firstColumn="1" w:lastColumn="0" w:noHBand="0" w:noVBand="1"/>
      </w:tblPr>
      <w:tblGrid>
        <w:gridCol w:w="2610"/>
        <w:gridCol w:w="978"/>
        <w:gridCol w:w="978"/>
      </w:tblGrid>
      <w:tr w:rsidR="005658BF" w:rsidRPr="005658BF" w14:paraId="54D3FFF1" w14:textId="77777777" w:rsidTr="00517F52">
        <w:trPr>
          <w:trHeight w:val="290"/>
        </w:trPr>
        <w:tc>
          <w:tcPr>
            <w:tcW w:w="2610" w:type="dxa"/>
            <w:tcBorders>
              <w:top w:val="single" w:sz="8" w:space="0" w:color="auto"/>
              <w:left w:val="nil"/>
              <w:bottom w:val="single" w:sz="4" w:space="0" w:color="auto"/>
              <w:right w:val="nil"/>
            </w:tcBorders>
            <w:noWrap/>
            <w:vAlign w:val="bottom"/>
            <w:hideMark/>
          </w:tcPr>
          <w:p w14:paraId="2BA34314" w14:textId="77777777" w:rsidR="005658BF" w:rsidRPr="007B2B48" w:rsidRDefault="005658BF" w:rsidP="005658BF">
            <w:pPr>
              <w:spacing w:after="0" w:line="240" w:lineRule="auto"/>
              <w:jc w:val="center"/>
              <w:rPr>
                <w:rFonts w:ascii="Aptos Narrow" w:eastAsia="Times New Roman" w:hAnsi="Aptos Narrow" w:cs="Times New Roman"/>
                <w:i/>
                <w:iCs/>
                <w:color w:val="000000"/>
                <w:lang w:eastAsia="sv-SE"/>
              </w:rPr>
            </w:pPr>
            <w:r w:rsidRPr="007B2B48">
              <w:rPr>
                <w:rFonts w:ascii="Aptos Narrow" w:eastAsia="Times New Roman" w:hAnsi="Aptos Narrow" w:cs="Times New Roman"/>
                <w:i/>
                <w:iCs/>
                <w:color w:val="000000"/>
                <w:lang w:eastAsia="sv-SE"/>
              </w:rPr>
              <w:t> </w:t>
            </w:r>
          </w:p>
        </w:tc>
        <w:tc>
          <w:tcPr>
            <w:tcW w:w="978" w:type="dxa"/>
            <w:tcBorders>
              <w:top w:val="single" w:sz="8" w:space="0" w:color="auto"/>
              <w:left w:val="nil"/>
              <w:bottom w:val="single" w:sz="4" w:space="0" w:color="auto"/>
              <w:right w:val="nil"/>
            </w:tcBorders>
            <w:noWrap/>
            <w:vAlign w:val="bottom"/>
            <w:hideMark/>
          </w:tcPr>
          <w:p w14:paraId="315125EA" w14:textId="23142D5F" w:rsidR="005658BF" w:rsidRPr="005658BF" w:rsidRDefault="005658BF" w:rsidP="005658BF">
            <w:pPr>
              <w:spacing w:after="0" w:line="240" w:lineRule="auto"/>
              <w:jc w:val="center"/>
              <w:rPr>
                <w:rFonts w:ascii="Aptos Narrow" w:eastAsia="Times New Roman" w:hAnsi="Aptos Narrow" w:cs="Times New Roman"/>
                <w:i/>
                <w:iCs/>
                <w:color w:val="000000"/>
                <w:lang w:val="sv-SE" w:eastAsia="sv-SE"/>
              </w:rPr>
            </w:pPr>
            <w:r w:rsidRPr="005658BF">
              <w:rPr>
                <w:rFonts w:ascii="Aptos Narrow" w:eastAsia="Times New Roman" w:hAnsi="Aptos Narrow" w:cs="Times New Roman"/>
                <w:i/>
                <w:iCs/>
                <w:color w:val="000000"/>
                <w:lang w:val="sv-SE" w:eastAsia="sv-SE"/>
              </w:rPr>
              <w:t>Variab</w:t>
            </w:r>
            <w:r w:rsidR="00DA2C4C">
              <w:rPr>
                <w:rFonts w:ascii="Aptos Narrow" w:eastAsia="Times New Roman" w:hAnsi="Aptos Narrow" w:cs="Times New Roman"/>
                <w:i/>
                <w:iCs/>
                <w:color w:val="000000"/>
                <w:lang w:val="sv-SE" w:eastAsia="sv-SE"/>
              </w:rPr>
              <w:t>le</w:t>
            </w:r>
            <w:r w:rsidRPr="005658BF">
              <w:rPr>
                <w:rFonts w:ascii="Aptos Narrow" w:eastAsia="Times New Roman" w:hAnsi="Aptos Narrow" w:cs="Times New Roman"/>
                <w:i/>
                <w:iCs/>
                <w:color w:val="000000"/>
                <w:lang w:val="sv-SE" w:eastAsia="sv-SE"/>
              </w:rPr>
              <w:t xml:space="preserve"> 1</w:t>
            </w:r>
          </w:p>
        </w:tc>
        <w:tc>
          <w:tcPr>
            <w:tcW w:w="978" w:type="dxa"/>
            <w:tcBorders>
              <w:top w:val="single" w:sz="8" w:space="0" w:color="auto"/>
              <w:left w:val="nil"/>
              <w:bottom w:val="single" w:sz="4" w:space="0" w:color="auto"/>
              <w:right w:val="nil"/>
            </w:tcBorders>
            <w:noWrap/>
            <w:vAlign w:val="bottom"/>
            <w:hideMark/>
          </w:tcPr>
          <w:p w14:paraId="11285F12" w14:textId="7547FC73" w:rsidR="005658BF" w:rsidRPr="005658BF" w:rsidRDefault="00D409F5" w:rsidP="005658BF">
            <w:pPr>
              <w:spacing w:after="0" w:line="240" w:lineRule="auto"/>
              <w:jc w:val="center"/>
              <w:rPr>
                <w:rFonts w:ascii="Aptos Narrow" w:eastAsia="Times New Roman" w:hAnsi="Aptos Narrow" w:cs="Times New Roman"/>
                <w:i/>
                <w:iCs/>
                <w:color w:val="000000"/>
                <w:lang w:val="sv-SE" w:eastAsia="sv-SE"/>
              </w:rPr>
            </w:pPr>
            <w:r w:rsidRPr="005658BF">
              <w:rPr>
                <w:rFonts w:ascii="Aptos Narrow" w:eastAsia="Times New Roman" w:hAnsi="Aptos Narrow" w:cs="Times New Roman"/>
                <w:i/>
                <w:iCs/>
                <w:color w:val="000000"/>
                <w:lang w:val="sv-SE" w:eastAsia="sv-SE"/>
              </w:rPr>
              <w:t>Variab</w:t>
            </w:r>
            <w:r>
              <w:rPr>
                <w:rFonts w:ascii="Aptos Narrow" w:eastAsia="Times New Roman" w:hAnsi="Aptos Narrow" w:cs="Times New Roman"/>
                <w:i/>
                <w:iCs/>
                <w:color w:val="000000"/>
                <w:lang w:val="sv-SE" w:eastAsia="sv-SE"/>
              </w:rPr>
              <w:t xml:space="preserve">le </w:t>
            </w:r>
            <w:r w:rsidRPr="005658BF">
              <w:rPr>
                <w:rFonts w:ascii="Aptos Narrow" w:eastAsia="Times New Roman" w:hAnsi="Aptos Narrow" w:cs="Times New Roman"/>
                <w:i/>
                <w:iCs/>
                <w:color w:val="000000"/>
                <w:lang w:val="sv-SE" w:eastAsia="sv-SE"/>
              </w:rPr>
              <w:t>2</w:t>
            </w:r>
          </w:p>
        </w:tc>
      </w:tr>
      <w:tr w:rsidR="005658BF" w:rsidRPr="005658BF" w14:paraId="12D795E1" w14:textId="77777777" w:rsidTr="00517F52">
        <w:trPr>
          <w:trHeight w:val="290"/>
        </w:trPr>
        <w:tc>
          <w:tcPr>
            <w:tcW w:w="2610" w:type="dxa"/>
            <w:tcBorders>
              <w:top w:val="nil"/>
              <w:left w:val="nil"/>
              <w:bottom w:val="nil"/>
              <w:right w:val="nil"/>
            </w:tcBorders>
            <w:noWrap/>
            <w:vAlign w:val="bottom"/>
            <w:hideMark/>
          </w:tcPr>
          <w:p w14:paraId="640EA88D" w14:textId="1D9D995D" w:rsidR="005658BF" w:rsidRPr="005658BF" w:rsidRDefault="005658BF" w:rsidP="005658BF">
            <w:pPr>
              <w:spacing w:after="0" w:line="240" w:lineRule="auto"/>
              <w:rPr>
                <w:rFonts w:ascii="Aptos Narrow" w:eastAsia="Times New Roman" w:hAnsi="Aptos Narrow" w:cs="Times New Roman"/>
                <w:color w:val="000000"/>
                <w:lang w:val="sv-SE" w:eastAsia="sv-SE"/>
              </w:rPr>
            </w:pPr>
            <w:r w:rsidRPr="005658BF">
              <w:rPr>
                <w:rFonts w:ascii="Aptos Narrow" w:eastAsia="Times New Roman" w:hAnsi="Aptos Narrow" w:cs="Times New Roman"/>
                <w:color w:val="000000"/>
                <w:lang w:val="sv-SE" w:eastAsia="sv-SE"/>
              </w:rPr>
              <w:t>Me</w:t>
            </w:r>
            <w:r w:rsidR="00DA2C4C">
              <w:rPr>
                <w:rFonts w:ascii="Aptos Narrow" w:eastAsia="Times New Roman" w:hAnsi="Aptos Narrow" w:cs="Times New Roman"/>
                <w:color w:val="000000"/>
                <w:lang w:val="sv-SE" w:eastAsia="sv-SE"/>
              </w:rPr>
              <w:t>an</w:t>
            </w:r>
          </w:p>
        </w:tc>
        <w:tc>
          <w:tcPr>
            <w:tcW w:w="978" w:type="dxa"/>
            <w:tcBorders>
              <w:top w:val="nil"/>
              <w:left w:val="nil"/>
              <w:bottom w:val="nil"/>
              <w:right w:val="nil"/>
            </w:tcBorders>
            <w:noWrap/>
            <w:vAlign w:val="bottom"/>
            <w:hideMark/>
          </w:tcPr>
          <w:p w14:paraId="2165078F" w14:textId="77777777" w:rsidR="005658BF" w:rsidRPr="005658BF" w:rsidRDefault="005658BF" w:rsidP="005658BF">
            <w:pPr>
              <w:spacing w:after="0" w:line="240" w:lineRule="auto"/>
              <w:jc w:val="right"/>
              <w:rPr>
                <w:rFonts w:ascii="Aptos Narrow" w:eastAsia="Times New Roman" w:hAnsi="Aptos Narrow" w:cs="Times New Roman"/>
                <w:color w:val="000000"/>
                <w:lang w:val="sv-SE" w:eastAsia="sv-SE"/>
              </w:rPr>
            </w:pPr>
            <w:r w:rsidRPr="005658BF">
              <w:rPr>
                <w:rFonts w:ascii="Aptos Narrow" w:eastAsia="Times New Roman" w:hAnsi="Aptos Narrow" w:cs="Times New Roman"/>
                <w:color w:val="000000"/>
                <w:lang w:val="sv-SE" w:eastAsia="sv-SE"/>
              </w:rPr>
              <w:t>39</w:t>
            </w:r>
          </w:p>
        </w:tc>
        <w:tc>
          <w:tcPr>
            <w:tcW w:w="978" w:type="dxa"/>
            <w:tcBorders>
              <w:top w:val="nil"/>
              <w:left w:val="nil"/>
              <w:bottom w:val="nil"/>
              <w:right w:val="nil"/>
            </w:tcBorders>
            <w:noWrap/>
            <w:vAlign w:val="bottom"/>
            <w:hideMark/>
          </w:tcPr>
          <w:p w14:paraId="3BDFC6BA" w14:textId="77777777" w:rsidR="005658BF" w:rsidRPr="005658BF" w:rsidRDefault="005658BF" w:rsidP="005658BF">
            <w:pPr>
              <w:spacing w:after="0" w:line="240" w:lineRule="auto"/>
              <w:jc w:val="right"/>
              <w:rPr>
                <w:rFonts w:ascii="Aptos Narrow" w:eastAsia="Times New Roman" w:hAnsi="Aptos Narrow" w:cs="Times New Roman"/>
                <w:color w:val="000000"/>
                <w:lang w:val="sv-SE" w:eastAsia="sv-SE"/>
              </w:rPr>
            </w:pPr>
            <w:r w:rsidRPr="005658BF">
              <w:rPr>
                <w:rFonts w:ascii="Aptos Narrow" w:eastAsia="Times New Roman" w:hAnsi="Aptos Narrow" w:cs="Times New Roman"/>
                <w:color w:val="000000"/>
                <w:lang w:val="sv-SE" w:eastAsia="sv-SE"/>
              </w:rPr>
              <w:t>54,92857</w:t>
            </w:r>
          </w:p>
        </w:tc>
      </w:tr>
      <w:tr w:rsidR="005658BF" w:rsidRPr="005658BF" w14:paraId="315D3E06" w14:textId="77777777" w:rsidTr="00517F52">
        <w:trPr>
          <w:trHeight w:val="290"/>
        </w:trPr>
        <w:tc>
          <w:tcPr>
            <w:tcW w:w="2610" w:type="dxa"/>
            <w:tcBorders>
              <w:top w:val="nil"/>
              <w:left w:val="nil"/>
              <w:bottom w:val="nil"/>
              <w:right w:val="nil"/>
            </w:tcBorders>
            <w:noWrap/>
            <w:vAlign w:val="bottom"/>
            <w:hideMark/>
          </w:tcPr>
          <w:p w14:paraId="739D9713" w14:textId="114DE728" w:rsidR="005658BF" w:rsidRPr="005658BF" w:rsidRDefault="005658BF" w:rsidP="005658BF">
            <w:pPr>
              <w:spacing w:after="0" w:line="240" w:lineRule="auto"/>
              <w:rPr>
                <w:rFonts w:ascii="Aptos Narrow" w:eastAsia="Times New Roman" w:hAnsi="Aptos Narrow" w:cs="Times New Roman"/>
                <w:color w:val="000000"/>
                <w:lang w:val="sv-SE" w:eastAsia="sv-SE"/>
              </w:rPr>
            </w:pPr>
            <w:r w:rsidRPr="005658BF">
              <w:rPr>
                <w:rFonts w:ascii="Aptos Narrow" w:eastAsia="Times New Roman" w:hAnsi="Aptos Narrow" w:cs="Times New Roman"/>
                <w:color w:val="000000"/>
                <w:lang w:val="sv-SE" w:eastAsia="sv-SE"/>
              </w:rPr>
              <w:t>Varian</w:t>
            </w:r>
            <w:r w:rsidR="00DA2C4C">
              <w:rPr>
                <w:rFonts w:ascii="Aptos Narrow" w:eastAsia="Times New Roman" w:hAnsi="Aptos Narrow" w:cs="Times New Roman"/>
                <w:color w:val="000000"/>
                <w:lang w:val="sv-SE" w:eastAsia="sv-SE"/>
              </w:rPr>
              <w:t>ce</w:t>
            </w:r>
          </w:p>
        </w:tc>
        <w:tc>
          <w:tcPr>
            <w:tcW w:w="978" w:type="dxa"/>
            <w:tcBorders>
              <w:top w:val="nil"/>
              <w:left w:val="nil"/>
              <w:bottom w:val="nil"/>
              <w:right w:val="nil"/>
            </w:tcBorders>
            <w:noWrap/>
            <w:vAlign w:val="bottom"/>
            <w:hideMark/>
          </w:tcPr>
          <w:p w14:paraId="7FB9B8E6" w14:textId="77777777" w:rsidR="005658BF" w:rsidRPr="005658BF" w:rsidRDefault="005658BF" w:rsidP="005658BF">
            <w:pPr>
              <w:spacing w:after="0" w:line="240" w:lineRule="auto"/>
              <w:jc w:val="right"/>
              <w:rPr>
                <w:rFonts w:ascii="Aptos Narrow" w:eastAsia="Times New Roman" w:hAnsi="Aptos Narrow" w:cs="Times New Roman"/>
                <w:color w:val="000000"/>
                <w:lang w:val="sv-SE" w:eastAsia="sv-SE"/>
              </w:rPr>
            </w:pPr>
            <w:r w:rsidRPr="005658BF">
              <w:rPr>
                <w:rFonts w:ascii="Aptos Narrow" w:eastAsia="Times New Roman" w:hAnsi="Aptos Narrow" w:cs="Times New Roman"/>
                <w:color w:val="000000"/>
                <w:lang w:val="sv-SE" w:eastAsia="sv-SE"/>
              </w:rPr>
              <w:t>148</w:t>
            </w:r>
          </w:p>
        </w:tc>
        <w:tc>
          <w:tcPr>
            <w:tcW w:w="978" w:type="dxa"/>
            <w:tcBorders>
              <w:top w:val="nil"/>
              <w:left w:val="nil"/>
              <w:bottom w:val="nil"/>
              <w:right w:val="nil"/>
            </w:tcBorders>
            <w:noWrap/>
            <w:vAlign w:val="bottom"/>
            <w:hideMark/>
          </w:tcPr>
          <w:p w14:paraId="12F73948" w14:textId="77777777" w:rsidR="005658BF" w:rsidRPr="005658BF" w:rsidRDefault="005658BF" w:rsidP="005658BF">
            <w:pPr>
              <w:spacing w:after="0" w:line="240" w:lineRule="auto"/>
              <w:jc w:val="right"/>
              <w:rPr>
                <w:rFonts w:ascii="Aptos Narrow" w:eastAsia="Times New Roman" w:hAnsi="Aptos Narrow" w:cs="Times New Roman"/>
                <w:color w:val="000000"/>
                <w:lang w:val="sv-SE" w:eastAsia="sv-SE"/>
              </w:rPr>
            </w:pPr>
            <w:r w:rsidRPr="005658BF">
              <w:rPr>
                <w:rFonts w:ascii="Aptos Narrow" w:eastAsia="Times New Roman" w:hAnsi="Aptos Narrow" w:cs="Times New Roman"/>
                <w:color w:val="000000"/>
                <w:lang w:val="sv-SE" w:eastAsia="sv-SE"/>
              </w:rPr>
              <w:t>118,8407</w:t>
            </w:r>
          </w:p>
        </w:tc>
      </w:tr>
      <w:tr w:rsidR="005658BF" w:rsidRPr="005658BF" w14:paraId="3189B30B" w14:textId="77777777" w:rsidTr="00517F52">
        <w:trPr>
          <w:trHeight w:val="290"/>
        </w:trPr>
        <w:tc>
          <w:tcPr>
            <w:tcW w:w="2610" w:type="dxa"/>
            <w:tcBorders>
              <w:top w:val="nil"/>
              <w:left w:val="nil"/>
              <w:bottom w:val="nil"/>
              <w:right w:val="nil"/>
            </w:tcBorders>
            <w:noWrap/>
            <w:vAlign w:val="bottom"/>
            <w:hideMark/>
          </w:tcPr>
          <w:p w14:paraId="61212EDD" w14:textId="5FEBC1E9" w:rsidR="005658BF" w:rsidRPr="005658BF" w:rsidRDefault="005658BF" w:rsidP="005658BF">
            <w:pPr>
              <w:spacing w:after="0" w:line="240" w:lineRule="auto"/>
              <w:rPr>
                <w:rFonts w:ascii="Aptos Narrow" w:eastAsia="Times New Roman" w:hAnsi="Aptos Narrow" w:cs="Times New Roman"/>
                <w:color w:val="000000"/>
                <w:lang w:val="sv-SE" w:eastAsia="sv-SE"/>
              </w:rPr>
            </w:pPr>
            <w:r w:rsidRPr="005658BF">
              <w:rPr>
                <w:rFonts w:ascii="Aptos Narrow" w:eastAsia="Times New Roman" w:hAnsi="Aptos Narrow" w:cs="Times New Roman"/>
                <w:color w:val="000000"/>
                <w:lang w:val="sv-SE" w:eastAsia="sv-SE"/>
              </w:rPr>
              <w:t>Observation</w:t>
            </w:r>
            <w:r w:rsidR="00DA2C4C">
              <w:rPr>
                <w:rFonts w:ascii="Aptos Narrow" w:eastAsia="Times New Roman" w:hAnsi="Aptos Narrow" w:cs="Times New Roman"/>
                <w:color w:val="000000"/>
                <w:lang w:val="sv-SE" w:eastAsia="sv-SE"/>
              </w:rPr>
              <w:t>s</w:t>
            </w:r>
          </w:p>
        </w:tc>
        <w:tc>
          <w:tcPr>
            <w:tcW w:w="978" w:type="dxa"/>
            <w:tcBorders>
              <w:top w:val="nil"/>
              <w:left w:val="nil"/>
              <w:bottom w:val="nil"/>
              <w:right w:val="nil"/>
            </w:tcBorders>
            <w:noWrap/>
            <w:vAlign w:val="bottom"/>
            <w:hideMark/>
          </w:tcPr>
          <w:p w14:paraId="510FC773" w14:textId="77777777" w:rsidR="005658BF" w:rsidRPr="005658BF" w:rsidRDefault="005658BF" w:rsidP="005658BF">
            <w:pPr>
              <w:spacing w:after="0" w:line="240" w:lineRule="auto"/>
              <w:jc w:val="right"/>
              <w:rPr>
                <w:rFonts w:ascii="Aptos Narrow" w:eastAsia="Times New Roman" w:hAnsi="Aptos Narrow" w:cs="Times New Roman"/>
                <w:color w:val="000000"/>
                <w:lang w:val="sv-SE" w:eastAsia="sv-SE"/>
              </w:rPr>
            </w:pPr>
            <w:r w:rsidRPr="005658BF">
              <w:rPr>
                <w:rFonts w:ascii="Aptos Narrow" w:eastAsia="Times New Roman" w:hAnsi="Aptos Narrow" w:cs="Times New Roman"/>
                <w:color w:val="000000"/>
                <w:lang w:val="sv-SE" w:eastAsia="sv-SE"/>
              </w:rPr>
              <w:t>14</w:t>
            </w:r>
          </w:p>
        </w:tc>
        <w:tc>
          <w:tcPr>
            <w:tcW w:w="978" w:type="dxa"/>
            <w:tcBorders>
              <w:top w:val="nil"/>
              <w:left w:val="nil"/>
              <w:bottom w:val="nil"/>
              <w:right w:val="nil"/>
            </w:tcBorders>
            <w:noWrap/>
            <w:vAlign w:val="bottom"/>
            <w:hideMark/>
          </w:tcPr>
          <w:p w14:paraId="65636795" w14:textId="77777777" w:rsidR="005658BF" w:rsidRPr="005658BF" w:rsidRDefault="005658BF" w:rsidP="005658BF">
            <w:pPr>
              <w:spacing w:after="0" w:line="240" w:lineRule="auto"/>
              <w:jc w:val="right"/>
              <w:rPr>
                <w:rFonts w:ascii="Aptos Narrow" w:eastAsia="Times New Roman" w:hAnsi="Aptos Narrow" w:cs="Times New Roman"/>
                <w:color w:val="000000"/>
                <w:lang w:val="sv-SE" w:eastAsia="sv-SE"/>
              </w:rPr>
            </w:pPr>
            <w:r w:rsidRPr="005658BF">
              <w:rPr>
                <w:rFonts w:ascii="Aptos Narrow" w:eastAsia="Times New Roman" w:hAnsi="Aptos Narrow" w:cs="Times New Roman"/>
                <w:color w:val="000000"/>
                <w:lang w:val="sv-SE" w:eastAsia="sv-SE"/>
              </w:rPr>
              <w:t>14</w:t>
            </w:r>
          </w:p>
        </w:tc>
      </w:tr>
      <w:tr w:rsidR="005658BF" w:rsidRPr="005658BF" w14:paraId="4BDABD94" w14:textId="77777777" w:rsidTr="00517F52">
        <w:trPr>
          <w:trHeight w:val="290"/>
        </w:trPr>
        <w:tc>
          <w:tcPr>
            <w:tcW w:w="2610" w:type="dxa"/>
            <w:tcBorders>
              <w:top w:val="nil"/>
              <w:left w:val="nil"/>
              <w:bottom w:val="nil"/>
              <w:right w:val="nil"/>
            </w:tcBorders>
            <w:noWrap/>
            <w:vAlign w:val="bottom"/>
            <w:hideMark/>
          </w:tcPr>
          <w:p w14:paraId="0AA686C4" w14:textId="796B5A96" w:rsidR="005658BF" w:rsidRPr="005658BF" w:rsidRDefault="005658BF" w:rsidP="005658BF">
            <w:pPr>
              <w:spacing w:after="0" w:line="240" w:lineRule="auto"/>
              <w:rPr>
                <w:rFonts w:ascii="Aptos Narrow" w:eastAsia="Times New Roman" w:hAnsi="Aptos Narrow" w:cs="Times New Roman"/>
                <w:color w:val="000000"/>
                <w:lang w:val="sv-SE" w:eastAsia="sv-SE"/>
              </w:rPr>
            </w:pPr>
            <w:r w:rsidRPr="005658BF">
              <w:rPr>
                <w:rFonts w:ascii="Aptos Narrow" w:eastAsia="Times New Roman" w:hAnsi="Aptos Narrow" w:cs="Times New Roman"/>
                <w:color w:val="000000"/>
                <w:lang w:val="sv-SE" w:eastAsia="sv-SE"/>
              </w:rPr>
              <w:t>Pearson</w:t>
            </w:r>
            <w:r w:rsidR="00D409F5">
              <w:rPr>
                <w:rFonts w:ascii="Aptos Narrow" w:eastAsia="Times New Roman" w:hAnsi="Aptos Narrow" w:cs="Times New Roman"/>
                <w:color w:val="000000"/>
                <w:lang w:val="sv-SE" w:eastAsia="sv-SE"/>
              </w:rPr>
              <w:t xml:space="preserve"> </w:t>
            </w:r>
            <w:r w:rsidR="00151C69">
              <w:rPr>
                <w:rFonts w:ascii="Aptos Narrow" w:eastAsia="Times New Roman" w:hAnsi="Aptos Narrow" w:cs="Times New Roman"/>
                <w:color w:val="000000"/>
                <w:lang w:val="sv-SE" w:eastAsia="sv-SE"/>
              </w:rPr>
              <w:t xml:space="preserve">- </w:t>
            </w:r>
            <w:r w:rsidR="00DA2C4C">
              <w:rPr>
                <w:rFonts w:ascii="Aptos Narrow" w:eastAsia="Times New Roman" w:hAnsi="Aptos Narrow" w:cs="Times New Roman"/>
                <w:color w:val="000000"/>
                <w:lang w:val="sv-SE" w:eastAsia="sv-SE"/>
              </w:rPr>
              <w:t>c</w:t>
            </w:r>
            <w:r w:rsidRPr="005658BF">
              <w:rPr>
                <w:rFonts w:ascii="Aptos Narrow" w:eastAsia="Times New Roman" w:hAnsi="Aptos Narrow" w:cs="Times New Roman"/>
                <w:color w:val="000000"/>
                <w:lang w:val="sv-SE" w:eastAsia="sv-SE"/>
              </w:rPr>
              <w:t>orrelation</w:t>
            </w:r>
          </w:p>
        </w:tc>
        <w:tc>
          <w:tcPr>
            <w:tcW w:w="978" w:type="dxa"/>
            <w:tcBorders>
              <w:top w:val="nil"/>
              <w:left w:val="nil"/>
              <w:bottom w:val="nil"/>
              <w:right w:val="nil"/>
            </w:tcBorders>
            <w:noWrap/>
            <w:vAlign w:val="bottom"/>
            <w:hideMark/>
          </w:tcPr>
          <w:p w14:paraId="318CB18B" w14:textId="77777777" w:rsidR="005658BF" w:rsidRPr="005658BF" w:rsidRDefault="005658BF" w:rsidP="005658BF">
            <w:pPr>
              <w:spacing w:after="0" w:line="240" w:lineRule="auto"/>
              <w:jc w:val="right"/>
              <w:rPr>
                <w:rFonts w:ascii="Aptos Narrow" w:eastAsia="Times New Roman" w:hAnsi="Aptos Narrow" w:cs="Times New Roman"/>
                <w:color w:val="000000"/>
                <w:lang w:val="sv-SE" w:eastAsia="sv-SE"/>
              </w:rPr>
            </w:pPr>
            <w:r w:rsidRPr="005658BF">
              <w:rPr>
                <w:rFonts w:ascii="Aptos Narrow" w:eastAsia="Times New Roman" w:hAnsi="Aptos Narrow" w:cs="Times New Roman"/>
                <w:color w:val="000000"/>
                <w:lang w:val="sv-SE" w:eastAsia="sv-SE"/>
              </w:rPr>
              <w:t>0,727346</w:t>
            </w:r>
          </w:p>
        </w:tc>
        <w:tc>
          <w:tcPr>
            <w:tcW w:w="978" w:type="dxa"/>
            <w:tcBorders>
              <w:top w:val="nil"/>
              <w:left w:val="nil"/>
              <w:bottom w:val="nil"/>
              <w:right w:val="nil"/>
            </w:tcBorders>
            <w:noWrap/>
            <w:vAlign w:val="bottom"/>
            <w:hideMark/>
          </w:tcPr>
          <w:p w14:paraId="7D83FF01" w14:textId="77777777" w:rsidR="005658BF" w:rsidRPr="005658BF" w:rsidRDefault="005658BF" w:rsidP="005658BF">
            <w:pPr>
              <w:spacing w:after="0" w:line="240" w:lineRule="auto"/>
              <w:jc w:val="right"/>
              <w:rPr>
                <w:rFonts w:ascii="Aptos Narrow" w:eastAsia="Times New Roman" w:hAnsi="Aptos Narrow" w:cs="Times New Roman"/>
                <w:color w:val="000000"/>
                <w:lang w:val="sv-SE" w:eastAsia="sv-SE"/>
              </w:rPr>
            </w:pPr>
          </w:p>
        </w:tc>
      </w:tr>
      <w:tr w:rsidR="005658BF" w:rsidRPr="005658BF" w14:paraId="0671EA3E" w14:textId="77777777" w:rsidTr="00517F52">
        <w:trPr>
          <w:trHeight w:val="290"/>
        </w:trPr>
        <w:tc>
          <w:tcPr>
            <w:tcW w:w="2610" w:type="dxa"/>
            <w:tcBorders>
              <w:top w:val="nil"/>
              <w:left w:val="nil"/>
              <w:bottom w:val="nil"/>
              <w:right w:val="nil"/>
            </w:tcBorders>
            <w:noWrap/>
            <w:vAlign w:val="bottom"/>
            <w:hideMark/>
          </w:tcPr>
          <w:p w14:paraId="21A7A61E" w14:textId="74162A3B" w:rsidR="005658BF" w:rsidRPr="005658BF" w:rsidRDefault="00D409F5" w:rsidP="005658BF">
            <w:pPr>
              <w:spacing w:after="0" w:line="240" w:lineRule="auto"/>
              <w:rPr>
                <w:rFonts w:ascii="Aptos Narrow" w:eastAsia="Times New Roman" w:hAnsi="Aptos Narrow" w:cs="Times New Roman"/>
                <w:color w:val="000000"/>
                <w:lang w:val="sv-SE" w:eastAsia="sv-SE"/>
              </w:rPr>
            </w:pPr>
            <w:r>
              <w:rPr>
                <w:rFonts w:ascii="Aptos Narrow" w:eastAsia="Times New Roman" w:hAnsi="Aptos Narrow" w:cs="Times New Roman"/>
                <w:color w:val="000000"/>
                <w:lang w:val="sv-SE" w:eastAsia="sv-SE"/>
              </w:rPr>
              <w:t>Hypothesized mean difference</w:t>
            </w:r>
          </w:p>
        </w:tc>
        <w:tc>
          <w:tcPr>
            <w:tcW w:w="978" w:type="dxa"/>
            <w:tcBorders>
              <w:top w:val="nil"/>
              <w:left w:val="nil"/>
              <w:bottom w:val="nil"/>
              <w:right w:val="nil"/>
            </w:tcBorders>
            <w:noWrap/>
            <w:vAlign w:val="bottom"/>
            <w:hideMark/>
          </w:tcPr>
          <w:p w14:paraId="379C8E16" w14:textId="77777777" w:rsidR="005658BF" w:rsidRPr="005658BF" w:rsidRDefault="005658BF" w:rsidP="005658BF">
            <w:pPr>
              <w:spacing w:after="0" w:line="240" w:lineRule="auto"/>
              <w:jc w:val="right"/>
              <w:rPr>
                <w:rFonts w:ascii="Aptos Narrow" w:eastAsia="Times New Roman" w:hAnsi="Aptos Narrow" w:cs="Times New Roman"/>
                <w:color w:val="000000"/>
                <w:lang w:val="sv-SE" w:eastAsia="sv-SE"/>
              </w:rPr>
            </w:pPr>
            <w:r w:rsidRPr="005658BF">
              <w:rPr>
                <w:rFonts w:ascii="Aptos Narrow" w:eastAsia="Times New Roman" w:hAnsi="Aptos Narrow" w:cs="Times New Roman"/>
                <w:color w:val="000000"/>
                <w:lang w:val="sv-SE" w:eastAsia="sv-SE"/>
              </w:rPr>
              <w:t>0</w:t>
            </w:r>
          </w:p>
        </w:tc>
        <w:tc>
          <w:tcPr>
            <w:tcW w:w="978" w:type="dxa"/>
            <w:tcBorders>
              <w:top w:val="nil"/>
              <w:left w:val="nil"/>
              <w:bottom w:val="nil"/>
              <w:right w:val="nil"/>
            </w:tcBorders>
            <w:noWrap/>
            <w:vAlign w:val="bottom"/>
            <w:hideMark/>
          </w:tcPr>
          <w:p w14:paraId="0C03BCE2" w14:textId="77777777" w:rsidR="005658BF" w:rsidRPr="005658BF" w:rsidRDefault="005658BF" w:rsidP="005658BF">
            <w:pPr>
              <w:spacing w:after="0" w:line="240" w:lineRule="auto"/>
              <w:jc w:val="right"/>
              <w:rPr>
                <w:rFonts w:ascii="Aptos Narrow" w:eastAsia="Times New Roman" w:hAnsi="Aptos Narrow" w:cs="Times New Roman"/>
                <w:color w:val="000000"/>
                <w:lang w:val="sv-SE" w:eastAsia="sv-SE"/>
              </w:rPr>
            </w:pPr>
          </w:p>
        </w:tc>
      </w:tr>
      <w:tr w:rsidR="005658BF" w:rsidRPr="005658BF" w14:paraId="701EEDF5" w14:textId="77777777" w:rsidTr="00517F52">
        <w:trPr>
          <w:trHeight w:val="290"/>
        </w:trPr>
        <w:tc>
          <w:tcPr>
            <w:tcW w:w="2610" w:type="dxa"/>
            <w:tcBorders>
              <w:top w:val="nil"/>
              <w:left w:val="nil"/>
              <w:bottom w:val="nil"/>
              <w:right w:val="nil"/>
            </w:tcBorders>
            <w:noWrap/>
            <w:vAlign w:val="bottom"/>
            <w:hideMark/>
          </w:tcPr>
          <w:p w14:paraId="5B341294" w14:textId="35408383" w:rsidR="005658BF" w:rsidRPr="005658BF" w:rsidRDefault="00DD1A71" w:rsidP="005658BF">
            <w:pPr>
              <w:spacing w:after="0" w:line="240" w:lineRule="auto"/>
              <w:rPr>
                <w:rFonts w:ascii="Aptos Narrow" w:eastAsia="Times New Roman" w:hAnsi="Aptos Narrow" w:cs="Times New Roman"/>
                <w:color w:val="000000"/>
                <w:lang w:val="sv-SE" w:eastAsia="sv-SE"/>
              </w:rPr>
            </w:pPr>
            <w:r>
              <w:rPr>
                <w:rFonts w:ascii="Aptos Narrow" w:eastAsia="Times New Roman" w:hAnsi="Aptos Narrow" w:cs="Times New Roman"/>
                <w:color w:val="000000"/>
                <w:lang w:val="sv-SE" w:eastAsia="sv-SE"/>
              </w:rPr>
              <w:t>d</w:t>
            </w:r>
            <w:r w:rsidR="005658BF" w:rsidRPr="005658BF">
              <w:rPr>
                <w:rFonts w:ascii="Aptos Narrow" w:eastAsia="Times New Roman" w:hAnsi="Aptos Narrow" w:cs="Times New Roman"/>
                <w:color w:val="000000"/>
                <w:lang w:val="sv-SE" w:eastAsia="sv-SE"/>
              </w:rPr>
              <w:t>f</w:t>
            </w:r>
          </w:p>
        </w:tc>
        <w:tc>
          <w:tcPr>
            <w:tcW w:w="978" w:type="dxa"/>
            <w:tcBorders>
              <w:top w:val="nil"/>
              <w:left w:val="nil"/>
              <w:bottom w:val="nil"/>
              <w:right w:val="nil"/>
            </w:tcBorders>
            <w:noWrap/>
            <w:vAlign w:val="bottom"/>
            <w:hideMark/>
          </w:tcPr>
          <w:p w14:paraId="77B9B199" w14:textId="77777777" w:rsidR="005658BF" w:rsidRPr="005658BF" w:rsidRDefault="005658BF" w:rsidP="005658BF">
            <w:pPr>
              <w:spacing w:after="0" w:line="240" w:lineRule="auto"/>
              <w:jc w:val="right"/>
              <w:rPr>
                <w:rFonts w:ascii="Aptos Narrow" w:eastAsia="Times New Roman" w:hAnsi="Aptos Narrow" w:cs="Times New Roman"/>
                <w:color w:val="000000"/>
                <w:lang w:val="sv-SE" w:eastAsia="sv-SE"/>
              </w:rPr>
            </w:pPr>
            <w:r w:rsidRPr="005658BF">
              <w:rPr>
                <w:rFonts w:ascii="Aptos Narrow" w:eastAsia="Times New Roman" w:hAnsi="Aptos Narrow" w:cs="Times New Roman"/>
                <w:color w:val="000000"/>
                <w:lang w:val="sv-SE" w:eastAsia="sv-SE"/>
              </w:rPr>
              <w:t>13</w:t>
            </w:r>
          </w:p>
        </w:tc>
        <w:tc>
          <w:tcPr>
            <w:tcW w:w="978" w:type="dxa"/>
            <w:tcBorders>
              <w:top w:val="nil"/>
              <w:left w:val="nil"/>
              <w:bottom w:val="nil"/>
              <w:right w:val="nil"/>
            </w:tcBorders>
            <w:noWrap/>
            <w:vAlign w:val="bottom"/>
            <w:hideMark/>
          </w:tcPr>
          <w:p w14:paraId="29DF21C3" w14:textId="77777777" w:rsidR="005658BF" w:rsidRPr="005658BF" w:rsidRDefault="005658BF" w:rsidP="005658BF">
            <w:pPr>
              <w:spacing w:after="0" w:line="240" w:lineRule="auto"/>
              <w:jc w:val="right"/>
              <w:rPr>
                <w:rFonts w:ascii="Aptos Narrow" w:eastAsia="Times New Roman" w:hAnsi="Aptos Narrow" w:cs="Times New Roman"/>
                <w:color w:val="000000"/>
                <w:lang w:val="sv-SE" w:eastAsia="sv-SE"/>
              </w:rPr>
            </w:pPr>
          </w:p>
        </w:tc>
      </w:tr>
      <w:tr w:rsidR="005658BF" w:rsidRPr="005658BF" w14:paraId="1F076994" w14:textId="77777777" w:rsidTr="00517F52">
        <w:trPr>
          <w:trHeight w:val="290"/>
        </w:trPr>
        <w:tc>
          <w:tcPr>
            <w:tcW w:w="2610" w:type="dxa"/>
            <w:tcBorders>
              <w:top w:val="nil"/>
              <w:left w:val="nil"/>
              <w:bottom w:val="nil"/>
              <w:right w:val="nil"/>
            </w:tcBorders>
            <w:noWrap/>
            <w:vAlign w:val="bottom"/>
            <w:hideMark/>
          </w:tcPr>
          <w:p w14:paraId="6D9BD214" w14:textId="0DACB547" w:rsidR="005658BF" w:rsidRPr="005658BF" w:rsidRDefault="005658BF" w:rsidP="005658BF">
            <w:pPr>
              <w:spacing w:after="0" w:line="240" w:lineRule="auto"/>
              <w:rPr>
                <w:rFonts w:ascii="Aptos Narrow" w:eastAsia="Times New Roman" w:hAnsi="Aptos Narrow" w:cs="Times New Roman"/>
                <w:color w:val="000000"/>
                <w:lang w:val="sv-SE" w:eastAsia="sv-SE"/>
              </w:rPr>
            </w:pPr>
            <w:r w:rsidRPr="005658BF">
              <w:rPr>
                <w:rFonts w:ascii="Aptos Narrow" w:eastAsia="Times New Roman" w:hAnsi="Aptos Narrow" w:cs="Times New Roman"/>
                <w:color w:val="000000"/>
                <w:lang w:val="sv-SE" w:eastAsia="sv-SE"/>
              </w:rPr>
              <w:t>t-</w:t>
            </w:r>
            <w:r w:rsidR="00DD1A71">
              <w:rPr>
                <w:rFonts w:ascii="Aptos Narrow" w:eastAsia="Times New Roman" w:hAnsi="Aptos Narrow" w:cs="Times New Roman"/>
                <w:color w:val="000000"/>
                <w:lang w:val="sv-SE" w:eastAsia="sv-SE"/>
              </w:rPr>
              <w:t>Stat</w:t>
            </w:r>
          </w:p>
        </w:tc>
        <w:tc>
          <w:tcPr>
            <w:tcW w:w="978" w:type="dxa"/>
            <w:tcBorders>
              <w:top w:val="nil"/>
              <w:left w:val="nil"/>
              <w:bottom w:val="nil"/>
              <w:right w:val="nil"/>
            </w:tcBorders>
            <w:noWrap/>
            <w:vAlign w:val="bottom"/>
            <w:hideMark/>
          </w:tcPr>
          <w:p w14:paraId="0DD72FB2" w14:textId="77777777" w:rsidR="005658BF" w:rsidRPr="005658BF" w:rsidRDefault="005658BF" w:rsidP="005658BF">
            <w:pPr>
              <w:spacing w:after="0" w:line="240" w:lineRule="auto"/>
              <w:jc w:val="right"/>
              <w:rPr>
                <w:rFonts w:ascii="Aptos Narrow" w:eastAsia="Times New Roman" w:hAnsi="Aptos Narrow" w:cs="Times New Roman"/>
                <w:color w:val="000000"/>
                <w:lang w:val="sv-SE" w:eastAsia="sv-SE"/>
              </w:rPr>
            </w:pPr>
            <w:r w:rsidRPr="005658BF">
              <w:rPr>
                <w:rFonts w:ascii="Aptos Narrow" w:eastAsia="Times New Roman" w:hAnsi="Aptos Narrow" w:cs="Times New Roman"/>
                <w:color w:val="000000"/>
                <w:lang w:val="sv-SE" w:eastAsia="sv-SE"/>
              </w:rPr>
              <w:t>-6,93213</w:t>
            </w:r>
          </w:p>
        </w:tc>
        <w:tc>
          <w:tcPr>
            <w:tcW w:w="978" w:type="dxa"/>
            <w:tcBorders>
              <w:top w:val="nil"/>
              <w:left w:val="nil"/>
              <w:bottom w:val="nil"/>
              <w:right w:val="nil"/>
            </w:tcBorders>
            <w:noWrap/>
            <w:vAlign w:val="bottom"/>
            <w:hideMark/>
          </w:tcPr>
          <w:p w14:paraId="134D7ED5" w14:textId="77777777" w:rsidR="005658BF" w:rsidRPr="005658BF" w:rsidRDefault="005658BF" w:rsidP="005658BF">
            <w:pPr>
              <w:spacing w:after="0" w:line="240" w:lineRule="auto"/>
              <w:jc w:val="right"/>
              <w:rPr>
                <w:rFonts w:ascii="Aptos Narrow" w:eastAsia="Times New Roman" w:hAnsi="Aptos Narrow" w:cs="Times New Roman"/>
                <w:color w:val="000000"/>
                <w:lang w:val="sv-SE" w:eastAsia="sv-SE"/>
              </w:rPr>
            </w:pPr>
          </w:p>
        </w:tc>
      </w:tr>
      <w:tr w:rsidR="005658BF" w:rsidRPr="005658BF" w14:paraId="2166C2BD" w14:textId="77777777" w:rsidTr="00517F52">
        <w:trPr>
          <w:trHeight w:val="290"/>
        </w:trPr>
        <w:tc>
          <w:tcPr>
            <w:tcW w:w="2610" w:type="dxa"/>
            <w:tcBorders>
              <w:top w:val="nil"/>
              <w:left w:val="nil"/>
              <w:bottom w:val="nil"/>
              <w:right w:val="nil"/>
            </w:tcBorders>
            <w:noWrap/>
            <w:vAlign w:val="bottom"/>
            <w:hideMark/>
          </w:tcPr>
          <w:p w14:paraId="7A6A0F14" w14:textId="5624B5FB" w:rsidR="005658BF" w:rsidRPr="00EF29E6" w:rsidRDefault="005658BF" w:rsidP="005658BF">
            <w:pPr>
              <w:spacing w:after="0" w:line="240" w:lineRule="auto"/>
              <w:rPr>
                <w:rFonts w:ascii="Aptos Narrow" w:eastAsia="Times New Roman" w:hAnsi="Aptos Narrow" w:cs="Times New Roman"/>
                <w:color w:val="000000"/>
                <w:lang w:eastAsia="sv-SE"/>
              </w:rPr>
            </w:pPr>
            <w:r w:rsidRPr="00EF29E6">
              <w:rPr>
                <w:rFonts w:ascii="Aptos Narrow" w:eastAsia="Times New Roman" w:hAnsi="Aptos Narrow" w:cs="Times New Roman"/>
                <w:color w:val="000000"/>
                <w:lang w:eastAsia="sv-SE"/>
              </w:rPr>
              <w:t xml:space="preserve">P(T&lt;=t) </w:t>
            </w:r>
            <w:r w:rsidR="00EF29E6" w:rsidRPr="00EF29E6">
              <w:rPr>
                <w:rFonts w:ascii="Aptos Narrow" w:eastAsia="Times New Roman" w:hAnsi="Aptos Narrow" w:cs="Times New Roman"/>
                <w:color w:val="000000"/>
                <w:lang w:eastAsia="sv-SE"/>
              </w:rPr>
              <w:t>one-tail</w:t>
            </w:r>
            <w:r w:rsidR="00EF29E6">
              <w:rPr>
                <w:rFonts w:ascii="Aptos Narrow" w:eastAsia="Times New Roman" w:hAnsi="Aptos Narrow" w:cs="Times New Roman"/>
                <w:color w:val="000000"/>
                <w:lang w:eastAsia="sv-SE"/>
              </w:rPr>
              <w:t>ed</w:t>
            </w:r>
          </w:p>
        </w:tc>
        <w:tc>
          <w:tcPr>
            <w:tcW w:w="978" w:type="dxa"/>
            <w:tcBorders>
              <w:top w:val="nil"/>
              <w:left w:val="nil"/>
              <w:bottom w:val="nil"/>
              <w:right w:val="nil"/>
            </w:tcBorders>
            <w:noWrap/>
            <w:vAlign w:val="bottom"/>
            <w:hideMark/>
          </w:tcPr>
          <w:p w14:paraId="51D17AEF" w14:textId="77777777" w:rsidR="005658BF" w:rsidRPr="005658BF" w:rsidRDefault="005658BF" w:rsidP="005658BF">
            <w:pPr>
              <w:spacing w:after="0" w:line="240" w:lineRule="auto"/>
              <w:jc w:val="right"/>
              <w:rPr>
                <w:rFonts w:ascii="Aptos Narrow" w:eastAsia="Times New Roman" w:hAnsi="Aptos Narrow" w:cs="Times New Roman"/>
                <w:color w:val="000000"/>
                <w:lang w:val="sv-SE" w:eastAsia="sv-SE"/>
              </w:rPr>
            </w:pPr>
            <w:r w:rsidRPr="005658BF">
              <w:rPr>
                <w:rFonts w:ascii="Aptos Narrow" w:eastAsia="Times New Roman" w:hAnsi="Aptos Narrow" w:cs="Times New Roman"/>
                <w:color w:val="000000"/>
                <w:lang w:val="sv-SE" w:eastAsia="sv-SE"/>
              </w:rPr>
              <w:t>5,17E-06</w:t>
            </w:r>
          </w:p>
        </w:tc>
        <w:tc>
          <w:tcPr>
            <w:tcW w:w="978" w:type="dxa"/>
            <w:tcBorders>
              <w:top w:val="nil"/>
              <w:left w:val="nil"/>
              <w:bottom w:val="nil"/>
              <w:right w:val="nil"/>
            </w:tcBorders>
            <w:noWrap/>
            <w:vAlign w:val="bottom"/>
            <w:hideMark/>
          </w:tcPr>
          <w:p w14:paraId="6C6608A6" w14:textId="77777777" w:rsidR="005658BF" w:rsidRPr="005658BF" w:rsidRDefault="005658BF" w:rsidP="005658BF">
            <w:pPr>
              <w:spacing w:after="0" w:line="240" w:lineRule="auto"/>
              <w:jc w:val="right"/>
              <w:rPr>
                <w:rFonts w:ascii="Aptos Narrow" w:eastAsia="Times New Roman" w:hAnsi="Aptos Narrow" w:cs="Times New Roman"/>
                <w:color w:val="000000"/>
                <w:lang w:val="sv-SE" w:eastAsia="sv-SE"/>
              </w:rPr>
            </w:pPr>
          </w:p>
        </w:tc>
      </w:tr>
      <w:tr w:rsidR="005658BF" w:rsidRPr="005658BF" w14:paraId="4967E791" w14:textId="77777777" w:rsidTr="00517F52">
        <w:trPr>
          <w:trHeight w:val="290"/>
        </w:trPr>
        <w:tc>
          <w:tcPr>
            <w:tcW w:w="2610" w:type="dxa"/>
            <w:tcBorders>
              <w:top w:val="nil"/>
              <w:left w:val="nil"/>
              <w:bottom w:val="nil"/>
              <w:right w:val="nil"/>
            </w:tcBorders>
            <w:noWrap/>
            <w:vAlign w:val="bottom"/>
            <w:hideMark/>
          </w:tcPr>
          <w:p w14:paraId="7E499F01" w14:textId="63012429" w:rsidR="005658BF" w:rsidRPr="005658BF" w:rsidRDefault="005658BF" w:rsidP="005658BF">
            <w:pPr>
              <w:spacing w:after="0" w:line="240" w:lineRule="auto"/>
              <w:rPr>
                <w:rFonts w:ascii="Aptos Narrow" w:eastAsia="Times New Roman" w:hAnsi="Aptos Narrow" w:cs="Times New Roman"/>
                <w:color w:val="000000"/>
                <w:lang w:val="sv-SE" w:eastAsia="sv-SE"/>
              </w:rPr>
            </w:pPr>
            <w:r w:rsidRPr="005658BF">
              <w:rPr>
                <w:rFonts w:ascii="Aptos Narrow" w:eastAsia="Times New Roman" w:hAnsi="Aptos Narrow" w:cs="Times New Roman"/>
                <w:color w:val="000000"/>
                <w:lang w:val="sv-SE" w:eastAsia="sv-SE"/>
              </w:rPr>
              <w:t>t-</w:t>
            </w:r>
            <w:r w:rsidR="00235286">
              <w:rPr>
                <w:rFonts w:ascii="Aptos Narrow" w:eastAsia="Times New Roman" w:hAnsi="Aptos Narrow" w:cs="Times New Roman"/>
                <w:color w:val="000000"/>
                <w:lang w:val="sv-SE" w:eastAsia="sv-SE"/>
              </w:rPr>
              <w:t>c</w:t>
            </w:r>
            <w:r w:rsidRPr="005658BF">
              <w:rPr>
                <w:rFonts w:ascii="Aptos Narrow" w:eastAsia="Times New Roman" w:hAnsi="Aptos Narrow" w:cs="Times New Roman"/>
                <w:color w:val="000000"/>
                <w:lang w:val="sv-SE" w:eastAsia="sv-SE"/>
              </w:rPr>
              <w:t>riti</w:t>
            </w:r>
            <w:r w:rsidR="00235286">
              <w:rPr>
                <w:rFonts w:ascii="Aptos Narrow" w:eastAsia="Times New Roman" w:hAnsi="Aptos Narrow" w:cs="Times New Roman"/>
                <w:color w:val="000000"/>
                <w:lang w:val="sv-SE" w:eastAsia="sv-SE"/>
              </w:rPr>
              <w:t>cal</w:t>
            </w:r>
            <w:r w:rsidRPr="005658BF">
              <w:rPr>
                <w:rFonts w:ascii="Aptos Narrow" w:eastAsia="Times New Roman" w:hAnsi="Aptos Narrow" w:cs="Times New Roman"/>
                <w:color w:val="000000"/>
                <w:lang w:val="sv-SE" w:eastAsia="sv-SE"/>
              </w:rPr>
              <w:t xml:space="preserve"> </w:t>
            </w:r>
            <w:r w:rsidR="00EF29E6">
              <w:rPr>
                <w:rFonts w:ascii="Aptos Narrow" w:eastAsia="Times New Roman" w:hAnsi="Aptos Narrow" w:cs="Times New Roman"/>
                <w:color w:val="000000"/>
                <w:lang w:val="sv-SE" w:eastAsia="sv-SE"/>
              </w:rPr>
              <w:t>one-tailed</w:t>
            </w:r>
          </w:p>
        </w:tc>
        <w:tc>
          <w:tcPr>
            <w:tcW w:w="978" w:type="dxa"/>
            <w:tcBorders>
              <w:top w:val="nil"/>
              <w:left w:val="nil"/>
              <w:bottom w:val="nil"/>
              <w:right w:val="nil"/>
            </w:tcBorders>
            <w:noWrap/>
            <w:vAlign w:val="bottom"/>
            <w:hideMark/>
          </w:tcPr>
          <w:p w14:paraId="6965DB1A" w14:textId="77777777" w:rsidR="005658BF" w:rsidRPr="005658BF" w:rsidRDefault="005658BF" w:rsidP="005658BF">
            <w:pPr>
              <w:spacing w:after="0" w:line="240" w:lineRule="auto"/>
              <w:jc w:val="right"/>
              <w:rPr>
                <w:rFonts w:ascii="Aptos Narrow" w:eastAsia="Times New Roman" w:hAnsi="Aptos Narrow" w:cs="Times New Roman"/>
                <w:color w:val="000000"/>
                <w:lang w:val="sv-SE" w:eastAsia="sv-SE"/>
              </w:rPr>
            </w:pPr>
            <w:r w:rsidRPr="005658BF">
              <w:rPr>
                <w:rFonts w:ascii="Aptos Narrow" w:eastAsia="Times New Roman" w:hAnsi="Aptos Narrow" w:cs="Times New Roman"/>
                <w:color w:val="000000"/>
                <w:lang w:val="sv-SE" w:eastAsia="sv-SE"/>
              </w:rPr>
              <w:t>1,770933</w:t>
            </w:r>
          </w:p>
        </w:tc>
        <w:tc>
          <w:tcPr>
            <w:tcW w:w="978" w:type="dxa"/>
            <w:tcBorders>
              <w:top w:val="nil"/>
              <w:left w:val="nil"/>
              <w:bottom w:val="nil"/>
              <w:right w:val="nil"/>
            </w:tcBorders>
            <w:noWrap/>
            <w:vAlign w:val="bottom"/>
            <w:hideMark/>
          </w:tcPr>
          <w:p w14:paraId="03936A76" w14:textId="77777777" w:rsidR="005658BF" w:rsidRPr="005658BF" w:rsidRDefault="005658BF" w:rsidP="005658BF">
            <w:pPr>
              <w:spacing w:after="0" w:line="240" w:lineRule="auto"/>
              <w:jc w:val="right"/>
              <w:rPr>
                <w:rFonts w:ascii="Aptos Narrow" w:eastAsia="Times New Roman" w:hAnsi="Aptos Narrow" w:cs="Times New Roman"/>
                <w:color w:val="000000"/>
                <w:lang w:val="sv-SE" w:eastAsia="sv-SE"/>
              </w:rPr>
            </w:pPr>
          </w:p>
        </w:tc>
      </w:tr>
      <w:tr w:rsidR="005658BF" w:rsidRPr="005658BF" w14:paraId="6F094F68" w14:textId="77777777" w:rsidTr="00517F52">
        <w:trPr>
          <w:trHeight w:val="290"/>
        </w:trPr>
        <w:tc>
          <w:tcPr>
            <w:tcW w:w="2610" w:type="dxa"/>
            <w:tcBorders>
              <w:top w:val="nil"/>
              <w:left w:val="nil"/>
              <w:bottom w:val="nil"/>
              <w:right w:val="nil"/>
            </w:tcBorders>
            <w:noWrap/>
            <w:vAlign w:val="bottom"/>
            <w:hideMark/>
          </w:tcPr>
          <w:p w14:paraId="322B7015" w14:textId="6143F647" w:rsidR="005658BF" w:rsidRPr="00EF29E6" w:rsidRDefault="005658BF" w:rsidP="005658BF">
            <w:pPr>
              <w:spacing w:after="0" w:line="240" w:lineRule="auto"/>
              <w:rPr>
                <w:rFonts w:ascii="Aptos Narrow" w:eastAsia="Times New Roman" w:hAnsi="Aptos Narrow" w:cs="Times New Roman"/>
                <w:color w:val="000000"/>
                <w:lang w:eastAsia="sv-SE"/>
              </w:rPr>
            </w:pPr>
            <w:r w:rsidRPr="00EF29E6">
              <w:rPr>
                <w:rFonts w:ascii="Aptos Narrow" w:eastAsia="Times New Roman" w:hAnsi="Aptos Narrow" w:cs="Times New Roman"/>
                <w:color w:val="000000"/>
                <w:lang w:eastAsia="sv-SE"/>
              </w:rPr>
              <w:lastRenderedPageBreak/>
              <w:t>P(T&lt;=t) t</w:t>
            </w:r>
            <w:r w:rsidR="00EF29E6" w:rsidRPr="00EF29E6">
              <w:rPr>
                <w:rFonts w:ascii="Aptos Narrow" w:eastAsia="Times New Roman" w:hAnsi="Aptos Narrow" w:cs="Times New Roman"/>
                <w:color w:val="000000"/>
                <w:lang w:eastAsia="sv-SE"/>
              </w:rPr>
              <w:t>wo-tail</w:t>
            </w:r>
            <w:r w:rsidR="00EF29E6">
              <w:rPr>
                <w:rFonts w:ascii="Aptos Narrow" w:eastAsia="Times New Roman" w:hAnsi="Aptos Narrow" w:cs="Times New Roman"/>
                <w:color w:val="000000"/>
                <w:lang w:eastAsia="sv-SE"/>
              </w:rPr>
              <w:t>ed</w:t>
            </w:r>
          </w:p>
        </w:tc>
        <w:tc>
          <w:tcPr>
            <w:tcW w:w="978" w:type="dxa"/>
            <w:tcBorders>
              <w:top w:val="nil"/>
              <w:left w:val="nil"/>
              <w:bottom w:val="nil"/>
              <w:right w:val="nil"/>
            </w:tcBorders>
            <w:noWrap/>
            <w:vAlign w:val="bottom"/>
            <w:hideMark/>
          </w:tcPr>
          <w:p w14:paraId="47779744" w14:textId="77777777" w:rsidR="005658BF" w:rsidRPr="005658BF" w:rsidRDefault="005658BF" w:rsidP="005658BF">
            <w:pPr>
              <w:spacing w:after="0" w:line="240" w:lineRule="auto"/>
              <w:jc w:val="right"/>
              <w:rPr>
                <w:rFonts w:ascii="Aptos Narrow" w:eastAsia="Times New Roman" w:hAnsi="Aptos Narrow" w:cs="Times New Roman"/>
                <w:color w:val="000000"/>
                <w:lang w:val="sv-SE" w:eastAsia="sv-SE"/>
              </w:rPr>
            </w:pPr>
            <w:r w:rsidRPr="005658BF">
              <w:rPr>
                <w:rFonts w:ascii="Aptos Narrow" w:eastAsia="Times New Roman" w:hAnsi="Aptos Narrow" w:cs="Times New Roman"/>
                <w:color w:val="000000"/>
                <w:lang w:val="sv-SE" w:eastAsia="sv-SE"/>
              </w:rPr>
              <w:t>1,03E-05</w:t>
            </w:r>
          </w:p>
        </w:tc>
        <w:tc>
          <w:tcPr>
            <w:tcW w:w="978" w:type="dxa"/>
            <w:tcBorders>
              <w:top w:val="nil"/>
              <w:left w:val="nil"/>
              <w:bottom w:val="nil"/>
              <w:right w:val="nil"/>
            </w:tcBorders>
            <w:noWrap/>
            <w:vAlign w:val="bottom"/>
            <w:hideMark/>
          </w:tcPr>
          <w:p w14:paraId="51F2EA09" w14:textId="77777777" w:rsidR="005658BF" w:rsidRPr="005658BF" w:rsidRDefault="005658BF" w:rsidP="005658BF">
            <w:pPr>
              <w:spacing w:after="0" w:line="240" w:lineRule="auto"/>
              <w:jc w:val="right"/>
              <w:rPr>
                <w:rFonts w:ascii="Aptos Narrow" w:eastAsia="Times New Roman" w:hAnsi="Aptos Narrow" w:cs="Times New Roman"/>
                <w:color w:val="000000"/>
                <w:lang w:val="sv-SE" w:eastAsia="sv-SE"/>
              </w:rPr>
            </w:pPr>
          </w:p>
        </w:tc>
      </w:tr>
      <w:tr w:rsidR="005658BF" w:rsidRPr="005658BF" w14:paraId="5184A2F7" w14:textId="77777777" w:rsidTr="00517F52">
        <w:trPr>
          <w:trHeight w:val="300"/>
        </w:trPr>
        <w:tc>
          <w:tcPr>
            <w:tcW w:w="2610" w:type="dxa"/>
            <w:tcBorders>
              <w:top w:val="nil"/>
              <w:left w:val="nil"/>
              <w:bottom w:val="single" w:sz="8" w:space="0" w:color="auto"/>
              <w:right w:val="nil"/>
            </w:tcBorders>
            <w:noWrap/>
            <w:vAlign w:val="bottom"/>
            <w:hideMark/>
          </w:tcPr>
          <w:p w14:paraId="53383773" w14:textId="74339BFC" w:rsidR="005658BF" w:rsidRPr="005658BF" w:rsidRDefault="005658BF" w:rsidP="005658BF">
            <w:pPr>
              <w:spacing w:after="0" w:line="240" w:lineRule="auto"/>
              <w:rPr>
                <w:rFonts w:ascii="Aptos Narrow" w:eastAsia="Times New Roman" w:hAnsi="Aptos Narrow" w:cs="Times New Roman"/>
                <w:color w:val="000000"/>
                <w:lang w:val="sv-SE" w:eastAsia="sv-SE"/>
              </w:rPr>
            </w:pPr>
            <w:r w:rsidRPr="005658BF">
              <w:rPr>
                <w:rFonts w:ascii="Aptos Narrow" w:eastAsia="Times New Roman" w:hAnsi="Aptos Narrow" w:cs="Times New Roman"/>
                <w:color w:val="000000"/>
                <w:lang w:val="sv-SE" w:eastAsia="sv-SE"/>
              </w:rPr>
              <w:t>t-</w:t>
            </w:r>
            <w:r w:rsidR="00235286">
              <w:rPr>
                <w:rFonts w:ascii="Aptos Narrow" w:eastAsia="Times New Roman" w:hAnsi="Aptos Narrow" w:cs="Times New Roman"/>
                <w:color w:val="000000"/>
                <w:lang w:val="sv-SE" w:eastAsia="sv-SE"/>
              </w:rPr>
              <w:t>c</w:t>
            </w:r>
            <w:r w:rsidRPr="005658BF">
              <w:rPr>
                <w:rFonts w:ascii="Aptos Narrow" w:eastAsia="Times New Roman" w:hAnsi="Aptos Narrow" w:cs="Times New Roman"/>
                <w:color w:val="000000"/>
                <w:lang w:val="sv-SE" w:eastAsia="sv-SE"/>
              </w:rPr>
              <w:t>riti</w:t>
            </w:r>
            <w:r w:rsidR="00235286">
              <w:rPr>
                <w:rFonts w:ascii="Aptos Narrow" w:eastAsia="Times New Roman" w:hAnsi="Aptos Narrow" w:cs="Times New Roman"/>
                <w:color w:val="000000"/>
                <w:lang w:val="sv-SE" w:eastAsia="sv-SE"/>
              </w:rPr>
              <w:t>cal</w:t>
            </w:r>
            <w:r w:rsidRPr="005658BF">
              <w:rPr>
                <w:rFonts w:ascii="Aptos Narrow" w:eastAsia="Times New Roman" w:hAnsi="Aptos Narrow" w:cs="Times New Roman"/>
                <w:color w:val="000000"/>
                <w:lang w:val="sv-SE" w:eastAsia="sv-SE"/>
              </w:rPr>
              <w:t xml:space="preserve"> t</w:t>
            </w:r>
            <w:r w:rsidR="00EF29E6">
              <w:rPr>
                <w:rFonts w:ascii="Aptos Narrow" w:eastAsia="Times New Roman" w:hAnsi="Aptos Narrow" w:cs="Times New Roman"/>
                <w:color w:val="000000"/>
                <w:lang w:val="sv-SE" w:eastAsia="sv-SE"/>
              </w:rPr>
              <w:t>wo-tailed</w:t>
            </w:r>
          </w:p>
        </w:tc>
        <w:tc>
          <w:tcPr>
            <w:tcW w:w="978" w:type="dxa"/>
            <w:tcBorders>
              <w:top w:val="nil"/>
              <w:left w:val="nil"/>
              <w:bottom w:val="single" w:sz="8" w:space="0" w:color="auto"/>
              <w:right w:val="nil"/>
            </w:tcBorders>
            <w:noWrap/>
            <w:vAlign w:val="bottom"/>
            <w:hideMark/>
          </w:tcPr>
          <w:p w14:paraId="2EB41B8F" w14:textId="77777777" w:rsidR="005658BF" w:rsidRPr="005658BF" w:rsidRDefault="005658BF" w:rsidP="005658BF">
            <w:pPr>
              <w:spacing w:after="0" w:line="240" w:lineRule="auto"/>
              <w:jc w:val="right"/>
              <w:rPr>
                <w:rFonts w:ascii="Aptos Narrow" w:eastAsia="Times New Roman" w:hAnsi="Aptos Narrow" w:cs="Times New Roman"/>
                <w:color w:val="000000"/>
                <w:lang w:val="sv-SE" w:eastAsia="sv-SE"/>
              </w:rPr>
            </w:pPr>
            <w:r w:rsidRPr="005658BF">
              <w:rPr>
                <w:rFonts w:ascii="Aptos Narrow" w:eastAsia="Times New Roman" w:hAnsi="Aptos Narrow" w:cs="Times New Roman"/>
                <w:color w:val="000000"/>
                <w:lang w:val="sv-SE" w:eastAsia="sv-SE"/>
              </w:rPr>
              <w:t>2,160369</w:t>
            </w:r>
          </w:p>
        </w:tc>
        <w:tc>
          <w:tcPr>
            <w:tcW w:w="978" w:type="dxa"/>
            <w:tcBorders>
              <w:top w:val="nil"/>
              <w:left w:val="nil"/>
              <w:bottom w:val="single" w:sz="8" w:space="0" w:color="auto"/>
              <w:right w:val="nil"/>
            </w:tcBorders>
            <w:noWrap/>
            <w:vAlign w:val="bottom"/>
            <w:hideMark/>
          </w:tcPr>
          <w:p w14:paraId="4E91FC30" w14:textId="77777777" w:rsidR="005658BF" w:rsidRPr="005658BF" w:rsidRDefault="005658BF" w:rsidP="005658BF">
            <w:pPr>
              <w:spacing w:after="0" w:line="240" w:lineRule="auto"/>
              <w:rPr>
                <w:rFonts w:ascii="Aptos Narrow" w:eastAsia="Times New Roman" w:hAnsi="Aptos Narrow" w:cs="Times New Roman"/>
                <w:color w:val="000000"/>
                <w:lang w:val="sv-SE" w:eastAsia="sv-SE"/>
              </w:rPr>
            </w:pPr>
            <w:r w:rsidRPr="005658BF">
              <w:rPr>
                <w:rFonts w:ascii="Aptos Narrow" w:eastAsia="Times New Roman" w:hAnsi="Aptos Narrow" w:cs="Times New Roman"/>
                <w:color w:val="000000"/>
                <w:lang w:val="sv-SE" w:eastAsia="sv-SE"/>
              </w:rPr>
              <w:t> </w:t>
            </w:r>
          </w:p>
        </w:tc>
      </w:tr>
    </w:tbl>
    <w:p w14:paraId="41421D02" w14:textId="77777777" w:rsidR="00360FDB" w:rsidRDefault="00360FDB" w:rsidP="00360FDB">
      <w:pPr>
        <w:pStyle w:val="Fotnotstext"/>
        <w:rPr>
          <w:rFonts w:ascii="Times New Roman" w:eastAsia="Times New Roman" w:hAnsi="Times New Roman"/>
          <w:sz w:val="24"/>
          <w:szCs w:val="24"/>
          <w:lang w:val="en-GB"/>
        </w:rPr>
      </w:pPr>
    </w:p>
    <w:p w14:paraId="0FCE3726" w14:textId="5E7BDAA1" w:rsidR="00360FDB" w:rsidRDefault="00517F52" w:rsidP="00480A4E">
      <w:pPr>
        <w:pStyle w:val="Fotnotstext"/>
        <w:spacing w:line="360" w:lineRule="auto"/>
        <w:jc w:val="both"/>
        <w:rPr>
          <w:rFonts w:ascii="Times New Roman" w:hAnsi="Times New Roman"/>
          <w:sz w:val="24"/>
          <w:szCs w:val="24"/>
          <w:lang w:val="en-GB"/>
        </w:rPr>
      </w:pPr>
      <w:r w:rsidRPr="009B4560">
        <w:rPr>
          <w:rFonts w:ascii="Times New Roman" w:hAnsi="Times New Roman"/>
          <w:sz w:val="24"/>
          <w:szCs w:val="24"/>
          <w:lang w:val="en-GB"/>
        </w:rPr>
        <w:t>In table 6</w:t>
      </w:r>
      <w:r w:rsidR="00855D48" w:rsidRPr="009B4560">
        <w:rPr>
          <w:rFonts w:ascii="Times New Roman" w:hAnsi="Times New Roman"/>
          <w:sz w:val="24"/>
          <w:szCs w:val="24"/>
          <w:lang w:val="en-GB"/>
        </w:rPr>
        <w:t>,</w:t>
      </w:r>
      <w:r w:rsidR="00855D48">
        <w:rPr>
          <w:rFonts w:ascii="Times New Roman" w:hAnsi="Times New Roman"/>
          <w:sz w:val="24"/>
          <w:szCs w:val="24"/>
          <w:lang w:val="en-GB"/>
        </w:rPr>
        <w:t xml:space="preserve"> a</w:t>
      </w:r>
      <w:r w:rsidR="00F8422E" w:rsidRPr="00F8422E">
        <w:rPr>
          <w:rFonts w:ascii="Times New Roman" w:hAnsi="Times New Roman"/>
          <w:sz w:val="24"/>
          <w:szCs w:val="24"/>
          <w:lang w:val="en-GB"/>
        </w:rPr>
        <w:t xml:space="preserve"> paired-samples </w:t>
      </w:r>
      <w:r w:rsidR="00F8422E" w:rsidRPr="00F8422E">
        <w:rPr>
          <w:rFonts w:ascii="Times New Roman" w:hAnsi="Times New Roman"/>
          <w:i/>
          <w:iCs/>
          <w:sz w:val="24"/>
          <w:szCs w:val="24"/>
          <w:lang w:val="en-GB"/>
        </w:rPr>
        <w:t>t</w:t>
      </w:r>
      <w:r w:rsidR="00F8422E" w:rsidRPr="00F8422E">
        <w:rPr>
          <w:rFonts w:ascii="Times New Roman" w:hAnsi="Times New Roman"/>
          <w:sz w:val="24"/>
          <w:szCs w:val="24"/>
          <w:lang w:val="en-GB"/>
        </w:rPr>
        <w:t xml:space="preserve">-test was conducted to examine whether post-secondary participation changed between the first and third years </w:t>
      </w:r>
      <w:r w:rsidR="00FF6544">
        <w:rPr>
          <w:rFonts w:ascii="Times New Roman" w:hAnsi="Times New Roman"/>
          <w:sz w:val="24"/>
          <w:szCs w:val="24"/>
          <w:lang w:val="en-GB"/>
        </w:rPr>
        <w:t xml:space="preserve">after </w:t>
      </w:r>
      <w:r w:rsidR="00F8422E" w:rsidRPr="00F8422E">
        <w:rPr>
          <w:rFonts w:ascii="Times New Roman" w:hAnsi="Times New Roman"/>
          <w:sz w:val="24"/>
          <w:szCs w:val="24"/>
          <w:lang w:val="en-GB"/>
        </w:rPr>
        <w:t xml:space="preserve">secondary education. The analysis compared 14 matched observations representing female and male students across seven disability categories. Mean participation increased from 39.00% in the first year to 54.93% in the third year, representing an increase of 15.93 percentage points. The paired-samples </w:t>
      </w:r>
      <w:r w:rsidR="00F8422E" w:rsidRPr="00F8422E">
        <w:rPr>
          <w:rFonts w:ascii="Times New Roman" w:hAnsi="Times New Roman"/>
          <w:i/>
          <w:iCs/>
          <w:sz w:val="24"/>
          <w:szCs w:val="24"/>
          <w:lang w:val="en-GB"/>
        </w:rPr>
        <w:t>t</w:t>
      </w:r>
      <w:r w:rsidR="00F8422E" w:rsidRPr="00F8422E">
        <w:rPr>
          <w:rFonts w:ascii="Times New Roman" w:hAnsi="Times New Roman"/>
          <w:sz w:val="24"/>
          <w:szCs w:val="24"/>
          <w:lang w:val="en-GB"/>
        </w:rPr>
        <w:t xml:space="preserve">-test indicated that this increase was statistically significant, </w:t>
      </w:r>
      <w:r w:rsidR="00F8422E" w:rsidRPr="00F8422E">
        <w:rPr>
          <w:rFonts w:ascii="Times New Roman" w:hAnsi="Times New Roman"/>
          <w:i/>
          <w:iCs/>
          <w:sz w:val="24"/>
          <w:szCs w:val="24"/>
          <w:lang w:val="en-GB"/>
        </w:rPr>
        <w:t>t</w:t>
      </w:r>
      <w:r w:rsidR="00F8422E" w:rsidRPr="00F8422E">
        <w:rPr>
          <w:rFonts w:ascii="Times New Roman" w:hAnsi="Times New Roman"/>
          <w:sz w:val="24"/>
          <w:szCs w:val="24"/>
          <w:lang w:val="en-GB"/>
        </w:rPr>
        <w:t xml:space="preserve">(13) = −6.93, </w:t>
      </w:r>
      <w:r w:rsidR="00F8422E" w:rsidRPr="00F8422E">
        <w:rPr>
          <w:rFonts w:ascii="Times New Roman" w:hAnsi="Times New Roman"/>
          <w:i/>
          <w:iCs/>
          <w:sz w:val="24"/>
          <w:szCs w:val="24"/>
          <w:lang w:val="en-GB"/>
        </w:rPr>
        <w:t>p</w:t>
      </w:r>
      <w:r w:rsidR="00F8422E" w:rsidRPr="00F8422E">
        <w:rPr>
          <w:rFonts w:ascii="Times New Roman" w:hAnsi="Times New Roman"/>
          <w:sz w:val="24"/>
          <w:szCs w:val="24"/>
          <w:lang w:val="en-GB"/>
        </w:rPr>
        <w:t xml:space="preserve"> &lt; .001 (two-tailed). Therefore, the null hypothesis that there was no significant change in participation between the first and third years was rejected. The results indicate a statistically significant increase in post-secondary participation over the period examined.</w:t>
      </w:r>
    </w:p>
    <w:p w14:paraId="3B01B085" w14:textId="77777777" w:rsidR="00A41E14" w:rsidRDefault="00A41E14" w:rsidP="00480A4E">
      <w:pPr>
        <w:pStyle w:val="Fotnotstext"/>
        <w:spacing w:line="360" w:lineRule="auto"/>
        <w:jc w:val="both"/>
        <w:rPr>
          <w:rFonts w:ascii="Times New Roman" w:hAnsi="Times New Roman"/>
          <w:sz w:val="24"/>
          <w:szCs w:val="24"/>
          <w:lang w:val="en-GB"/>
        </w:rPr>
      </w:pPr>
    </w:p>
    <w:p w14:paraId="6EF680F6" w14:textId="06E8813C" w:rsidR="00B10221" w:rsidRPr="00A41E14" w:rsidRDefault="00A41E14" w:rsidP="00480A4E">
      <w:pPr>
        <w:pStyle w:val="Fotnotstext"/>
        <w:spacing w:line="360" w:lineRule="auto"/>
        <w:jc w:val="both"/>
        <w:rPr>
          <w:rFonts w:ascii="Times New Roman" w:hAnsi="Times New Roman"/>
          <w:sz w:val="24"/>
          <w:szCs w:val="24"/>
          <w:lang w:val="en-GB"/>
        </w:rPr>
      </w:pPr>
      <w:r w:rsidRPr="00A41E14">
        <w:rPr>
          <w:rFonts w:ascii="Times New Roman" w:hAnsi="Times New Roman"/>
          <w:sz w:val="24"/>
          <w:szCs w:val="24"/>
          <w:lang w:val="en-GB"/>
        </w:rPr>
        <w:t>There was a statistically significant difference in post-secondary participation between the first and third years following completion of secondary education.</w:t>
      </w:r>
      <w:r>
        <w:rPr>
          <w:rFonts w:ascii="Times New Roman" w:hAnsi="Times New Roman"/>
          <w:sz w:val="24"/>
          <w:szCs w:val="24"/>
          <w:lang w:val="en-GB"/>
        </w:rPr>
        <w:t xml:space="preserve"> </w:t>
      </w:r>
      <w:r w:rsidRPr="00A41E14">
        <w:rPr>
          <w:rFonts w:ascii="Times New Roman" w:hAnsi="Times New Roman"/>
          <w:sz w:val="24"/>
          <w:szCs w:val="24"/>
          <w:lang w:val="en-GB"/>
        </w:rPr>
        <w:t>Because the mean increased from 39.0% to 54.93%, the direction of the difference indicates an increase in</w:t>
      </w:r>
      <w:r w:rsidRPr="00A41E14">
        <w:rPr>
          <w:rFonts w:ascii="Times New Roman" w:hAnsi="Times New Roman"/>
          <w:b/>
          <w:bCs/>
          <w:sz w:val="24"/>
          <w:szCs w:val="24"/>
          <w:lang w:val="en-GB"/>
        </w:rPr>
        <w:t xml:space="preserve"> </w:t>
      </w:r>
      <w:r w:rsidRPr="00A41E14">
        <w:rPr>
          <w:rFonts w:ascii="Times New Roman" w:hAnsi="Times New Roman"/>
          <w:sz w:val="24"/>
          <w:szCs w:val="24"/>
          <w:lang w:val="en-GB"/>
        </w:rPr>
        <w:t>participation.</w:t>
      </w:r>
      <w:r>
        <w:rPr>
          <w:rFonts w:ascii="Times New Roman" w:hAnsi="Times New Roman"/>
          <w:sz w:val="24"/>
          <w:szCs w:val="24"/>
          <w:lang w:val="en-GB"/>
        </w:rPr>
        <w:t xml:space="preserve"> </w:t>
      </w:r>
      <w:r w:rsidRPr="00A41E14">
        <w:rPr>
          <w:rFonts w:ascii="Times New Roman" w:hAnsi="Times New Roman"/>
          <w:sz w:val="24"/>
          <w:szCs w:val="24"/>
          <w:lang w:val="en-GB"/>
        </w:rPr>
        <w:t xml:space="preserve">Importantly, the hypothesis test establishes that there is evidence of a difference; the </w:t>
      </w:r>
      <w:r w:rsidRPr="00F65153">
        <w:rPr>
          <w:rFonts w:ascii="Times New Roman" w:hAnsi="Times New Roman"/>
          <w:sz w:val="24"/>
          <w:szCs w:val="24"/>
          <w:lang w:val="en-GB"/>
        </w:rPr>
        <w:t>descriptive means</w:t>
      </w:r>
      <w:r w:rsidRPr="00A41E14">
        <w:rPr>
          <w:rFonts w:ascii="Times New Roman" w:hAnsi="Times New Roman"/>
          <w:sz w:val="24"/>
          <w:szCs w:val="24"/>
          <w:lang w:val="en-GB"/>
        </w:rPr>
        <w:t xml:space="preserve"> establish that the difference is an increase.</w:t>
      </w:r>
      <w:r w:rsidR="00C375E1">
        <w:rPr>
          <w:rFonts w:ascii="Times New Roman" w:hAnsi="Times New Roman"/>
          <w:sz w:val="24"/>
          <w:szCs w:val="24"/>
          <w:lang w:val="en-GB"/>
        </w:rPr>
        <w:t xml:space="preserve"> The m</w:t>
      </w:r>
      <w:r w:rsidR="00B10221" w:rsidRPr="00B10221">
        <w:rPr>
          <w:rFonts w:ascii="Times New Roman" w:hAnsi="Times New Roman"/>
          <w:sz w:val="24"/>
          <w:szCs w:val="24"/>
          <w:lang w:val="en-GB"/>
        </w:rPr>
        <w:t>ean participation</w:t>
      </w:r>
      <w:r w:rsidR="006D4645">
        <w:rPr>
          <w:rFonts w:ascii="Times New Roman" w:hAnsi="Times New Roman"/>
          <w:sz w:val="24"/>
          <w:szCs w:val="24"/>
          <w:lang w:val="en-GB"/>
        </w:rPr>
        <w:t xml:space="preserve"> as </w:t>
      </w:r>
      <w:r w:rsidR="007F2765">
        <w:rPr>
          <w:rFonts w:ascii="Times New Roman" w:hAnsi="Times New Roman"/>
          <w:sz w:val="24"/>
          <w:szCs w:val="24"/>
          <w:lang w:val="en-GB"/>
        </w:rPr>
        <w:t xml:space="preserve">well </w:t>
      </w:r>
      <w:r w:rsidR="007F2765" w:rsidRPr="00B10221">
        <w:rPr>
          <w:rFonts w:ascii="Times New Roman" w:hAnsi="Times New Roman"/>
          <w:sz w:val="24"/>
          <w:szCs w:val="24"/>
          <w:lang w:val="en-GB"/>
        </w:rPr>
        <w:t>across</w:t>
      </w:r>
      <w:r w:rsidR="00B10221" w:rsidRPr="00B10221">
        <w:rPr>
          <w:rFonts w:ascii="Times New Roman" w:hAnsi="Times New Roman"/>
          <w:sz w:val="24"/>
          <w:szCs w:val="24"/>
          <w:lang w:val="en-GB"/>
        </w:rPr>
        <w:t xml:space="preserve"> the matched disability-type and gender categories increased significantly between the first and third years</w:t>
      </w:r>
      <w:r w:rsidR="00BC12D3">
        <w:rPr>
          <w:rFonts w:ascii="Times New Roman" w:hAnsi="Times New Roman"/>
          <w:sz w:val="24"/>
          <w:szCs w:val="24"/>
          <w:lang w:val="en-GB"/>
        </w:rPr>
        <w:t>.</w:t>
      </w:r>
    </w:p>
    <w:p w14:paraId="34C1014B" w14:textId="77777777" w:rsidR="00A41E14" w:rsidRDefault="00A41E14" w:rsidP="00360FDB">
      <w:pPr>
        <w:pStyle w:val="Fotnotstext"/>
        <w:rPr>
          <w:rFonts w:ascii="Times New Roman" w:hAnsi="Times New Roman"/>
          <w:sz w:val="24"/>
          <w:szCs w:val="24"/>
          <w:lang w:val="en-GB"/>
        </w:rPr>
      </w:pPr>
    </w:p>
    <w:p w14:paraId="152DBA9C" w14:textId="77777777" w:rsidR="009B0F30" w:rsidRDefault="009B0F30" w:rsidP="00394C9E">
      <w:pPr>
        <w:rPr>
          <w:rFonts w:ascii="Times New Roman" w:eastAsia="Times New Roman" w:hAnsi="Times New Roman" w:cs="Times New Roman"/>
          <w:b/>
          <w:bCs/>
          <w:sz w:val="24"/>
          <w:szCs w:val="24"/>
          <w:lang w:eastAsia="sv-SE"/>
        </w:rPr>
      </w:pPr>
    </w:p>
    <w:p w14:paraId="61E3A2A3" w14:textId="40EB1266" w:rsidR="00394C9E" w:rsidRPr="00295011" w:rsidRDefault="00394C9E" w:rsidP="00394C9E">
      <w:pPr>
        <w:rPr>
          <w:rFonts w:ascii="Times New Roman" w:eastAsia="Times New Roman" w:hAnsi="Times New Roman" w:cs="Times New Roman"/>
          <w:b/>
          <w:bCs/>
          <w:sz w:val="24"/>
          <w:szCs w:val="24"/>
          <w:lang w:eastAsia="sv-SE"/>
        </w:rPr>
      </w:pPr>
      <w:r w:rsidRPr="00295011">
        <w:rPr>
          <w:rFonts w:ascii="Times New Roman" w:eastAsia="Times New Roman" w:hAnsi="Times New Roman" w:cs="Times New Roman"/>
          <w:b/>
          <w:bCs/>
          <w:sz w:val="24"/>
          <w:szCs w:val="24"/>
          <w:lang w:eastAsia="sv-SE"/>
        </w:rPr>
        <w:t>Discussion</w:t>
      </w:r>
    </w:p>
    <w:p w14:paraId="72027914" w14:textId="77777777" w:rsidR="008415BA" w:rsidRPr="00295011" w:rsidRDefault="00394C9E" w:rsidP="00394C9E">
      <w:pPr>
        <w:rPr>
          <w:rFonts w:ascii="Times New Roman" w:eastAsia="Times New Roman" w:hAnsi="Times New Roman" w:cs="Times New Roman"/>
          <w:b/>
          <w:bCs/>
          <w:sz w:val="24"/>
          <w:szCs w:val="24"/>
          <w:lang w:eastAsia="sv-SE"/>
        </w:rPr>
      </w:pPr>
      <w:r w:rsidRPr="00295011">
        <w:rPr>
          <w:rFonts w:ascii="Times New Roman" w:eastAsia="Times New Roman" w:hAnsi="Times New Roman" w:cs="Times New Roman"/>
          <w:b/>
          <w:bCs/>
          <w:sz w:val="24"/>
          <w:szCs w:val="24"/>
          <w:lang w:eastAsia="sv-SE"/>
        </w:rPr>
        <w:t>Disability, Educational Participation and Unequal Opportunities</w:t>
      </w:r>
    </w:p>
    <w:p w14:paraId="21A96EF9" w14:textId="77777777" w:rsidR="00295011" w:rsidRPr="00295011" w:rsidRDefault="00295011" w:rsidP="00295011">
      <w:pPr>
        <w:pStyle w:val="isselectedend"/>
        <w:spacing w:line="360" w:lineRule="auto"/>
        <w:jc w:val="both"/>
        <w:rPr>
          <w:lang w:val="en-GB"/>
        </w:rPr>
      </w:pPr>
      <w:r w:rsidRPr="00295011">
        <w:rPr>
          <w:lang w:val="en-GB"/>
        </w:rPr>
        <w:t>The findings show a consistent descriptive gap in post-secondary participation between students with and without disabilities from 2018 to 2020. Although participation increased across all groups, the gap remained, suggesting that rising overall participation did not necessarily remove unequal educational opportunities.</w:t>
      </w:r>
    </w:p>
    <w:p w14:paraId="7C1311E8" w14:textId="2B0492D3" w:rsidR="00295011" w:rsidRPr="00295011" w:rsidRDefault="008928D5" w:rsidP="00295011">
      <w:pPr>
        <w:pStyle w:val="isselectedend"/>
        <w:spacing w:line="360" w:lineRule="auto"/>
        <w:jc w:val="both"/>
        <w:rPr>
          <w:lang w:val="en-GB"/>
        </w:rPr>
      </w:pPr>
      <w:r>
        <w:rPr>
          <w:lang w:val="en-GB"/>
        </w:rPr>
        <w:t xml:space="preserve">Similarly, this </w:t>
      </w:r>
      <w:r w:rsidR="0003266E">
        <w:rPr>
          <w:lang w:val="en-GB"/>
        </w:rPr>
        <w:t>pattern</w:t>
      </w:r>
      <w:r w:rsidR="00295011" w:rsidRPr="00295011">
        <w:rPr>
          <w:lang w:val="en-GB"/>
        </w:rPr>
        <w:t xml:space="preserve"> is relevant to the </w:t>
      </w:r>
      <w:r>
        <w:rPr>
          <w:lang w:val="en-GB"/>
        </w:rPr>
        <w:t>c</w:t>
      </w:r>
      <w:r w:rsidR="00295011" w:rsidRPr="00295011">
        <w:rPr>
          <w:lang w:val="en-GB"/>
        </w:rPr>
        <w:t xml:space="preserve">apability </w:t>
      </w:r>
      <w:r>
        <w:rPr>
          <w:lang w:val="en-GB"/>
        </w:rPr>
        <w:t>a</w:t>
      </w:r>
      <w:r w:rsidR="00295011" w:rsidRPr="00295011">
        <w:rPr>
          <w:lang w:val="en-GB"/>
        </w:rPr>
        <w:t>pproach, which distinguishes formal access from substantive opportunities to achieve valued outcomes. Riddle (2020) emphasises real opportunities rather than access to resources alone, while Jandhyala (2021), drawing on Nussbaum, identifies education as a central capability that should be available to all. The continued participation gap may therefore indicate that formal educational opportunities are not experienced equally by students with disabilities.</w:t>
      </w:r>
    </w:p>
    <w:p w14:paraId="02A2EE1E" w14:textId="77777777" w:rsidR="00295011" w:rsidRPr="00295011" w:rsidRDefault="00295011" w:rsidP="0003266E">
      <w:pPr>
        <w:pStyle w:val="isselectedend"/>
        <w:spacing w:line="360" w:lineRule="auto"/>
        <w:jc w:val="both"/>
        <w:rPr>
          <w:lang w:val="en-GB"/>
        </w:rPr>
      </w:pPr>
      <w:r w:rsidRPr="00295011">
        <w:rPr>
          <w:lang w:val="en-GB"/>
        </w:rPr>
        <w:lastRenderedPageBreak/>
        <w:t>However, the findings do not demonstrate that disability itself causes lower participation. As a non-experimental study, the research cannot establish causality or explain the mechanisms underlying the observed differences. Participation may instead reflect interacting educational, social, and individual conditions (Moriña &amp; Carnerero, 2020). Educational initiatives can support equitable participation (Stefánsdóttir &amp; Björnsdóttir, 2016), while disability is also shaped by the interaction between impairment and societal barriers (Lid, 2026). The findings should therefore be interpreted as evidence of unequal participation patterns rather than individual deficits.</w:t>
      </w:r>
    </w:p>
    <w:p w14:paraId="3F9599B0" w14:textId="6E0B42D3" w:rsidR="00295011" w:rsidRPr="00295011" w:rsidRDefault="00F73005" w:rsidP="0076446A">
      <w:pPr>
        <w:pStyle w:val="Normalwebb"/>
        <w:spacing w:line="360" w:lineRule="auto"/>
        <w:jc w:val="both"/>
        <w:rPr>
          <w:lang w:val="en-GB"/>
        </w:rPr>
      </w:pPr>
      <w:r>
        <w:rPr>
          <w:lang w:val="en-GB"/>
        </w:rPr>
        <w:t xml:space="preserve">More so, </w:t>
      </w:r>
      <w:r w:rsidR="00F9605C">
        <w:rPr>
          <w:lang w:val="en-GB"/>
        </w:rPr>
        <w:t>p</w:t>
      </w:r>
      <w:r w:rsidR="00295011" w:rsidRPr="00295011">
        <w:rPr>
          <w:lang w:val="en-GB"/>
        </w:rPr>
        <w:t>articipation is an important, but incomplete, indicator of educational equality. Hart and Brando (2018) argue that educational quality should include participation, empowerment, and equitable opportunities, while Pandey (2021) highlights the wider employment and social benefits of higher education. However, increased enrolment does not necessarily indicate successful inclusion, as disabled students may experience lower completion rates despite increased participation (Kutscher &amp; Tuckwiller, 2019). Thus, participation statistics reveal important inequalities but cannot, on their own, establish whether educational opportunities are genuinely equitable.</w:t>
      </w:r>
    </w:p>
    <w:p w14:paraId="214149BD" w14:textId="6BF5FE66" w:rsidR="00A667F2" w:rsidRPr="00BE22A9" w:rsidRDefault="00DB447F" w:rsidP="00394C9E">
      <w:pPr>
        <w:rPr>
          <w:rFonts w:ascii="Times New Roman" w:eastAsia="Times New Roman" w:hAnsi="Times New Roman" w:cs="Times New Roman"/>
          <w:b/>
          <w:bCs/>
          <w:sz w:val="24"/>
          <w:szCs w:val="24"/>
          <w:lang w:eastAsia="sv-SE"/>
        </w:rPr>
      </w:pPr>
      <w:r w:rsidRPr="00BE22A9">
        <w:rPr>
          <w:rFonts w:ascii="Times New Roman" w:eastAsia="Times New Roman" w:hAnsi="Times New Roman" w:cs="Times New Roman"/>
          <w:b/>
          <w:bCs/>
          <w:sz w:val="24"/>
          <w:szCs w:val="24"/>
          <w:lang w:eastAsia="sv-SE"/>
        </w:rPr>
        <w:t>Participation Over the Three</w:t>
      </w:r>
      <w:r w:rsidR="00A667F2" w:rsidRPr="00BE22A9">
        <w:rPr>
          <w:rFonts w:ascii="Times New Roman" w:eastAsia="Times New Roman" w:hAnsi="Times New Roman" w:cs="Times New Roman"/>
          <w:b/>
          <w:bCs/>
          <w:sz w:val="24"/>
          <w:szCs w:val="24"/>
          <w:lang w:eastAsia="sv-SE"/>
        </w:rPr>
        <w:t xml:space="preserve"> </w:t>
      </w:r>
      <w:r w:rsidRPr="00BE22A9">
        <w:rPr>
          <w:rFonts w:ascii="Times New Roman" w:eastAsia="Times New Roman" w:hAnsi="Times New Roman" w:cs="Times New Roman"/>
          <w:b/>
          <w:bCs/>
          <w:sz w:val="24"/>
          <w:szCs w:val="24"/>
          <w:lang w:eastAsia="sv-SE"/>
        </w:rPr>
        <w:t>-Year Tr</w:t>
      </w:r>
      <w:r w:rsidR="00A667F2" w:rsidRPr="00BE22A9">
        <w:rPr>
          <w:rFonts w:ascii="Times New Roman" w:eastAsia="Times New Roman" w:hAnsi="Times New Roman" w:cs="Times New Roman"/>
          <w:b/>
          <w:bCs/>
          <w:sz w:val="24"/>
          <w:szCs w:val="24"/>
          <w:lang w:eastAsia="sv-SE"/>
        </w:rPr>
        <w:t>ansition</w:t>
      </w:r>
    </w:p>
    <w:p w14:paraId="0CEB64F8" w14:textId="11F16E8C" w:rsidR="00C81776" w:rsidRPr="00C81776" w:rsidRDefault="00C81776" w:rsidP="007038D4">
      <w:pPr>
        <w:pStyle w:val="isselectedend"/>
        <w:spacing w:line="360" w:lineRule="auto"/>
        <w:jc w:val="both"/>
        <w:rPr>
          <w:lang w:val="en-GB"/>
        </w:rPr>
      </w:pPr>
      <w:r w:rsidRPr="00C81776">
        <w:rPr>
          <w:lang w:val="en-GB"/>
        </w:rPr>
        <w:t xml:space="preserve">The analysis of participation during the first three years </w:t>
      </w:r>
      <w:r w:rsidR="00C44E0B">
        <w:rPr>
          <w:lang w:val="en-GB"/>
        </w:rPr>
        <w:t xml:space="preserve">after </w:t>
      </w:r>
      <w:r w:rsidRPr="00C81776">
        <w:rPr>
          <w:lang w:val="en-GB"/>
        </w:rPr>
        <w:t>secondary education indicated an upward descriptive trend. Mean participation increased from 9.00% (SD = 2.10) in the first year to 10.33% (SD = 2.25) in the second year and 11.83% (SD = 2.64) in the third year. However, the one-way ANOVA did not identify a statistically significant difference across the three years, F(2, 15) = 2.20, p = .145. Accordingly, the null hypothesis was not rejected.</w:t>
      </w:r>
    </w:p>
    <w:p w14:paraId="3D8D2ECC" w14:textId="4DF40A9D" w:rsidR="00C81776" w:rsidRPr="00C81776" w:rsidRDefault="00C81776" w:rsidP="007038D4">
      <w:pPr>
        <w:pStyle w:val="isselectedend"/>
        <w:spacing w:line="360" w:lineRule="auto"/>
        <w:jc w:val="both"/>
        <w:rPr>
          <w:lang w:val="en-GB"/>
        </w:rPr>
      </w:pPr>
      <w:r w:rsidRPr="00C81776">
        <w:rPr>
          <w:lang w:val="en-GB"/>
        </w:rPr>
        <w:t xml:space="preserve">The distinction between the descriptive and inferential findings is important. Although the increasing percentages suggest a possible pattern of gradual participation over time, the non-significant ANOVA does not provide sufficient statistical evidence to conclude that participation differed across the three years. The observed increase should therefore be interpreted cautiously rather than </w:t>
      </w:r>
      <w:r w:rsidR="001D284B">
        <w:rPr>
          <w:lang w:val="en-GB"/>
        </w:rPr>
        <w:t xml:space="preserve">be </w:t>
      </w:r>
      <w:r w:rsidRPr="00C81776">
        <w:rPr>
          <w:lang w:val="en-GB"/>
        </w:rPr>
        <w:t xml:space="preserve">treated as evidence of a confirmed temporal effect. The limited analytical sample may have reduced the statistical power of the analysis, and a larger sample could </w:t>
      </w:r>
      <w:r w:rsidR="00D925A6">
        <w:rPr>
          <w:lang w:val="en-GB"/>
        </w:rPr>
        <w:t xml:space="preserve">perhaps </w:t>
      </w:r>
      <w:r w:rsidRPr="00C81776">
        <w:rPr>
          <w:lang w:val="en-GB"/>
        </w:rPr>
        <w:t>provide stronger evidence of whether participation changes systematically during this transition period.</w:t>
      </w:r>
    </w:p>
    <w:p w14:paraId="510E74BB" w14:textId="77777777" w:rsidR="005D4D3C" w:rsidRDefault="003609AB" w:rsidP="007038D4">
      <w:pPr>
        <w:pStyle w:val="Normalwebb"/>
        <w:spacing w:line="360" w:lineRule="auto"/>
        <w:jc w:val="both"/>
        <w:rPr>
          <w:lang w:val="en-GB"/>
        </w:rPr>
      </w:pPr>
      <w:r w:rsidRPr="003609AB">
        <w:rPr>
          <w:lang w:val="en-GB"/>
        </w:rPr>
        <w:lastRenderedPageBreak/>
        <w:t>From a Capability Approach perspective, this descriptive pattern remains theoretically relevant because educational opportunities may be realised at different points in time. Immediate participation after secondary education may therefore not fully capture students’ longer-term opportunities to pursue further education. Nussbaum’s emphasis on minimum capability thresholds highlights the responsibility of educational systems to create conditions that enable fundamental capabilities, including education (Jandhyala, 2021). The findings therefore suggest that participation measured at a single time point may provide an incomplete picture of educational opportunity, supporting the value of examining transitions over a longer period.</w:t>
      </w:r>
    </w:p>
    <w:p w14:paraId="6A7983AC" w14:textId="40DD92DE" w:rsidR="0054146C" w:rsidRPr="0054146C" w:rsidRDefault="0054146C" w:rsidP="00743F1A">
      <w:pPr>
        <w:spacing w:line="360" w:lineRule="auto"/>
        <w:jc w:val="both"/>
        <w:rPr>
          <w:rFonts w:ascii="Times New Roman" w:eastAsia="Times New Roman" w:hAnsi="Times New Roman" w:cs="Times New Roman"/>
          <w:b/>
          <w:bCs/>
          <w:sz w:val="24"/>
          <w:szCs w:val="24"/>
          <w:lang w:eastAsia="sv-SE"/>
        </w:rPr>
      </w:pPr>
      <w:r w:rsidRPr="0054146C">
        <w:rPr>
          <w:rFonts w:ascii="Times New Roman" w:eastAsia="Times New Roman" w:hAnsi="Times New Roman" w:cs="Times New Roman"/>
          <w:b/>
          <w:bCs/>
          <w:sz w:val="24"/>
          <w:szCs w:val="24"/>
          <w:lang w:eastAsia="sv-SE"/>
        </w:rPr>
        <w:t>Year</w:t>
      </w:r>
      <w:r w:rsidR="00854660" w:rsidRPr="0054146C">
        <w:rPr>
          <w:rFonts w:ascii="Times New Roman" w:eastAsia="Times New Roman" w:hAnsi="Times New Roman" w:cs="Times New Roman"/>
          <w:b/>
          <w:bCs/>
          <w:sz w:val="24"/>
          <w:szCs w:val="24"/>
          <w:lang w:eastAsia="sv-SE"/>
        </w:rPr>
        <w:t xml:space="preserve"> 1</w:t>
      </w:r>
      <w:r w:rsidR="006F5A5A" w:rsidRPr="0054146C">
        <w:rPr>
          <w:rFonts w:ascii="Times New Roman" w:eastAsia="Times New Roman" w:hAnsi="Times New Roman" w:cs="Times New Roman"/>
          <w:b/>
          <w:bCs/>
          <w:sz w:val="24"/>
          <w:szCs w:val="24"/>
          <w:lang w:eastAsia="sv-SE"/>
        </w:rPr>
        <w:t xml:space="preserve"> to Year 3: Evidence of Later Participation</w:t>
      </w:r>
    </w:p>
    <w:p w14:paraId="7EE9817B" w14:textId="3149777B" w:rsidR="00394C9E" w:rsidRPr="00394C9E" w:rsidRDefault="00394C9E" w:rsidP="00743F1A">
      <w:pPr>
        <w:spacing w:line="360" w:lineRule="auto"/>
        <w:jc w:val="both"/>
        <w:rPr>
          <w:rFonts w:ascii="Times New Roman" w:eastAsia="Times New Roman" w:hAnsi="Times New Roman" w:cs="Times New Roman"/>
          <w:sz w:val="24"/>
          <w:szCs w:val="24"/>
          <w:lang w:eastAsia="sv-SE"/>
        </w:rPr>
      </w:pPr>
      <w:r w:rsidRPr="00394C9E">
        <w:rPr>
          <w:rFonts w:ascii="Times New Roman" w:eastAsia="Times New Roman" w:hAnsi="Times New Roman" w:cs="Times New Roman"/>
          <w:sz w:val="24"/>
          <w:szCs w:val="24"/>
          <w:lang w:eastAsia="sv-SE"/>
        </w:rPr>
        <w:t xml:space="preserve">The paired-samples analysis provides stronger evidence of change when the first and third years are compared directly. Participation increased from 39.00% in Year 1 to 54.93% in Year 3, representing a mean increase of 15.93 percentage points. The paired-samples </w:t>
      </w:r>
      <w:r w:rsidRPr="00394C9E">
        <w:rPr>
          <w:rFonts w:ascii="Times New Roman" w:eastAsia="Times New Roman" w:hAnsi="Times New Roman" w:cs="Times New Roman"/>
          <w:i/>
          <w:iCs/>
          <w:sz w:val="24"/>
          <w:szCs w:val="24"/>
          <w:lang w:eastAsia="sv-SE"/>
        </w:rPr>
        <w:t>t</w:t>
      </w:r>
      <w:r w:rsidRPr="00394C9E">
        <w:rPr>
          <w:rFonts w:ascii="Times New Roman" w:eastAsia="Times New Roman" w:hAnsi="Times New Roman" w:cs="Times New Roman"/>
          <w:sz w:val="24"/>
          <w:szCs w:val="24"/>
          <w:lang w:eastAsia="sv-SE"/>
        </w:rPr>
        <w:t xml:space="preserve">-test indicated a statistically significant difference, </w:t>
      </w:r>
      <w:r w:rsidRPr="00394C9E">
        <w:rPr>
          <w:rFonts w:ascii="Times New Roman" w:eastAsia="Times New Roman" w:hAnsi="Times New Roman" w:cs="Times New Roman"/>
          <w:i/>
          <w:iCs/>
          <w:sz w:val="24"/>
          <w:szCs w:val="24"/>
          <w:lang w:eastAsia="sv-SE"/>
        </w:rPr>
        <w:t>t</w:t>
      </w:r>
      <w:r w:rsidRPr="00394C9E">
        <w:rPr>
          <w:rFonts w:ascii="Times New Roman" w:eastAsia="Times New Roman" w:hAnsi="Times New Roman" w:cs="Times New Roman"/>
          <w:sz w:val="24"/>
          <w:szCs w:val="24"/>
          <w:lang w:eastAsia="sv-SE"/>
        </w:rPr>
        <w:t xml:space="preserve">(13) = -6.93, </w:t>
      </w:r>
      <w:r w:rsidRPr="00394C9E">
        <w:rPr>
          <w:rFonts w:ascii="Times New Roman" w:eastAsia="Times New Roman" w:hAnsi="Times New Roman" w:cs="Times New Roman"/>
          <w:i/>
          <w:iCs/>
          <w:sz w:val="24"/>
          <w:szCs w:val="24"/>
          <w:lang w:eastAsia="sv-SE"/>
        </w:rPr>
        <w:t>p</w:t>
      </w:r>
      <w:r w:rsidRPr="00394C9E">
        <w:rPr>
          <w:rFonts w:ascii="Times New Roman" w:eastAsia="Times New Roman" w:hAnsi="Times New Roman" w:cs="Times New Roman"/>
          <w:sz w:val="24"/>
          <w:szCs w:val="24"/>
          <w:lang w:eastAsia="sv-SE"/>
        </w:rPr>
        <w:t xml:space="preserve"> &lt; .001.</w:t>
      </w:r>
    </w:p>
    <w:p w14:paraId="5F194F68" w14:textId="77777777" w:rsidR="00394C9E" w:rsidRPr="00394C9E" w:rsidRDefault="00394C9E" w:rsidP="00743F1A">
      <w:pPr>
        <w:spacing w:line="360" w:lineRule="auto"/>
        <w:jc w:val="both"/>
        <w:rPr>
          <w:rFonts w:ascii="Times New Roman" w:eastAsia="Times New Roman" w:hAnsi="Times New Roman" w:cs="Times New Roman"/>
          <w:sz w:val="24"/>
          <w:szCs w:val="24"/>
          <w:lang w:eastAsia="sv-SE"/>
        </w:rPr>
      </w:pPr>
      <w:r w:rsidRPr="00394C9E">
        <w:rPr>
          <w:rFonts w:ascii="Times New Roman" w:eastAsia="Times New Roman" w:hAnsi="Times New Roman" w:cs="Times New Roman"/>
          <w:sz w:val="24"/>
          <w:szCs w:val="24"/>
          <w:lang w:eastAsia="sv-SE"/>
        </w:rPr>
        <w:t>This finding suggests that participation among the matched disability groups represented in the analysis was considerably higher by the third year. Importantly, this result complements rather than contradicts the ANOVA finding. The ANOVA examined differences across three periods simultaneously, whereas the paired test specifically examined the change between Year 1 and Year 3. The results therefore suggest that the difference may become more apparent over a longer transition period than when the three years are considered together.</w:t>
      </w:r>
    </w:p>
    <w:p w14:paraId="1A67658F" w14:textId="14D132D7" w:rsidR="00C254BB" w:rsidRPr="00C254BB" w:rsidRDefault="003931B4" w:rsidP="00D152F2">
      <w:pPr>
        <w:pStyle w:val="isselectedend"/>
        <w:spacing w:line="360" w:lineRule="auto"/>
        <w:jc w:val="both"/>
        <w:rPr>
          <w:lang w:val="en-GB"/>
        </w:rPr>
      </w:pPr>
      <w:r>
        <w:rPr>
          <w:lang w:val="en-GB"/>
        </w:rPr>
        <w:t>Further, t</w:t>
      </w:r>
      <w:r w:rsidR="00C254BB" w:rsidRPr="00C254BB">
        <w:rPr>
          <w:lang w:val="en-GB"/>
        </w:rPr>
        <w:t>he findings also challenge the assumption that educational transition is primarily an immediate move into post-secondary education. Post-secondary education can support social inclusion, independence, and future opportunities, yet barriers to participation remain (Biagiotti et al., 2026), with continuing inequalities affecting disabled students’ educational pathways (Bettencourt et al., 2022; Wells, 2026). The observed increase over three years may therefore indicate that some students enter post-secondary education later, although the data cannot establish why.</w:t>
      </w:r>
    </w:p>
    <w:p w14:paraId="0BAFD8CC" w14:textId="51AAEC72" w:rsidR="00C254BB" w:rsidRPr="00D152F2" w:rsidRDefault="00C254BB" w:rsidP="001B075E">
      <w:pPr>
        <w:pStyle w:val="Normalwebb"/>
        <w:spacing w:line="360" w:lineRule="auto"/>
        <w:jc w:val="both"/>
        <w:rPr>
          <w:lang w:val="en-GB"/>
        </w:rPr>
      </w:pPr>
      <w:r w:rsidRPr="00C254BB">
        <w:rPr>
          <w:lang w:val="en-GB"/>
        </w:rPr>
        <w:t xml:space="preserve">The </w:t>
      </w:r>
      <w:r w:rsidR="001B075E">
        <w:rPr>
          <w:lang w:val="en-GB"/>
        </w:rPr>
        <w:t>c</w:t>
      </w:r>
      <w:r w:rsidRPr="00C254BB">
        <w:rPr>
          <w:lang w:val="en-GB"/>
        </w:rPr>
        <w:t xml:space="preserve">apability </w:t>
      </w:r>
      <w:r w:rsidR="001B075E">
        <w:rPr>
          <w:lang w:val="en-GB"/>
        </w:rPr>
        <w:t>a</w:t>
      </w:r>
      <w:r w:rsidRPr="00C254BB">
        <w:rPr>
          <w:lang w:val="en-GB"/>
        </w:rPr>
        <w:t xml:space="preserve">pproach offers one possible interpretation. Students may have formal access to educational resources but differ in their ability to convert them into participation because of socioeconomic and other contextual conditions. Education can promote inclusion while also reproducing inequalities (Rasse &amp; Sevilla, 2023). </w:t>
      </w:r>
      <w:r w:rsidR="005B42F8">
        <w:rPr>
          <w:lang w:val="en-GB"/>
        </w:rPr>
        <w:t>Therefore, d</w:t>
      </w:r>
      <w:r w:rsidRPr="00D152F2">
        <w:rPr>
          <w:lang w:val="en-GB"/>
        </w:rPr>
        <w:t xml:space="preserve">elayed participation should not automatically be interpreted as individual choice or deficit, as it may reflect differences in the </w:t>
      </w:r>
      <w:r w:rsidRPr="00D152F2">
        <w:rPr>
          <w:lang w:val="en-GB"/>
        </w:rPr>
        <w:lastRenderedPageBreak/>
        <w:t>conditions enabling students to exercise educational opportunities. However, this study cannot determine whether delayed participation results from institutional barriers, personal circumstances, or other factors.</w:t>
      </w:r>
    </w:p>
    <w:p w14:paraId="090EBB2A" w14:textId="77777777" w:rsidR="00235355" w:rsidRPr="001167D1" w:rsidRDefault="00235355" w:rsidP="00394C9E">
      <w:pPr>
        <w:rPr>
          <w:rFonts w:ascii="Times New Roman" w:eastAsia="Times New Roman" w:hAnsi="Times New Roman" w:cs="Times New Roman"/>
          <w:b/>
          <w:bCs/>
          <w:sz w:val="24"/>
          <w:szCs w:val="24"/>
          <w:lang w:eastAsia="sv-SE"/>
        </w:rPr>
      </w:pPr>
      <w:r w:rsidRPr="001167D1">
        <w:rPr>
          <w:rFonts w:ascii="Times New Roman" w:eastAsia="Times New Roman" w:hAnsi="Times New Roman" w:cs="Times New Roman"/>
          <w:b/>
          <w:bCs/>
          <w:sz w:val="24"/>
          <w:szCs w:val="24"/>
          <w:lang w:eastAsia="sv-SE"/>
        </w:rPr>
        <w:t>Disability Type, Gender and Intersecting Patterns</w:t>
      </w:r>
    </w:p>
    <w:p w14:paraId="3A5EE5B4" w14:textId="77777777" w:rsidR="001167D1" w:rsidRPr="001167D1" w:rsidRDefault="001167D1" w:rsidP="001167D1">
      <w:pPr>
        <w:pStyle w:val="isselectedend"/>
        <w:spacing w:line="360" w:lineRule="auto"/>
        <w:jc w:val="both"/>
        <w:rPr>
          <w:lang w:val="en-GB"/>
        </w:rPr>
      </w:pPr>
      <w:r w:rsidRPr="001167D1">
        <w:rPr>
          <w:lang w:val="en-GB"/>
        </w:rPr>
        <w:t>The findings show why disability should not be treated as a homogeneous category. Female participation was higher among students with dyslexia, deafness, and psychiatric disabilities, while male participation was higher among those with language impairments. The largest gender difference occurred among deaf students (36 percentage points), compared with 24 points among students with language impairments. These contrasting patterns indicate that gender does not operate uniformly across disability categories.</w:t>
      </w:r>
    </w:p>
    <w:p w14:paraId="659EF278" w14:textId="0F1B0A54" w:rsidR="001167D1" w:rsidRPr="001167D1" w:rsidRDefault="00973BD0" w:rsidP="003E78B6">
      <w:pPr>
        <w:pStyle w:val="isselectedend"/>
        <w:spacing w:line="360" w:lineRule="auto"/>
        <w:jc w:val="both"/>
        <w:rPr>
          <w:lang w:val="en-GB"/>
        </w:rPr>
      </w:pPr>
      <w:r>
        <w:rPr>
          <w:lang w:val="en-GB"/>
        </w:rPr>
        <w:t>Further, t</w:t>
      </w:r>
      <w:r w:rsidR="001167D1" w:rsidRPr="001167D1">
        <w:rPr>
          <w:lang w:val="en-GB"/>
        </w:rPr>
        <w:t>his supports the view that gender and disability can shape educational opportunities in different ways (Nef et al., 2023), while gender may also influence educational expectations and opportunities (Keung &amp; Ho, 2020). The findings therefore suggest that disability status alone may conceal important variation within the student population.</w:t>
      </w:r>
    </w:p>
    <w:p w14:paraId="1DC8DBC2" w14:textId="698A62DE" w:rsidR="001167D1" w:rsidRPr="001167D1" w:rsidRDefault="002467D2" w:rsidP="002E0617">
      <w:pPr>
        <w:pStyle w:val="isselectedend"/>
        <w:spacing w:line="360" w:lineRule="auto"/>
        <w:jc w:val="both"/>
        <w:rPr>
          <w:lang w:val="en-GB"/>
        </w:rPr>
      </w:pPr>
      <w:r>
        <w:rPr>
          <w:lang w:val="en-GB"/>
        </w:rPr>
        <w:t>Relatedly, t</w:t>
      </w:r>
      <w:r w:rsidR="001167D1" w:rsidRPr="001167D1">
        <w:rPr>
          <w:lang w:val="en-GB"/>
        </w:rPr>
        <w:t xml:space="preserve">he </w:t>
      </w:r>
      <w:r>
        <w:rPr>
          <w:lang w:val="en-GB"/>
        </w:rPr>
        <w:t>c</w:t>
      </w:r>
      <w:r w:rsidR="001167D1" w:rsidRPr="001167D1">
        <w:rPr>
          <w:lang w:val="en-GB"/>
        </w:rPr>
        <w:t xml:space="preserve">apability </w:t>
      </w:r>
      <w:r>
        <w:rPr>
          <w:lang w:val="en-GB"/>
        </w:rPr>
        <w:t>a</w:t>
      </w:r>
      <w:r w:rsidR="001167D1" w:rsidRPr="001167D1">
        <w:rPr>
          <w:lang w:val="en-GB"/>
        </w:rPr>
        <w:t>pproach further emphasi</w:t>
      </w:r>
      <w:r>
        <w:rPr>
          <w:lang w:val="en-GB"/>
        </w:rPr>
        <w:t>z</w:t>
      </w:r>
      <w:r w:rsidR="001167D1" w:rsidRPr="001167D1">
        <w:rPr>
          <w:lang w:val="en-GB"/>
        </w:rPr>
        <w:t xml:space="preserve">es the conditions that enable individuals to convert resources into valued functionings. Access to resources does not necessarily provide equal capability to use them effectively (Riddle, 2020). Different disability types may involve different support, accessibility, and institutional needs, which may also intersect with gender. However, the dataset does not </w:t>
      </w:r>
      <w:r w:rsidR="00A33CF4">
        <w:rPr>
          <w:lang w:val="en-GB"/>
        </w:rPr>
        <w:t xml:space="preserve">sufficiently </w:t>
      </w:r>
      <w:r w:rsidR="001167D1" w:rsidRPr="001167D1">
        <w:rPr>
          <w:lang w:val="en-GB"/>
        </w:rPr>
        <w:t>capture these mechanisms; the observed gender differences should therefore be interpreted as descriptive patterns rather than causal effects.</w:t>
      </w:r>
    </w:p>
    <w:p w14:paraId="3DA3661D" w14:textId="68A28ECF" w:rsidR="001167D1" w:rsidRPr="001167D1" w:rsidRDefault="00B90F50" w:rsidP="0054622E">
      <w:pPr>
        <w:pStyle w:val="Normalwebb"/>
        <w:spacing w:line="360" w:lineRule="auto"/>
        <w:jc w:val="both"/>
        <w:rPr>
          <w:lang w:val="en-GB"/>
        </w:rPr>
      </w:pPr>
      <w:r>
        <w:rPr>
          <w:lang w:val="en-GB"/>
        </w:rPr>
        <w:t xml:space="preserve">More so, </w:t>
      </w:r>
      <w:r w:rsidR="0054622E">
        <w:rPr>
          <w:lang w:val="en-GB"/>
        </w:rPr>
        <w:t>substantial v</w:t>
      </w:r>
      <w:r w:rsidR="001167D1" w:rsidRPr="001167D1">
        <w:rPr>
          <w:lang w:val="en-GB"/>
        </w:rPr>
        <w:t xml:space="preserve">ariation across disability groups also highlights the limitations of aggregate disability statistics. Capabilities are difficult to define and measure, including the potential for different capabilities to be clustered or prioritised (Bartolomei et al., 2024). Moreover, equitable access involves more than formal availability, including accessibility and the practical conditions required to reach opportunities (Azmoodeh et al., 2023). </w:t>
      </w:r>
      <w:r w:rsidR="001738E0">
        <w:rPr>
          <w:lang w:val="en-GB"/>
        </w:rPr>
        <w:t>Hence</w:t>
      </w:r>
      <w:r w:rsidR="001167D1" w:rsidRPr="001167D1">
        <w:rPr>
          <w:lang w:val="en-GB"/>
        </w:rPr>
        <w:t>, equal provision does not necessarily result in equal participation.</w:t>
      </w:r>
    </w:p>
    <w:p w14:paraId="3CBCBCC1" w14:textId="77777777" w:rsidR="001A5489" w:rsidRPr="001A5489" w:rsidRDefault="001A5489" w:rsidP="00394C9E">
      <w:pPr>
        <w:rPr>
          <w:rFonts w:ascii="Times New Roman" w:eastAsia="Times New Roman" w:hAnsi="Times New Roman" w:cs="Times New Roman"/>
          <w:b/>
          <w:bCs/>
          <w:sz w:val="24"/>
          <w:szCs w:val="24"/>
          <w:lang w:eastAsia="sv-SE"/>
        </w:rPr>
      </w:pPr>
      <w:r w:rsidRPr="001A5489">
        <w:rPr>
          <w:rFonts w:ascii="Times New Roman" w:eastAsia="Times New Roman" w:hAnsi="Times New Roman" w:cs="Times New Roman"/>
          <w:b/>
          <w:bCs/>
          <w:sz w:val="24"/>
          <w:szCs w:val="24"/>
          <w:lang w:eastAsia="sv-SE"/>
        </w:rPr>
        <w:t>Implications for educational Equity</w:t>
      </w:r>
    </w:p>
    <w:p w14:paraId="6908831B" w14:textId="45ADEF28" w:rsidR="00394C9E" w:rsidRPr="00394C9E" w:rsidRDefault="00394C9E" w:rsidP="001A5489">
      <w:pPr>
        <w:spacing w:line="360" w:lineRule="auto"/>
        <w:jc w:val="both"/>
        <w:rPr>
          <w:rFonts w:ascii="Times New Roman" w:eastAsia="Times New Roman" w:hAnsi="Times New Roman" w:cs="Times New Roman"/>
          <w:sz w:val="24"/>
          <w:szCs w:val="24"/>
          <w:lang w:eastAsia="sv-SE"/>
        </w:rPr>
      </w:pPr>
      <w:r w:rsidRPr="00394C9E">
        <w:rPr>
          <w:rFonts w:ascii="Times New Roman" w:eastAsia="Times New Roman" w:hAnsi="Times New Roman" w:cs="Times New Roman"/>
          <w:sz w:val="24"/>
          <w:szCs w:val="24"/>
          <w:lang w:eastAsia="sv-SE"/>
        </w:rPr>
        <w:t xml:space="preserve">Taken together, the findings indicate that post-secondary participation should be understood as a process rather than only as an immediate outcome following secondary education. The persistent participation gap between students with and without disabilities, the increase between </w:t>
      </w:r>
      <w:r w:rsidRPr="00394C9E">
        <w:rPr>
          <w:rFonts w:ascii="Times New Roman" w:eastAsia="Times New Roman" w:hAnsi="Times New Roman" w:cs="Times New Roman"/>
          <w:sz w:val="24"/>
          <w:szCs w:val="24"/>
          <w:lang w:eastAsia="sv-SE"/>
        </w:rPr>
        <w:lastRenderedPageBreak/>
        <w:t>Year 1 and Year 3, and the variation across disability types and gender all point towards a complex pattern of educational inequality.</w:t>
      </w:r>
    </w:p>
    <w:p w14:paraId="069A7F1D" w14:textId="08F3D70F" w:rsidR="00394C9E" w:rsidRPr="00394C9E" w:rsidRDefault="00394C9E" w:rsidP="001A5489">
      <w:pPr>
        <w:spacing w:line="360" w:lineRule="auto"/>
        <w:jc w:val="both"/>
        <w:rPr>
          <w:rFonts w:ascii="Times New Roman" w:eastAsia="Times New Roman" w:hAnsi="Times New Roman" w:cs="Times New Roman"/>
          <w:sz w:val="24"/>
          <w:szCs w:val="24"/>
          <w:lang w:eastAsia="sv-SE"/>
        </w:rPr>
      </w:pPr>
      <w:r w:rsidRPr="00394C9E">
        <w:rPr>
          <w:rFonts w:ascii="Times New Roman" w:eastAsia="Times New Roman" w:hAnsi="Times New Roman" w:cs="Times New Roman"/>
          <w:sz w:val="24"/>
          <w:szCs w:val="24"/>
          <w:lang w:eastAsia="sv-SE"/>
        </w:rPr>
        <w:t>Smeplass et al. (2024) emphasi</w:t>
      </w:r>
      <w:r w:rsidR="0056220E">
        <w:rPr>
          <w:rFonts w:ascii="Times New Roman" w:eastAsia="Times New Roman" w:hAnsi="Times New Roman" w:cs="Times New Roman"/>
          <w:sz w:val="24"/>
          <w:szCs w:val="24"/>
          <w:lang w:eastAsia="sv-SE"/>
        </w:rPr>
        <w:t>z</w:t>
      </w:r>
      <w:r w:rsidRPr="00394C9E">
        <w:rPr>
          <w:rFonts w:ascii="Times New Roman" w:eastAsia="Times New Roman" w:hAnsi="Times New Roman" w:cs="Times New Roman"/>
          <w:sz w:val="24"/>
          <w:szCs w:val="24"/>
          <w:lang w:eastAsia="sv-SE"/>
        </w:rPr>
        <w:t xml:space="preserve">e the distinction between equality of opportunity and equality of outcome, while Carballo et al. (2019) demonstrate that inclusion in higher education remains challenging for students with disabilities. The findings of this study support this distinction: increasing participation does not necessarily </w:t>
      </w:r>
      <w:r w:rsidR="002557B1">
        <w:rPr>
          <w:rFonts w:ascii="Times New Roman" w:eastAsia="Times New Roman" w:hAnsi="Times New Roman" w:cs="Times New Roman"/>
          <w:sz w:val="24"/>
          <w:szCs w:val="24"/>
          <w:lang w:eastAsia="sv-SE"/>
        </w:rPr>
        <w:t>result in</w:t>
      </w:r>
      <w:r w:rsidRPr="00394C9E">
        <w:rPr>
          <w:rFonts w:ascii="Times New Roman" w:eastAsia="Times New Roman" w:hAnsi="Times New Roman" w:cs="Times New Roman"/>
          <w:sz w:val="24"/>
          <w:szCs w:val="24"/>
          <w:lang w:eastAsia="sv-SE"/>
        </w:rPr>
        <w:t xml:space="preserve"> </w:t>
      </w:r>
      <w:r w:rsidR="002557B1">
        <w:rPr>
          <w:rFonts w:ascii="Times New Roman" w:eastAsia="Times New Roman" w:hAnsi="Times New Roman" w:cs="Times New Roman"/>
          <w:sz w:val="24"/>
          <w:szCs w:val="24"/>
          <w:lang w:eastAsia="sv-SE"/>
        </w:rPr>
        <w:t>equal distribution</w:t>
      </w:r>
      <w:r w:rsidRPr="00394C9E">
        <w:rPr>
          <w:rFonts w:ascii="Times New Roman" w:eastAsia="Times New Roman" w:hAnsi="Times New Roman" w:cs="Times New Roman"/>
          <w:sz w:val="24"/>
          <w:szCs w:val="24"/>
          <w:lang w:eastAsia="sv-SE"/>
        </w:rPr>
        <w:t xml:space="preserve"> educational opportunities. </w:t>
      </w:r>
      <w:r w:rsidR="0064397A">
        <w:rPr>
          <w:rFonts w:ascii="Times New Roman" w:eastAsia="Times New Roman" w:hAnsi="Times New Roman" w:cs="Times New Roman"/>
          <w:sz w:val="24"/>
          <w:szCs w:val="24"/>
          <w:lang w:eastAsia="sv-SE"/>
        </w:rPr>
        <w:t>Similarly, f</w:t>
      </w:r>
      <w:r w:rsidRPr="00394C9E">
        <w:rPr>
          <w:rFonts w:ascii="Times New Roman" w:eastAsia="Times New Roman" w:hAnsi="Times New Roman" w:cs="Times New Roman"/>
          <w:sz w:val="24"/>
          <w:szCs w:val="24"/>
          <w:lang w:eastAsia="sv-SE"/>
        </w:rPr>
        <w:t xml:space="preserve">rom a </w:t>
      </w:r>
      <w:r w:rsidR="0064397A">
        <w:rPr>
          <w:rFonts w:ascii="Times New Roman" w:eastAsia="Times New Roman" w:hAnsi="Times New Roman" w:cs="Times New Roman"/>
          <w:sz w:val="24"/>
          <w:szCs w:val="24"/>
          <w:lang w:eastAsia="sv-SE"/>
        </w:rPr>
        <w:t>c</w:t>
      </w:r>
      <w:r w:rsidRPr="00394C9E">
        <w:rPr>
          <w:rFonts w:ascii="Times New Roman" w:eastAsia="Times New Roman" w:hAnsi="Times New Roman" w:cs="Times New Roman"/>
          <w:sz w:val="24"/>
          <w:szCs w:val="24"/>
          <w:lang w:eastAsia="sv-SE"/>
        </w:rPr>
        <w:t xml:space="preserve">apability </w:t>
      </w:r>
      <w:r w:rsidR="0064397A">
        <w:rPr>
          <w:rFonts w:ascii="Times New Roman" w:eastAsia="Times New Roman" w:hAnsi="Times New Roman" w:cs="Times New Roman"/>
          <w:sz w:val="24"/>
          <w:szCs w:val="24"/>
          <w:lang w:eastAsia="sv-SE"/>
        </w:rPr>
        <w:t>a</w:t>
      </w:r>
      <w:r w:rsidRPr="00394C9E">
        <w:rPr>
          <w:rFonts w:ascii="Times New Roman" w:eastAsia="Times New Roman" w:hAnsi="Times New Roman" w:cs="Times New Roman"/>
          <w:sz w:val="24"/>
          <w:szCs w:val="24"/>
          <w:lang w:eastAsia="sv-SE"/>
        </w:rPr>
        <w:t>pproach perspective, the central issue is therefore not simply whether students participate, but whether they have genuine opportunities to pursue educational pathways they value.</w:t>
      </w:r>
    </w:p>
    <w:p w14:paraId="4988DE00" w14:textId="77777777" w:rsidR="00E21203" w:rsidRDefault="00394C9E" w:rsidP="00E21203">
      <w:pPr>
        <w:spacing w:line="360" w:lineRule="auto"/>
        <w:jc w:val="both"/>
        <w:rPr>
          <w:rFonts w:ascii="Times New Roman" w:eastAsia="Times New Roman" w:hAnsi="Times New Roman" w:cs="Times New Roman"/>
          <w:sz w:val="24"/>
          <w:szCs w:val="24"/>
          <w:lang w:eastAsia="sv-SE"/>
        </w:rPr>
      </w:pPr>
      <w:r w:rsidRPr="00394C9E">
        <w:rPr>
          <w:rFonts w:ascii="Times New Roman" w:eastAsia="Times New Roman" w:hAnsi="Times New Roman" w:cs="Times New Roman"/>
          <w:sz w:val="24"/>
          <w:szCs w:val="24"/>
          <w:lang w:eastAsia="sv-SE"/>
        </w:rPr>
        <w:t xml:space="preserve">Overall, the findings provide evidence of important disparities in post-secondary education participation while also demonstrating that these disparities vary according to time, disability type, and gender. The </w:t>
      </w:r>
      <w:r w:rsidR="001536C4">
        <w:rPr>
          <w:rFonts w:ascii="Times New Roman" w:eastAsia="Times New Roman" w:hAnsi="Times New Roman" w:cs="Times New Roman"/>
          <w:sz w:val="24"/>
          <w:szCs w:val="24"/>
          <w:lang w:eastAsia="sv-SE"/>
        </w:rPr>
        <w:t>c</w:t>
      </w:r>
      <w:r w:rsidRPr="00394C9E">
        <w:rPr>
          <w:rFonts w:ascii="Times New Roman" w:eastAsia="Times New Roman" w:hAnsi="Times New Roman" w:cs="Times New Roman"/>
          <w:sz w:val="24"/>
          <w:szCs w:val="24"/>
          <w:lang w:eastAsia="sv-SE"/>
        </w:rPr>
        <w:t xml:space="preserve">apability </w:t>
      </w:r>
      <w:r w:rsidR="001536C4">
        <w:rPr>
          <w:rFonts w:ascii="Times New Roman" w:eastAsia="Times New Roman" w:hAnsi="Times New Roman" w:cs="Times New Roman"/>
          <w:sz w:val="24"/>
          <w:szCs w:val="24"/>
          <w:lang w:eastAsia="sv-SE"/>
        </w:rPr>
        <w:t>a</w:t>
      </w:r>
      <w:r w:rsidRPr="00394C9E">
        <w:rPr>
          <w:rFonts w:ascii="Times New Roman" w:eastAsia="Times New Roman" w:hAnsi="Times New Roman" w:cs="Times New Roman"/>
          <w:sz w:val="24"/>
          <w:szCs w:val="24"/>
          <w:lang w:eastAsia="sv-SE"/>
        </w:rPr>
        <w:t>pproach helps interpret these differences as potentially reflecting unequal conditions for converting educational resources and</w:t>
      </w:r>
      <w:r w:rsidR="00022CAD">
        <w:rPr>
          <w:rFonts w:ascii="Times New Roman" w:eastAsia="Times New Roman" w:hAnsi="Times New Roman" w:cs="Times New Roman"/>
          <w:sz w:val="24"/>
          <w:szCs w:val="24"/>
          <w:lang w:eastAsia="sv-SE"/>
        </w:rPr>
        <w:t xml:space="preserve"> </w:t>
      </w:r>
      <w:r w:rsidRPr="00394C9E">
        <w:rPr>
          <w:rFonts w:ascii="Times New Roman" w:eastAsia="Times New Roman" w:hAnsi="Times New Roman" w:cs="Times New Roman"/>
          <w:sz w:val="24"/>
          <w:szCs w:val="24"/>
          <w:lang w:eastAsia="sv-SE"/>
        </w:rPr>
        <w:t>rights into real</w:t>
      </w:r>
      <w:r w:rsidR="00A55A92">
        <w:rPr>
          <w:rFonts w:ascii="Times New Roman" w:eastAsia="Times New Roman" w:hAnsi="Times New Roman" w:cs="Times New Roman"/>
          <w:sz w:val="24"/>
          <w:szCs w:val="24"/>
          <w:lang w:eastAsia="sv-SE"/>
        </w:rPr>
        <w:t xml:space="preserve"> </w:t>
      </w:r>
      <w:r w:rsidRPr="00394C9E">
        <w:rPr>
          <w:rFonts w:ascii="Times New Roman" w:eastAsia="Times New Roman" w:hAnsi="Times New Roman" w:cs="Times New Roman"/>
          <w:sz w:val="24"/>
          <w:szCs w:val="24"/>
          <w:lang w:eastAsia="sv-SE"/>
        </w:rPr>
        <w:t xml:space="preserve">opportunities. Nevertheless, because the study relies on existing register data and a non-experimental design, the findings cannot establish the specific causes of these disparities. </w:t>
      </w:r>
      <w:r w:rsidR="00C30D94" w:rsidRPr="00C30D94">
        <w:rPr>
          <w:rFonts w:ascii="Times New Roman" w:eastAsia="Times New Roman" w:hAnsi="Times New Roman" w:cs="Times New Roman"/>
          <w:sz w:val="24"/>
          <w:szCs w:val="24"/>
          <w:lang w:eastAsia="sv-SE"/>
        </w:rPr>
        <w:tab/>
      </w:r>
      <w:r w:rsidR="00C30D94" w:rsidRPr="00C30D94">
        <w:rPr>
          <w:rFonts w:ascii="Times New Roman" w:eastAsia="Times New Roman" w:hAnsi="Times New Roman" w:cs="Times New Roman"/>
          <w:sz w:val="24"/>
          <w:szCs w:val="24"/>
          <w:lang w:eastAsia="sv-SE"/>
        </w:rPr>
        <w:tab/>
      </w:r>
      <w:r w:rsidR="00C30D94" w:rsidRPr="00C30D94">
        <w:rPr>
          <w:rFonts w:ascii="Times New Roman" w:eastAsia="Times New Roman" w:hAnsi="Times New Roman" w:cs="Times New Roman"/>
          <w:sz w:val="24"/>
          <w:szCs w:val="24"/>
          <w:lang w:eastAsia="sv-SE"/>
        </w:rPr>
        <w:tab/>
      </w:r>
      <w:r w:rsidR="00C30D94" w:rsidRPr="00C30D94">
        <w:rPr>
          <w:rFonts w:ascii="Times New Roman" w:eastAsia="Times New Roman" w:hAnsi="Times New Roman" w:cs="Times New Roman"/>
          <w:sz w:val="24"/>
          <w:szCs w:val="24"/>
          <w:lang w:eastAsia="sv-SE"/>
        </w:rPr>
        <w:tab/>
      </w:r>
      <w:r w:rsidR="00C30D94" w:rsidRPr="00C30D94">
        <w:rPr>
          <w:rFonts w:ascii="Times New Roman" w:eastAsia="Times New Roman" w:hAnsi="Times New Roman" w:cs="Times New Roman"/>
          <w:sz w:val="24"/>
          <w:szCs w:val="24"/>
          <w:lang w:eastAsia="sv-SE"/>
        </w:rPr>
        <w:tab/>
      </w:r>
      <w:r w:rsidR="00C30D94" w:rsidRPr="00C30D94">
        <w:rPr>
          <w:rFonts w:ascii="Times New Roman" w:eastAsia="Times New Roman" w:hAnsi="Times New Roman" w:cs="Times New Roman"/>
          <w:sz w:val="24"/>
          <w:szCs w:val="24"/>
          <w:lang w:eastAsia="sv-SE"/>
        </w:rPr>
        <w:tab/>
      </w:r>
    </w:p>
    <w:p w14:paraId="16FDDB37" w14:textId="299EBB6C" w:rsidR="00AA7320" w:rsidRPr="00E21203" w:rsidRDefault="00AA7320" w:rsidP="00E21203">
      <w:pPr>
        <w:spacing w:line="360" w:lineRule="auto"/>
        <w:jc w:val="both"/>
        <w:rPr>
          <w:rFonts w:ascii="Times New Roman" w:eastAsia="Times New Roman" w:hAnsi="Times New Roman" w:cs="Times New Roman"/>
          <w:sz w:val="24"/>
          <w:szCs w:val="24"/>
          <w:lang w:eastAsia="sv-SE"/>
        </w:rPr>
      </w:pPr>
      <w:r w:rsidRPr="0010487A">
        <w:rPr>
          <w:b/>
          <w:bCs/>
        </w:rPr>
        <w:t>Limitations of the study</w:t>
      </w:r>
    </w:p>
    <w:p w14:paraId="4A04C7A5" w14:textId="77777777" w:rsidR="00611565" w:rsidRPr="00B123A3" w:rsidRDefault="00611565" w:rsidP="00B123A3">
      <w:pPr>
        <w:pStyle w:val="isselectedend"/>
        <w:spacing w:line="360" w:lineRule="auto"/>
        <w:jc w:val="both"/>
        <w:rPr>
          <w:lang w:val="en-GB"/>
        </w:rPr>
      </w:pPr>
      <w:r w:rsidRPr="00611565">
        <w:rPr>
          <w:lang w:val="en-GB"/>
        </w:rPr>
        <w:t xml:space="preserve">Several limitations should be considered when interpreting the findings. </w:t>
      </w:r>
      <w:r w:rsidRPr="00B123A3">
        <w:rPr>
          <w:lang w:val="en-GB"/>
        </w:rPr>
        <w:t>First, dataset preparation required excluding non-numerical entries and observations outside the study’s variables and research questions. Although necessary for analysis, these decisions reduced the number of observations and may have affected representativeness. The findings should therefore be interpreted cautiously, particularly regarding generalisability to the wider population of Swedish students. In addition, categorising capabilities, functionings, and their indicators involves subjective judgements (Bartolomei et al., 2024).</w:t>
      </w:r>
    </w:p>
    <w:p w14:paraId="346BE740" w14:textId="4617AA40" w:rsidR="00611565" w:rsidRPr="00B123A3" w:rsidRDefault="00611565" w:rsidP="00B123A3">
      <w:pPr>
        <w:pStyle w:val="isselectedend"/>
        <w:spacing w:line="360" w:lineRule="auto"/>
        <w:jc w:val="both"/>
        <w:rPr>
          <w:lang w:val="en-GB"/>
        </w:rPr>
      </w:pPr>
      <w:r w:rsidRPr="00B123A3">
        <w:rPr>
          <w:lang w:val="en-GB"/>
        </w:rPr>
        <w:t>A further limitation is the small analytical samples. The ANOVA included six observations per period, while the paired-samples t-test included 14 matched observations representing seven disability categories across female and male students. Small samples reduce statistical power and limit reliable assessment of assumptions such as normality. The use of aggregated percentage data also prevents examination of individual-level variation. The</w:t>
      </w:r>
      <w:r w:rsidR="00B123A3">
        <w:rPr>
          <w:lang w:val="en-GB"/>
        </w:rPr>
        <w:t>refore, the</w:t>
      </w:r>
      <w:r w:rsidRPr="00B123A3">
        <w:rPr>
          <w:lang w:val="en-GB"/>
        </w:rPr>
        <w:t xml:space="preserve"> findings should be understood as patterns within the available data rather than evidence applicable to all students with disabilities.</w:t>
      </w:r>
    </w:p>
    <w:p w14:paraId="2A9341B7" w14:textId="4AE01C4C" w:rsidR="00611565" w:rsidRPr="00B123A3" w:rsidRDefault="002C4DFE" w:rsidP="002C4DFE">
      <w:pPr>
        <w:pStyle w:val="isselectedend"/>
        <w:spacing w:line="360" w:lineRule="auto"/>
        <w:jc w:val="both"/>
        <w:rPr>
          <w:lang w:val="en-GB"/>
        </w:rPr>
      </w:pPr>
      <w:r>
        <w:rPr>
          <w:lang w:val="en-GB"/>
        </w:rPr>
        <w:lastRenderedPageBreak/>
        <w:t>Further, t</w:t>
      </w:r>
      <w:r w:rsidR="00611565" w:rsidRPr="00B123A3">
        <w:rPr>
          <w:lang w:val="en-GB"/>
        </w:rPr>
        <w:t>he selection of statistical procedures also presented challenges, particularly in matching tests to the data structure and assessing assumptions such as homogeneity of variance. Alternative statistical approaches therefore had to be considered, reflecting challenges that can arise among researchers with less extensive statistical experience (Darna et al., 2024).</w:t>
      </w:r>
    </w:p>
    <w:p w14:paraId="254A38C9" w14:textId="0C3E9F28" w:rsidR="00294A29" w:rsidRPr="00E21203" w:rsidRDefault="00611565" w:rsidP="00E21203">
      <w:pPr>
        <w:pStyle w:val="Normalwebb"/>
        <w:spacing w:line="360" w:lineRule="auto"/>
        <w:jc w:val="both"/>
        <w:rPr>
          <w:lang w:val="en-GB"/>
        </w:rPr>
      </w:pPr>
      <w:r w:rsidRPr="00B123A3">
        <w:rPr>
          <w:lang w:val="en-GB"/>
        </w:rPr>
        <w:t xml:space="preserve">Finally, the reliance primarily on quantitative literature limited the theoretical interpretation of the </w:t>
      </w:r>
      <w:r w:rsidR="000B7B93">
        <w:rPr>
          <w:lang w:val="en-GB"/>
        </w:rPr>
        <w:t>c</w:t>
      </w:r>
      <w:r w:rsidRPr="00B123A3">
        <w:rPr>
          <w:lang w:val="en-GB"/>
        </w:rPr>
        <w:t xml:space="preserve">apability </w:t>
      </w:r>
      <w:r w:rsidR="000B7B93">
        <w:rPr>
          <w:lang w:val="en-GB"/>
        </w:rPr>
        <w:t>a</w:t>
      </w:r>
      <w:r w:rsidRPr="00B123A3">
        <w:rPr>
          <w:lang w:val="en-GB"/>
        </w:rPr>
        <w:t>pproach. Qualitative and conceptual research could have provided greater insight into students’ lived experiences and educational opportunities, but methodological consistency required a narrower literature base. Consequently, the study identifies participation patterns and differences but cannot fully explain the experiences or underlying mechanisms shaping participation among students with disabilities.</w:t>
      </w:r>
    </w:p>
    <w:p w14:paraId="23313F9B" w14:textId="4570FDB0" w:rsidR="006F08A3" w:rsidRPr="00746DA8" w:rsidRDefault="00746DA8" w:rsidP="00480CB0">
      <w:pPr>
        <w:spacing w:line="360" w:lineRule="auto"/>
        <w:jc w:val="both"/>
        <w:rPr>
          <w:rFonts w:ascii="Times New Roman" w:eastAsia="Times New Roman" w:hAnsi="Times New Roman" w:cs="Times New Roman"/>
          <w:b/>
          <w:bCs/>
          <w:sz w:val="24"/>
          <w:szCs w:val="24"/>
          <w:lang w:eastAsia="sv-SE"/>
        </w:rPr>
      </w:pPr>
      <w:r w:rsidRPr="00746DA8">
        <w:rPr>
          <w:rFonts w:ascii="Times New Roman" w:eastAsia="Times New Roman" w:hAnsi="Times New Roman" w:cs="Times New Roman"/>
          <w:b/>
          <w:bCs/>
          <w:sz w:val="24"/>
          <w:szCs w:val="24"/>
          <w:lang w:eastAsia="sv-SE"/>
        </w:rPr>
        <w:t>Conclusion</w:t>
      </w:r>
    </w:p>
    <w:p w14:paraId="313E0613" w14:textId="77777777" w:rsidR="00FB3AA6" w:rsidRPr="00FB3AA6" w:rsidRDefault="00FB3AA6" w:rsidP="00FB3AA6">
      <w:pPr>
        <w:spacing w:before="100" w:beforeAutospacing="1" w:after="100" w:afterAutospacing="1" w:line="360" w:lineRule="auto"/>
        <w:jc w:val="both"/>
        <w:rPr>
          <w:rFonts w:ascii="Times New Roman" w:eastAsia="Times New Roman" w:hAnsi="Times New Roman" w:cs="Times New Roman"/>
          <w:sz w:val="24"/>
          <w:szCs w:val="24"/>
          <w:lang w:eastAsia="sv-SE"/>
        </w:rPr>
      </w:pPr>
      <w:r w:rsidRPr="00FB3AA6">
        <w:rPr>
          <w:rFonts w:ascii="Times New Roman" w:eastAsia="Times New Roman" w:hAnsi="Times New Roman" w:cs="Times New Roman"/>
          <w:sz w:val="24"/>
          <w:szCs w:val="24"/>
          <w:lang w:eastAsia="sv-SE"/>
        </w:rPr>
        <w:t>This study examined post-secondary education participation among students with and without disabilities in Sweden, focusing on disability type, gender, and participation during the three years following secondary education. The findings showed variation by disability status, disability type, gender, and time. Although students with disabilities generally had lower participation, participation increased over the period examined. Differences between disability groups were considerable, while gender patterns varied across disability categories.</w:t>
      </w:r>
    </w:p>
    <w:p w14:paraId="337BCCF6" w14:textId="017F9C74" w:rsidR="00FB3AA6" w:rsidRPr="00FB3AA6" w:rsidRDefault="00FB3AA6" w:rsidP="00FB3AA6">
      <w:pPr>
        <w:spacing w:before="100" w:beforeAutospacing="1" w:after="100" w:afterAutospacing="1" w:line="360" w:lineRule="auto"/>
        <w:jc w:val="both"/>
        <w:rPr>
          <w:rFonts w:ascii="Times New Roman" w:eastAsia="Times New Roman" w:hAnsi="Times New Roman" w:cs="Times New Roman"/>
          <w:sz w:val="24"/>
          <w:szCs w:val="24"/>
          <w:lang w:eastAsia="sv-SE"/>
        </w:rPr>
      </w:pPr>
      <w:r w:rsidRPr="00FB3AA6">
        <w:rPr>
          <w:rFonts w:ascii="Times New Roman" w:eastAsia="Times New Roman" w:hAnsi="Times New Roman" w:cs="Times New Roman"/>
          <w:sz w:val="24"/>
          <w:szCs w:val="24"/>
          <w:lang w:eastAsia="sv-SE"/>
        </w:rPr>
        <w:t xml:space="preserve">From a </w:t>
      </w:r>
      <w:r w:rsidR="00F43C8D">
        <w:rPr>
          <w:rFonts w:ascii="Times New Roman" w:eastAsia="Times New Roman" w:hAnsi="Times New Roman" w:cs="Times New Roman"/>
          <w:sz w:val="24"/>
          <w:szCs w:val="24"/>
          <w:lang w:eastAsia="sv-SE"/>
        </w:rPr>
        <w:t>c</w:t>
      </w:r>
      <w:r w:rsidRPr="00FB3AA6">
        <w:rPr>
          <w:rFonts w:ascii="Times New Roman" w:eastAsia="Times New Roman" w:hAnsi="Times New Roman" w:cs="Times New Roman"/>
          <w:sz w:val="24"/>
          <w:szCs w:val="24"/>
          <w:lang w:eastAsia="sv-SE"/>
        </w:rPr>
        <w:t xml:space="preserve">apability </w:t>
      </w:r>
      <w:r w:rsidR="00F43C8D">
        <w:rPr>
          <w:rFonts w:ascii="Times New Roman" w:eastAsia="Times New Roman" w:hAnsi="Times New Roman" w:cs="Times New Roman"/>
          <w:sz w:val="24"/>
          <w:szCs w:val="24"/>
          <w:lang w:eastAsia="sv-SE"/>
        </w:rPr>
        <w:t>a</w:t>
      </w:r>
      <w:r w:rsidRPr="00FB3AA6">
        <w:rPr>
          <w:rFonts w:ascii="Times New Roman" w:eastAsia="Times New Roman" w:hAnsi="Times New Roman" w:cs="Times New Roman"/>
          <w:sz w:val="24"/>
          <w:szCs w:val="24"/>
          <w:lang w:eastAsia="sv-SE"/>
        </w:rPr>
        <w:t>pproach perspective, participation should be understood not only as an educational outcome but also in relation to the conditions enabling individuals to pursue valued educational pathways. Differences in participation may reflect unequal opportunities to convert educational resources and support into actual participation. The significant increase between the first and third years also suggests that transition to post-secondary education is not necessarily immediate. Variation across disability and gender further highlights the need to avoid treating students with disabilities as a homogeneous group.</w:t>
      </w:r>
    </w:p>
    <w:p w14:paraId="622914EB" w14:textId="3672BD06" w:rsidR="00FB3AA6" w:rsidRPr="002D0F00" w:rsidRDefault="002D0F00" w:rsidP="002D0F00">
      <w:pPr>
        <w:spacing w:before="100" w:beforeAutospacing="1" w:after="100" w:afterAutospacing="1" w:line="360" w:lineRule="auto"/>
        <w:jc w:val="both"/>
        <w:rPr>
          <w:rFonts w:ascii="Times New Roman" w:eastAsia="Times New Roman" w:hAnsi="Times New Roman" w:cs="Times New Roman"/>
          <w:sz w:val="24"/>
          <w:szCs w:val="24"/>
          <w:lang w:eastAsia="sv-SE"/>
        </w:rPr>
      </w:pPr>
      <w:r>
        <w:rPr>
          <w:rFonts w:ascii="Times New Roman" w:eastAsia="Times New Roman" w:hAnsi="Times New Roman" w:cs="Times New Roman"/>
          <w:sz w:val="24"/>
          <w:szCs w:val="24"/>
          <w:lang w:eastAsia="sv-SE"/>
        </w:rPr>
        <w:t>Further,</w:t>
      </w:r>
      <w:r w:rsidR="008D1703">
        <w:rPr>
          <w:rFonts w:ascii="Times New Roman" w:eastAsia="Times New Roman" w:hAnsi="Times New Roman" w:cs="Times New Roman"/>
          <w:sz w:val="24"/>
          <w:szCs w:val="24"/>
          <w:lang w:eastAsia="sv-SE"/>
        </w:rPr>
        <w:t xml:space="preserve"> </w:t>
      </w:r>
      <w:r>
        <w:rPr>
          <w:rFonts w:ascii="Times New Roman" w:eastAsia="Times New Roman" w:hAnsi="Times New Roman" w:cs="Times New Roman"/>
          <w:sz w:val="24"/>
          <w:szCs w:val="24"/>
          <w:lang w:eastAsia="sv-SE"/>
        </w:rPr>
        <w:t>t</w:t>
      </w:r>
      <w:r w:rsidR="00FB3AA6" w:rsidRPr="00FB3AA6">
        <w:rPr>
          <w:rFonts w:ascii="Times New Roman" w:eastAsia="Times New Roman" w:hAnsi="Times New Roman" w:cs="Times New Roman"/>
          <w:sz w:val="24"/>
          <w:szCs w:val="24"/>
          <w:lang w:eastAsia="sv-SE"/>
        </w:rPr>
        <w:t>h</w:t>
      </w:r>
      <w:r>
        <w:rPr>
          <w:rFonts w:ascii="Times New Roman" w:eastAsia="Times New Roman" w:hAnsi="Times New Roman" w:cs="Times New Roman"/>
          <w:sz w:val="24"/>
          <w:szCs w:val="24"/>
          <w:lang w:eastAsia="sv-SE"/>
        </w:rPr>
        <w:t>is</w:t>
      </w:r>
      <w:r w:rsidR="00FB3AA6" w:rsidRPr="00FB3AA6">
        <w:rPr>
          <w:rFonts w:ascii="Times New Roman" w:eastAsia="Times New Roman" w:hAnsi="Times New Roman" w:cs="Times New Roman"/>
          <w:sz w:val="24"/>
          <w:szCs w:val="24"/>
          <w:lang w:eastAsia="sv-SE"/>
        </w:rPr>
        <w:t xml:space="preserve"> study contributes to a more differentiated understanding of post-secondary participation across disability and gender groups over time. However, the small analytical samples and aggregated percentage data limit generalisability and prevent causal conclusions about the factors underlying the observed differences.</w:t>
      </w:r>
    </w:p>
    <w:p w14:paraId="31EB52BA" w14:textId="77777777" w:rsidR="00E21203" w:rsidRDefault="00E21203" w:rsidP="00FB3AA6">
      <w:pPr>
        <w:spacing w:before="100" w:beforeAutospacing="1" w:after="100" w:afterAutospacing="1" w:line="240" w:lineRule="auto"/>
        <w:rPr>
          <w:rFonts w:ascii="Times New Roman" w:eastAsia="Times New Roman" w:hAnsi="Times New Roman" w:cs="Times New Roman"/>
          <w:b/>
          <w:bCs/>
          <w:sz w:val="24"/>
          <w:szCs w:val="24"/>
          <w:lang w:eastAsia="sv-SE"/>
        </w:rPr>
      </w:pPr>
    </w:p>
    <w:p w14:paraId="2EAC35AD" w14:textId="596C7C59" w:rsidR="002D0F00" w:rsidRPr="002D0F00" w:rsidRDefault="002D0F00" w:rsidP="00FB3AA6">
      <w:pPr>
        <w:spacing w:before="100" w:beforeAutospacing="1" w:after="100" w:afterAutospacing="1" w:line="240" w:lineRule="auto"/>
        <w:rPr>
          <w:rFonts w:ascii="Times New Roman" w:eastAsia="Times New Roman" w:hAnsi="Times New Roman" w:cs="Times New Roman"/>
          <w:b/>
          <w:bCs/>
          <w:sz w:val="24"/>
          <w:szCs w:val="24"/>
          <w:lang w:eastAsia="sv-SE"/>
        </w:rPr>
      </w:pPr>
      <w:r w:rsidRPr="002D0F00">
        <w:rPr>
          <w:rFonts w:ascii="Times New Roman" w:eastAsia="Times New Roman" w:hAnsi="Times New Roman" w:cs="Times New Roman"/>
          <w:b/>
          <w:bCs/>
          <w:sz w:val="24"/>
          <w:szCs w:val="24"/>
          <w:lang w:eastAsia="sv-SE"/>
        </w:rPr>
        <w:lastRenderedPageBreak/>
        <w:t>Future Research</w:t>
      </w:r>
    </w:p>
    <w:p w14:paraId="6FDBBC6E" w14:textId="77777777" w:rsidR="008D1703" w:rsidRDefault="00FB3AA6" w:rsidP="002D0F00">
      <w:pPr>
        <w:spacing w:before="100" w:beforeAutospacing="1" w:after="100" w:afterAutospacing="1" w:line="360" w:lineRule="auto"/>
        <w:jc w:val="both"/>
        <w:rPr>
          <w:rFonts w:ascii="Times New Roman" w:eastAsia="Times New Roman" w:hAnsi="Times New Roman" w:cs="Times New Roman"/>
          <w:sz w:val="24"/>
          <w:szCs w:val="24"/>
          <w:lang w:eastAsia="sv-SE"/>
        </w:rPr>
      </w:pPr>
      <w:r w:rsidRPr="00FB3AA6">
        <w:rPr>
          <w:rFonts w:ascii="Times New Roman" w:eastAsia="Times New Roman" w:hAnsi="Times New Roman" w:cs="Times New Roman"/>
          <w:sz w:val="24"/>
          <w:szCs w:val="24"/>
          <w:lang w:eastAsia="sv-SE"/>
        </w:rPr>
        <w:t>Future research using larger individual-level datasets should examine how institutional conditions, gender, and disability-related barriers shape educational pathways and participation over time. Such research could also explore how educational systems can expand the capabilities and opportunities of students with disabilities.</w:t>
      </w:r>
      <w:r w:rsidR="008D1703">
        <w:rPr>
          <w:rFonts w:ascii="Times New Roman" w:eastAsia="Times New Roman" w:hAnsi="Times New Roman" w:cs="Times New Roman"/>
          <w:sz w:val="24"/>
          <w:szCs w:val="24"/>
          <w:lang w:eastAsia="sv-SE"/>
        </w:rPr>
        <w:t xml:space="preserve"> </w:t>
      </w:r>
    </w:p>
    <w:p w14:paraId="70C52266" w14:textId="5C276F0A" w:rsidR="00FB3AA6" w:rsidRPr="00FB3AA6" w:rsidRDefault="00FB3AA6" w:rsidP="002D0F00">
      <w:pPr>
        <w:spacing w:before="100" w:beforeAutospacing="1" w:after="100" w:afterAutospacing="1" w:line="360" w:lineRule="auto"/>
        <w:jc w:val="both"/>
        <w:rPr>
          <w:rFonts w:ascii="Times New Roman" w:eastAsia="Times New Roman" w:hAnsi="Times New Roman" w:cs="Times New Roman"/>
          <w:sz w:val="24"/>
          <w:szCs w:val="24"/>
          <w:lang w:eastAsia="sv-SE"/>
        </w:rPr>
      </w:pPr>
      <w:r w:rsidRPr="00FB3AA6">
        <w:rPr>
          <w:rFonts w:ascii="Times New Roman" w:eastAsia="Times New Roman" w:hAnsi="Times New Roman" w:cs="Times New Roman"/>
          <w:sz w:val="24"/>
          <w:szCs w:val="24"/>
          <w:lang w:eastAsia="sv-SE"/>
        </w:rPr>
        <w:t>Overall, the findings may help educational policymakers and practitioners identify participation inequalities and groups that may require additional support.</w:t>
      </w:r>
    </w:p>
    <w:p w14:paraId="34CE6BD4" w14:textId="77777777" w:rsidR="00750379" w:rsidRDefault="00750379" w:rsidP="00E844EC">
      <w:pPr>
        <w:rPr>
          <w:rFonts w:ascii="Times New Roman" w:eastAsia="Times New Roman" w:hAnsi="Times New Roman" w:cs="Times New Roman"/>
          <w:sz w:val="24"/>
          <w:szCs w:val="24"/>
          <w:lang w:eastAsia="sv-SE"/>
        </w:rPr>
      </w:pPr>
    </w:p>
    <w:p w14:paraId="2C3F17AA" w14:textId="77777777" w:rsidR="00554354" w:rsidRDefault="00554354" w:rsidP="00E0592A">
      <w:pPr>
        <w:spacing w:after="0" w:line="240" w:lineRule="auto"/>
        <w:rPr>
          <w:rFonts w:ascii="Times New Roman" w:eastAsia="Times New Roman" w:hAnsi="Times New Roman" w:cs="Times New Roman"/>
          <w:sz w:val="24"/>
          <w:szCs w:val="24"/>
          <w:lang w:eastAsia="sv-SE"/>
        </w:rPr>
      </w:pPr>
    </w:p>
    <w:p w14:paraId="0E91A3F1" w14:textId="77777777" w:rsidR="000146FA" w:rsidRDefault="000146FA" w:rsidP="00E0592A">
      <w:pPr>
        <w:spacing w:after="0" w:line="240" w:lineRule="auto"/>
        <w:rPr>
          <w:rFonts w:ascii="Times New Roman" w:eastAsia="Times New Roman" w:hAnsi="Times New Roman" w:cs="Times New Roman"/>
          <w:sz w:val="24"/>
          <w:szCs w:val="24"/>
          <w:lang w:eastAsia="sv-SE"/>
        </w:rPr>
      </w:pPr>
    </w:p>
    <w:p w14:paraId="4B943C54" w14:textId="77777777" w:rsidR="000146FA" w:rsidRDefault="000146FA" w:rsidP="00E0592A">
      <w:pPr>
        <w:spacing w:after="0" w:line="240" w:lineRule="auto"/>
        <w:rPr>
          <w:rFonts w:ascii="Times New Roman" w:eastAsia="Times New Roman" w:hAnsi="Times New Roman" w:cs="Times New Roman"/>
          <w:sz w:val="24"/>
          <w:szCs w:val="24"/>
          <w:lang w:eastAsia="sv-SE"/>
        </w:rPr>
      </w:pPr>
    </w:p>
    <w:p w14:paraId="47B54910" w14:textId="77777777" w:rsidR="000146FA" w:rsidRDefault="000146FA" w:rsidP="00E0592A">
      <w:pPr>
        <w:spacing w:after="0" w:line="240" w:lineRule="auto"/>
        <w:rPr>
          <w:rFonts w:ascii="Times New Roman" w:eastAsia="Times New Roman" w:hAnsi="Times New Roman" w:cs="Times New Roman"/>
          <w:sz w:val="24"/>
          <w:szCs w:val="24"/>
          <w:lang w:eastAsia="sv-SE"/>
        </w:rPr>
      </w:pPr>
    </w:p>
    <w:p w14:paraId="502AD67C" w14:textId="77777777" w:rsidR="000146FA" w:rsidRDefault="000146FA" w:rsidP="00E0592A">
      <w:pPr>
        <w:spacing w:after="0" w:line="240" w:lineRule="auto"/>
        <w:rPr>
          <w:rFonts w:ascii="Times New Roman" w:eastAsia="Times New Roman" w:hAnsi="Times New Roman" w:cs="Times New Roman"/>
          <w:sz w:val="24"/>
          <w:szCs w:val="24"/>
          <w:lang w:eastAsia="sv-SE"/>
        </w:rPr>
      </w:pPr>
    </w:p>
    <w:p w14:paraId="0CCE0FD1" w14:textId="77777777" w:rsidR="00BB2783" w:rsidRDefault="00BB2783" w:rsidP="00E0592A">
      <w:pPr>
        <w:spacing w:after="0" w:line="240" w:lineRule="auto"/>
        <w:rPr>
          <w:rFonts w:ascii="Times New Roman" w:eastAsia="Times New Roman" w:hAnsi="Times New Roman" w:cs="Times New Roman"/>
          <w:sz w:val="24"/>
          <w:szCs w:val="24"/>
          <w:lang w:eastAsia="sv-SE"/>
        </w:rPr>
      </w:pPr>
    </w:p>
    <w:p w14:paraId="62E2D705" w14:textId="77777777" w:rsidR="00BB2783" w:rsidRDefault="00BB2783" w:rsidP="00E0592A">
      <w:pPr>
        <w:spacing w:after="0" w:line="240" w:lineRule="auto"/>
        <w:rPr>
          <w:rFonts w:ascii="Times New Roman" w:eastAsia="Times New Roman" w:hAnsi="Times New Roman" w:cs="Times New Roman"/>
          <w:sz w:val="24"/>
          <w:szCs w:val="24"/>
          <w:lang w:eastAsia="sv-SE"/>
        </w:rPr>
      </w:pPr>
    </w:p>
    <w:p w14:paraId="7B2F10DA" w14:textId="77777777" w:rsidR="00BB2783" w:rsidRDefault="00BB2783" w:rsidP="00E0592A">
      <w:pPr>
        <w:spacing w:after="0" w:line="240" w:lineRule="auto"/>
        <w:rPr>
          <w:rFonts w:ascii="Times New Roman" w:eastAsia="Times New Roman" w:hAnsi="Times New Roman" w:cs="Times New Roman"/>
          <w:sz w:val="24"/>
          <w:szCs w:val="24"/>
          <w:lang w:eastAsia="sv-SE"/>
        </w:rPr>
      </w:pPr>
    </w:p>
    <w:p w14:paraId="29CA3EF1" w14:textId="77777777" w:rsidR="00BB2783" w:rsidRDefault="00BB2783" w:rsidP="00E0592A">
      <w:pPr>
        <w:spacing w:after="0" w:line="240" w:lineRule="auto"/>
        <w:rPr>
          <w:rFonts w:ascii="Times New Roman" w:eastAsia="Times New Roman" w:hAnsi="Times New Roman" w:cs="Times New Roman"/>
          <w:sz w:val="24"/>
          <w:szCs w:val="24"/>
          <w:lang w:eastAsia="sv-SE"/>
        </w:rPr>
      </w:pPr>
    </w:p>
    <w:p w14:paraId="59323788" w14:textId="77777777" w:rsidR="00BB2783" w:rsidRDefault="00BB2783" w:rsidP="00E0592A">
      <w:pPr>
        <w:spacing w:after="0" w:line="240" w:lineRule="auto"/>
        <w:rPr>
          <w:rFonts w:ascii="Times New Roman" w:eastAsia="Times New Roman" w:hAnsi="Times New Roman" w:cs="Times New Roman"/>
          <w:sz w:val="24"/>
          <w:szCs w:val="24"/>
          <w:lang w:eastAsia="sv-SE"/>
        </w:rPr>
      </w:pPr>
    </w:p>
    <w:p w14:paraId="739A4656" w14:textId="77777777" w:rsidR="00D66958" w:rsidRDefault="00D66958" w:rsidP="00E0592A">
      <w:pPr>
        <w:spacing w:after="0" w:line="240" w:lineRule="auto"/>
        <w:rPr>
          <w:rFonts w:ascii="Times New Roman" w:eastAsia="Times New Roman" w:hAnsi="Times New Roman" w:cs="Times New Roman"/>
          <w:sz w:val="24"/>
          <w:szCs w:val="24"/>
          <w:lang w:eastAsia="sv-SE"/>
        </w:rPr>
      </w:pPr>
    </w:p>
    <w:p w14:paraId="30148801" w14:textId="77777777" w:rsidR="00D66958" w:rsidRDefault="00D66958" w:rsidP="00E0592A">
      <w:pPr>
        <w:spacing w:after="0" w:line="240" w:lineRule="auto"/>
        <w:rPr>
          <w:rFonts w:ascii="Times New Roman" w:eastAsia="Times New Roman" w:hAnsi="Times New Roman" w:cs="Times New Roman"/>
          <w:sz w:val="24"/>
          <w:szCs w:val="24"/>
          <w:lang w:eastAsia="sv-SE"/>
        </w:rPr>
      </w:pPr>
    </w:p>
    <w:p w14:paraId="3DBECB48" w14:textId="77777777" w:rsidR="00D66958" w:rsidRDefault="00D66958" w:rsidP="00E0592A">
      <w:pPr>
        <w:spacing w:after="0" w:line="240" w:lineRule="auto"/>
        <w:rPr>
          <w:rFonts w:ascii="Times New Roman" w:eastAsia="Times New Roman" w:hAnsi="Times New Roman" w:cs="Times New Roman"/>
          <w:sz w:val="24"/>
          <w:szCs w:val="24"/>
          <w:lang w:eastAsia="sv-SE"/>
        </w:rPr>
      </w:pPr>
    </w:p>
    <w:p w14:paraId="3D2DFA4C" w14:textId="77777777" w:rsidR="00D66958" w:rsidRDefault="00D66958" w:rsidP="00E0592A">
      <w:pPr>
        <w:spacing w:after="0" w:line="240" w:lineRule="auto"/>
        <w:rPr>
          <w:rFonts w:ascii="Times New Roman" w:eastAsia="Times New Roman" w:hAnsi="Times New Roman" w:cs="Times New Roman"/>
          <w:sz w:val="24"/>
          <w:szCs w:val="24"/>
          <w:lang w:eastAsia="sv-SE"/>
        </w:rPr>
      </w:pPr>
    </w:p>
    <w:p w14:paraId="0D7A36E2" w14:textId="77777777" w:rsidR="00D66958" w:rsidRDefault="00D66958" w:rsidP="00E0592A">
      <w:pPr>
        <w:spacing w:after="0" w:line="240" w:lineRule="auto"/>
        <w:rPr>
          <w:rFonts w:ascii="Times New Roman" w:eastAsia="Times New Roman" w:hAnsi="Times New Roman" w:cs="Times New Roman"/>
          <w:sz w:val="24"/>
          <w:szCs w:val="24"/>
          <w:lang w:eastAsia="sv-SE"/>
        </w:rPr>
      </w:pPr>
    </w:p>
    <w:p w14:paraId="7D9F8FD9" w14:textId="77777777" w:rsidR="00D66958" w:rsidRDefault="00D66958" w:rsidP="00E0592A">
      <w:pPr>
        <w:spacing w:after="0" w:line="240" w:lineRule="auto"/>
        <w:rPr>
          <w:rFonts w:ascii="Times New Roman" w:eastAsia="Times New Roman" w:hAnsi="Times New Roman" w:cs="Times New Roman"/>
          <w:sz w:val="24"/>
          <w:szCs w:val="24"/>
          <w:lang w:eastAsia="sv-SE"/>
        </w:rPr>
      </w:pPr>
    </w:p>
    <w:p w14:paraId="5B440D9F" w14:textId="77777777" w:rsidR="00D66958" w:rsidRDefault="00D66958" w:rsidP="00E0592A">
      <w:pPr>
        <w:spacing w:after="0" w:line="240" w:lineRule="auto"/>
        <w:rPr>
          <w:rFonts w:ascii="Times New Roman" w:eastAsia="Times New Roman" w:hAnsi="Times New Roman" w:cs="Times New Roman"/>
          <w:sz w:val="24"/>
          <w:szCs w:val="24"/>
          <w:lang w:eastAsia="sv-SE"/>
        </w:rPr>
      </w:pPr>
    </w:p>
    <w:p w14:paraId="020F34EA" w14:textId="77777777" w:rsidR="00D66958" w:rsidRDefault="00D66958" w:rsidP="00E0592A">
      <w:pPr>
        <w:spacing w:after="0" w:line="240" w:lineRule="auto"/>
        <w:rPr>
          <w:rFonts w:ascii="Times New Roman" w:eastAsia="Times New Roman" w:hAnsi="Times New Roman" w:cs="Times New Roman"/>
          <w:sz w:val="24"/>
          <w:szCs w:val="24"/>
          <w:lang w:eastAsia="sv-SE"/>
        </w:rPr>
      </w:pPr>
    </w:p>
    <w:p w14:paraId="36416A95" w14:textId="77777777" w:rsidR="00D66958" w:rsidRDefault="00D66958" w:rsidP="00E0592A">
      <w:pPr>
        <w:spacing w:after="0" w:line="240" w:lineRule="auto"/>
        <w:rPr>
          <w:rFonts w:ascii="Times New Roman" w:eastAsia="Times New Roman" w:hAnsi="Times New Roman" w:cs="Times New Roman"/>
          <w:sz w:val="24"/>
          <w:szCs w:val="24"/>
          <w:lang w:eastAsia="sv-SE"/>
        </w:rPr>
      </w:pPr>
    </w:p>
    <w:p w14:paraId="2B22E4CF" w14:textId="77777777" w:rsidR="00D66958" w:rsidRDefault="00D66958" w:rsidP="00E0592A">
      <w:pPr>
        <w:spacing w:after="0" w:line="240" w:lineRule="auto"/>
        <w:rPr>
          <w:rFonts w:ascii="Times New Roman" w:eastAsia="Times New Roman" w:hAnsi="Times New Roman" w:cs="Times New Roman"/>
          <w:sz w:val="24"/>
          <w:szCs w:val="24"/>
          <w:lang w:eastAsia="sv-SE"/>
        </w:rPr>
      </w:pPr>
    </w:p>
    <w:p w14:paraId="38308B0F" w14:textId="77777777" w:rsidR="00D66958" w:rsidRDefault="00D66958" w:rsidP="00E0592A">
      <w:pPr>
        <w:spacing w:after="0" w:line="240" w:lineRule="auto"/>
        <w:rPr>
          <w:rFonts w:ascii="Times New Roman" w:eastAsia="Times New Roman" w:hAnsi="Times New Roman" w:cs="Times New Roman"/>
          <w:sz w:val="24"/>
          <w:szCs w:val="24"/>
          <w:lang w:eastAsia="sv-SE"/>
        </w:rPr>
      </w:pPr>
    </w:p>
    <w:p w14:paraId="5487FD44" w14:textId="77777777" w:rsidR="00D66958" w:rsidRDefault="00D66958" w:rsidP="00E0592A">
      <w:pPr>
        <w:spacing w:after="0" w:line="240" w:lineRule="auto"/>
        <w:rPr>
          <w:rFonts w:ascii="Times New Roman" w:eastAsia="Times New Roman" w:hAnsi="Times New Roman" w:cs="Times New Roman"/>
          <w:sz w:val="24"/>
          <w:szCs w:val="24"/>
          <w:lang w:eastAsia="sv-SE"/>
        </w:rPr>
      </w:pPr>
    </w:p>
    <w:p w14:paraId="64997808" w14:textId="77777777" w:rsidR="00D66958" w:rsidRDefault="00D66958" w:rsidP="00E0592A">
      <w:pPr>
        <w:spacing w:after="0" w:line="240" w:lineRule="auto"/>
        <w:rPr>
          <w:rFonts w:ascii="Times New Roman" w:eastAsia="Times New Roman" w:hAnsi="Times New Roman" w:cs="Times New Roman"/>
          <w:sz w:val="24"/>
          <w:szCs w:val="24"/>
          <w:lang w:eastAsia="sv-SE"/>
        </w:rPr>
      </w:pPr>
    </w:p>
    <w:p w14:paraId="573451EB" w14:textId="77777777" w:rsidR="00D66958" w:rsidRDefault="00D66958" w:rsidP="00E0592A">
      <w:pPr>
        <w:spacing w:after="0" w:line="240" w:lineRule="auto"/>
        <w:rPr>
          <w:rFonts w:ascii="Times New Roman" w:eastAsia="Times New Roman" w:hAnsi="Times New Roman" w:cs="Times New Roman"/>
          <w:sz w:val="24"/>
          <w:szCs w:val="24"/>
          <w:lang w:eastAsia="sv-SE"/>
        </w:rPr>
      </w:pPr>
    </w:p>
    <w:p w14:paraId="27479464" w14:textId="77777777" w:rsidR="00D66958" w:rsidRDefault="00D66958" w:rsidP="00E0592A">
      <w:pPr>
        <w:spacing w:after="0" w:line="240" w:lineRule="auto"/>
        <w:rPr>
          <w:rFonts w:ascii="Times New Roman" w:eastAsia="Times New Roman" w:hAnsi="Times New Roman" w:cs="Times New Roman"/>
          <w:sz w:val="24"/>
          <w:szCs w:val="24"/>
          <w:lang w:eastAsia="sv-SE"/>
        </w:rPr>
      </w:pPr>
    </w:p>
    <w:p w14:paraId="2F600CD5" w14:textId="77777777" w:rsidR="00D66958" w:rsidRDefault="00D66958" w:rsidP="00E0592A">
      <w:pPr>
        <w:spacing w:after="0" w:line="240" w:lineRule="auto"/>
        <w:rPr>
          <w:rFonts w:ascii="Times New Roman" w:eastAsia="Times New Roman" w:hAnsi="Times New Roman" w:cs="Times New Roman"/>
          <w:sz w:val="24"/>
          <w:szCs w:val="24"/>
          <w:lang w:eastAsia="sv-SE"/>
        </w:rPr>
      </w:pPr>
    </w:p>
    <w:p w14:paraId="2C35DF2D" w14:textId="77777777" w:rsidR="00D66958" w:rsidRDefault="00D66958" w:rsidP="00E0592A">
      <w:pPr>
        <w:spacing w:after="0" w:line="240" w:lineRule="auto"/>
        <w:rPr>
          <w:rFonts w:ascii="Times New Roman" w:eastAsia="Times New Roman" w:hAnsi="Times New Roman" w:cs="Times New Roman"/>
          <w:sz w:val="24"/>
          <w:szCs w:val="24"/>
          <w:lang w:eastAsia="sv-SE"/>
        </w:rPr>
      </w:pPr>
    </w:p>
    <w:p w14:paraId="333BF9F1" w14:textId="77777777" w:rsidR="00D66958" w:rsidRDefault="00D66958" w:rsidP="00E0592A">
      <w:pPr>
        <w:spacing w:after="0" w:line="240" w:lineRule="auto"/>
        <w:rPr>
          <w:rFonts w:ascii="Times New Roman" w:eastAsia="Times New Roman" w:hAnsi="Times New Roman" w:cs="Times New Roman"/>
          <w:sz w:val="24"/>
          <w:szCs w:val="24"/>
          <w:lang w:eastAsia="sv-SE"/>
        </w:rPr>
      </w:pPr>
    </w:p>
    <w:p w14:paraId="08E84517" w14:textId="77777777" w:rsidR="00D66958" w:rsidRDefault="00D66958" w:rsidP="00E0592A">
      <w:pPr>
        <w:spacing w:after="0" w:line="240" w:lineRule="auto"/>
        <w:rPr>
          <w:rFonts w:ascii="Times New Roman" w:eastAsia="Times New Roman" w:hAnsi="Times New Roman" w:cs="Times New Roman"/>
          <w:sz w:val="24"/>
          <w:szCs w:val="24"/>
          <w:lang w:eastAsia="sv-SE"/>
        </w:rPr>
      </w:pPr>
    </w:p>
    <w:p w14:paraId="494D6142" w14:textId="77777777" w:rsidR="00D66958" w:rsidRDefault="00D66958" w:rsidP="00E0592A">
      <w:pPr>
        <w:spacing w:after="0" w:line="240" w:lineRule="auto"/>
        <w:rPr>
          <w:rFonts w:ascii="Times New Roman" w:eastAsia="Times New Roman" w:hAnsi="Times New Roman" w:cs="Times New Roman"/>
          <w:sz w:val="24"/>
          <w:szCs w:val="24"/>
          <w:lang w:eastAsia="sv-SE"/>
        </w:rPr>
      </w:pPr>
    </w:p>
    <w:p w14:paraId="60AFAC07" w14:textId="77777777" w:rsidR="00D66958" w:rsidRDefault="00D66958" w:rsidP="00E0592A">
      <w:pPr>
        <w:spacing w:after="0" w:line="240" w:lineRule="auto"/>
        <w:rPr>
          <w:rFonts w:ascii="Times New Roman" w:eastAsia="Times New Roman" w:hAnsi="Times New Roman" w:cs="Times New Roman"/>
          <w:sz w:val="24"/>
          <w:szCs w:val="24"/>
          <w:lang w:eastAsia="sv-SE"/>
        </w:rPr>
      </w:pPr>
    </w:p>
    <w:p w14:paraId="6F6F98AF" w14:textId="77777777" w:rsidR="00D66958" w:rsidRDefault="00D66958" w:rsidP="00E0592A">
      <w:pPr>
        <w:spacing w:after="0" w:line="240" w:lineRule="auto"/>
        <w:rPr>
          <w:rFonts w:ascii="Times New Roman" w:eastAsia="Times New Roman" w:hAnsi="Times New Roman" w:cs="Times New Roman"/>
          <w:sz w:val="24"/>
          <w:szCs w:val="24"/>
          <w:lang w:eastAsia="sv-SE"/>
        </w:rPr>
      </w:pPr>
    </w:p>
    <w:p w14:paraId="13CAFBA6" w14:textId="77777777" w:rsidR="00D66958" w:rsidRDefault="00D66958" w:rsidP="00E0592A">
      <w:pPr>
        <w:spacing w:after="0" w:line="240" w:lineRule="auto"/>
        <w:rPr>
          <w:rFonts w:ascii="Times New Roman" w:eastAsia="Times New Roman" w:hAnsi="Times New Roman" w:cs="Times New Roman"/>
          <w:sz w:val="24"/>
          <w:szCs w:val="24"/>
          <w:lang w:eastAsia="sv-SE"/>
        </w:rPr>
      </w:pPr>
    </w:p>
    <w:p w14:paraId="3631A5C0" w14:textId="77777777" w:rsidR="00D66958" w:rsidRDefault="00D66958" w:rsidP="00E0592A">
      <w:pPr>
        <w:spacing w:after="0" w:line="240" w:lineRule="auto"/>
        <w:rPr>
          <w:rFonts w:ascii="Times New Roman" w:eastAsia="Times New Roman" w:hAnsi="Times New Roman" w:cs="Times New Roman"/>
          <w:sz w:val="24"/>
          <w:szCs w:val="24"/>
          <w:lang w:eastAsia="sv-SE"/>
        </w:rPr>
      </w:pPr>
    </w:p>
    <w:p w14:paraId="128EC5E8" w14:textId="77777777" w:rsidR="000146FA" w:rsidRDefault="000146FA" w:rsidP="00E0592A">
      <w:pPr>
        <w:spacing w:after="0" w:line="240" w:lineRule="auto"/>
        <w:rPr>
          <w:rFonts w:ascii="Times New Roman" w:eastAsia="Times New Roman" w:hAnsi="Times New Roman" w:cs="Times New Roman"/>
          <w:sz w:val="24"/>
          <w:szCs w:val="24"/>
          <w:lang w:eastAsia="sv-SE"/>
        </w:rPr>
      </w:pPr>
    </w:p>
    <w:p w14:paraId="6D199780" w14:textId="77777777" w:rsidR="00554354" w:rsidRPr="00B11CFA" w:rsidRDefault="00554354" w:rsidP="00E0592A">
      <w:pPr>
        <w:spacing w:after="0" w:line="240" w:lineRule="auto"/>
        <w:rPr>
          <w:rFonts w:ascii="Times New Roman" w:eastAsia="Times New Roman" w:hAnsi="Times New Roman" w:cs="Times New Roman"/>
          <w:vanish/>
          <w:sz w:val="24"/>
          <w:szCs w:val="24"/>
          <w:lang w:eastAsia="sv-SE"/>
        </w:rPr>
      </w:pPr>
    </w:p>
    <w:p w14:paraId="61EE05B0" w14:textId="674ADC22" w:rsidR="00E0592A" w:rsidRPr="00B11CFA" w:rsidRDefault="00E0592A" w:rsidP="00E0592A">
      <w:pPr>
        <w:spacing w:after="0" w:line="240" w:lineRule="auto"/>
        <w:rPr>
          <w:rFonts w:ascii="Times New Roman" w:eastAsia="Times New Roman" w:hAnsi="Times New Roman" w:cs="Times New Roman"/>
          <w:sz w:val="24"/>
          <w:szCs w:val="24"/>
          <w:highlight w:val="green"/>
          <w:lang w:eastAsia="sv-SE"/>
        </w:rPr>
      </w:pPr>
    </w:p>
    <w:p w14:paraId="1BD54C2F" w14:textId="354DD625" w:rsidR="000146FA" w:rsidRPr="00C96994" w:rsidRDefault="005C357E" w:rsidP="0019689B">
      <w:pPr>
        <w:spacing w:line="240" w:lineRule="auto"/>
        <w:rPr>
          <w:rFonts w:ascii="Times New Roman" w:hAnsi="Times New Roman" w:cs="Times New Roman"/>
          <w:sz w:val="24"/>
          <w:szCs w:val="24"/>
        </w:rPr>
      </w:pPr>
      <w:r w:rsidRPr="00C96994">
        <w:rPr>
          <w:rFonts w:ascii="Times New Roman" w:hAnsi="Times New Roman" w:cs="Times New Roman"/>
          <w:b/>
          <w:bCs/>
          <w:sz w:val="24"/>
          <w:szCs w:val="24"/>
        </w:rPr>
        <w:lastRenderedPageBreak/>
        <w:t>Refer</w:t>
      </w:r>
      <w:r w:rsidR="00C96994" w:rsidRPr="00C96994">
        <w:rPr>
          <w:rFonts w:ascii="Times New Roman" w:hAnsi="Times New Roman" w:cs="Times New Roman"/>
          <w:b/>
          <w:bCs/>
          <w:sz w:val="24"/>
          <w:szCs w:val="24"/>
        </w:rPr>
        <w:t>e</w:t>
      </w:r>
      <w:r w:rsidRPr="00C96994">
        <w:rPr>
          <w:rFonts w:ascii="Times New Roman" w:hAnsi="Times New Roman" w:cs="Times New Roman"/>
          <w:b/>
          <w:bCs/>
          <w:sz w:val="24"/>
          <w:szCs w:val="24"/>
        </w:rPr>
        <w:t>nces</w:t>
      </w:r>
      <w:r w:rsidR="00C96994" w:rsidRPr="00C96994">
        <w:rPr>
          <w:rFonts w:ascii="Times New Roman" w:hAnsi="Times New Roman" w:cs="Times New Roman"/>
          <w:b/>
          <w:bCs/>
          <w:sz w:val="24"/>
          <w:szCs w:val="24"/>
        </w:rPr>
        <w:t>:</w:t>
      </w:r>
      <w:r w:rsidR="000146FA" w:rsidRPr="00C96994">
        <w:rPr>
          <w:rFonts w:ascii="Times New Roman" w:hAnsi="Times New Roman" w:cs="Times New Roman"/>
          <w:sz w:val="24"/>
          <w:szCs w:val="24"/>
        </w:rPr>
        <w:t xml:space="preserve"> </w:t>
      </w:r>
    </w:p>
    <w:p w14:paraId="60D85B39"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r w:rsidRPr="00C96994">
        <w:rPr>
          <w:rFonts w:ascii="Times New Roman" w:eastAsia="Times New Roman" w:hAnsi="Times New Roman" w:cs="Times New Roman"/>
          <w:sz w:val="24"/>
          <w:szCs w:val="24"/>
          <w:lang w:eastAsia="sv-SE"/>
        </w:rPr>
        <w:t xml:space="preserve">Ainscow, M., Slee, R., &amp; Best, M. (2019). Editorial: the Salamanca Statement: 25 years on. </w:t>
      </w:r>
      <w:r w:rsidRPr="00C96994">
        <w:rPr>
          <w:rFonts w:ascii="Times New Roman" w:eastAsia="Times New Roman" w:hAnsi="Times New Roman" w:cs="Times New Roman"/>
          <w:i/>
          <w:iCs/>
          <w:sz w:val="24"/>
          <w:szCs w:val="24"/>
          <w:lang w:eastAsia="sv-SE"/>
        </w:rPr>
        <w:t>International Journal of Inclusive Education</w:t>
      </w:r>
      <w:r w:rsidRPr="00C96994">
        <w:rPr>
          <w:rFonts w:ascii="Times New Roman" w:eastAsia="Times New Roman" w:hAnsi="Times New Roman" w:cs="Times New Roman"/>
          <w:sz w:val="24"/>
          <w:szCs w:val="24"/>
          <w:lang w:eastAsia="sv-SE"/>
        </w:rPr>
        <w:t xml:space="preserve">, </w:t>
      </w:r>
      <w:r w:rsidRPr="00C96994">
        <w:rPr>
          <w:rFonts w:ascii="Times New Roman" w:eastAsia="Times New Roman" w:hAnsi="Times New Roman" w:cs="Times New Roman"/>
          <w:i/>
          <w:iCs/>
          <w:sz w:val="24"/>
          <w:szCs w:val="24"/>
          <w:lang w:eastAsia="sv-SE"/>
        </w:rPr>
        <w:t>23</w:t>
      </w:r>
      <w:r w:rsidRPr="00C96994">
        <w:rPr>
          <w:rFonts w:ascii="Times New Roman" w:eastAsia="Times New Roman" w:hAnsi="Times New Roman" w:cs="Times New Roman"/>
          <w:sz w:val="24"/>
          <w:szCs w:val="24"/>
          <w:lang w:eastAsia="sv-SE"/>
        </w:rPr>
        <w:t xml:space="preserve">(7–8), 671–676. </w:t>
      </w:r>
      <w:hyperlink r:id="rId9" w:history="1">
        <w:r w:rsidRPr="00C96994">
          <w:rPr>
            <w:rStyle w:val="Hyperlnk"/>
            <w:rFonts w:ascii="Times New Roman" w:eastAsia="Times New Roman" w:hAnsi="Times New Roman" w:cs="Times New Roman"/>
            <w:sz w:val="24"/>
            <w:szCs w:val="24"/>
            <w:lang w:eastAsia="sv-SE"/>
          </w:rPr>
          <w:t>https://doi.org/10.1080/13603116.2019.1622800</w:t>
        </w:r>
      </w:hyperlink>
    </w:p>
    <w:p w14:paraId="673083BA"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p>
    <w:p w14:paraId="4B3A7799"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r w:rsidRPr="00C96994">
        <w:rPr>
          <w:rFonts w:ascii="Times New Roman" w:eastAsia="Times New Roman" w:hAnsi="Times New Roman" w:cs="Times New Roman"/>
          <w:sz w:val="24"/>
          <w:szCs w:val="24"/>
          <w:lang w:eastAsia="sv-SE"/>
        </w:rPr>
        <w:t xml:space="preserve">Akin, D., &amp; Huang, L. M. (2019). Perceptions of College Students with Disabilities. </w:t>
      </w:r>
      <w:r w:rsidRPr="00C96994">
        <w:rPr>
          <w:rFonts w:ascii="Times New Roman" w:eastAsia="Times New Roman" w:hAnsi="Times New Roman" w:cs="Times New Roman"/>
          <w:i/>
          <w:iCs/>
          <w:sz w:val="24"/>
          <w:szCs w:val="24"/>
          <w:lang w:eastAsia="sv-SE"/>
        </w:rPr>
        <w:t>Journal of Postsecondary Education and Disability (Print)</w:t>
      </w:r>
      <w:r w:rsidRPr="00C96994">
        <w:rPr>
          <w:rFonts w:ascii="Times New Roman" w:eastAsia="Times New Roman" w:hAnsi="Times New Roman" w:cs="Times New Roman"/>
          <w:sz w:val="24"/>
          <w:szCs w:val="24"/>
          <w:lang w:eastAsia="sv-SE"/>
        </w:rPr>
        <w:t xml:space="preserve">, </w:t>
      </w:r>
      <w:r w:rsidRPr="00C96994">
        <w:rPr>
          <w:rFonts w:ascii="Times New Roman" w:eastAsia="Times New Roman" w:hAnsi="Times New Roman" w:cs="Times New Roman"/>
          <w:i/>
          <w:iCs/>
          <w:sz w:val="24"/>
          <w:szCs w:val="24"/>
          <w:lang w:eastAsia="sv-SE"/>
        </w:rPr>
        <w:t>32</w:t>
      </w:r>
      <w:r w:rsidRPr="00C96994">
        <w:rPr>
          <w:rFonts w:ascii="Times New Roman" w:eastAsia="Times New Roman" w:hAnsi="Times New Roman" w:cs="Times New Roman"/>
          <w:sz w:val="24"/>
          <w:szCs w:val="24"/>
          <w:lang w:eastAsia="sv-SE"/>
        </w:rPr>
        <w:t>(1), 21.</w:t>
      </w:r>
    </w:p>
    <w:p w14:paraId="1D0AFA2E"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p>
    <w:p w14:paraId="492C8922"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r w:rsidRPr="00C96994">
        <w:rPr>
          <w:rFonts w:ascii="Times New Roman" w:eastAsia="Times New Roman" w:hAnsi="Times New Roman" w:cs="Times New Roman"/>
          <w:sz w:val="24"/>
          <w:szCs w:val="24"/>
          <w:lang w:eastAsia="sv-SE"/>
        </w:rPr>
        <w:t xml:space="preserve">Albers, M. J. (2017). </w:t>
      </w:r>
      <w:r w:rsidRPr="00C96994">
        <w:rPr>
          <w:rFonts w:ascii="Times New Roman" w:eastAsia="Times New Roman" w:hAnsi="Times New Roman" w:cs="Times New Roman"/>
          <w:i/>
          <w:iCs/>
          <w:sz w:val="24"/>
          <w:szCs w:val="24"/>
          <w:lang w:eastAsia="sv-SE"/>
        </w:rPr>
        <w:t>Introduction to Quantitative Data Analysis in the Behavioral and Social Sciences</w:t>
      </w:r>
      <w:r w:rsidRPr="00C96994">
        <w:rPr>
          <w:rFonts w:ascii="Times New Roman" w:eastAsia="Times New Roman" w:hAnsi="Times New Roman" w:cs="Times New Roman"/>
          <w:sz w:val="24"/>
          <w:szCs w:val="24"/>
          <w:lang w:eastAsia="sv-SE"/>
        </w:rPr>
        <w:t>. Wiley Global Research (STMS).</w:t>
      </w:r>
    </w:p>
    <w:p w14:paraId="4C95AFB3"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p>
    <w:p w14:paraId="25823168"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r w:rsidRPr="00C96994">
        <w:rPr>
          <w:rFonts w:ascii="Times New Roman" w:eastAsia="Times New Roman" w:hAnsi="Times New Roman" w:cs="Times New Roman"/>
          <w:sz w:val="24"/>
          <w:szCs w:val="24"/>
          <w:lang w:eastAsia="sv-SE"/>
        </w:rPr>
        <w:t xml:space="preserve">Azmoodeh, M., Haghighi, F., &amp; Motieyan, H. (2023). The capability approach and social equity in transport: Understanding factors affecting capabilities of urban residents, using structural equation modeling. </w:t>
      </w:r>
      <w:r w:rsidRPr="00C96994">
        <w:rPr>
          <w:rFonts w:ascii="Times New Roman" w:eastAsia="Times New Roman" w:hAnsi="Times New Roman" w:cs="Times New Roman"/>
          <w:i/>
          <w:iCs/>
          <w:sz w:val="24"/>
          <w:szCs w:val="24"/>
          <w:lang w:eastAsia="sv-SE"/>
        </w:rPr>
        <w:t>Transport Policy</w:t>
      </w:r>
      <w:r w:rsidRPr="00C96994">
        <w:rPr>
          <w:rFonts w:ascii="Times New Roman" w:eastAsia="Times New Roman" w:hAnsi="Times New Roman" w:cs="Times New Roman"/>
          <w:sz w:val="24"/>
          <w:szCs w:val="24"/>
          <w:lang w:eastAsia="sv-SE"/>
        </w:rPr>
        <w:t xml:space="preserve">, </w:t>
      </w:r>
      <w:r w:rsidRPr="00C96994">
        <w:rPr>
          <w:rFonts w:ascii="Times New Roman" w:eastAsia="Times New Roman" w:hAnsi="Times New Roman" w:cs="Times New Roman"/>
          <w:i/>
          <w:iCs/>
          <w:sz w:val="24"/>
          <w:szCs w:val="24"/>
          <w:lang w:eastAsia="sv-SE"/>
        </w:rPr>
        <w:t>142</w:t>
      </w:r>
      <w:r w:rsidRPr="00C96994">
        <w:rPr>
          <w:rFonts w:ascii="Times New Roman" w:eastAsia="Times New Roman" w:hAnsi="Times New Roman" w:cs="Times New Roman"/>
          <w:sz w:val="24"/>
          <w:szCs w:val="24"/>
          <w:lang w:eastAsia="sv-SE"/>
        </w:rPr>
        <w:t xml:space="preserve">, 137–151. </w:t>
      </w:r>
      <w:hyperlink r:id="rId10" w:history="1">
        <w:r w:rsidRPr="00C96994">
          <w:rPr>
            <w:rStyle w:val="Hyperlnk"/>
            <w:rFonts w:ascii="Times New Roman" w:eastAsia="Times New Roman" w:hAnsi="Times New Roman" w:cs="Times New Roman"/>
            <w:sz w:val="24"/>
            <w:szCs w:val="24"/>
            <w:lang w:eastAsia="sv-SE"/>
          </w:rPr>
          <w:t>https://doi.org/10.1016/j.tranpol.2023.08.010</w:t>
        </w:r>
      </w:hyperlink>
    </w:p>
    <w:p w14:paraId="0EAE3249"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p>
    <w:p w14:paraId="4BCBC348"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r w:rsidRPr="00C96994">
        <w:rPr>
          <w:rFonts w:ascii="Times New Roman" w:eastAsia="Times New Roman" w:hAnsi="Times New Roman" w:cs="Times New Roman"/>
          <w:sz w:val="24"/>
          <w:szCs w:val="24"/>
          <w:lang w:eastAsia="sv-SE"/>
        </w:rPr>
        <w:t xml:space="preserve">Barros, A. C. K. de M., &amp; Diniz, P. I. R. (2025). The Capability Approach: Multidimensional Poverty, Global Justice, and Global South Perspectives. </w:t>
      </w:r>
      <w:r w:rsidRPr="00C96994">
        <w:rPr>
          <w:rFonts w:ascii="Times New Roman" w:eastAsia="Times New Roman" w:hAnsi="Times New Roman" w:cs="Times New Roman"/>
          <w:i/>
          <w:iCs/>
          <w:sz w:val="24"/>
          <w:szCs w:val="24"/>
          <w:lang w:eastAsia="sv-SE"/>
        </w:rPr>
        <w:t>Contexto Internacional</w:t>
      </w:r>
      <w:r w:rsidRPr="00C96994">
        <w:rPr>
          <w:rFonts w:ascii="Times New Roman" w:eastAsia="Times New Roman" w:hAnsi="Times New Roman" w:cs="Times New Roman"/>
          <w:sz w:val="24"/>
          <w:szCs w:val="24"/>
          <w:lang w:eastAsia="sv-SE"/>
        </w:rPr>
        <w:t xml:space="preserve">, </w:t>
      </w:r>
      <w:r w:rsidRPr="00C96994">
        <w:rPr>
          <w:rFonts w:ascii="Times New Roman" w:eastAsia="Times New Roman" w:hAnsi="Times New Roman" w:cs="Times New Roman"/>
          <w:i/>
          <w:iCs/>
          <w:sz w:val="24"/>
          <w:szCs w:val="24"/>
          <w:lang w:eastAsia="sv-SE"/>
        </w:rPr>
        <w:t>47</w:t>
      </w:r>
      <w:r w:rsidRPr="00C96994">
        <w:rPr>
          <w:rFonts w:ascii="Times New Roman" w:eastAsia="Times New Roman" w:hAnsi="Times New Roman" w:cs="Times New Roman"/>
          <w:sz w:val="24"/>
          <w:szCs w:val="24"/>
          <w:lang w:eastAsia="sv-SE"/>
        </w:rPr>
        <w:t xml:space="preserve">(1). </w:t>
      </w:r>
      <w:hyperlink r:id="rId11" w:history="1">
        <w:r w:rsidRPr="00C96994">
          <w:rPr>
            <w:rStyle w:val="Hyperlnk"/>
            <w:rFonts w:ascii="Times New Roman" w:eastAsia="Times New Roman" w:hAnsi="Times New Roman" w:cs="Times New Roman"/>
            <w:sz w:val="24"/>
            <w:szCs w:val="24"/>
            <w:lang w:eastAsia="sv-SE"/>
          </w:rPr>
          <w:t>https://doi.org/10.1590/s0102-8529.20254701e20230027</w:t>
        </w:r>
      </w:hyperlink>
    </w:p>
    <w:p w14:paraId="630F73CD"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p>
    <w:p w14:paraId="62DA66B9"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r w:rsidRPr="00C96994">
        <w:rPr>
          <w:rFonts w:ascii="Times New Roman" w:eastAsia="Times New Roman" w:hAnsi="Times New Roman" w:cs="Times New Roman"/>
          <w:sz w:val="24"/>
          <w:szCs w:val="24"/>
          <w:lang w:eastAsia="sv-SE"/>
        </w:rPr>
        <w:t>Bartolomei, L., Blundo-Canto, G., &amp; De Muro, P. (2024). How is the Capability Approach Applied to Assess Well-being Impacts? A Systematic Review. </w:t>
      </w:r>
      <w:r w:rsidRPr="00C96994">
        <w:rPr>
          <w:rFonts w:ascii="Times New Roman" w:eastAsia="Times New Roman" w:hAnsi="Times New Roman" w:cs="Times New Roman"/>
          <w:i/>
          <w:iCs/>
          <w:sz w:val="24"/>
          <w:szCs w:val="24"/>
          <w:lang w:eastAsia="sv-SE"/>
        </w:rPr>
        <w:t>Journal of Human Development and Capabilities</w:t>
      </w:r>
      <w:r w:rsidRPr="00C96994">
        <w:rPr>
          <w:rFonts w:ascii="Times New Roman" w:eastAsia="Times New Roman" w:hAnsi="Times New Roman" w:cs="Times New Roman"/>
          <w:sz w:val="24"/>
          <w:szCs w:val="24"/>
          <w:lang w:eastAsia="sv-SE"/>
        </w:rPr>
        <w:t>, </w:t>
      </w:r>
      <w:r w:rsidRPr="00C96994">
        <w:rPr>
          <w:rFonts w:ascii="Times New Roman" w:eastAsia="Times New Roman" w:hAnsi="Times New Roman" w:cs="Times New Roman"/>
          <w:i/>
          <w:iCs/>
          <w:sz w:val="24"/>
          <w:szCs w:val="24"/>
          <w:lang w:eastAsia="sv-SE"/>
        </w:rPr>
        <w:t>25</w:t>
      </w:r>
      <w:r w:rsidRPr="00C96994">
        <w:rPr>
          <w:rFonts w:ascii="Times New Roman" w:eastAsia="Times New Roman" w:hAnsi="Times New Roman" w:cs="Times New Roman"/>
          <w:sz w:val="24"/>
          <w:szCs w:val="24"/>
          <w:lang w:eastAsia="sv-SE"/>
        </w:rPr>
        <w:t xml:space="preserve">(3), 367–399. </w:t>
      </w:r>
      <w:hyperlink r:id="rId12" w:history="1">
        <w:r w:rsidRPr="00C96994">
          <w:rPr>
            <w:rStyle w:val="Hyperlnk"/>
            <w:rFonts w:ascii="Times New Roman" w:eastAsia="Times New Roman" w:hAnsi="Times New Roman" w:cs="Times New Roman"/>
            <w:sz w:val="24"/>
            <w:szCs w:val="24"/>
            <w:lang w:eastAsia="sv-SE"/>
          </w:rPr>
          <w:t>https://doi.org/10.1080/19452829.2024.2369502</w:t>
        </w:r>
      </w:hyperlink>
    </w:p>
    <w:p w14:paraId="6FA3AC95"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p>
    <w:p w14:paraId="7520C71D" w14:textId="77777777" w:rsidR="000146FA" w:rsidRPr="00C96994" w:rsidRDefault="000146FA" w:rsidP="0019689B">
      <w:pPr>
        <w:spacing w:after="0" w:line="240" w:lineRule="auto"/>
        <w:rPr>
          <w:rFonts w:ascii="Times New Roman" w:hAnsi="Times New Roman" w:cs="Times New Roman"/>
          <w:sz w:val="24"/>
          <w:szCs w:val="24"/>
        </w:rPr>
      </w:pPr>
      <w:r w:rsidRPr="00C96994">
        <w:rPr>
          <w:rFonts w:ascii="Times New Roman" w:eastAsia="Times New Roman" w:hAnsi="Times New Roman" w:cs="Times New Roman"/>
          <w:sz w:val="24"/>
          <w:szCs w:val="24"/>
          <w:lang w:eastAsia="sv-SE"/>
        </w:rPr>
        <w:t xml:space="preserve">Bettencourt, G. M., Wells, R. S., &amp; Abbott, J. A. (2022). The Iterative College Choice Process of Students with Disabilities: A Mixed-Methods Study. </w:t>
      </w:r>
      <w:r w:rsidRPr="00C96994">
        <w:rPr>
          <w:rFonts w:ascii="Times New Roman" w:eastAsia="Times New Roman" w:hAnsi="Times New Roman" w:cs="Times New Roman"/>
          <w:i/>
          <w:iCs/>
          <w:sz w:val="24"/>
          <w:szCs w:val="24"/>
          <w:lang w:eastAsia="sv-SE"/>
        </w:rPr>
        <w:t>Teachers College Record (1970)</w:t>
      </w:r>
      <w:r w:rsidRPr="00C96994">
        <w:rPr>
          <w:rFonts w:ascii="Times New Roman" w:eastAsia="Times New Roman" w:hAnsi="Times New Roman" w:cs="Times New Roman"/>
          <w:sz w:val="24"/>
          <w:szCs w:val="24"/>
          <w:lang w:eastAsia="sv-SE"/>
        </w:rPr>
        <w:t xml:space="preserve">, </w:t>
      </w:r>
      <w:r w:rsidRPr="00C96994">
        <w:rPr>
          <w:rFonts w:ascii="Times New Roman" w:eastAsia="Times New Roman" w:hAnsi="Times New Roman" w:cs="Times New Roman"/>
          <w:i/>
          <w:iCs/>
          <w:sz w:val="24"/>
          <w:szCs w:val="24"/>
          <w:lang w:eastAsia="sv-SE"/>
        </w:rPr>
        <w:t>124</w:t>
      </w:r>
      <w:r w:rsidRPr="00C96994">
        <w:rPr>
          <w:rFonts w:ascii="Times New Roman" w:eastAsia="Times New Roman" w:hAnsi="Times New Roman" w:cs="Times New Roman"/>
          <w:sz w:val="24"/>
          <w:szCs w:val="24"/>
          <w:lang w:eastAsia="sv-SE"/>
        </w:rPr>
        <w:t xml:space="preserve">(9), 149–174. </w:t>
      </w:r>
      <w:hyperlink r:id="rId13" w:history="1">
        <w:r w:rsidRPr="00C96994">
          <w:rPr>
            <w:rStyle w:val="Hyperlnk"/>
            <w:rFonts w:ascii="Times New Roman" w:eastAsia="Times New Roman" w:hAnsi="Times New Roman" w:cs="Times New Roman"/>
            <w:sz w:val="24"/>
            <w:szCs w:val="24"/>
            <w:lang w:eastAsia="sv-SE"/>
          </w:rPr>
          <w:t>https://doi.org/10.1177/01614681221132944</w:t>
        </w:r>
      </w:hyperlink>
    </w:p>
    <w:p w14:paraId="05838E76" w14:textId="77777777" w:rsidR="000146FA" w:rsidRPr="00C96994" w:rsidRDefault="000146FA" w:rsidP="0019689B">
      <w:pPr>
        <w:spacing w:after="0" w:line="240" w:lineRule="auto"/>
        <w:rPr>
          <w:rFonts w:ascii="Times New Roman" w:hAnsi="Times New Roman" w:cs="Times New Roman"/>
          <w:sz w:val="24"/>
          <w:szCs w:val="24"/>
        </w:rPr>
      </w:pPr>
    </w:p>
    <w:p w14:paraId="22FD0023"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r w:rsidRPr="00C96994">
        <w:rPr>
          <w:rFonts w:ascii="Times New Roman" w:eastAsia="Times New Roman" w:hAnsi="Times New Roman" w:cs="Times New Roman"/>
          <w:sz w:val="24"/>
          <w:szCs w:val="24"/>
          <w:lang w:eastAsia="sv-SE"/>
        </w:rPr>
        <w:t xml:space="preserve">Biagiotti, G., Schreuer, N., Moriña, A., &amp; Cohen, H. (2026). Towards an inclusive understanding of career development in higher education: reflections of graduates with disabilities. </w:t>
      </w:r>
      <w:r w:rsidRPr="00C96994">
        <w:rPr>
          <w:rFonts w:ascii="Times New Roman" w:eastAsia="Times New Roman" w:hAnsi="Times New Roman" w:cs="Times New Roman"/>
          <w:i/>
          <w:iCs/>
          <w:sz w:val="24"/>
          <w:szCs w:val="24"/>
          <w:lang w:eastAsia="sv-SE"/>
        </w:rPr>
        <w:t>European Journal of Higher Education</w:t>
      </w:r>
      <w:r w:rsidRPr="00C96994">
        <w:rPr>
          <w:rFonts w:ascii="Times New Roman" w:eastAsia="Times New Roman" w:hAnsi="Times New Roman" w:cs="Times New Roman"/>
          <w:sz w:val="24"/>
          <w:szCs w:val="24"/>
          <w:lang w:eastAsia="sv-SE"/>
        </w:rPr>
        <w:t xml:space="preserve">, 1–22. </w:t>
      </w:r>
      <w:hyperlink r:id="rId14" w:history="1">
        <w:r w:rsidRPr="00C96994">
          <w:rPr>
            <w:rStyle w:val="Hyperlnk"/>
            <w:rFonts w:ascii="Times New Roman" w:eastAsia="Times New Roman" w:hAnsi="Times New Roman" w:cs="Times New Roman"/>
            <w:sz w:val="24"/>
            <w:szCs w:val="24"/>
            <w:lang w:eastAsia="sv-SE"/>
          </w:rPr>
          <w:t>https://doi.org/10.1080/21568235.2026.2672468</w:t>
        </w:r>
      </w:hyperlink>
    </w:p>
    <w:p w14:paraId="5EFB0C30"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p>
    <w:p w14:paraId="600F8698"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r w:rsidRPr="00C96994">
        <w:rPr>
          <w:rFonts w:ascii="Times New Roman" w:eastAsia="Times New Roman" w:hAnsi="Times New Roman" w:cs="Times New Roman"/>
          <w:sz w:val="24"/>
          <w:szCs w:val="24"/>
          <w:lang w:eastAsia="sv-SE"/>
        </w:rPr>
        <w:t xml:space="preserve">Boeren, E. (2018). The methodological underdog: A review of quantitative research in the key adult education journals. </w:t>
      </w:r>
      <w:r w:rsidRPr="00C96994">
        <w:rPr>
          <w:rFonts w:ascii="Times New Roman" w:eastAsia="Times New Roman" w:hAnsi="Times New Roman" w:cs="Times New Roman"/>
          <w:i/>
          <w:iCs/>
          <w:sz w:val="24"/>
          <w:szCs w:val="24"/>
          <w:lang w:eastAsia="sv-SE"/>
        </w:rPr>
        <w:t>Adult Education Quarterly</w:t>
      </w:r>
      <w:r w:rsidRPr="00C96994">
        <w:rPr>
          <w:rFonts w:ascii="Times New Roman" w:eastAsia="Times New Roman" w:hAnsi="Times New Roman" w:cs="Times New Roman"/>
          <w:sz w:val="24"/>
          <w:szCs w:val="24"/>
          <w:lang w:eastAsia="sv-SE"/>
        </w:rPr>
        <w:t xml:space="preserve">, </w:t>
      </w:r>
      <w:r w:rsidRPr="00C96994">
        <w:rPr>
          <w:rFonts w:ascii="Times New Roman" w:eastAsia="Times New Roman" w:hAnsi="Times New Roman" w:cs="Times New Roman"/>
          <w:i/>
          <w:iCs/>
          <w:sz w:val="24"/>
          <w:szCs w:val="24"/>
          <w:lang w:eastAsia="sv-SE"/>
        </w:rPr>
        <w:t>68</w:t>
      </w:r>
      <w:r w:rsidRPr="00C96994">
        <w:rPr>
          <w:rFonts w:ascii="Times New Roman" w:eastAsia="Times New Roman" w:hAnsi="Times New Roman" w:cs="Times New Roman"/>
          <w:sz w:val="24"/>
          <w:szCs w:val="24"/>
          <w:lang w:eastAsia="sv-SE"/>
        </w:rPr>
        <w:t xml:space="preserve">(1), 63–79. </w:t>
      </w:r>
      <w:hyperlink r:id="rId15" w:history="1">
        <w:r w:rsidRPr="00C96994">
          <w:rPr>
            <w:rStyle w:val="Hyperlnk"/>
            <w:rFonts w:ascii="Times New Roman" w:eastAsia="Times New Roman" w:hAnsi="Times New Roman" w:cs="Times New Roman"/>
            <w:sz w:val="24"/>
            <w:szCs w:val="24"/>
            <w:lang w:eastAsia="sv-SE"/>
          </w:rPr>
          <w:t>https://doi.org/10.1177/0741713617739347</w:t>
        </w:r>
      </w:hyperlink>
    </w:p>
    <w:p w14:paraId="4EAB6A68"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p>
    <w:p w14:paraId="211DF4EB"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r w:rsidRPr="00C96994">
        <w:rPr>
          <w:rFonts w:ascii="Times New Roman" w:eastAsia="Times New Roman" w:hAnsi="Times New Roman" w:cs="Times New Roman"/>
          <w:sz w:val="24"/>
          <w:szCs w:val="24"/>
          <w:lang w:eastAsia="sv-SE"/>
        </w:rPr>
        <w:t xml:space="preserve">Carballo, R., Morgado, B., &amp; Cortés-Vega, M. D. (2021). Transforming faculty conceptions of disability and inclusive education through a training programme. </w:t>
      </w:r>
      <w:r w:rsidRPr="00C96994">
        <w:rPr>
          <w:rFonts w:ascii="Times New Roman" w:eastAsia="Times New Roman" w:hAnsi="Times New Roman" w:cs="Times New Roman"/>
          <w:i/>
          <w:iCs/>
          <w:sz w:val="24"/>
          <w:szCs w:val="24"/>
          <w:lang w:eastAsia="sv-SE"/>
        </w:rPr>
        <w:t>International Journal of Inclusive Education</w:t>
      </w:r>
      <w:r w:rsidRPr="00C96994">
        <w:rPr>
          <w:rFonts w:ascii="Times New Roman" w:eastAsia="Times New Roman" w:hAnsi="Times New Roman" w:cs="Times New Roman"/>
          <w:sz w:val="24"/>
          <w:szCs w:val="24"/>
          <w:lang w:eastAsia="sv-SE"/>
        </w:rPr>
        <w:t xml:space="preserve">, </w:t>
      </w:r>
      <w:r w:rsidRPr="00C96994">
        <w:rPr>
          <w:rFonts w:ascii="Times New Roman" w:eastAsia="Times New Roman" w:hAnsi="Times New Roman" w:cs="Times New Roman"/>
          <w:i/>
          <w:iCs/>
          <w:sz w:val="24"/>
          <w:szCs w:val="24"/>
          <w:lang w:eastAsia="sv-SE"/>
        </w:rPr>
        <w:t>25</w:t>
      </w:r>
      <w:r w:rsidRPr="00C96994">
        <w:rPr>
          <w:rFonts w:ascii="Times New Roman" w:eastAsia="Times New Roman" w:hAnsi="Times New Roman" w:cs="Times New Roman"/>
          <w:sz w:val="24"/>
          <w:szCs w:val="24"/>
          <w:lang w:eastAsia="sv-SE"/>
        </w:rPr>
        <w:t xml:space="preserve">(7), 843–859. </w:t>
      </w:r>
      <w:hyperlink r:id="rId16" w:history="1">
        <w:r w:rsidRPr="00C96994">
          <w:rPr>
            <w:rStyle w:val="Hyperlnk"/>
            <w:rFonts w:ascii="Times New Roman" w:eastAsia="Times New Roman" w:hAnsi="Times New Roman" w:cs="Times New Roman"/>
            <w:sz w:val="24"/>
            <w:szCs w:val="24"/>
            <w:lang w:eastAsia="sv-SE"/>
          </w:rPr>
          <w:t>https://doi.org/10.1080/13603116.2019.1579874</w:t>
        </w:r>
      </w:hyperlink>
    </w:p>
    <w:p w14:paraId="4674D8E7"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p>
    <w:p w14:paraId="0BB1F4A1"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r w:rsidRPr="00C96994">
        <w:rPr>
          <w:rFonts w:ascii="Times New Roman" w:eastAsia="Times New Roman" w:hAnsi="Times New Roman" w:cs="Times New Roman"/>
          <w:sz w:val="24"/>
          <w:szCs w:val="24"/>
          <w:lang w:eastAsia="sv-SE"/>
        </w:rPr>
        <w:t xml:space="preserve">Creswell, J. W., &amp; Creswell, J. D. (2018). </w:t>
      </w:r>
      <w:r w:rsidRPr="00C96994">
        <w:rPr>
          <w:rFonts w:ascii="Times New Roman" w:eastAsia="Times New Roman" w:hAnsi="Times New Roman" w:cs="Times New Roman"/>
          <w:i/>
          <w:iCs/>
          <w:sz w:val="24"/>
          <w:szCs w:val="24"/>
          <w:lang w:eastAsia="sv-SE"/>
        </w:rPr>
        <w:t>Research design: qualitative, quantitative, and Mixed Methods Approaches</w:t>
      </w:r>
      <w:r w:rsidRPr="00C96994">
        <w:rPr>
          <w:rFonts w:ascii="Times New Roman" w:eastAsia="Times New Roman" w:hAnsi="Times New Roman" w:cs="Times New Roman"/>
          <w:sz w:val="24"/>
          <w:szCs w:val="24"/>
          <w:lang w:eastAsia="sv-SE"/>
        </w:rPr>
        <w:t xml:space="preserve"> (5th ed.). SAGE Publications.</w:t>
      </w:r>
    </w:p>
    <w:p w14:paraId="45028EBE"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p>
    <w:p w14:paraId="0E2AE917"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r w:rsidRPr="00C96994">
        <w:rPr>
          <w:rFonts w:ascii="Times New Roman" w:eastAsia="Times New Roman" w:hAnsi="Times New Roman" w:cs="Times New Roman"/>
          <w:sz w:val="24"/>
          <w:szCs w:val="24"/>
          <w:lang w:eastAsia="sv-SE"/>
        </w:rPr>
        <w:t xml:space="preserve">Delacre, M., Leys, C., Mora, Y. L., &amp; Lakens, D. (2019). Taking Parametric Assumptions Seriously: Arguments for the Use of Welch’s F-test instead of the Classical F-test in One-Way ANOVA. </w:t>
      </w:r>
      <w:r w:rsidRPr="00C96994">
        <w:rPr>
          <w:rFonts w:ascii="Times New Roman" w:eastAsia="Times New Roman" w:hAnsi="Times New Roman" w:cs="Times New Roman"/>
          <w:i/>
          <w:iCs/>
          <w:sz w:val="24"/>
          <w:szCs w:val="24"/>
          <w:lang w:eastAsia="sv-SE"/>
        </w:rPr>
        <w:t>International Review of Social Psychology</w:t>
      </w:r>
      <w:r w:rsidRPr="00C96994">
        <w:rPr>
          <w:rFonts w:ascii="Times New Roman" w:eastAsia="Times New Roman" w:hAnsi="Times New Roman" w:cs="Times New Roman"/>
          <w:sz w:val="24"/>
          <w:szCs w:val="24"/>
          <w:lang w:eastAsia="sv-SE"/>
        </w:rPr>
        <w:t xml:space="preserve">, </w:t>
      </w:r>
      <w:r w:rsidRPr="00C96994">
        <w:rPr>
          <w:rFonts w:ascii="Times New Roman" w:eastAsia="Times New Roman" w:hAnsi="Times New Roman" w:cs="Times New Roman"/>
          <w:i/>
          <w:iCs/>
          <w:sz w:val="24"/>
          <w:szCs w:val="24"/>
          <w:lang w:eastAsia="sv-SE"/>
        </w:rPr>
        <w:t>32</w:t>
      </w:r>
      <w:r w:rsidRPr="00C96994">
        <w:rPr>
          <w:rFonts w:ascii="Times New Roman" w:eastAsia="Times New Roman" w:hAnsi="Times New Roman" w:cs="Times New Roman"/>
          <w:sz w:val="24"/>
          <w:szCs w:val="24"/>
          <w:lang w:eastAsia="sv-SE"/>
        </w:rPr>
        <w:t xml:space="preserve">(1), 13. </w:t>
      </w:r>
      <w:hyperlink r:id="rId17" w:history="1">
        <w:r w:rsidRPr="00C96994">
          <w:rPr>
            <w:rStyle w:val="Hyperlnk"/>
            <w:rFonts w:ascii="Times New Roman" w:eastAsia="Times New Roman" w:hAnsi="Times New Roman" w:cs="Times New Roman"/>
            <w:sz w:val="24"/>
            <w:szCs w:val="24"/>
            <w:lang w:eastAsia="sv-SE"/>
          </w:rPr>
          <w:t>https://doi.org/10.5334/irsp.198</w:t>
        </w:r>
      </w:hyperlink>
    </w:p>
    <w:p w14:paraId="1F3CD792"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p>
    <w:p w14:paraId="6EA30888" w14:textId="635DB497" w:rsidR="0078285C" w:rsidRPr="00C96994" w:rsidRDefault="0078285C" w:rsidP="0019689B">
      <w:pPr>
        <w:spacing w:after="0" w:line="240" w:lineRule="auto"/>
        <w:rPr>
          <w:rFonts w:ascii="Times New Roman" w:eastAsia="Times New Roman" w:hAnsi="Times New Roman" w:cs="Times New Roman"/>
          <w:sz w:val="24"/>
          <w:szCs w:val="24"/>
          <w:lang w:eastAsia="sv-SE"/>
        </w:rPr>
      </w:pPr>
      <w:r w:rsidRPr="00C96994">
        <w:rPr>
          <w:rFonts w:ascii="Times New Roman" w:eastAsia="Times New Roman" w:hAnsi="Times New Roman" w:cs="Times New Roman"/>
          <w:sz w:val="24"/>
          <w:szCs w:val="24"/>
          <w:lang w:eastAsia="sv-SE"/>
        </w:rPr>
        <w:lastRenderedPageBreak/>
        <w:t xml:space="preserve">European Commission. (2025, December 2). </w:t>
      </w:r>
      <w:r w:rsidRPr="00C96994">
        <w:rPr>
          <w:rFonts w:ascii="Times New Roman" w:eastAsia="Times New Roman" w:hAnsi="Times New Roman" w:cs="Times New Roman"/>
          <w:i/>
          <w:iCs/>
          <w:sz w:val="24"/>
          <w:szCs w:val="24"/>
          <w:lang w:eastAsia="sv-SE"/>
        </w:rPr>
        <w:t>Persons with disabilities in the EU</w:t>
      </w:r>
      <w:r w:rsidRPr="00C96994">
        <w:rPr>
          <w:rFonts w:ascii="Times New Roman" w:eastAsia="Times New Roman" w:hAnsi="Times New Roman" w:cs="Times New Roman"/>
          <w:sz w:val="24"/>
          <w:szCs w:val="24"/>
          <w:lang w:eastAsia="sv-SE"/>
        </w:rPr>
        <w:t xml:space="preserve">. </w:t>
      </w:r>
      <w:hyperlink r:id="rId18" w:tgtFrame="_new" w:history="1">
        <w:r w:rsidRPr="00C96994">
          <w:rPr>
            <w:rStyle w:val="Hyperlnk"/>
            <w:rFonts w:ascii="Times New Roman" w:eastAsia="Times New Roman" w:hAnsi="Times New Roman" w:cs="Times New Roman"/>
            <w:sz w:val="24"/>
            <w:szCs w:val="24"/>
            <w:lang w:eastAsia="sv-SE"/>
          </w:rPr>
          <w:t>https://commission.europa.eu/strategy-and-policy/policies/justice-and-fundamental-rights/disability/persons-disabilities-eu_en</w:t>
        </w:r>
      </w:hyperlink>
    </w:p>
    <w:p w14:paraId="3E33C996" w14:textId="77777777" w:rsidR="0078285C" w:rsidRPr="00C96994" w:rsidRDefault="0078285C" w:rsidP="0019689B">
      <w:pPr>
        <w:spacing w:after="0" w:line="240" w:lineRule="auto"/>
        <w:rPr>
          <w:rFonts w:ascii="Times New Roman" w:eastAsia="Times New Roman" w:hAnsi="Times New Roman" w:cs="Times New Roman"/>
          <w:sz w:val="24"/>
          <w:szCs w:val="24"/>
          <w:lang w:eastAsia="sv-SE"/>
        </w:rPr>
      </w:pPr>
    </w:p>
    <w:p w14:paraId="7C26C910" w14:textId="07915CD5" w:rsidR="000146FA" w:rsidRPr="00C96994" w:rsidRDefault="000146FA" w:rsidP="0019689B">
      <w:pPr>
        <w:spacing w:after="0" w:line="240" w:lineRule="auto"/>
        <w:rPr>
          <w:rFonts w:ascii="Times New Roman" w:eastAsia="Times New Roman" w:hAnsi="Times New Roman" w:cs="Times New Roman"/>
          <w:sz w:val="24"/>
          <w:szCs w:val="24"/>
          <w:lang w:eastAsia="sv-SE"/>
        </w:rPr>
      </w:pPr>
      <w:r w:rsidRPr="00C96994">
        <w:rPr>
          <w:rFonts w:ascii="Times New Roman" w:eastAsia="Times New Roman" w:hAnsi="Times New Roman" w:cs="Times New Roman"/>
          <w:sz w:val="24"/>
          <w:szCs w:val="24"/>
          <w:lang w:val="sv-SE" w:eastAsia="sv-SE"/>
        </w:rPr>
        <w:t xml:space="preserve">Hart, C. S., &amp; Brando, N. (2018). </w:t>
      </w:r>
      <w:r w:rsidRPr="00C96994">
        <w:rPr>
          <w:rFonts w:ascii="Times New Roman" w:eastAsia="Times New Roman" w:hAnsi="Times New Roman" w:cs="Times New Roman"/>
          <w:sz w:val="24"/>
          <w:szCs w:val="24"/>
          <w:lang w:eastAsia="sv-SE"/>
        </w:rPr>
        <w:t xml:space="preserve">A capability approach to children’s well-being, agency and participatory rights in education. </w:t>
      </w:r>
      <w:r w:rsidRPr="00C96994">
        <w:rPr>
          <w:rFonts w:ascii="Times New Roman" w:eastAsia="Times New Roman" w:hAnsi="Times New Roman" w:cs="Times New Roman"/>
          <w:i/>
          <w:iCs/>
          <w:sz w:val="24"/>
          <w:szCs w:val="24"/>
          <w:lang w:eastAsia="sv-SE"/>
        </w:rPr>
        <w:t>European Journal of Education</w:t>
      </w:r>
      <w:r w:rsidRPr="00C96994">
        <w:rPr>
          <w:rFonts w:ascii="Times New Roman" w:eastAsia="Times New Roman" w:hAnsi="Times New Roman" w:cs="Times New Roman"/>
          <w:sz w:val="24"/>
          <w:szCs w:val="24"/>
          <w:lang w:eastAsia="sv-SE"/>
        </w:rPr>
        <w:t xml:space="preserve">, </w:t>
      </w:r>
      <w:r w:rsidRPr="00C96994">
        <w:rPr>
          <w:rFonts w:ascii="Times New Roman" w:eastAsia="Times New Roman" w:hAnsi="Times New Roman" w:cs="Times New Roman"/>
          <w:i/>
          <w:iCs/>
          <w:sz w:val="24"/>
          <w:szCs w:val="24"/>
          <w:lang w:eastAsia="sv-SE"/>
        </w:rPr>
        <w:t>53</w:t>
      </w:r>
      <w:r w:rsidRPr="00C96994">
        <w:rPr>
          <w:rFonts w:ascii="Times New Roman" w:eastAsia="Times New Roman" w:hAnsi="Times New Roman" w:cs="Times New Roman"/>
          <w:sz w:val="24"/>
          <w:szCs w:val="24"/>
          <w:lang w:eastAsia="sv-SE"/>
        </w:rPr>
        <w:t xml:space="preserve">(3), 293–309. </w:t>
      </w:r>
      <w:hyperlink r:id="rId19" w:history="1">
        <w:r w:rsidRPr="00C96994">
          <w:rPr>
            <w:rStyle w:val="Hyperlnk"/>
            <w:rFonts w:ascii="Times New Roman" w:eastAsia="Times New Roman" w:hAnsi="Times New Roman" w:cs="Times New Roman"/>
            <w:sz w:val="24"/>
            <w:szCs w:val="24"/>
            <w:lang w:eastAsia="sv-SE"/>
          </w:rPr>
          <w:t>https://doi.org/10.1111/ejed.12284</w:t>
        </w:r>
      </w:hyperlink>
    </w:p>
    <w:p w14:paraId="76FC6086"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p>
    <w:p w14:paraId="4B0FDC4E" w14:textId="77777777" w:rsidR="000146FA" w:rsidRPr="00C96994" w:rsidRDefault="000146FA" w:rsidP="0019689B">
      <w:pPr>
        <w:spacing w:after="0" w:line="240" w:lineRule="auto"/>
        <w:rPr>
          <w:rFonts w:ascii="Times New Roman" w:eastAsia="Times New Roman" w:hAnsi="Times New Roman" w:cs="Times New Roman"/>
          <w:sz w:val="24"/>
          <w:szCs w:val="24"/>
          <w:lang w:val="sv-SE" w:eastAsia="sv-SE"/>
        </w:rPr>
      </w:pPr>
      <w:r w:rsidRPr="00C96994">
        <w:rPr>
          <w:rFonts w:ascii="Times New Roman" w:eastAsia="Times New Roman" w:hAnsi="Times New Roman" w:cs="Times New Roman"/>
          <w:sz w:val="24"/>
          <w:szCs w:val="24"/>
          <w:lang w:eastAsia="sv-SE"/>
        </w:rPr>
        <w:t xml:space="preserve">Jandhyala, M. (2021). A Framework for a Capabilities-Based Approach to Copyright. </w:t>
      </w:r>
      <w:r w:rsidRPr="00C96994">
        <w:rPr>
          <w:rFonts w:ascii="Times New Roman" w:eastAsia="Times New Roman" w:hAnsi="Times New Roman" w:cs="Times New Roman"/>
          <w:i/>
          <w:iCs/>
          <w:sz w:val="24"/>
          <w:szCs w:val="24"/>
          <w:lang w:val="sv-SE" w:eastAsia="sv-SE"/>
        </w:rPr>
        <w:t>Revista Direito GV</w:t>
      </w:r>
      <w:r w:rsidRPr="00C96994">
        <w:rPr>
          <w:rFonts w:ascii="Times New Roman" w:eastAsia="Times New Roman" w:hAnsi="Times New Roman" w:cs="Times New Roman"/>
          <w:sz w:val="24"/>
          <w:szCs w:val="24"/>
          <w:lang w:val="sv-SE" w:eastAsia="sv-SE"/>
        </w:rPr>
        <w:t xml:space="preserve">, </w:t>
      </w:r>
      <w:r w:rsidRPr="00C96994">
        <w:rPr>
          <w:rFonts w:ascii="Times New Roman" w:eastAsia="Times New Roman" w:hAnsi="Times New Roman" w:cs="Times New Roman"/>
          <w:i/>
          <w:iCs/>
          <w:sz w:val="24"/>
          <w:szCs w:val="24"/>
          <w:lang w:val="sv-SE" w:eastAsia="sv-SE"/>
        </w:rPr>
        <w:t>17</w:t>
      </w:r>
      <w:r w:rsidRPr="00C96994">
        <w:rPr>
          <w:rFonts w:ascii="Times New Roman" w:eastAsia="Times New Roman" w:hAnsi="Times New Roman" w:cs="Times New Roman"/>
          <w:sz w:val="24"/>
          <w:szCs w:val="24"/>
          <w:lang w:val="sv-SE" w:eastAsia="sv-SE"/>
        </w:rPr>
        <w:t xml:space="preserve">(2), e2123. </w:t>
      </w:r>
      <w:hyperlink r:id="rId20" w:history="1">
        <w:r w:rsidRPr="00C96994">
          <w:rPr>
            <w:rStyle w:val="Hyperlnk"/>
            <w:rFonts w:ascii="Times New Roman" w:eastAsia="Times New Roman" w:hAnsi="Times New Roman" w:cs="Times New Roman"/>
            <w:sz w:val="24"/>
            <w:szCs w:val="24"/>
            <w:lang w:val="sv-SE" w:eastAsia="sv-SE"/>
          </w:rPr>
          <w:t>https://doi.org/10.1590/2317-6172202123</w:t>
        </w:r>
      </w:hyperlink>
    </w:p>
    <w:p w14:paraId="3A837E45" w14:textId="77777777" w:rsidR="000146FA" w:rsidRPr="00C96994" w:rsidRDefault="000146FA" w:rsidP="0019689B">
      <w:pPr>
        <w:spacing w:after="0" w:line="240" w:lineRule="auto"/>
        <w:rPr>
          <w:rFonts w:ascii="Times New Roman" w:eastAsia="Times New Roman" w:hAnsi="Times New Roman" w:cs="Times New Roman"/>
          <w:sz w:val="24"/>
          <w:szCs w:val="24"/>
          <w:lang w:val="sv-SE" w:eastAsia="sv-SE"/>
        </w:rPr>
      </w:pPr>
    </w:p>
    <w:p w14:paraId="618FE00D"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r w:rsidRPr="00C96994">
        <w:rPr>
          <w:rFonts w:ascii="Times New Roman" w:eastAsia="Times New Roman" w:hAnsi="Times New Roman" w:cs="Times New Roman"/>
          <w:sz w:val="24"/>
          <w:szCs w:val="24"/>
          <w:lang w:val="sv-SE" w:eastAsia="sv-SE"/>
        </w:rPr>
        <w:t xml:space="preserve">Keung, C. P. C., &amp; Ho, E. S. C. (2020). </w:t>
      </w:r>
      <w:r w:rsidRPr="00C96994">
        <w:rPr>
          <w:rFonts w:ascii="Times New Roman" w:eastAsia="Times New Roman" w:hAnsi="Times New Roman" w:cs="Times New Roman"/>
          <w:sz w:val="24"/>
          <w:szCs w:val="24"/>
          <w:lang w:eastAsia="sv-SE"/>
        </w:rPr>
        <w:t xml:space="preserve">Structure and Agency in Adolescents’ Expectations of Pursuing Post-secondary Education. </w:t>
      </w:r>
      <w:r w:rsidRPr="00C96994">
        <w:rPr>
          <w:rFonts w:ascii="Times New Roman" w:eastAsia="Times New Roman" w:hAnsi="Times New Roman" w:cs="Times New Roman"/>
          <w:i/>
          <w:iCs/>
          <w:sz w:val="24"/>
          <w:szCs w:val="24"/>
          <w:lang w:eastAsia="sv-SE"/>
        </w:rPr>
        <w:t>Research in Higher Education</w:t>
      </w:r>
      <w:r w:rsidRPr="00C96994">
        <w:rPr>
          <w:rFonts w:ascii="Times New Roman" w:eastAsia="Times New Roman" w:hAnsi="Times New Roman" w:cs="Times New Roman"/>
          <w:sz w:val="24"/>
          <w:szCs w:val="24"/>
          <w:lang w:eastAsia="sv-SE"/>
        </w:rPr>
        <w:t xml:space="preserve">, </w:t>
      </w:r>
      <w:r w:rsidRPr="00C96994">
        <w:rPr>
          <w:rFonts w:ascii="Times New Roman" w:eastAsia="Times New Roman" w:hAnsi="Times New Roman" w:cs="Times New Roman"/>
          <w:i/>
          <w:iCs/>
          <w:sz w:val="24"/>
          <w:szCs w:val="24"/>
          <w:lang w:eastAsia="sv-SE"/>
        </w:rPr>
        <w:t>61</w:t>
      </w:r>
      <w:r w:rsidRPr="00C96994">
        <w:rPr>
          <w:rFonts w:ascii="Times New Roman" w:eastAsia="Times New Roman" w:hAnsi="Times New Roman" w:cs="Times New Roman"/>
          <w:sz w:val="24"/>
          <w:szCs w:val="24"/>
          <w:lang w:eastAsia="sv-SE"/>
        </w:rPr>
        <w:t xml:space="preserve">(2), 270–295. </w:t>
      </w:r>
      <w:hyperlink r:id="rId21" w:history="1">
        <w:r w:rsidRPr="00C96994">
          <w:rPr>
            <w:rStyle w:val="Hyperlnk"/>
            <w:rFonts w:ascii="Times New Roman" w:eastAsia="Times New Roman" w:hAnsi="Times New Roman" w:cs="Times New Roman"/>
            <w:sz w:val="24"/>
            <w:szCs w:val="24"/>
            <w:lang w:eastAsia="sv-SE"/>
          </w:rPr>
          <w:t>https://doi.org/10.1007/s11162-019-09574-8</w:t>
        </w:r>
      </w:hyperlink>
    </w:p>
    <w:p w14:paraId="67933B65"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p>
    <w:p w14:paraId="165A8861"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r w:rsidRPr="00C96994">
        <w:rPr>
          <w:rFonts w:ascii="Times New Roman" w:eastAsia="Times New Roman" w:hAnsi="Times New Roman" w:cs="Times New Roman"/>
          <w:sz w:val="24"/>
          <w:szCs w:val="24"/>
          <w:lang w:eastAsia="sv-SE"/>
        </w:rPr>
        <w:t xml:space="preserve">Kotronoulas, G., Miguel, S., Dowling, M., Fernández-Ortega, P., Colomer-Lahiguera, S., Bağçivan, G., Pape, E., Drury, A., Semple, C., Dieperink, K. B., &amp; Papadopoulou, C. (2023). An Overview of the Fundamentals of Data Management, Analysis, and Interpretation in Quantitative Research. </w:t>
      </w:r>
      <w:r w:rsidRPr="00C96994">
        <w:rPr>
          <w:rFonts w:ascii="Times New Roman" w:eastAsia="Times New Roman" w:hAnsi="Times New Roman" w:cs="Times New Roman"/>
          <w:i/>
          <w:iCs/>
          <w:sz w:val="24"/>
          <w:szCs w:val="24"/>
          <w:lang w:eastAsia="sv-SE"/>
        </w:rPr>
        <w:t>Seminars in Oncology Nursing</w:t>
      </w:r>
      <w:r w:rsidRPr="00C96994">
        <w:rPr>
          <w:rFonts w:ascii="Times New Roman" w:eastAsia="Times New Roman" w:hAnsi="Times New Roman" w:cs="Times New Roman"/>
          <w:sz w:val="24"/>
          <w:szCs w:val="24"/>
          <w:lang w:eastAsia="sv-SE"/>
        </w:rPr>
        <w:t xml:space="preserve">, </w:t>
      </w:r>
      <w:r w:rsidRPr="00C96994">
        <w:rPr>
          <w:rFonts w:ascii="Times New Roman" w:eastAsia="Times New Roman" w:hAnsi="Times New Roman" w:cs="Times New Roman"/>
          <w:i/>
          <w:iCs/>
          <w:sz w:val="24"/>
          <w:szCs w:val="24"/>
          <w:lang w:eastAsia="sv-SE"/>
        </w:rPr>
        <w:t>39</w:t>
      </w:r>
      <w:r w:rsidRPr="00C96994">
        <w:rPr>
          <w:rFonts w:ascii="Times New Roman" w:eastAsia="Times New Roman" w:hAnsi="Times New Roman" w:cs="Times New Roman"/>
          <w:sz w:val="24"/>
          <w:szCs w:val="24"/>
          <w:lang w:eastAsia="sv-SE"/>
        </w:rPr>
        <w:t xml:space="preserve">(2), Article 151398. </w:t>
      </w:r>
      <w:hyperlink r:id="rId22" w:history="1">
        <w:r w:rsidRPr="00C96994">
          <w:rPr>
            <w:rStyle w:val="Hyperlnk"/>
            <w:rFonts w:ascii="Times New Roman" w:eastAsia="Times New Roman" w:hAnsi="Times New Roman" w:cs="Times New Roman"/>
            <w:sz w:val="24"/>
            <w:szCs w:val="24"/>
            <w:lang w:eastAsia="sv-SE"/>
          </w:rPr>
          <w:t>https://doi.org/10.1016/j.soncn.2023.151398</w:t>
        </w:r>
      </w:hyperlink>
    </w:p>
    <w:p w14:paraId="2A2EC04A"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p>
    <w:p w14:paraId="5E93A28F"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r w:rsidRPr="00C96994">
        <w:rPr>
          <w:rFonts w:ascii="Times New Roman" w:eastAsia="Times New Roman" w:hAnsi="Times New Roman" w:cs="Times New Roman"/>
          <w:sz w:val="24"/>
          <w:szCs w:val="24"/>
          <w:lang w:eastAsia="sv-SE"/>
        </w:rPr>
        <w:t>Kutscher, E. L., &amp; Tuckwiller, E. D. (2019). Persistence in higher education for students with disabilities: A mixed systematic review. </w:t>
      </w:r>
      <w:r w:rsidRPr="00C96994">
        <w:rPr>
          <w:rFonts w:ascii="Times New Roman" w:eastAsia="Times New Roman" w:hAnsi="Times New Roman" w:cs="Times New Roman"/>
          <w:i/>
          <w:iCs/>
          <w:sz w:val="24"/>
          <w:szCs w:val="24"/>
          <w:lang w:eastAsia="sv-SE"/>
        </w:rPr>
        <w:t>Journal of Diversity in Higher Education, 12</w:t>
      </w:r>
      <w:r w:rsidRPr="00C96994">
        <w:rPr>
          <w:rFonts w:ascii="Times New Roman" w:eastAsia="Times New Roman" w:hAnsi="Times New Roman" w:cs="Times New Roman"/>
          <w:sz w:val="24"/>
          <w:szCs w:val="24"/>
          <w:lang w:eastAsia="sv-SE"/>
        </w:rPr>
        <w:t>(2), 136–155. </w:t>
      </w:r>
      <w:hyperlink r:id="rId23" w:tgtFrame="_blank" w:history="1">
        <w:r w:rsidRPr="00C96994">
          <w:rPr>
            <w:rStyle w:val="Hyperlnk"/>
            <w:rFonts w:ascii="Times New Roman" w:eastAsia="Times New Roman" w:hAnsi="Times New Roman" w:cs="Times New Roman"/>
            <w:sz w:val="24"/>
            <w:szCs w:val="24"/>
            <w:lang w:eastAsia="sv-SE"/>
          </w:rPr>
          <w:t>https://doi.org/10.1037/dhe0000088</w:t>
        </w:r>
      </w:hyperlink>
    </w:p>
    <w:p w14:paraId="60D03352"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p>
    <w:p w14:paraId="2E4DB5CB"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r w:rsidRPr="00C96994">
        <w:rPr>
          <w:rFonts w:ascii="Times New Roman" w:eastAsia="Times New Roman" w:hAnsi="Times New Roman" w:cs="Times New Roman"/>
          <w:sz w:val="24"/>
          <w:szCs w:val="24"/>
          <w:lang w:eastAsia="sv-SE"/>
        </w:rPr>
        <w:t xml:space="preserve">Lamey, A. (2007). [Rev. of </w:t>
      </w:r>
      <w:r w:rsidRPr="00C96994">
        <w:rPr>
          <w:rFonts w:ascii="Times New Roman" w:eastAsia="Times New Roman" w:hAnsi="Times New Roman" w:cs="Times New Roman"/>
          <w:i/>
          <w:iCs/>
          <w:sz w:val="24"/>
          <w:szCs w:val="24"/>
          <w:lang w:eastAsia="sv-SE"/>
        </w:rPr>
        <w:t>Frontiers of Justice: Disability, Nationality, Species Membership - by Martha C. Nussbaum</w:t>
      </w:r>
      <w:r w:rsidRPr="00C96994">
        <w:rPr>
          <w:rFonts w:ascii="Times New Roman" w:eastAsia="Times New Roman" w:hAnsi="Times New Roman" w:cs="Times New Roman"/>
          <w:sz w:val="24"/>
          <w:szCs w:val="24"/>
          <w:lang w:eastAsia="sv-SE"/>
        </w:rPr>
        <w:t xml:space="preserve">]. </w:t>
      </w:r>
      <w:r w:rsidRPr="00C96994">
        <w:rPr>
          <w:rFonts w:ascii="Times New Roman" w:eastAsia="Times New Roman" w:hAnsi="Times New Roman" w:cs="Times New Roman"/>
          <w:i/>
          <w:iCs/>
          <w:sz w:val="24"/>
          <w:szCs w:val="24"/>
          <w:lang w:eastAsia="sv-SE"/>
        </w:rPr>
        <w:t>Philosophical Books</w:t>
      </w:r>
      <w:r w:rsidRPr="00C96994">
        <w:rPr>
          <w:rFonts w:ascii="Times New Roman" w:eastAsia="Times New Roman" w:hAnsi="Times New Roman" w:cs="Times New Roman"/>
          <w:sz w:val="24"/>
          <w:szCs w:val="24"/>
          <w:lang w:eastAsia="sv-SE"/>
        </w:rPr>
        <w:t xml:space="preserve">, </w:t>
      </w:r>
      <w:r w:rsidRPr="00C96994">
        <w:rPr>
          <w:rFonts w:ascii="Times New Roman" w:eastAsia="Times New Roman" w:hAnsi="Times New Roman" w:cs="Times New Roman"/>
          <w:i/>
          <w:iCs/>
          <w:sz w:val="24"/>
          <w:szCs w:val="24"/>
          <w:lang w:eastAsia="sv-SE"/>
        </w:rPr>
        <w:t>48</w:t>
      </w:r>
      <w:r w:rsidRPr="00C96994">
        <w:rPr>
          <w:rFonts w:ascii="Times New Roman" w:eastAsia="Times New Roman" w:hAnsi="Times New Roman" w:cs="Times New Roman"/>
          <w:sz w:val="24"/>
          <w:szCs w:val="24"/>
          <w:lang w:eastAsia="sv-SE"/>
        </w:rPr>
        <w:t xml:space="preserve">(4), 376–381. </w:t>
      </w:r>
      <w:hyperlink r:id="rId24" w:history="1">
        <w:r w:rsidRPr="00C96994">
          <w:rPr>
            <w:rStyle w:val="Hyperlnk"/>
            <w:rFonts w:ascii="Times New Roman" w:eastAsia="Times New Roman" w:hAnsi="Times New Roman" w:cs="Times New Roman"/>
            <w:sz w:val="24"/>
            <w:szCs w:val="24"/>
            <w:lang w:eastAsia="sv-SE"/>
          </w:rPr>
          <w:t>https://doi.org/10.1111/j.1468-0149.2007.00453_8.x</w:t>
        </w:r>
      </w:hyperlink>
    </w:p>
    <w:p w14:paraId="764400E3"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p>
    <w:p w14:paraId="29E303FF" w14:textId="77777777" w:rsidR="000146FA" w:rsidRPr="00C96994" w:rsidRDefault="000146FA" w:rsidP="0019689B">
      <w:pPr>
        <w:spacing w:after="0" w:line="240" w:lineRule="auto"/>
        <w:rPr>
          <w:rFonts w:ascii="Times New Roman" w:eastAsia="Times New Roman" w:hAnsi="Times New Roman" w:cs="Times New Roman"/>
          <w:sz w:val="24"/>
          <w:szCs w:val="24"/>
          <w:lang w:val="sv-SE" w:eastAsia="sv-SE"/>
        </w:rPr>
      </w:pPr>
      <w:r w:rsidRPr="00C96994">
        <w:rPr>
          <w:rFonts w:ascii="Times New Roman" w:eastAsia="Times New Roman" w:hAnsi="Times New Roman" w:cs="Times New Roman"/>
          <w:sz w:val="24"/>
          <w:szCs w:val="24"/>
          <w:lang w:eastAsia="sv-SE"/>
        </w:rPr>
        <w:t xml:space="preserve">Lid, I. M. (2026). Contextualising access: Universal design and individual accommodation. In </w:t>
      </w:r>
      <w:r w:rsidRPr="00C96994">
        <w:rPr>
          <w:rFonts w:ascii="Times New Roman" w:eastAsia="Times New Roman" w:hAnsi="Times New Roman" w:cs="Times New Roman"/>
          <w:i/>
          <w:iCs/>
          <w:sz w:val="24"/>
          <w:szCs w:val="24"/>
          <w:lang w:eastAsia="sv-SE"/>
        </w:rPr>
        <w:t>Recognising Disability in Higher Education</w:t>
      </w:r>
      <w:r w:rsidRPr="00C96994">
        <w:rPr>
          <w:rFonts w:ascii="Times New Roman" w:eastAsia="Times New Roman" w:hAnsi="Times New Roman" w:cs="Times New Roman"/>
          <w:sz w:val="24"/>
          <w:szCs w:val="24"/>
          <w:lang w:eastAsia="sv-SE"/>
        </w:rPr>
        <w:t xml:space="preserve"> (1st ed., Vol. 1, pp. 50–61). </w:t>
      </w:r>
      <w:r w:rsidRPr="00C96994">
        <w:rPr>
          <w:rFonts w:ascii="Times New Roman" w:eastAsia="Times New Roman" w:hAnsi="Times New Roman" w:cs="Times New Roman"/>
          <w:sz w:val="24"/>
          <w:szCs w:val="24"/>
          <w:lang w:val="sv-SE" w:eastAsia="sv-SE"/>
        </w:rPr>
        <w:t xml:space="preserve">Routledge. </w:t>
      </w:r>
      <w:hyperlink r:id="rId25" w:history="1">
        <w:r w:rsidRPr="00C96994">
          <w:rPr>
            <w:rStyle w:val="Hyperlnk"/>
            <w:rFonts w:ascii="Times New Roman" w:eastAsia="Times New Roman" w:hAnsi="Times New Roman" w:cs="Times New Roman"/>
            <w:sz w:val="24"/>
            <w:szCs w:val="24"/>
            <w:lang w:val="sv-SE" w:eastAsia="sv-SE"/>
          </w:rPr>
          <w:t>https://doi.org/10.4324/9781003671077-5</w:t>
        </w:r>
      </w:hyperlink>
    </w:p>
    <w:p w14:paraId="051D071C" w14:textId="77777777" w:rsidR="000146FA" w:rsidRPr="00C96994" w:rsidRDefault="000146FA" w:rsidP="0019689B">
      <w:pPr>
        <w:spacing w:after="0" w:line="240" w:lineRule="auto"/>
        <w:rPr>
          <w:rFonts w:ascii="Times New Roman" w:eastAsia="Times New Roman" w:hAnsi="Times New Roman" w:cs="Times New Roman"/>
          <w:sz w:val="24"/>
          <w:szCs w:val="24"/>
          <w:lang w:val="sv-SE" w:eastAsia="sv-SE"/>
        </w:rPr>
      </w:pPr>
    </w:p>
    <w:p w14:paraId="1F10ECE6" w14:textId="77777777" w:rsidR="000146FA" w:rsidRPr="00C96994" w:rsidRDefault="000146FA" w:rsidP="0019689B">
      <w:pPr>
        <w:spacing w:line="240" w:lineRule="auto"/>
        <w:rPr>
          <w:rFonts w:ascii="Times New Roman" w:hAnsi="Times New Roman" w:cs="Times New Roman"/>
          <w:sz w:val="24"/>
          <w:szCs w:val="24"/>
        </w:rPr>
      </w:pPr>
      <w:r w:rsidRPr="00C96994">
        <w:rPr>
          <w:rFonts w:ascii="Times New Roman" w:hAnsi="Times New Roman" w:cs="Times New Roman"/>
          <w:sz w:val="24"/>
          <w:szCs w:val="24"/>
          <w:lang w:val="sv-SE"/>
        </w:rPr>
        <w:t xml:space="preserve">Madaus, J. W., Gelbar, N., Dukes, L. L., Lalor, A. R., Lombardi, A., Kowitt, J., &amp; Faggella-Luby, M. N. (2018). </w:t>
      </w:r>
      <w:r w:rsidRPr="00C96994">
        <w:rPr>
          <w:rFonts w:ascii="Times New Roman" w:hAnsi="Times New Roman" w:cs="Times New Roman"/>
          <w:sz w:val="24"/>
          <w:szCs w:val="24"/>
        </w:rPr>
        <w:t xml:space="preserve">Literature on postsecondary disability services: A call for research guidelines. </w:t>
      </w:r>
      <w:r w:rsidRPr="00C96994">
        <w:rPr>
          <w:rFonts w:ascii="Times New Roman" w:hAnsi="Times New Roman" w:cs="Times New Roman"/>
          <w:i/>
          <w:iCs/>
          <w:sz w:val="24"/>
          <w:szCs w:val="24"/>
        </w:rPr>
        <w:t>Journal of Diversity in Higher Education</w:t>
      </w:r>
      <w:r w:rsidRPr="00C96994">
        <w:rPr>
          <w:rFonts w:ascii="Times New Roman" w:hAnsi="Times New Roman" w:cs="Times New Roman"/>
          <w:sz w:val="24"/>
          <w:szCs w:val="24"/>
        </w:rPr>
        <w:t xml:space="preserve">, </w:t>
      </w:r>
      <w:r w:rsidRPr="00C96994">
        <w:rPr>
          <w:rFonts w:ascii="Times New Roman" w:hAnsi="Times New Roman" w:cs="Times New Roman"/>
          <w:i/>
          <w:iCs/>
          <w:sz w:val="24"/>
          <w:szCs w:val="24"/>
        </w:rPr>
        <w:t>11</w:t>
      </w:r>
      <w:r w:rsidRPr="00C96994">
        <w:rPr>
          <w:rFonts w:ascii="Times New Roman" w:hAnsi="Times New Roman" w:cs="Times New Roman"/>
          <w:sz w:val="24"/>
          <w:szCs w:val="24"/>
        </w:rPr>
        <w:t xml:space="preserve">(2), 133–145. </w:t>
      </w:r>
      <w:hyperlink r:id="rId26" w:history="1">
        <w:r w:rsidRPr="00C96994">
          <w:rPr>
            <w:rStyle w:val="Hyperlnk"/>
            <w:rFonts w:ascii="Times New Roman" w:hAnsi="Times New Roman" w:cs="Times New Roman"/>
            <w:sz w:val="24"/>
            <w:szCs w:val="24"/>
          </w:rPr>
          <w:t>https://doi.org/10.1037/dhe0000045</w:t>
        </w:r>
      </w:hyperlink>
    </w:p>
    <w:p w14:paraId="675CF963"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r w:rsidRPr="00C96994">
        <w:rPr>
          <w:rFonts w:ascii="Times New Roman" w:eastAsia="Times New Roman" w:hAnsi="Times New Roman" w:cs="Times New Roman"/>
          <w:sz w:val="24"/>
          <w:szCs w:val="24"/>
          <w:lang w:eastAsia="sv-SE"/>
        </w:rPr>
        <w:t xml:space="preserve">McShane, B. B., Bradlow, E. T., Lynch, J. G., &amp; Meyer, R. J. (2024). “Statistical Significance” and Statistical Reporting: Moving Beyond Binary. </w:t>
      </w:r>
      <w:r w:rsidRPr="00C96994">
        <w:rPr>
          <w:rFonts w:ascii="Times New Roman" w:eastAsia="Times New Roman" w:hAnsi="Times New Roman" w:cs="Times New Roman"/>
          <w:i/>
          <w:iCs/>
          <w:sz w:val="24"/>
          <w:szCs w:val="24"/>
          <w:lang w:eastAsia="sv-SE"/>
        </w:rPr>
        <w:t>Journal of Marketing</w:t>
      </w:r>
      <w:r w:rsidRPr="00C96994">
        <w:rPr>
          <w:rFonts w:ascii="Times New Roman" w:eastAsia="Times New Roman" w:hAnsi="Times New Roman" w:cs="Times New Roman"/>
          <w:sz w:val="24"/>
          <w:szCs w:val="24"/>
          <w:lang w:eastAsia="sv-SE"/>
        </w:rPr>
        <w:t xml:space="preserve">, </w:t>
      </w:r>
      <w:r w:rsidRPr="00C96994">
        <w:rPr>
          <w:rFonts w:ascii="Times New Roman" w:eastAsia="Times New Roman" w:hAnsi="Times New Roman" w:cs="Times New Roman"/>
          <w:i/>
          <w:iCs/>
          <w:sz w:val="24"/>
          <w:szCs w:val="24"/>
          <w:lang w:eastAsia="sv-SE"/>
        </w:rPr>
        <w:t>88</w:t>
      </w:r>
      <w:r w:rsidRPr="00C96994">
        <w:rPr>
          <w:rFonts w:ascii="Times New Roman" w:eastAsia="Times New Roman" w:hAnsi="Times New Roman" w:cs="Times New Roman"/>
          <w:sz w:val="24"/>
          <w:szCs w:val="24"/>
          <w:lang w:eastAsia="sv-SE"/>
        </w:rPr>
        <w:t xml:space="preserve">(3), 1–19. </w:t>
      </w:r>
      <w:hyperlink r:id="rId27" w:history="1">
        <w:r w:rsidRPr="00C96994">
          <w:rPr>
            <w:rStyle w:val="Hyperlnk"/>
            <w:rFonts w:ascii="Times New Roman" w:eastAsia="Times New Roman" w:hAnsi="Times New Roman" w:cs="Times New Roman"/>
            <w:sz w:val="24"/>
            <w:szCs w:val="24"/>
            <w:lang w:eastAsia="sv-SE"/>
          </w:rPr>
          <w:t>https://doi.org/10.1177/00222429231216910</w:t>
        </w:r>
      </w:hyperlink>
    </w:p>
    <w:p w14:paraId="74D82FE4"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p>
    <w:p w14:paraId="24B2315F"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r w:rsidRPr="00C96994">
        <w:rPr>
          <w:rFonts w:ascii="Times New Roman" w:eastAsia="Times New Roman" w:hAnsi="Times New Roman" w:cs="Times New Roman"/>
          <w:sz w:val="24"/>
          <w:szCs w:val="24"/>
          <w:lang w:eastAsia="sv-SE"/>
        </w:rPr>
        <w:t xml:space="preserve">Moriña, A., &amp; Carnerero, F. (2020). Conceptions of Disability at Education: A Systematic Review. </w:t>
      </w:r>
      <w:r w:rsidRPr="00C96994">
        <w:rPr>
          <w:rFonts w:ascii="Times New Roman" w:eastAsia="Times New Roman" w:hAnsi="Times New Roman" w:cs="Times New Roman"/>
          <w:i/>
          <w:iCs/>
          <w:sz w:val="24"/>
          <w:szCs w:val="24"/>
          <w:lang w:eastAsia="sv-SE"/>
        </w:rPr>
        <w:t>International Journal of Disability, Development and Education</w:t>
      </w:r>
      <w:r w:rsidRPr="00C96994">
        <w:rPr>
          <w:rFonts w:ascii="Times New Roman" w:eastAsia="Times New Roman" w:hAnsi="Times New Roman" w:cs="Times New Roman"/>
          <w:sz w:val="24"/>
          <w:szCs w:val="24"/>
          <w:lang w:eastAsia="sv-SE"/>
        </w:rPr>
        <w:t xml:space="preserve">, </w:t>
      </w:r>
      <w:r w:rsidRPr="00C96994">
        <w:rPr>
          <w:rFonts w:ascii="Times New Roman" w:eastAsia="Times New Roman" w:hAnsi="Times New Roman" w:cs="Times New Roman"/>
          <w:i/>
          <w:iCs/>
          <w:sz w:val="24"/>
          <w:szCs w:val="24"/>
          <w:lang w:eastAsia="sv-SE"/>
        </w:rPr>
        <w:t>69</w:t>
      </w:r>
      <w:r w:rsidRPr="00C96994">
        <w:rPr>
          <w:rFonts w:ascii="Times New Roman" w:eastAsia="Times New Roman" w:hAnsi="Times New Roman" w:cs="Times New Roman"/>
          <w:sz w:val="24"/>
          <w:szCs w:val="24"/>
          <w:lang w:eastAsia="sv-SE"/>
        </w:rPr>
        <w:t xml:space="preserve">(3), 1–15. </w:t>
      </w:r>
      <w:hyperlink r:id="rId28" w:history="1">
        <w:r w:rsidRPr="00C96994">
          <w:rPr>
            <w:rStyle w:val="Hyperlnk"/>
            <w:rFonts w:ascii="Times New Roman" w:eastAsia="Times New Roman" w:hAnsi="Times New Roman" w:cs="Times New Roman"/>
            <w:sz w:val="24"/>
            <w:szCs w:val="24"/>
            <w:lang w:eastAsia="sv-SE"/>
          </w:rPr>
          <w:t>https://doi.org/10.1080/1034912x.2020.1749239</w:t>
        </w:r>
      </w:hyperlink>
    </w:p>
    <w:p w14:paraId="7DE29344" w14:textId="77777777" w:rsidR="000146FA" w:rsidRPr="00C96994" w:rsidRDefault="000146FA" w:rsidP="0019689B">
      <w:pPr>
        <w:spacing w:after="0" w:line="240" w:lineRule="auto"/>
        <w:rPr>
          <w:rFonts w:ascii="Times New Roman" w:hAnsi="Times New Roman" w:cs="Times New Roman"/>
          <w:sz w:val="24"/>
          <w:szCs w:val="24"/>
        </w:rPr>
      </w:pPr>
    </w:p>
    <w:p w14:paraId="78389E45" w14:textId="77777777" w:rsidR="000146FA" w:rsidRPr="00C96994" w:rsidRDefault="000146FA" w:rsidP="0019689B">
      <w:pPr>
        <w:spacing w:after="0" w:line="240" w:lineRule="auto"/>
        <w:rPr>
          <w:rFonts w:ascii="Times New Roman" w:hAnsi="Times New Roman" w:cs="Times New Roman"/>
          <w:sz w:val="24"/>
          <w:szCs w:val="24"/>
        </w:rPr>
      </w:pPr>
      <w:r w:rsidRPr="00C96994">
        <w:rPr>
          <w:rFonts w:ascii="Times New Roman" w:hAnsi="Times New Roman" w:cs="Times New Roman"/>
          <w:sz w:val="24"/>
          <w:szCs w:val="24"/>
        </w:rPr>
        <w:t xml:space="preserve">Mweshi, G., &amp; Muhyila, M. (2024). Determining a Statistical Analysis for the Quantitative Study. </w:t>
      </w:r>
      <w:r w:rsidRPr="00C96994">
        <w:rPr>
          <w:rFonts w:ascii="Times New Roman" w:hAnsi="Times New Roman" w:cs="Times New Roman"/>
          <w:i/>
          <w:iCs/>
          <w:sz w:val="24"/>
          <w:szCs w:val="24"/>
        </w:rPr>
        <w:t>Research Gate</w:t>
      </w:r>
      <w:r w:rsidRPr="00C96994">
        <w:rPr>
          <w:rFonts w:ascii="Times New Roman" w:hAnsi="Times New Roman" w:cs="Times New Roman"/>
          <w:sz w:val="24"/>
          <w:szCs w:val="24"/>
        </w:rPr>
        <w:t xml:space="preserve">, </w:t>
      </w:r>
      <w:r w:rsidRPr="00C96994">
        <w:rPr>
          <w:rFonts w:ascii="Times New Roman" w:hAnsi="Times New Roman" w:cs="Times New Roman"/>
          <w:i/>
          <w:iCs/>
          <w:sz w:val="24"/>
          <w:szCs w:val="24"/>
        </w:rPr>
        <w:t>07,</w:t>
      </w:r>
      <w:r w:rsidRPr="00C96994">
        <w:rPr>
          <w:rFonts w:ascii="Times New Roman" w:hAnsi="Times New Roman" w:cs="Times New Roman"/>
          <w:sz w:val="24"/>
          <w:szCs w:val="24"/>
        </w:rPr>
        <w:t xml:space="preserve"> (04,), 187–231. </w:t>
      </w:r>
      <w:hyperlink r:id="rId29" w:history="1">
        <w:r w:rsidRPr="00C96994">
          <w:rPr>
            <w:rStyle w:val="Hyperlnk"/>
            <w:rFonts w:ascii="Times New Roman" w:hAnsi="Times New Roman" w:cs="Times New Roman"/>
            <w:sz w:val="24"/>
            <w:szCs w:val="24"/>
          </w:rPr>
          <w:t>https://doi.org/10.14738/assrj.117.17018</w:t>
        </w:r>
      </w:hyperlink>
    </w:p>
    <w:p w14:paraId="2F1CC5F6"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p>
    <w:p w14:paraId="4B73260B" w14:textId="77777777" w:rsidR="00B14423" w:rsidRDefault="00B14423" w:rsidP="0019689B">
      <w:pPr>
        <w:spacing w:after="0" w:line="240" w:lineRule="auto"/>
        <w:rPr>
          <w:rFonts w:ascii="Times New Roman" w:eastAsia="Times New Roman" w:hAnsi="Times New Roman" w:cs="Times New Roman"/>
          <w:sz w:val="24"/>
          <w:szCs w:val="24"/>
          <w:lang w:val="sv-SE" w:eastAsia="sv-SE"/>
        </w:rPr>
      </w:pPr>
    </w:p>
    <w:p w14:paraId="299AB20A" w14:textId="2E13DF88" w:rsidR="00D12826" w:rsidRPr="00694C68" w:rsidRDefault="00D12826" w:rsidP="0019689B">
      <w:pPr>
        <w:spacing w:after="0" w:line="240" w:lineRule="auto"/>
        <w:rPr>
          <w:rFonts w:ascii="Times New Roman" w:eastAsia="Times New Roman" w:hAnsi="Times New Roman" w:cs="Times New Roman"/>
          <w:sz w:val="24"/>
          <w:szCs w:val="24"/>
          <w:lang w:eastAsia="sv-SE"/>
        </w:rPr>
      </w:pPr>
      <w:r w:rsidRPr="00C96994">
        <w:rPr>
          <w:rFonts w:ascii="Times New Roman" w:eastAsia="Times New Roman" w:hAnsi="Times New Roman" w:cs="Times New Roman"/>
          <w:sz w:val="24"/>
          <w:szCs w:val="24"/>
          <w:lang w:val="sv-SE" w:eastAsia="sv-SE"/>
        </w:rPr>
        <w:lastRenderedPageBreak/>
        <w:t xml:space="preserve">Nana Darna, Iwan Setiawan, M. Aziz Basari, &amp; Kasman Kasman. </w:t>
      </w:r>
      <w:r w:rsidRPr="00C96994">
        <w:rPr>
          <w:rFonts w:ascii="Times New Roman" w:eastAsia="Times New Roman" w:hAnsi="Times New Roman" w:cs="Times New Roman"/>
          <w:sz w:val="24"/>
          <w:szCs w:val="24"/>
          <w:lang w:eastAsia="sv-SE"/>
        </w:rPr>
        <w:t xml:space="preserve">(2024). Smart strategy in statistics: choosing appropriate test tools for data and hypotheses in quantitative research. </w:t>
      </w:r>
      <w:r w:rsidRPr="00694C68">
        <w:rPr>
          <w:rFonts w:ascii="Times New Roman" w:eastAsia="Times New Roman" w:hAnsi="Times New Roman" w:cs="Times New Roman"/>
          <w:i/>
          <w:iCs/>
          <w:sz w:val="24"/>
          <w:szCs w:val="24"/>
          <w:lang w:eastAsia="sv-SE"/>
        </w:rPr>
        <w:t>JPPI (Jurnal Penelitian Pendidikan Indonesia) (Online)</w:t>
      </w:r>
      <w:r w:rsidRPr="00694C68">
        <w:rPr>
          <w:rFonts w:ascii="Times New Roman" w:eastAsia="Times New Roman" w:hAnsi="Times New Roman" w:cs="Times New Roman"/>
          <w:sz w:val="24"/>
          <w:szCs w:val="24"/>
          <w:lang w:eastAsia="sv-SE"/>
        </w:rPr>
        <w:t xml:space="preserve">, </w:t>
      </w:r>
      <w:r w:rsidRPr="00694C68">
        <w:rPr>
          <w:rFonts w:ascii="Times New Roman" w:eastAsia="Times New Roman" w:hAnsi="Times New Roman" w:cs="Times New Roman"/>
          <w:i/>
          <w:iCs/>
          <w:sz w:val="24"/>
          <w:szCs w:val="24"/>
          <w:lang w:eastAsia="sv-SE"/>
        </w:rPr>
        <w:t>10</w:t>
      </w:r>
      <w:r w:rsidRPr="00694C68">
        <w:rPr>
          <w:rFonts w:ascii="Times New Roman" w:eastAsia="Times New Roman" w:hAnsi="Times New Roman" w:cs="Times New Roman"/>
          <w:sz w:val="24"/>
          <w:szCs w:val="24"/>
          <w:lang w:eastAsia="sv-SE"/>
        </w:rPr>
        <w:t xml:space="preserve">(2), 843–851. </w:t>
      </w:r>
      <w:hyperlink r:id="rId30" w:history="1">
        <w:r w:rsidRPr="00694C68">
          <w:rPr>
            <w:rStyle w:val="Hyperlnk"/>
            <w:rFonts w:ascii="Times New Roman" w:eastAsia="Times New Roman" w:hAnsi="Times New Roman" w:cs="Times New Roman"/>
            <w:sz w:val="24"/>
            <w:szCs w:val="24"/>
            <w:lang w:eastAsia="sv-SE"/>
          </w:rPr>
          <w:t>https://doi.org/10.29210/020243691</w:t>
        </w:r>
      </w:hyperlink>
    </w:p>
    <w:p w14:paraId="1286F43E"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p>
    <w:p w14:paraId="5E549782"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r w:rsidRPr="00C96994">
        <w:rPr>
          <w:rFonts w:ascii="Times New Roman" w:eastAsia="Times New Roman" w:hAnsi="Times New Roman" w:cs="Times New Roman"/>
          <w:sz w:val="24"/>
          <w:szCs w:val="24"/>
          <w:lang w:eastAsia="sv-SE"/>
        </w:rPr>
        <w:t xml:space="preserve">Nef, D. P., Nef, S., &amp; Kruetli, P. (2023). Putting people back at the center of livelihood vulnerability analysis. </w:t>
      </w:r>
      <w:r w:rsidRPr="00C96994">
        <w:rPr>
          <w:rFonts w:ascii="Times New Roman" w:eastAsia="Times New Roman" w:hAnsi="Times New Roman" w:cs="Times New Roman"/>
          <w:i/>
          <w:iCs/>
          <w:sz w:val="24"/>
          <w:szCs w:val="24"/>
          <w:lang w:eastAsia="sv-SE"/>
        </w:rPr>
        <w:t>SN Social Sciences</w:t>
      </w:r>
      <w:r w:rsidRPr="00C96994">
        <w:rPr>
          <w:rFonts w:ascii="Times New Roman" w:eastAsia="Times New Roman" w:hAnsi="Times New Roman" w:cs="Times New Roman"/>
          <w:sz w:val="24"/>
          <w:szCs w:val="24"/>
          <w:lang w:eastAsia="sv-SE"/>
        </w:rPr>
        <w:t xml:space="preserve">, </w:t>
      </w:r>
      <w:r w:rsidRPr="00C96994">
        <w:rPr>
          <w:rFonts w:ascii="Times New Roman" w:eastAsia="Times New Roman" w:hAnsi="Times New Roman" w:cs="Times New Roman"/>
          <w:i/>
          <w:iCs/>
          <w:sz w:val="24"/>
          <w:szCs w:val="24"/>
          <w:lang w:eastAsia="sv-SE"/>
        </w:rPr>
        <w:t>3</w:t>
      </w:r>
      <w:r w:rsidRPr="00C96994">
        <w:rPr>
          <w:rFonts w:ascii="Times New Roman" w:eastAsia="Times New Roman" w:hAnsi="Times New Roman" w:cs="Times New Roman"/>
          <w:sz w:val="24"/>
          <w:szCs w:val="24"/>
          <w:lang w:eastAsia="sv-SE"/>
        </w:rPr>
        <w:t xml:space="preserve">(11), Article 184. </w:t>
      </w:r>
      <w:hyperlink r:id="rId31" w:history="1">
        <w:r w:rsidRPr="00C96994">
          <w:rPr>
            <w:rStyle w:val="Hyperlnk"/>
            <w:rFonts w:ascii="Times New Roman" w:eastAsia="Times New Roman" w:hAnsi="Times New Roman" w:cs="Times New Roman"/>
            <w:sz w:val="24"/>
            <w:szCs w:val="24"/>
            <w:lang w:eastAsia="sv-SE"/>
          </w:rPr>
          <w:t>https://doi.org/10.1007/s43545-023-00775-8</w:t>
        </w:r>
      </w:hyperlink>
    </w:p>
    <w:p w14:paraId="6E453DC6"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p>
    <w:p w14:paraId="715FD62E"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r w:rsidRPr="00C96994">
        <w:rPr>
          <w:rFonts w:ascii="Times New Roman" w:eastAsia="Times New Roman" w:hAnsi="Times New Roman" w:cs="Times New Roman"/>
          <w:sz w:val="24"/>
          <w:szCs w:val="24"/>
          <w:lang w:eastAsia="sv-SE"/>
        </w:rPr>
        <w:t xml:space="preserve">Nieminen, J. H. (2022). A spanner in the works: the portrayal of disabled students in assessment adjustment research. </w:t>
      </w:r>
      <w:r w:rsidRPr="00C96994">
        <w:rPr>
          <w:rFonts w:ascii="Times New Roman" w:eastAsia="Times New Roman" w:hAnsi="Times New Roman" w:cs="Times New Roman"/>
          <w:i/>
          <w:iCs/>
          <w:sz w:val="24"/>
          <w:szCs w:val="24"/>
          <w:lang w:eastAsia="sv-SE"/>
        </w:rPr>
        <w:t>International Studies in Sociology of Education</w:t>
      </w:r>
      <w:r w:rsidRPr="00C96994">
        <w:rPr>
          <w:rFonts w:ascii="Times New Roman" w:eastAsia="Times New Roman" w:hAnsi="Times New Roman" w:cs="Times New Roman"/>
          <w:sz w:val="24"/>
          <w:szCs w:val="24"/>
          <w:lang w:eastAsia="sv-SE"/>
        </w:rPr>
        <w:t xml:space="preserve">, </w:t>
      </w:r>
      <w:r w:rsidRPr="00C96994">
        <w:rPr>
          <w:rFonts w:ascii="Times New Roman" w:eastAsia="Times New Roman" w:hAnsi="Times New Roman" w:cs="Times New Roman"/>
          <w:i/>
          <w:iCs/>
          <w:sz w:val="24"/>
          <w:szCs w:val="24"/>
          <w:lang w:eastAsia="sv-SE"/>
        </w:rPr>
        <w:t>32</w:t>
      </w:r>
      <w:r w:rsidRPr="00C96994">
        <w:rPr>
          <w:rFonts w:ascii="Times New Roman" w:eastAsia="Times New Roman" w:hAnsi="Times New Roman" w:cs="Times New Roman"/>
          <w:sz w:val="24"/>
          <w:szCs w:val="24"/>
          <w:lang w:eastAsia="sv-SE"/>
        </w:rPr>
        <w:t xml:space="preserve">(1), 30–55. </w:t>
      </w:r>
      <w:hyperlink r:id="rId32" w:history="1">
        <w:r w:rsidRPr="00C96994">
          <w:rPr>
            <w:rStyle w:val="Hyperlnk"/>
            <w:rFonts w:ascii="Times New Roman" w:eastAsia="Times New Roman" w:hAnsi="Times New Roman" w:cs="Times New Roman"/>
            <w:sz w:val="24"/>
            <w:szCs w:val="24"/>
            <w:lang w:eastAsia="sv-SE"/>
          </w:rPr>
          <w:t>https://doi.org/10.1080/09620214.2022.2118809</w:t>
        </w:r>
      </w:hyperlink>
    </w:p>
    <w:p w14:paraId="04A8894B"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p>
    <w:p w14:paraId="50A7A8FC" w14:textId="77777777" w:rsidR="000146FA" w:rsidRPr="00C96994" w:rsidRDefault="000146FA" w:rsidP="0019689B">
      <w:pPr>
        <w:spacing w:line="240" w:lineRule="auto"/>
        <w:rPr>
          <w:rFonts w:ascii="Times New Roman" w:hAnsi="Times New Roman" w:cs="Times New Roman"/>
          <w:sz w:val="24"/>
          <w:szCs w:val="24"/>
        </w:rPr>
      </w:pPr>
      <w:r w:rsidRPr="00C96994">
        <w:rPr>
          <w:rFonts w:ascii="Times New Roman" w:hAnsi="Times New Roman" w:cs="Times New Roman"/>
          <w:sz w:val="24"/>
          <w:szCs w:val="24"/>
        </w:rPr>
        <w:t xml:space="preserve">Pandey, A. (2021). Roadblock on the Way of Disabled Students in the Higher Education. </w:t>
      </w:r>
      <w:r w:rsidRPr="00C96994">
        <w:rPr>
          <w:rFonts w:ascii="Times New Roman" w:hAnsi="Times New Roman" w:cs="Times New Roman"/>
          <w:i/>
          <w:iCs/>
          <w:sz w:val="24"/>
          <w:szCs w:val="24"/>
        </w:rPr>
        <w:t>Issues and Ideas in Education</w:t>
      </w:r>
      <w:r w:rsidRPr="00C96994">
        <w:rPr>
          <w:rFonts w:ascii="Times New Roman" w:hAnsi="Times New Roman" w:cs="Times New Roman"/>
          <w:sz w:val="24"/>
          <w:szCs w:val="24"/>
        </w:rPr>
        <w:t xml:space="preserve">, </w:t>
      </w:r>
      <w:r w:rsidRPr="00C96994">
        <w:rPr>
          <w:rFonts w:ascii="Times New Roman" w:hAnsi="Times New Roman" w:cs="Times New Roman"/>
          <w:i/>
          <w:iCs/>
          <w:sz w:val="24"/>
          <w:szCs w:val="24"/>
        </w:rPr>
        <w:t>9</w:t>
      </w:r>
      <w:r w:rsidRPr="00C96994">
        <w:rPr>
          <w:rFonts w:ascii="Times New Roman" w:hAnsi="Times New Roman" w:cs="Times New Roman"/>
          <w:sz w:val="24"/>
          <w:szCs w:val="24"/>
        </w:rPr>
        <w:t xml:space="preserve">(2), 97–102. </w:t>
      </w:r>
      <w:hyperlink r:id="rId33" w:history="1">
        <w:r w:rsidRPr="00C96994">
          <w:rPr>
            <w:rStyle w:val="Hyperlnk"/>
            <w:rFonts w:ascii="Times New Roman" w:hAnsi="Times New Roman" w:cs="Times New Roman"/>
            <w:sz w:val="24"/>
            <w:szCs w:val="24"/>
          </w:rPr>
          <w:t>https://doi.org/10.15415/iie.2021.92009</w:t>
        </w:r>
      </w:hyperlink>
    </w:p>
    <w:p w14:paraId="71F07EB6"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r w:rsidRPr="00694C68">
        <w:rPr>
          <w:rFonts w:ascii="Times New Roman" w:eastAsia="Times New Roman" w:hAnsi="Times New Roman" w:cs="Times New Roman"/>
          <w:sz w:val="24"/>
          <w:szCs w:val="24"/>
          <w:lang w:eastAsia="sv-SE"/>
        </w:rPr>
        <w:t xml:space="preserve">Rahman, Md. M., Tasnim, F., Mukta, M. Z., Abedin, A., &amp; Aryal, K. R. (2022). </w:t>
      </w:r>
      <w:r w:rsidRPr="00C96994">
        <w:rPr>
          <w:rFonts w:ascii="Times New Roman" w:eastAsia="Times New Roman" w:hAnsi="Times New Roman" w:cs="Times New Roman"/>
          <w:sz w:val="24"/>
          <w:szCs w:val="24"/>
          <w:lang w:eastAsia="sv-SE"/>
        </w:rPr>
        <w:t xml:space="preserve">Assessing Barriers in Humanitarian Supply Chains for Cyclone in Coastal Areas of Bangladesh: An Interpretive Structural Modeling (ISM) Approach. </w:t>
      </w:r>
      <w:r w:rsidRPr="00C96994">
        <w:rPr>
          <w:rFonts w:ascii="Times New Roman" w:eastAsia="Times New Roman" w:hAnsi="Times New Roman" w:cs="Times New Roman"/>
          <w:i/>
          <w:iCs/>
          <w:sz w:val="24"/>
          <w:szCs w:val="24"/>
          <w:lang w:eastAsia="sv-SE"/>
        </w:rPr>
        <w:t>Sustainability</w:t>
      </w:r>
      <w:r w:rsidRPr="00C96994">
        <w:rPr>
          <w:rFonts w:ascii="Times New Roman" w:eastAsia="Times New Roman" w:hAnsi="Times New Roman" w:cs="Times New Roman"/>
          <w:sz w:val="24"/>
          <w:szCs w:val="24"/>
          <w:lang w:eastAsia="sv-SE"/>
        </w:rPr>
        <w:t xml:space="preserve">, </w:t>
      </w:r>
      <w:r w:rsidRPr="00C96994">
        <w:rPr>
          <w:rFonts w:ascii="Times New Roman" w:eastAsia="Times New Roman" w:hAnsi="Times New Roman" w:cs="Times New Roman"/>
          <w:i/>
          <w:iCs/>
          <w:sz w:val="24"/>
          <w:szCs w:val="24"/>
          <w:lang w:eastAsia="sv-SE"/>
        </w:rPr>
        <w:t>14</w:t>
      </w:r>
      <w:r w:rsidRPr="00C96994">
        <w:rPr>
          <w:rFonts w:ascii="Times New Roman" w:eastAsia="Times New Roman" w:hAnsi="Times New Roman" w:cs="Times New Roman"/>
          <w:sz w:val="24"/>
          <w:szCs w:val="24"/>
          <w:lang w:eastAsia="sv-SE"/>
        </w:rPr>
        <w:t xml:space="preserve">(15), 9724. </w:t>
      </w:r>
      <w:hyperlink r:id="rId34" w:history="1">
        <w:r w:rsidRPr="00C96994">
          <w:rPr>
            <w:rStyle w:val="Hyperlnk"/>
            <w:rFonts w:ascii="Times New Roman" w:eastAsia="Times New Roman" w:hAnsi="Times New Roman" w:cs="Times New Roman"/>
            <w:sz w:val="24"/>
            <w:szCs w:val="24"/>
            <w:lang w:eastAsia="sv-SE"/>
          </w:rPr>
          <w:t>https://doi.org/10.3390/su14159724</w:t>
        </w:r>
      </w:hyperlink>
    </w:p>
    <w:p w14:paraId="323A0DBF"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p>
    <w:p w14:paraId="1AEE5EEC" w14:textId="4D8E6E8C" w:rsidR="000146FA" w:rsidRDefault="000146FA" w:rsidP="00B14423">
      <w:pPr>
        <w:spacing w:after="0" w:line="240" w:lineRule="auto"/>
        <w:rPr>
          <w:rFonts w:ascii="Times New Roman" w:eastAsia="Times New Roman" w:hAnsi="Times New Roman" w:cs="Times New Roman"/>
          <w:sz w:val="24"/>
          <w:szCs w:val="24"/>
          <w:lang w:eastAsia="sv-SE"/>
        </w:rPr>
      </w:pPr>
      <w:r w:rsidRPr="00C96994">
        <w:rPr>
          <w:rFonts w:ascii="Times New Roman" w:eastAsia="Times New Roman" w:hAnsi="Times New Roman" w:cs="Times New Roman"/>
          <w:sz w:val="24"/>
          <w:szCs w:val="24"/>
          <w:lang w:eastAsia="sv-SE"/>
        </w:rPr>
        <w:t xml:space="preserve">Rasse, C., &amp; Sevilla, M. P. (2023). Marginality and Citizenship Education in Secondary Vocational and Technical Education (VTE). A Vision from the Capability Approach. </w:t>
      </w:r>
      <w:r w:rsidRPr="00C96994">
        <w:rPr>
          <w:rFonts w:ascii="Times New Roman" w:eastAsia="Times New Roman" w:hAnsi="Times New Roman" w:cs="Times New Roman"/>
          <w:i/>
          <w:iCs/>
          <w:sz w:val="24"/>
          <w:szCs w:val="24"/>
          <w:lang w:eastAsia="sv-SE"/>
        </w:rPr>
        <w:t>Journal of Human Development and Capabilities</w:t>
      </w:r>
      <w:r w:rsidRPr="00C96994">
        <w:rPr>
          <w:rFonts w:ascii="Times New Roman" w:eastAsia="Times New Roman" w:hAnsi="Times New Roman" w:cs="Times New Roman"/>
          <w:sz w:val="24"/>
          <w:szCs w:val="24"/>
          <w:lang w:eastAsia="sv-SE"/>
        </w:rPr>
        <w:t xml:space="preserve">, </w:t>
      </w:r>
      <w:r w:rsidRPr="00C96994">
        <w:rPr>
          <w:rFonts w:ascii="Times New Roman" w:eastAsia="Times New Roman" w:hAnsi="Times New Roman" w:cs="Times New Roman"/>
          <w:i/>
          <w:iCs/>
          <w:sz w:val="24"/>
          <w:szCs w:val="24"/>
          <w:lang w:eastAsia="sv-SE"/>
        </w:rPr>
        <w:t>24</w:t>
      </w:r>
      <w:r w:rsidRPr="00C96994">
        <w:rPr>
          <w:rFonts w:ascii="Times New Roman" w:eastAsia="Times New Roman" w:hAnsi="Times New Roman" w:cs="Times New Roman"/>
          <w:sz w:val="24"/>
          <w:szCs w:val="24"/>
          <w:lang w:eastAsia="sv-SE"/>
        </w:rPr>
        <w:t xml:space="preserve">(2), 234–252. </w:t>
      </w:r>
      <w:hyperlink r:id="rId35" w:history="1">
        <w:r w:rsidRPr="00C96994">
          <w:rPr>
            <w:rStyle w:val="Hyperlnk"/>
            <w:rFonts w:ascii="Times New Roman" w:eastAsia="Times New Roman" w:hAnsi="Times New Roman" w:cs="Times New Roman"/>
            <w:sz w:val="24"/>
            <w:szCs w:val="24"/>
            <w:lang w:eastAsia="sv-SE"/>
          </w:rPr>
          <w:t>https://doi.org/10.1080/19452829.2023.2200239</w:t>
        </w:r>
      </w:hyperlink>
    </w:p>
    <w:p w14:paraId="1C528B6A" w14:textId="77777777" w:rsidR="00B14423" w:rsidRPr="00B14423" w:rsidRDefault="00B14423" w:rsidP="00B14423">
      <w:pPr>
        <w:spacing w:after="0" w:line="240" w:lineRule="auto"/>
        <w:rPr>
          <w:rFonts w:ascii="Times New Roman" w:eastAsia="Times New Roman" w:hAnsi="Times New Roman" w:cs="Times New Roman"/>
          <w:sz w:val="24"/>
          <w:szCs w:val="24"/>
          <w:lang w:eastAsia="sv-SE"/>
        </w:rPr>
      </w:pPr>
    </w:p>
    <w:p w14:paraId="45BC50FC"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r w:rsidRPr="00C96994">
        <w:rPr>
          <w:rFonts w:ascii="Times New Roman" w:eastAsia="Times New Roman" w:hAnsi="Times New Roman" w:cs="Times New Roman"/>
          <w:sz w:val="24"/>
          <w:szCs w:val="24"/>
          <w:lang w:eastAsia="sv-SE"/>
        </w:rPr>
        <w:t xml:space="preserve">Riddle, C. A. (2020). Disability and Disadvantage in the Capabilities Approach. In A. Cureton &amp; D. T. Wasserman (Eds.), </w:t>
      </w:r>
      <w:r w:rsidRPr="00C96994">
        <w:rPr>
          <w:rFonts w:ascii="Times New Roman" w:eastAsia="Times New Roman" w:hAnsi="Times New Roman" w:cs="Times New Roman"/>
          <w:i/>
          <w:iCs/>
          <w:sz w:val="24"/>
          <w:szCs w:val="24"/>
          <w:lang w:eastAsia="sv-SE"/>
        </w:rPr>
        <w:t>The Oxford Handbook of Philosophy and Disability</w:t>
      </w:r>
      <w:r w:rsidRPr="00C96994">
        <w:rPr>
          <w:rFonts w:ascii="Times New Roman" w:eastAsia="Times New Roman" w:hAnsi="Times New Roman" w:cs="Times New Roman"/>
          <w:sz w:val="24"/>
          <w:szCs w:val="24"/>
          <w:lang w:eastAsia="sv-SE"/>
        </w:rPr>
        <w:t xml:space="preserve">. Oxford University Press. </w:t>
      </w:r>
      <w:hyperlink r:id="rId36" w:history="1">
        <w:r w:rsidRPr="00C96994">
          <w:rPr>
            <w:rStyle w:val="Hyperlnk"/>
            <w:rFonts w:ascii="Times New Roman" w:eastAsia="Times New Roman" w:hAnsi="Times New Roman" w:cs="Times New Roman"/>
            <w:sz w:val="24"/>
            <w:szCs w:val="24"/>
            <w:lang w:eastAsia="sv-SE"/>
          </w:rPr>
          <w:t>https://doi.org/10.1093/oxfordhb/9780190622879.013.19</w:t>
        </w:r>
      </w:hyperlink>
    </w:p>
    <w:p w14:paraId="647BB7CD" w14:textId="77777777" w:rsidR="000146FA" w:rsidRPr="00C96994" w:rsidRDefault="000146FA" w:rsidP="0019689B">
      <w:pPr>
        <w:spacing w:line="240" w:lineRule="auto"/>
        <w:rPr>
          <w:rFonts w:ascii="Times New Roman" w:hAnsi="Times New Roman" w:cs="Times New Roman"/>
          <w:sz w:val="24"/>
          <w:szCs w:val="24"/>
        </w:rPr>
      </w:pPr>
    </w:p>
    <w:p w14:paraId="79470EA8" w14:textId="77777777" w:rsidR="000146FA" w:rsidRPr="00C96994" w:rsidRDefault="000146FA" w:rsidP="0019689B">
      <w:pPr>
        <w:spacing w:line="240" w:lineRule="auto"/>
        <w:rPr>
          <w:rFonts w:ascii="Times New Roman" w:hAnsi="Times New Roman" w:cs="Times New Roman"/>
          <w:sz w:val="24"/>
          <w:szCs w:val="24"/>
        </w:rPr>
      </w:pPr>
      <w:r w:rsidRPr="00C96994">
        <w:rPr>
          <w:rFonts w:ascii="Times New Roman" w:hAnsi="Times New Roman" w:cs="Times New Roman"/>
          <w:sz w:val="24"/>
          <w:szCs w:val="24"/>
        </w:rPr>
        <w:t xml:space="preserve">Saharan, V. A., Kulhari, H., &amp; Jadhav, H. R. (2024). </w:t>
      </w:r>
      <w:r w:rsidRPr="00C96994">
        <w:rPr>
          <w:rFonts w:ascii="Times New Roman" w:hAnsi="Times New Roman" w:cs="Times New Roman"/>
          <w:i/>
          <w:iCs/>
          <w:sz w:val="24"/>
          <w:szCs w:val="24"/>
        </w:rPr>
        <w:t>Principles of Research Methodology and Ethics in Pharmaceutical Sciences</w:t>
      </w:r>
      <w:r w:rsidRPr="00C96994">
        <w:rPr>
          <w:rFonts w:ascii="Times New Roman" w:hAnsi="Times New Roman" w:cs="Times New Roman"/>
          <w:sz w:val="24"/>
          <w:szCs w:val="24"/>
        </w:rPr>
        <w:t xml:space="preserve">. CRC Press. </w:t>
      </w:r>
      <w:hyperlink r:id="rId37" w:history="1">
        <w:r w:rsidRPr="00C96994">
          <w:rPr>
            <w:rStyle w:val="Hyperlnk"/>
            <w:rFonts w:ascii="Times New Roman" w:hAnsi="Times New Roman" w:cs="Times New Roman"/>
            <w:sz w:val="24"/>
            <w:szCs w:val="24"/>
          </w:rPr>
          <w:t>https://doi.org/10.1201/9781003088226</w:t>
        </w:r>
      </w:hyperlink>
    </w:p>
    <w:p w14:paraId="360A4568"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r w:rsidRPr="00C96994">
        <w:rPr>
          <w:rFonts w:ascii="Times New Roman" w:eastAsia="Times New Roman" w:hAnsi="Times New Roman" w:cs="Times New Roman"/>
          <w:sz w:val="24"/>
          <w:szCs w:val="24"/>
          <w:lang w:eastAsia="sv-SE"/>
        </w:rPr>
        <w:t xml:space="preserve">Shaw, A. (2025). Inclusion of higher education disabled students: a Q-methodology study of lecturers’ attitudes. </w:t>
      </w:r>
      <w:r w:rsidRPr="00C96994">
        <w:rPr>
          <w:rFonts w:ascii="Times New Roman" w:eastAsia="Times New Roman" w:hAnsi="Times New Roman" w:cs="Times New Roman"/>
          <w:i/>
          <w:iCs/>
          <w:sz w:val="24"/>
          <w:szCs w:val="24"/>
          <w:lang w:eastAsia="sv-SE"/>
        </w:rPr>
        <w:t>Teaching in Higher Education</w:t>
      </w:r>
      <w:r w:rsidRPr="00C96994">
        <w:rPr>
          <w:rFonts w:ascii="Times New Roman" w:eastAsia="Times New Roman" w:hAnsi="Times New Roman" w:cs="Times New Roman"/>
          <w:sz w:val="24"/>
          <w:szCs w:val="24"/>
          <w:lang w:eastAsia="sv-SE"/>
        </w:rPr>
        <w:t xml:space="preserve">, </w:t>
      </w:r>
      <w:r w:rsidRPr="00C96994">
        <w:rPr>
          <w:rFonts w:ascii="Times New Roman" w:eastAsia="Times New Roman" w:hAnsi="Times New Roman" w:cs="Times New Roman"/>
          <w:i/>
          <w:iCs/>
          <w:sz w:val="24"/>
          <w:szCs w:val="24"/>
          <w:lang w:eastAsia="sv-SE"/>
        </w:rPr>
        <w:t>30</w:t>
      </w:r>
      <w:r w:rsidRPr="00C96994">
        <w:rPr>
          <w:rFonts w:ascii="Times New Roman" w:eastAsia="Times New Roman" w:hAnsi="Times New Roman" w:cs="Times New Roman"/>
          <w:sz w:val="24"/>
          <w:szCs w:val="24"/>
          <w:lang w:eastAsia="sv-SE"/>
        </w:rPr>
        <w:t xml:space="preserve">(4), 821–842. </w:t>
      </w:r>
      <w:hyperlink r:id="rId38" w:history="1">
        <w:r w:rsidRPr="00C96994">
          <w:rPr>
            <w:rStyle w:val="Hyperlnk"/>
            <w:rFonts w:ascii="Times New Roman" w:eastAsia="Times New Roman" w:hAnsi="Times New Roman" w:cs="Times New Roman"/>
            <w:sz w:val="24"/>
            <w:szCs w:val="24"/>
            <w:lang w:eastAsia="sv-SE"/>
          </w:rPr>
          <w:t>https://doi.org/10.1080/13562517.2023.2280266</w:t>
        </w:r>
      </w:hyperlink>
    </w:p>
    <w:p w14:paraId="431582B8" w14:textId="77777777" w:rsidR="000146FA" w:rsidRPr="00C96994" w:rsidRDefault="000146FA" w:rsidP="0019689B">
      <w:pPr>
        <w:spacing w:line="240" w:lineRule="auto"/>
        <w:rPr>
          <w:rFonts w:ascii="Times New Roman" w:hAnsi="Times New Roman" w:cs="Times New Roman"/>
          <w:sz w:val="24"/>
          <w:szCs w:val="24"/>
        </w:rPr>
      </w:pPr>
    </w:p>
    <w:p w14:paraId="7C81B581" w14:textId="1C67E70C" w:rsidR="00EA1DBE" w:rsidRPr="00694C68" w:rsidRDefault="000146FA" w:rsidP="0019689B">
      <w:pPr>
        <w:spacing w:line="240" w:lineRule="auto"/>
        <w:rPr>
          <w:rFonts w:ascii="Times New Roman" w:eastAsia="Times New Roman" w:hAnsi="Times New Roman" w:cs="Times New Roman"/>
          <w:sz w:val="24"/>
          <w:szCs w:val="24"/>
          <w:lang w:val="sv-SE" w:eastAsia="sv-SE"/>
        </w:rPr>
      </w:pPr>
      <w:r w:rsidRPr="00C96994">
        <w:rPr>
          <w:rFonts w:ascii="Times New Roman" w:eastAsia="Times New Roman" w:hAnsi="Times New Roman" w:cs="Times New Roman"/>
          <w:sz w:val="24"/>
          <w:szCs w:val="24"/>
          <w:lang w:eastAsia="sv-SE"/>
        </w:rPr>
        <w:t xml:space="preserve">Smeplass, E., Rapp, A. C., &amp; Corral-Granados, A. (2024). Understanding how institutional dynamics can contribute to educational inequality in Nordic cities. </w:t>
      </w:r>
      <w:r w:rsidRPr="00694C68">
        <w:rPr>
          <w:rFonts w:ascii="Times New Roman" w:eastAsia="Times New Roman" w:hAnsi="Times New Roman" w:cs="Times New Roman"/>
          <w:i/>
          <w:iCs/>
          <w:sz w:val="24"/>
          <w:szCs w:val="24"/>
          <w:lang w:val="sv-SE" w:eastAsia="sv-SE"/>
        </w:rPr>
        <w:t>Oxford Review of Education</w:t>
      </w:r>
      <w:r w:rsidRPr="00694C68">
        <w:rPr>
          <w:rFonts w:ascii="Times New Roman" w:eastAsia="Times New Roman" w:hAnsi="Times New Roman" w:cs="Times New Roman"/>
          <w:sz w:val="24"/>
          <w:szCs w:val="24"/>
          <w:lang w:val="sv-SE" w:eastAsia="sv-SE"/>
        </w:rPr>
        <w:t xml:space="preserve">, </w:t>
      </w:r>
      <w:r w:rsidRPr="00694C68">
        <w:rPr>
          <w:rFonts w:ascii="Times New Roman" w:eastAsia="Times New Roman" w:hAnsi="Times New Roman" w:cs="Times New Roman"/>
          <w:i/>
          <w:iCs/>
          <w:sz w:val="24"/>
          <w:szCs w:val="24"/>
          <w:lang w:val="sv-SE" w:eastAsia="sv-SE"/>
        </w:rPr>
        <w:t>50</w:t>
      </w:r>
      <w:r w:rsidRPr="00694C68">
        <w:rPr>
          <w:rFonts w:ascii="Times New Roman" w:eastAsia="Times New Roman" w:hAnsi="Times New Roman" w:cs="Times New Roman"/>
          <w:sz w:val="24"/>
          <w:szCs w:val="24"/>
          <w:lang w:val="sv-SE" w:eastAsia="sv-SE"/>
        </w:rPr>
        <w:t xml:space="preserve">(2), 290–307. </w:t>
      </w:r>
      <w:hyperlink r:id="rId39" w:history="1">
        <w:r w:rsidRPr="00694C68">
          <w:rPr>
            <w:rStyle w:val="Hyperlnk"/>
            <w:rFonts w:ascii="Times New Roman" w:eastAsia="Times New Roman" w:hAnsi="Times New Roman" w:cs="Times New Roman"/>
            <w:sz w:val="24"/>
            <w:szCs w:val="24"/>
            <w:lang w:val="sv-SE" w:eastAsia="sv-SE"/>
          </w:rPr>
          <w:t>https://doi.org/10.1080/03054985.2023.2274027</w:t>
        </w:r>
      </w:hyperlink>
      <w:r w:rsidR="00327578" w:rsidRPr="00694C68">
        <w:rPr>
          <w:rFonts w:ascii="Times New Roman" w:hAnsi="Times New Roman" w:cs="Times New Roman"/>
          <w:sz w:val="24"/>
          <w:szCs w:val="24"/>
          <w:lang w:val="sv-SE"/>
        </w:rPr>
        <w:t xml:space="preserve"> </w:t>
      </w:r>
    </w:p>
    <w:p w14:paraId="2ED4005E" w14:textId="4BB16495" w:rsidR="00EA1DBE" w:rsidRDefault="00327578" w:rsidP="0019689B">
      <w:pPr>
        <w:spacing w:line="240" w:lineRule="auto"/>
      </w:pPr>
      <w:r w:rsidRPr="00B14423">
        <w:rPr>
          <w:rStyle w:val="Stark"/>
          <w:rFonts w:ascii="Times New Roman" w:hAnsi="Times New Roman" w:cs="Times New Roman"/>
          <w:b w:val="0"/>
          <w:bCs w:val="0"/>
          <w:sz w:val="24"/>
          <w:szCs w:val="24"/>
          <w:lang w:val="sv-SE"/>
        </w:rPr>
        <w:t>Skolverket. (2026</w:t>
      </w:r>
      <w:r w:rsidRPr="00C96994">
        <w:rPr>
          <w:rStyle w:val="Stark"/>
          <w:rFonts w:ascii="Times New Roman" w:hAnsi="Times New Roman" w:cs="Times New Roman"/>
          <w:sz w:val="24"/>
          <w:szCs w:val="24"/>
          <w:lang w:val="sv-SE"/>
        </w:rPr>
        <w:t>).</w:t>
      </w:r>
      <w:r w:rsidRPr="00C96994">
        <w:rPr>
          <w:rFonts w:ascii="Times New Roman" w:hAnsi="Times New Roman" w:cs="Times New Roman"/>
          <w:sz w:val="24"/>
          <w:szCs w:val="24"/>
          <w:lang w:val="sv-SE"/>
        </w:rPr>
        <w:t xml:space="preserve"> </w:t>
      </w:r>
      <w:r w:rsidRPr="00C96994">
        <w:rPr>
          <w:rStyle w:val="Betoning"/>
          <w:rFonts w:ascii="Times New Roman" w:hAnsi="Times New Roman" w:cs="Times New Roman"/>
          <w:sz w:val="24"/>
          <w:szCs w:val="24"/>
          <w:lang w:val="sv-SE"/>
        </w:rPr>
        <w:t>Läroplan för anpassade grundskolan (Lgra22)</w:t>
      </w:r>
      <w:hyperlink r:id="rId40" w:history="1">
        <w:r w:rsidR="00284DAA" w:rsidRPr="00C96994">
          <w:rPr>
            <w:rStyle w:val="Hyperlnk"/>
            <w:rFonts w:ascii="Times New Roman" w:hAnsi="Times New Roman" w:cs="Times New Roman"/>
            <w:sz w:val="24"/>
            <w:szCs w:val="24"/>
            <w:lang w:val="sv-SE"/>
          </w:rPr>
          <w:t>https://www.skolverket.se/sok-publikationer/publikationsserier/styrdokument/2025/laroplan-for-anpassade-grundskolan---lgra22</w:t>
        </w:r>
      </w:hyperlink>
    </w:p>
    <w:p w14:paraId="6B676E2D" w14:textId="0E6B7194" w:rsidR="00D949EE" w:rsidRPr="00D949EE" w:rsidRDefault="00D949EE" w:rsidP="0019689B">
      <w:pPr>
        <w:spacing w:line="240" w:lineRule="auto"/>
        <w:rPr>
          <w:rFonts w:ascii="Times New Roman" w:hAnsi="Times New Roman" w:cs="Times New Roman"/>
          <w:sz w:val="24"/>
          <w:szCs w:val="24"/>
          <w:lang w:val="sv-SE"/>
        </w:rPr>
      </w:pPr>
      <w:r w:rsidRPr="00D949EE">
        <w:rPr>
          <w:rFonts w:ascii="Times New Roman" w:hAnsi="Times New Roman" w:cs="Times New Roman"/>
          <w:sz w:val="24"/>
          <w:szCs w:val="24"/>
          <w:lang w:val="sv-SE"/>
        </w:rPr>
        <w:t xml:space="preserve">Statistics Sweden. (2024, December 2). </w:t>
      </w:r>
      <w:r w:rsidRPr="00D949EE">
        <w:rPr>
          <w:rFonts w:ascii="Times New Roman" w:hAnsi="Times New Roman" w:cs="Times New Roman"/>
          <w:i/>
          <w:iCs/>
          <w:sz w:val="24"/>
          <w:szCs w:val="24"/>
          <w:lang w:val="sv-SE"/>
        </w:rPr>
        <w:t>Elever som påbörjat eftergymnasial utbildning efter tid sedan utbildning, utbildningsväg, kön och funktionsnedsättning</w:t>
      </w:r>
      <w:r w:rsidRPr="00D949EE">
        <w:rPr>
          <w:rFonts w:ascii="Times New Roman" w:hAnsi="Times New Roman" w:cs="Times New Roman"/>
          <w:sz w:val="24"/>
          <w:szCs w:val="24"/>
          <w:lang w:val="sv-SE"/>
        </w:rPr>
        <w:t xml:space="preserve"> </w:t>
      </w:r>
      <w:r w:rsidR="00240494">
        <w:rPr>
          <w:rFonts w:ascii="Times New Roman" w:hAnsi="Times New Roman" w:cs="Times New Roman"/>
          <w:sz w:val="24"/>
          <w:szCs w:val="24"/>
          <w:lang w:val="sv-SE"/>
        </w:rPr>
        <w:t>(</w:t>
      </w:r>
      <w:r w:rsidRPr="00D949EE">
        <w:rPr>
          <w:rFonts w:ascii="Times New Roman" w:hAnsi="Times New Roman" w:cs="Times New Roman"/>
          <w:sz w:val="24"/>
          <w:szCs w:val="24"/>
          <w:lang w:val="sv-SE"/>
        </w:rPr>
        <w:t>Excel table</w:t>
      </w:r>
      <w:r w:rsidR="00240494">
        <w:rPr>
          <w:rFonts w:ascii="Times New Roman" w:hAnsi="Times New Roman" w:cs="Times New Roman"/>
          <w:sz w:val="24"/>
          <w:szCs w:val="24"/>
          <w:lang w:val="sv-SE"/>
        </w:rPr>
        <w:t>)</w:t>
      </w:r>
      <w:r w:rsidRPr="00D949EE">
        <w:rPr>
          <w:rFonts w:ascii="Times New Roman" w:hAnsi="Times New Roman" w:cs="Times New Roman"/>
          <w:sz w:val="24"/>
          <w:szCs w:val="24"/>
          <w:lang w:val="sv-SE"/>
        </w:rPr>
        <w:t xml:space="preserve">. </w:t>
      </w:r>
      <w:hyperlink r:id="rId41" w:tgtFrame="_new" w:history="1">
        <w:r w:rsidRPr="00240494">
          <w:rPr>
            <w:rFonts w:ascii="Times New Roman" w:hAnsi="Times New Roman" w:cs="Times New Roman"/>
            <w:color w:val="0000FF"/>
            <w:sz w:val="24"/>
            <w:szCs w:val="24"/>
            <w:u w:val="single"/>
            <w:lang w:val="sv-SE"/>
          </w:rPr>
          <w:t>https://www.scb.se/uf0601</w:t>
        </w:r>
      </w:hyperlink>
    </w:p>
    <w:p w14:paraId="1B7CE955" w14:textId="77777777" w:rsidR="00240494" w:rsidRDefault="00240494" w:rsidP="0019689B">
      <w:pPr>
        <w:spacing w:before="100" w:beforeAutospacing="1" w:after="100" w:afterAutospacing="1" w:line="240" w:lineRule="auto"/>
        <w:rPr>
          <w:rFonts w:ascii="Times New Roman" w:eastAsia="Times New Roman" w:hAnsi="Times New Roman" w:cs="Times New Roman"/>
          <w:sz w:val="24"/>
          <w:szCs w:val="24"/>
          <w:lang w:eastAsia="sv-SE"/>
        </w:rPr>
      </w:pPr>
    </w:p>
    <w:p w14:paraId="1F6161AB" w14:textId="4AF105EB" w:rsidR="00381842" w:rsidRPr="00C96994" w:rsidRDefault="000146FA" w:rsidP="0019689B">
      <w:pPr>
        <w:spacing w:before="100" w:beforeAutospacing="1" w:after="100" w:afterAutospacing="1" w:line="240" w:lineRule="auto"/>
        <w:rPr>
          <w:rFonts w:ascii="Times New Roman" w:eastAsia="Times New Roman" w:hAnsi="Times New Roman" w:cs="Times New Roman"/>
          <w:sz w:val="24"/>
          <w:szCs w:val="24"/>
          <w:lang w:eastAsia="sv-SE"/>
        </w:rPr>
      </w:pPr>
      <w:r w:rsidRPr="00C96994">
        <w:rPr>
          <w:rFonts w:ascii="Times New Roman" w:eastAsia="Times New Roman" w:hAnsi="Times New Roman" w:cs="Times New Roman"/>
          <w:sz w:val="24"/>
          <w:szCs w:val="24"/>
          <w:lang w:eastAsia="sv-SE"/>
        </w:rPr>
        <w:lastRenderedPageBreak/>
        <w:t xml:space="preserve">Statistics Sweden. (2024, November 27). </w:t>
      </w:r>
      <w:hyperlink r:id="rId42" w:history="1">
        <w:r w:rsidR="00C4196D" w:rsidRPr="00C96994">
          <w:rPr>
            <w:rStyle w:val="Hyperlnk"/>
            <w:rFonts w:ascii="Times New Roman" w:eastAsia="Times New Roman" w:hAnsi="Times New Roman" w:cs="Times New Roman"/>
            <w:sz w:val="24"/>
            <w:szCs w:val="24"/>
            <w:lang w:eastAsia="sv-SE"/>
          </w:rPr>
          <w:t>Young people with disabilities feel down more often than their peers</w:t>
        </w:r>
      </w:hyperlink>
    </w:p>
    <w:p w14:paraId="457ABC62" w14:textId="73E8F0AB" w:rsidR="000146FA" w:rsidRPr="00C96994" w:rsidRDefault="000146FA" w:rsidP="0019689B">
      <w:pPr>
        <w:spacing w:after="0" w:line="240" w:lineRule="auto"/>
        <w:rPr>
          <w:rFonts w:ascii="Times New Roman" w:eastAsia="Times New Roman" w:hAnsi="Times New Roman" w:cs="Times New Roman"/>
          <w:sz w:val="24"/>
          <w:szCs w:val="24"/>
          <w:lang w:eastAsia="sv-SE"/>
        </w:rPr>
      </w:pPr>
      <w:r w:rsidRPr="00C96994">
        <w:rPr>
          <w:rFonts w:ascii="Times New Roman" w:eastAsia="Times New Roman" w:hAnsi="Times New Roman" w:cs="Times New Roman"/>
          <w:sz w:val="24"/>
          <w:szCs w:val="24"/>
          <w:lang w:val="sv-SE" w:eastAsia="sv-SE"/>
        </w:rPr>
        <w:t xml:space="preserve">Stefánsdóttir, G. V., &amp; Björnsdóttir, K. (2016). </w:t>
      </w:r>
      <w:r w:rsidRPr="00C96994">
        <w:rPr>
          <w:rFonts w:ascii="Times New Roman" w:eastAsia="Times New Roman" w:hAnsi="Times New Roman" w:cs="Times New Roman"/>
          <w:sz w:val="24"/>
          <w:szCs w:val="24"/>
          <w:lang w:eastAsia="sv-SE"/>
        </w:rPr>
        <w:t xml:space="preserve">‘I am a college student’ postsecondary education for students with intellectual disabilities. </w:t>
      </w:r>
      <w:r w:rsidRPr="00C96994">
        <w:rPr>
          <w:rFonts w:ascii="Times New Roman" w:eastAsia="Times New Roman" w:hAnsi="Times New Roman" w:cs="Times New Roman"/>
          <w:i/>
          <w:iCs/>
          <w:sz w:val="24"/>
          <w:szCs w:val="24"/>
          <w:lang w:eastAsia="sv-SE"/>
        </w:rPr>
        <w:t>Scandinavian Journal of Disability Research: SJDR</w:t>
      </w:r>
      <w:r w:rsidRPr="00C96994">
        <w:rPr>
          <w:rFonts w:ascii="Times New Roman" w:eastAsia="Times New Roman" w:hAnsi="Times New Roman" w:cs="Times New Roman"/>
          <w:sz w:val="24"/>
          <w:szCs w:val="24"/>
          <w:lang w:eastAsia="sv-SE"/>
        </w:rPr>
        <w:t xml:space="preserve">, </w:t>
      </w:r>
      <w:r w:rsidRPr="00C96994">
        <w:rPr>
          <w:rFonts w:ascii="Times New Roman" w:eastAsia="Times New Roman" w:hAnsi="Times New Roman" w:cs="Times New Roman"/>
          <w:i/>
          <w:iCs/>
          <w:sz w:val="24"/>
          <w:szCs w:val="24"/>
          <w:lang w:eastAsia="sv-SE"/>
        </w:rPr>
        <w:t>18</w:t>
      </w:r>
      <w:r w:rsidRPr="00C96994">
        <w:rPr>
          <w:rFonts w:ascii="Times New Roman" w:eastAsia="Times New Roman" w:hAnsi="Times New Roman" w:cs="Times New Roman"/>
          <w:sz w:val="24"/>
          <w:szCs w:val="24"/>
          <w:lang w:eastAsia="sv-SE"/>
        </w:rPr>
        <w:t xml:space="preserve">(4), 328–342. </w:t>
      </w:r>
      <w:hyperlink r:id="rId43" w:history="1">
        <w:r w:rsidR="00381842" w:rsidRPr="00C96994">
          <w:rPr>
            <w:rStyle w:val="Hyperlnk"/>
            <w:rFonts w:ascii="Times New Roman" w:eastAsia="Times New Roman" w:hAnsi="Times New Roman" w:cs="Times New Roman"/>
            <w:sz w:val="24"/>
            <w:szCs w:val="24"/>
            <w:lang w:eastAsia="sv-SE"/>
          </w:rPr>
          <w:t>https://doi.org/10.1080/15017419.2015.1114019</w:t>
        </w:r>
      </w:hyperlink>
    </w:p>
    <w:p w14:paraId="31C04465" w14:textId="77777777" w:rsidR="000146FA" w:rsidRPr="00694C68" w:rsidRDefault="000146FA" w:rsidP="0019689B">
      <w:pPr>
        <w:spacing w:after="0" w:line="240" w:lineRule="auto"/>
        <w:rPr>
          <w:rFonts w:ascii="Times New Roman" w:hAnsi="Times New Roman" w:cs="Times New Roman"/>
          <w:sz w:val="24"/>
          <w:szCs w:val="24"/>
        </w:rPr>
      </w:pPr>
    </w:p>
    <w:p w14:paraId="380CB1BB"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r w:rsidRPr="00C96994">
        <w:rPr>
          <w:rFonts w:ascii="Times New Roman" w:eastAsia="Times New Roman" w:hAnsi="Times New Roman" w:cs="Times New Roman"/>
          <w:sz w:val="24"/>
          <w:szCs w:val="24"/>
          <w:lang w:eastAsia="sv-SE"/>
        </w:rPr>
        <w:t xml:space="preserve">Valentini, L. (2011). [Rev. of </w:t>
      </w:r>
      <w:r w:rsidRPr="00C96994">
        <w:rPr>
          <w:rFonts w:ascii="Times New Roman" w:eastAsia="Times New Roman" w:hAnsi="Times New Roman" w:cs="Times New Roman"/>
          <w:i/>
          <w:iCs/>
          <w:sz w:val="24"/>
          <w:szCs w:val="24"/>
          <w:lang w:eastAsia="sv-SE"/>
        </w:rPr>
        <w:t>Measuring Justice: Primary Goods and Capabilities</w:t>
      </w:r>
      <w:r w:rsidRPr="00C96994">
        <w:rPr>
          <w:rFonts w:ascii="Times New Roman" w:eastAsia="Times New Roman" w:hAnsi="Times New Roman" w:cs="Times New Roman"/>
          <w:sz w:val="24"/>
          <w:szCs w:val="24"/>
          <w:lang w:eastAsia="sv-SE"/>
        </w:rPr>
        <w:t xml:space="preserve">]. </w:t>
      </w:r>
      <w:r w:rsidRPr="00C96994">
        <w:rPr>
          <w:rFonts w:ascii="Times New Roman" w:eastAsia="Times New Roman" w:hAnsi="Times New Roman" w:cs="Times New Roman"/>
          <w:i/>
          <w:iCs/>
          <w:sz w:val="24"/>
          <w:szCs w:val="24"/>
          <w:lang w:eastAsia="sv-SE"/>
        </w:rPr>
        <w:t>Ethics &amp; International Affairs</w:t>
      </w:r>
      <w:r w:rsidRPr="00C96994">
        <w:rPr>
          <w:rFonts w:ascii="Times New Roman" w:eastAsia="Times New Roman" w:hAnsi="Times New Roman" w:cs="Times New Roman"/>
          <w:sz w:val="24"/>
          <w:szCs w:val="24"/>
          <w:lang w:eastAsia="sv-SE"/>
        </w:rPr>
        <w:t xml:space="preserve">, </w:t>
      </w:r>
      <w:r w:rsidRPr="00C96994">
        <w:rPr>
          <w:rFonts w:ascii="Times New Roman" w:eastAsia="Times New Roman" w:hAnsi="Times New Roman" w:cs="Times New Roman"/>
          <w:i/>
          <w:iCs/>
          <w:sz w:val="24"/>
          <w:szCs w:val="24"/>
          <w:lang w:eastAsia="sv-SE"/>
        </w:rPr>
        <w:t>25</w:t>
      </w:r>
      <w:r w:rsidRPr="00C96994">
        <w:rPr>
          <w:rFonts w:ascii="Times New Roman" w:eastAsia="Times New Roman" w:hAnsi="Times New Roman" w:cs="Times New Roman"/>
          <w:sz w:val="24"/>
          <w:szCs w:val="24"/>
          <w:lang w:eastAsia="sv-SE"/>
        </w:rPr>
        <w:t xml:space="preserve">(1), 95. </w:t>
      </w:r>
      <w:hyperlink r:id="rId44" w:history="1">
        <w:r w:rsidRPr="00C96994">
          <w:rPr>
            <w:rStyle w:val="Hyperlnk"/>
            <w:rFonts w:ascii="Times New Roman" w:eastAsia="Times New Roman" w:hAnsi="Times New Roman" w:cs="Times New Roman"/>
            <w:sz w:val="24"/>
            <w:szCs w:val="24"/>
            <w:lang w:eastAsia="sv-SE"/>
          </w:rPr>
          <w:t>https://doi.org/10.1017/S0892679410000122</w:t>
        </w:r>
      </w:hyperlink>
    </w:p>
    <w:p w14:paraId="5A0B2102"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p>
    <w:p w14:paraId="77FE2DE7" w14:textId="77777777" w:rsidR="000146FA" w:rsidRPr="00C96994" w:rsidRDefault="000146FA" w:rsidP="0019689B">
      <w:pPr>
        <w:spacing w:after="0" w:line="240" w:lineRule="auto"/>
        <w:rPr>
          <w:rFonts w:ascii="Times New Roman" w:hAnsi="Times New Roman" w:cs="Times New Roman"/>
          <w:sz w:val="24"/>
          <w:szCs w:val="24"/>
        </w:rPr>
      </w:pPr>
      <w:r w:rsidRPr="00C96994">
        <w:rPr>
          <w:rFonts w:ascii="Times New Roman" w:eastAsia="Times New Roman" w:hAnsi="Times New Roman" w:cs="Times New Roman"/>
          <w:sz w:val="24"/>
          <w:szCs w:val="24"/>
          <w:lang w:eastAsia="sv-SE"/>
        </w:rPr>
        <w:t xml:space="preserve">Wells, R. (2026). Unequal Access: Disability and Socioeconomic Inequality in College Enrollment. </w:t>
      </w:r>
      <w:r w:rsidRPr="00C96994">
        <w:rPr>
          <w:rFonts w:ascii="Times New Roman" w:eastAsia="Times New Roman" w:hAnsi="Times New Roman" w:cs="Times New Roman"/>
          <w:i/>
          <w:iCs/>
          <w:sz w:val="24"/>
          <w:szCs w:val="24"/>
          <w:lang w:eastAsia="sv-SE"/>
        </w:rPr>
        <w:t>Research in Higher Education</w:t>
      </w:r>
      <w:r w:rsidRPr="00C96994">
        <w:rPr>
          <w:rFonts w:ascii="Times New Roman" w:eastAsia="Times New Roman" w:hAnsi="Times New Roman" w:cs="Times New Roman"/>
          <w:sz w:val="24"/>
          <w:szCs w:val="24"/>
          <w:lang w:eastAsia="sv-SE"/>
        </w:rPr>
        <w:t xml:space="preserve">, </w:t>
      </w:r>
      <w:r w:rsidRPr="00C96994">
        <w:rPr>
          <w:rFonts w:ascii="Times New Roman" w:eastAsia="Times New Roman" w:hAnsi="Times New Roman" w:cs="Times New Roman"/>
          <w:i/>
          <w:iCs/>
          <w:sz w:val="24"/>
          <w:szCs w:val="24"/>
          <w:lang w:eastAsia="sv-SE"/>
        </w:rPr>
        <w:t>67</w:t>
      </w:r>
      <w:r w:rsidRPr="00C96994">
        <w:rPr>
          <w:rFonts w:ascii="Times New Roman" w:eastAsia="Times New Roman" w:hAnsi="Times New Roman" w:cs="Times New Roman"/>
          <w:sz w:val="24"/>
          <w:szCs w:val="24"/>
          <w:lang w:eastAsia="sv-SE"/>
        </w:rPr>
        <w:t xml:space="preserve">(2), Article 8. </w:t>
      </w:r>
      <w:hyperlink r:id="rId45" w:history="1">
        <w:r w:rsidRPr="00C96994">
          <w:rPr>
            <w:rStyle w:val="Hyperlnk"/>
            <w:rFonts w:ascii="Times New Roman" w:eastAsia="Times New Roman" w:hAnsi="Times New Roman" w:cs="Times New Roman"/>
            <w:sz w:val="24"/>
            <w:szCs w:val="24"/>
            <w:lang w:eastAsia="sv-SE"/>
          </w:rPr>
          <w:t>https://doi.org/10.1007/s11162-025-09878-y</w:t>
        </w:r>
      </w:hyperlink>
    </w:p>
    <w:p w14:paraId="1D93717E" w14:textId="77777777" w:rsidR="000146FA" w:rsidRPr="00C96994" w:rsidRDefault="000146FA" w:rsidP="0019689B">
      <w:pPr>
        <w:spacing w:after="0" w:line="240" w:lineRule="auto"/>
        <w:rPr>
          <w:rFonts w:ascii="Times New Roman" w:eastAsia="Times New Roman" w:hAnsi="Times New Roman" w:cs="Times New Roman"/>
          <w:sz w:val="24"/>
          <w:szCs w:val="24"/>
          <w:lang w:eastAsia="sv-SE"/>
        </w:rPr>
      </w:pPr>
    </w:p>
    <w:p w14:paraId="3C75A7F2" w14:textId="77777777" w:rsidR="000146FA" w:rsidRPr="00C96994" w:rsidRDefault="000146FA" w:rsidP="0019689B">
      <w:pPr>
        <w:spacing w:line="240" w:lineRule="auto"/>
        <w:rPr>
          <w:rFonts w:ascii="Times New Roman" w:hAnsi="Times New Roman" w:cs="Times New Roman"/>
          <w:sz w:val="24"/>
          <w:szCs w:val="24"/>
        </w:rPr>
      </w:pPr>
      <w:r w:rsidRPr="00C96994">
        <w:rPr>
          <w:rFonts w:ascii="Times New Roman" w:hAnsi="Times New Roman" w:cs="Times New Roman"/>
          <w:sz w:val="24"/>
          <w:szCs w:val="24"/>
        </w:rPr>
        <w:t xml:space="preserve">Yusup, M., Naufal, R. S., &amp; Hardini, M. (2019). Management of Utilizing Data Analysis and Hypothesis Testing in Improving the Quality of Research Reports. </w:t>
      </w:r>
      <w:r w:rsidRPr="00C96994">
        <w:rPr>
          <w:rFonts w:ascii="Times New Roman" w:hAnsi="Times New Roman" w:cs="Times New Roman"/>
          <w:i/>
          <w:iCs/>
          <w:sz w:val="24"/>
          <w:szCs w:val="24"/>
        </w:rPr>
        <w:t>Aptisi Transactions on Management (ATM)</w:t>
      </w:r>
      <w:r w:rsidRPr="00C96994">
        <w:rPr>
          <w:rFonts w:ascii="Times New Roman" w:hAnsi="Times New Roman" w:cs="Times New Roman"/>
          <w:sz w:val="24"/>
          <w:szCs w:val="24"/>
        </w:rPr>
        <w:t xml:space="preserve">, </w:t>
      </w:r>
      <w:r w:rsidRPr="00C96994">
        <w:rPr>
          <w:rFonts w:ascii="Times New Roman" w:hAnsi="Times New Roman" w:cs="Times New Roman"/>
          <w:i/>
          <w:iCs/>
          <w:sz w:val="24"/>
          <w:szCs w:val="24"/>
        </w:rPr>
        <w:t>2</w:t>
      </w:r>
      <w:r w:rsidRPr="00C96994">
        <w:rPr>
          <w:rFonts w:ascii="Times New Roman" w:hAnsi="Times New Roman" w:cs="Times New Roman"/>
          <w:sz w:val="24"/>
          <w:szCs w:val="24"/>
        </w:rPr>
        <w:t xml:space="preserve">(2), 159–167. </w:t>
      </w:r>
      <w:hyperlink r:id="rId46" w:history="1">
        <w:r w:rsidRPr="00C96994">
          <w:rPr>
            <w:rStyle w:val="Hyperlnk"/>
            <w:rFonts w:ascii="Times New Roman" w:hAnsi="Times New Roman" w:cs="Times New Roman"/>
            <w:sz w:val="24"/>
            <w:szCs w:val="24"/>
          </w:rPr>
          <w:t>https://doi.org/10.33050/atm.v2i2.789</w:t>
        </w:r>
      </w:hyperlink>
    </w:p>
    <w:p w14:paraId="08B8B919" w14:textId="77777777" w:rsidR="000146FA" w:rsidRPr="00C96994" w:rsidRDefault="000146FA" w:rsidP="008C6015">
      <w:pPr>
        <w:spacing w:line="240" w:lineRule="auto"/>
        <w:jc w:val="both"/>
        <w:rPr>
          <w:rFonts w:ascii="Times New Roman" w:hAnsi="Times New Roman" w:cs="Times New Roman"/>
          <w:sz w:val="24"/>
          <w:szCs w:val="24"/>
        </w:rPr>
      </w:pPr>
    </w:p>
    <w:p w14:paraId="31A1A0D1" w14:textId="77777777" w:rsidR="000146FA" w:rsidRDefault="000146FA" w:rsidP="008C6015">
      <w:pPr>
        <w:spacing w:line="240" w:lineRule="auto"/>
        <w:jc w:val="both"/>
        <w:rPr>
          <w:rFonts w:ascii="Times New Roman" w:hAnsi="Times New Roman" w:cs="Times New Roman"/>
          <w:sz w:val="24"/>
          <w:szCs w:val="24"/>
        </w:rPr>
      </w:pPr>
    </w:p>
    <w:p w14:paraId="20A33643" w14:textId="77777777" w:rsidR="000146FA" w:rsidRPr="006B6329" w:rsidRDefault="000146FA" w:rsidP="008C6015">
      <w:pPr>
        <w:spacing w:line="240" w:lineRule="auto"/>
        <w:jc w:val="both"/>
        <w:rPr>
          <w:rFonts w:ascii="Times New Roman" w:hAnsi="Times New Roman" w:cs="Times New Roman"/>
          <w:sz w:val="24"/>
          <w:szCs w:val="24"/>
        </w:rPr>
      </w:pPr>
    </w:p>
    <w:p w14:paraId="599E517C" w14:textId="77777777" w:rsidR="002C0211" w:rsidRDefault="002C0211" w:rsidP="008C6015">
      <w:pPr>
        <w:spacing w:after="0" w:line="240" w:lineRule="auto"/>
        <w:jc w:val="both"/>
        <w:rPr>
          <w:rFonts w:ascii="Times New Roman" w:eastAsia="Times New Roman" w:hAnsi="Times New Roman" w:cs="Times New Roman"/>
          <w:b/>
          <w:bCs/>
          <w:sz w:val="24"/>
          <w:szCs w:val="24"/>
          <w:lang w:eastAsia="sv-SE"/>
        </w:rPr>
      </w:pPr>
    </w:p>
    <w:p w14:paraId="421AE102" w14:textId="77777777" w:rsidR="00A81D7F" w:rsidRDefault="00A81D7F" w:rsidP="008C6015">
      <w:pPr>
        <w:spacing w:after="0" w:line="240" w:lineRule="auto"/>
        <w:jc w:val="both"/>
        <w:rPr>
          <w:rFonts w:ascii="Times New Roman" w:eastAsia="Times New Roman" w:hAnsi="Times New Roman" w:cs="Times New Roman"/>
          <w:b/>
          <w:bCs/>
          <w:sz w:val="24"/>
          <w:szCs w:val="24"/>
          <w:lang w:eastAsia="sv-SE"/>
        </w:rPr>
      </w:pPr>
    </w:p>
    <w:p w14:paraId="024BF1C3" w14:textId="77777777" w:rsidR="00A81D7F" w:rsidRDefault="00A81D7F" w:rsidP="008C6015">
      <w:pPr>
        <w:spacing w:after="0" w:line="240" w:lineRule="auto"/>
        <w:jc w:val="both"/>
        <w:rPr>
          <w:rFonts w:ascii="Times New Roman" w:eastAsia="Times New Roman" w:hAnsi="Times New Roman" w:cs="Times New Roman"/>
          <w:b/>
          <w:bCs/>
          <w:sz w:val="24"/>
          <w:szCs w:val="24"/>
          <w:lang w:eastAsia="sv-SE"/>
        </w:rPr>
      </w:pPr>
    </w:p>
    <w:p w14:paraId="62169102" w14:textId="77777777" w:rsidR="00A81D7F" w:rsidRDefault="00A81D7F" w:rsidP="008C6015">
      <w:pPr>
        <w:spacing w:after="0" w:line="240" w:lineRule="auto"/>
        <w:jc w:val="both"/>
        <w:rPr>
          <w:rFonts w:ascii="Times New Roman" w:eastAsia="Times New Roman" w:hAnsi="Times New Roman" w:cs="Times New Roman"/>
          <w:b/>
          <w:bCs/>
          <w:sz w:val="24"/>
          <w:szCs w:val="24"/>
          <w:lang w:eastAsia="sv-SE"/>
        </w:rPr>
      </w:pPr>
    </w:p>
    <w:p w14:paraId="429F21D1" w14:textId="77777777" w:rsidR="00A81D7F" w:rsidRDefault="00A81D7F" w:rsidP="008C6015">
      <w:pPr>
        <w:spacing w:after="0" w:line="240" w:lineRule="auto"/>
        <w:jc w:val="both"/>
        <w:rPr>
          <w:rFonts w:ascii="Times New Roman" w:eastAsia="Times New Roman" w:hAnsi="Times New Roman" w:cs="Times New Roman"/>
          <w:b/>
          <w:bCs/>
          <w:sz w:val="24"/>
          <w:szCs w:val="24"/>
          <w:lang w:eastAsia="sv-SE"/>
        </w:rPr>
      </w:pPr>
    </w:p>
    <w:p w14:paraId="7102A317" w14:textId="77777777" w:rsidR="00A81D7F" w:rsidRDefault="00A81D7F" w:rsidP="008C6015">
      <w:pPr>
        <w:spacing w:after="0" w:line="240" w:lineRule="auto"/>
        <w:jc w:val="both"/>
        <w:rPr>
          <w:rFonts w:ascii="Times New Roman" w:eastAsia="Times New Roman" w:hAnsi="Times New Roman" w:cs="Times New Roman"/>
          <w:b/>
          <w:bCs/>
          <w:sz w:val="24"/>
          <w:szCs w:val="24"/>
          <w:lang w:eastAsia="sv-SE"/>
        </w:rPr>
      </w:pPr>
    </w:p>
    <w:p w14:paraId="286E475B" w14:textId="77777777" w:rsidR="00A81D7F" w:rsidRDefault="00A81D7F" w:rsidP="008276AB">
      <w:pPr>
        <w:spacing w:after="0" w:line="360" w:lineRule="auto"/>
        <w:jc w:val="both"/>
        <w:rPr>
          <w:rFonts w:ascii="Times New Roman" w:eastAsia="Times New Roman" w:hAnsi="Times New Roman" w:cs="Times New Roman"/>
          <w:b/>
          <w:bCs/>
          <w:sz w:val="24"/>
          <w:szCs w:val="24"/>
          <w:lang w:eastAsia="sv-SE"/>
        </w:rPr>
      </w:pPr>
    </w:p>
    <w:p w14:paraId="03FAB6F2" w14:textId="77777777" w:rsidR="00A81D7F" w:rsidRDefault="00A81D7F" w:rsidP="008276AB">
      <w:pPr>
        <w:spacing w:after="0" w:line="360" w:lineRule="auto"/>
        <w:jc w:val="both"/>
        <w:rPr>
          <w:rFonts w:ascii="Times New Roman" w:eastAsia="Times New Roman" w:hAnsi="Times New Roman" w:cs="Times New Roman"/>
          <w:b/>
          <w:bCs/>
          <w:sz w:val="24"/>
          <w:szCs w:val="24"/>
          <w:lang w:eastAsia="sv-SE"/>
        </w:rPr>
      </w:pPr>
    </w:p>
    <w:p w14:paraId="442DBED6" w14:textId="77777777" w:rsidR="00A81D7F" w:rsidRDefault="00A81D7F" w:rsidP="008276AB">
      <w:pPr>
        <w:spacing w:after="0" w:line="360" w:lineRule="auto"/>
        <w:jc w:val="both"/>
        <w:rPr>
          <w:rFonts w:ascii="Times New Roman" w:eastAsia="Times New Roman" w:hAnsi="Times New Roman" w:cs="Times New Roman"/>
          <w:b/>
          <w:bCs/>
          <w:sz w:val="24"/>
          <w:szCs w:val="24"/>
          <w:lang w:eastAsia="sv-SE"/>
        </w:rPr>
      </w:pPr>
    </w:p>
    <w:p w14:paraId="6C688B02" w14:textId="77777777" w:rsidR="000B3BEA" w:rsidRDefault="000B3BEA" w:rsidP="008276AB">
      <w:pPr>
        <w:spacing w:after="0" w:line="360" w:lineRule="auto"/>
        <w:jc w:val="both"/>
        <w:rPr>
          <w:rFonts w:ascii="Times New Roman" w:eastAsia="Times New Roman" w:hAnsi="Times New Roman" w:cs="Times New Roman"/>
          <w:b/>
          <w:bCs/>
          <w:sz w:val="24"/>
          <w:szCs w:val="24"/>
          <w:lang w:eastAsia="sv-SE"/>
        </w:rPr>
      </w:pPr>
    </w:p>
    <w:p w14:paraId="6994001F" w14:textId="77777777" w:rsidR="000B3BEA" w:rsidRDefault="000B3BEA" w:rsidP="008276AB">
      <w:pPr>
        <w:spacing w:after="0" w:line="360" w:lineRule="auto"/>
        <w:jc w:val="both"/>
        <w:rPr>
          <w:rFonts w:ascii="Times New Roman" w:eastAsia="Times New Roman" w:hAnsi="Times New Roman" w:cs="Times New Roman"/>
          <w:b/>
          <w:bCs/>
          <w:sz w:val="24"/>
          <w:szCs w:val="24"/>
          <w:lang w:eastAsia="sv-SE"/>
        </w:rPr>
      </w:pPr>
    </w:p>
    <w:p w14:paraId="33ECB4E6" w14:textId="77777777" w:rsidR="000B3BEA" w:rsidRDefault="000B3BEA" w:rsidP="008276AB">
      <w:pPr>
        <w:spacing w:after="0" w:line="360" w:lineRule="auto"/>
        <w:jc w:val="both"/>
        <w:rPr>
          <w:rFonts w:ascii="Times New Roman" w:eastAsia="Times New Roman" w:hAnsi="Times New Roman" w:cs="Times New Roman"/>
          <w:b/>
          <w:bCs/>
          <w:sz w:val="24"/>
          <w:szCs w:val="24"/>
          <w:lang w:eastAsia="sv-SE"/>
        </w:rPr>
      </w:pPr>
    </w:p>
    <w:p w14:paraId="7BE80A64" w14:textId="77777777" w:rsidR="008C3CA1" w:rsidRDefault="008C3CA1" w:rsidP="008276AB">
      <w:pPr>
        <w:spacing w:after="0" w:line="360" w:lineRule="auto"/>
        <w:jc w:val="both"/>
        <w:rPr>
          <w:rFonts w:ascii="Times New Roman" w:eastAsia="Times New Roman" w:hAnsi="Times New Roman" w:cs="Times New Roman"/>
          <w:b/>
          <w:bCs/>
          <w:sz w:val="24"/>
          <w:szCs w:val="24"/>
          <w:lang w:eastAsia="sv-SE"/>
        </w:rPr>
      </w:pPr>
    </w:p>
    <w:p w14:paraId="60470C5A" w14:textId="77777777" w:rsidR="00413663" w:rsidRDefault="00413663" w:rsidP="008276AB">
      <w:pPr>
        <w:spacing w:after="0" w:line="360" w:lineRule="auto"/>
        <w:jc w:val="both"/>
        <w:rPr>
          <w:rFonts w:ascii="Times New Roman" w:eastAsia="Times New Roman" w:hAnsi="Times New Roman" w:cs="Times New Roman"/>
          <w:b/>
          <w:bCs/>
          <w:sz w:val="24"/>
          <w:szCs w:val="24"/>
          <w:lang w:eastAsia="sv-SE"/>
        </w:rPr>
      </w:pPr>
    </w:p>
    <w:p w14:paraId="615F26C9" w14:textId="77777777" w:rsidR="00413663" w:rsidRDefault="00413663" w:rsidP="008276AB">
      <w:pPr>
        <w:spacing w:after="0" w:line="360" w:lineRule="auto"/>
        <w:jc w:val="both"/>
        <w:rPr>
          <w:rFonts w:ascii="Times New Roman" w:eastAsia="Times New Roman" w:hAnsi="Times New Roman" w:cs="Times New Roman"/>
          <w:b/>
          <w:bCs/>
          <w:sz w:val="24"/>
          <w:szCs w:val="24"/>
          <w:lang w:eastAsia="sv-SE"/>
        </w:rPr>
      </w:pPr>
    </w:p>
    <w:p w14:paraId="5B55D845" w14:textId="77777777" w:rsidR="00413663" w:rsidRDefault="00413663" w:rsidP="008276AB">
      <w:pPr>
        <w:spacing w:after="0" w:line="360" w:lineRule="auto"/>
        <w:jc w:val="both"/>
        <w:rPr>
          <w:rFonts w:ascii="Times New Roman" w:eastAsia="Times New Roman" w:hAnsi="Times New Roman" w:cs="Times New Roman"/>
          <w:b/>
          <w:bCs/>
          <w:sz w:val="24"/>
          <w:szCs w:val="24"/>
          <w:lang w:eastAsia="sv-SE"/>
        </w:rPr>
      </w:pPr>
    </w:p>
    <w:p w14:paraId="63D0D5DA" w14:textId="77777777" w:rsidR="000C1E75" w:rsidRDefault="000C1E75" w:rsidP="008276AB">
      <w:pPr>
        <w:spacing w:after="0" w:line="360" w:lineRule="auto"/>
        <w:jc w:val="both"/>
        <w:rPr>
          <w:rFonts w:ascii="Times New Roman" w:eastAsia="Times New Roman" w:hAnsi="Times New Roman" w:cs="Times New Roman"/>
          <w:b/>
          <w:bCs/>
          <w:sz w:val="24"/>
          <w:szCs w:val="24"/>
          <w:lang w:eastAsia="sv-SE"/>
        </w:rPr>
      </w:pPr>
    </w:p>
    <w:p w14:paraId="38BADD53" w14:textId="77777777" w:rsidR="000C1E75" w:rsidRDefault="000C1E75" w:rsidP="008276AB">
      <w:pPr>
        <w:spacing w:after="0" w:line="360" w:lineRule="auto"/>
        <w:jc w:val="both"/>
        <w:rPr>
          <w:rFonts w:ascii="Times New Roman" w:eastAsia="Times New Roman" w:hAnsi="Times New Roman" w:cs="Times New Roman"/>
          <w:b/>
          <w:bCs/>
          <w:sz w:val="24"/>
          <w:szCs w:val="24"/>
          <w:lang w:eastAsia="sv-SE"/>
        </w:rPr>
      </w:pPr>
    </w:p>
    <w:p w14:paraId="14082F41" w14:textId="77777777" w:rsidR="000C1E75" w:rsidRDefault="000C1E75" w:rsidP="008276AB">
      <w:pPr>
        <w:spacing w:after="0" w:line="360" w:lineRule="auto"/>
        <w:jc w:val="both"/>
        <w:rPr>
          <w:rFonts w:ascii="Times New Roman" w:eastAsia="Times New Roman" w:hAnsi="Times New Roman" w:cs="Times New Roman"/>
          <w:b/>
          <w:bCs/>
          <w:sz w:val="24"/>
          <w:szCs w:val="24"/>
          <w:lang w:eastAsia="sv-SE"/>
        </w:rPr>
      </w:pPr>
    </w:p>
    <w:p w14:paraId="16FE03C1" w14:textId="77777777" w:rsidR="00B14423" w:rsidRDefault="00B14423" w:rsidP="008276AB">
      <w:pPr>
        <w:spacing w:after="0" w:line="360" w:lineRule="auto"/>
        <w:jc w:val="both"/>
        <w:rPr>
          <w:rFonts w:ascii="Times New Roman" w:eastAsia="Times New Roman" w:hAnsi="Times New Roman" w:cs="Times New Roman"/>
          <w:b/>
          <w:bCs/>
          <w:sz w:val="24"/>
          <w:szCs w:val="24"/>
          <w:lang w:eastAsia="sv-SE"/>
        </w:rPr>
      </w:pPr>
    </w:p>
    <w:p w14:paraId="7A69862E" w14:textId="77777777" w:rsidR="00B14423" w:rsidRDefault="00B14423" w:rsidP="008276AB">
      <w:pPr>
        <w:spacing w:after="0" w:line="360" w:lineRule="auto"/>
        <w:jc w:val="both"/>
        <w:rPr>
          <w:rFonts w:ascii="Times New Roman" w:eastAsia="Times New Roman" w:hAnsi="Times New Roman" w:cs="Times New Roman"/>
          <w:b/>
          <w:bCs/>
          <w:sz w:val="24"/>
          <w:szCs w:val="24"/>
          <w:lang w:eastAsia="sv-SE"/>
        </w:rPr>
      </w:pPr>
    </w:p>
    <w:p w14:paraId="608ED4D8" w14:textId="77777777" w:rsidR="00B14423" w:rsidRDefault="00B14423" w:rsidP="008276AB">
      <w:pPr>
        <w:spacing w:after="0" w:line="360" w:lineRule="auto"/>
        <w:jc w:val="both"/>
        <w:rPr>
          <w:rFonts w:ascii="Times New Roman" w:eastAsia="Times New Roman" w:hAnsi="Times New Roman" w:cs="Times New Roman"/>
          <w:b/>
          <w:bCs/>
          <w:sz w:val="24"/>
          <w:szCs w:val="24"/>
          <w:lang w:eastAsia="sv-SE"/>
        </w:rPr>
      </w:pPr>
    </w:p>
    <w:p w14:paraId="22333535" w14:textId="77777777" w:rsidR="00B14423" w:rsidRDefault="00B14423" w:rsidP="008276AB">
      <w:pPr>
        <w:spacing w:after="0" w:line="360" w:lineRule="auto"/>
        <w:jc w:val="both"/>
        <w:rPr>
          <w:rFonts w:ascii="Times New Roman" w:eastAsia="Times New Roman" w:hAnsi="Times New Roman" w:cs="Times New Roman"/>
          <w:b/>
          <w:bCs/>
          <w:sz w:val="24"/>
          <w:szCs w:val="24"/>
          <w:lang w:eastAsia="sv-SE"/>
        </w:rPr>
      </w:pPr>
    </w:p>
    <w:p w14:paraId="0023DB97" w14:textId="62884E5D" w:rsidR="00E0592A" w:rsidRPr="00AB24C2" w:rsidRDefault="00AB24C2" w:rsidP="008276AB">
      <w:pPr>
        <w:spacing w:after="0" w:line="360" w:lineRule="auto"/>
        <w:jc w:val="both"/>
        <w:rPr>
          <w:rFonts w:ascii="Times New Roman" w:eastAsia="Times New Roman" w:hAnsi="Times New Roman" w:cs="Times New Roman"/>
          <w:b/>
          <w:bCs/>
          <w:sz w:val="24"/>
          <w:szCs w:val="24"/>
          <w:lang w:eastAsia="sv-SE"/>
        </w:rPr>
      </w:pPr>
      <w:r w:rsidRPr="00AB24C2">
        <w:rPr>
          <w:rFonts w:ascii="Times New Roman" w:eastAsia="Times New Roman" w:hAnsi="Times New Roman" w:cs="Times New Roman"/>
          <w:b/>
          <w:bCs/>
          <w:sz w:val="24"/>
          <w:szCs w:val="24"/>
          <w:lang w:eastAsia="sv-SE"/>
        </w:rPr>
        <w:t xml:space="preserve">Appendix A: </w:t>
      </w:r>
      <w:r w:rsidRPr="002C0211">
        <w:rPr>
          <w:rFonts w:ascii="Times New Roman" w:eastAsia="Times New Roman" w:hAnsi="Times New Roman" w:cs="Times New Roman"/>
          <w:b/>
          <w:bCs/>
          <w:sz w:val="24"/>
          <w:szCs w:val="24"/>
          <w:lang w:eastAsia="sv-SE"/>
        </w:rPr>
        <w:t>Cleaned Analytical Dataset</w:t>
      </w:r>
    </w:p>
    <w:p w14:paraId="183B144E" w14:textId="54BEC0B4" w:rsidR="00A81D7F" w:rsidRPr="008276AB" w:rsidRDefault="008276AB" w:rsidP="008276AB">
      <w:pPr>
        <w:spacing w:after="0" w:line="360" w:lineRule="auto"/>
        <w:jc w:val="both"/>
        <w:rPr>
          <w:rFonts w:ascii="Times New Roman" w:eastAsia="Times New Roman" w:hAnsi="Times New Roman" w:cs="Times New Roman"/>
          <w:sz w:val="24"/>
          <w:szCs w:val="24"/>
          <w:lang w:eastAsia="sv-SE"/>
        </w:rPr>
      </w:pPr>
      <w:r w:rsidRPr="008276AB">
        <w:rPr>
          <w:rFonts w:ascii="Times New Roman" w:eastAsia="Times New Roman" w:hAnsi="Times New Roman" w:cs="Times New Roman"/>
          <w:sz w:val="24"/>
          <w:szCs w:val="24"/>
          <w:lang w:eastAsia="sv-SE"/>
        </w:rPr>
        <w:t>The dataset presented in this appendix represents the cleaned analytical dataset used for the statistical analyses. Observations containing non-numerical entries or falling outside the scope of the research questions were excluded during data preparation</w:t>
      </w:r>
      <w:r w:rsidR="00694C68">
        <w:rPr>
          <w:rFonts w:ascii="Times New Roman" w:eastAsia="Times New Roman" w:hAnsi="Times New Roman" w:cs="Times New Roman"/>
          <w:sz w:val="24"/>
          <w:szCs w:val="24"/>
          <w:lang w:eastAsia="sv-SE"/>
        </w:rPr>
        <w:t xml:space="preserve"> </w:t>
      </w:r>
      <w:r w:rsidR="00694C68" w:rsidRPr="00694C68">
        <w:rPr>
          <w:rFonts w:ascii="Times New Roman" w:eastAsia="Times New Roman" w:hAnsi="Times New Roman" w:cs="Times New Roman"/>
          <w:sz w:val="24"/>
          <w:szCs w:val="24"/>
          <w:lang w:eastAsia="sv-SE"/>
        </w:rPr>
        <w:t>(SCB, 2024)</w:t>
      </w:r>
      <w:r w:rsidR="00694C68">
        <w:rPr>
          <w:rFonts w:ascii="Times New Roman" w:eastAsia="Times New Roman" w:hAnsi="Times New Roman" w:cs="Times New Roman"/>
          <w:sz w:val="24"/>
          <w:szCs w:val="24"/>
          <w:lang w:eastAsia="sv-SE"/>
        </w:rPr>
        <w:t>.</w:t>
      </w:r>
    </w:p>
    <w:p w14:paraId="56D07AA6" w14:textId="02C2154C" w:rsidR="00A81D7F" w:rsidRDefault="00A81D7F" w:rsidP="00334E45">
      <w:r w:rsidRPr="00A81D7F">
        <w:rPr>
          <w:noProof/>
        </w:rPr>
        <w:lastRenderedPageBreak/>
        <w:drawing>
          <wp:inline distT="0" distB="0" distL="0" distR="0" wp14:anchorId="74942A10" wp14:editId="78EB386A">
            <wp:extent cx="6680932" cy="7612641"/>
            <wp:effectExtent l="0" t="0" r="5715" b="7620"/>
            <wp:docPr id="192345082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680932" cy="7612641"/>
                    </a:xfrm>
                    <a:prstGeom prst="rect">
                      <a:avLst/>
                    </a:prstGeom>
                    <a:noFill/>
                    <a:ln>
                      <a:noFill/>
                    </a:ln>
                  </pic:spPr>
                </pic:pic>
              </a:graphicData>
            </a:graphic>
          </wp:inline>
        </w:drawing>
      </w:r>
    </w:p>
    <w:sectPr w:rsidR="00A81D7F">
      <w:footerReference w:type="default" r:id="rId4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38F9B" w14:textId="77777777" w:rsidR="00E03DB1" w:rsidRDefault="00E03DB1" w:rsidP="007F2454">
      <w:pPr>
        <w:spacing w:after="0" w:line="240" w:lineRule="auto"/>
      </w:pPr>
      <w:r>
        <w:separator/>
      </w:r>
    </w:p>
  </w:endnote>
  <w:endnote w:type="continuationSeparator" w:id="0">
    <w:p w14:paraId="45182952" w14:textId="77777777" w:rsidR="00E03DB1" w:rsidRDefault="00E03DB1" w:rsidP="007F2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9177166"/>
      <w:docPartObj>
        <w:docPartGallery w:val="Page Numbers (Bottom of Page)"/>
        <w:docPartUnique/>
      </w:docPartObj>
    </w:sdtPr>
    <w:sdtEndPr/>
    <w:sdtContent>
      <w:p w14:paraId="541390D5" w14:textId="13803DAF" w:rsidR="0090777A" w:rsidRDefault="0090777A">
        <w:pPr>
          <w:pStyle w:val="Sidfot"/>
          <w:jc w:val="right"/>
        </w:pPr>
        <w:r>
          <w:fldChar w:fldCharType="begin"/>
        </w:r>
        <w:r>
          <w:instrText>PAGE   \* MERGEFORMAT</w:instrText>
        </w:r>
        <w:r>
          <w:fldChar w:fldCharType="separate"/>
        </w:r>
        <w:r>
          <w:rPr>
            <w:lang w:val="sv-SE"/>
          </w:rPr>
          <w:t>2</w:t>
        </w:r>
        <w:r>
          <w:fldChar w:fldCharType="end"/>
        </w:r>
      </w:p>
    </w:sdtContent>
  </w:sdt>
  <w:p w14:paraId="33416E60" w14:textId="77777777" w:rsidR="0090777A" w:rsidRDefault="0090777A">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41496" w14:textId="77777777" w:rsidR="00E03DB1" w:rsidRDefault="00E03DB1" w:rsidP="007F2454">
      <w:pPr>
        <w:spacing w:after="0" w:line="240" w:lineRule="auto"/>
      </w:pPr>
      <w:r>
        <w:separator/>
      </w:r>
    </w:p>
  </w:footnote>
  <w:footnote w:type="continuationSeparator" w:id="0">
    <w:p w14:paraId="5AC0E7D4" w14:textId="77777777" w:rsidR="00E03DB1" w:rsidRDefault="00E03DB1" w:rsidP="007F24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84CEE"/>
    <w:multiLevelType w:val="multilevel"/>
    <w:tmpl w:val="00BED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7F41F0"/>
    <w:multiLevelType w:val="hybridMultilevel"/>
    <w:tmpl w:val="9CD6409C"/>
    <w:lvl w:ilvl="0" w:tplc="041D0001">
      <w:start w:val="1"/>
      <w:numFmt w:val="bullet"/>
      <w:lvlText w:val=""/>
      <w:lvlJc w:val="left"/>
      <w:pPr>
        <w:ind w:left="1800" w:hanging="360"/>
      </w:pPr>
      <w:rPr>
        <w:rFonts w:ascii="Symbol" w:hAnsi="Symbol" w:hint="default"/>
      </w:rPr>
    </w:lvl>
    <w:lvl w:ilvl="1" w:tplc="041D0003" w:tentative="1">
      <w:start w:val="1"/>
      <w:numFmt w:val="bullet"/>
      <w:lvlText w:val="o"/>
      <w:lvlJc w:val="left"/>
      <w:pPr>
        <w:ind w:left="2520" w:hanging="360"/>
      </w:pPr>
      <w:rPr>
        <w:rFonts w:ascii="Courier New" w:hAnsi="Courier New" w:cs="Courier New" w:hint="default"/>
      </w:rPr>
    </w:lvl>
    <w:lvl w:ilvl="2" w:tplc="041D0005" w:tentative="1">
      <w:start w:val="1"/>
      <w:numFmt w:val="bullet"/>
      <w:lvlText w:val=""/>
      <w:lvlJc w:val="left"/>
      <w:pPr>
        <w:ind w:left="3240" w:hanging="360"/>
      </w:pPr>
      <w:rPr>
        <w:rFonts w:ascii="Wingdings" w:hAnsi="Wingdings" w:hint="default"/>
      </w:rPr>
    </w:lvl>
    <w:lvl w:ilvl="3" w:tplc="041D0001" w:tentative="1">
      <w:start w:val="1"/>
      <w:numFmt w:val="bullet"/>
      <w:lvlText w:val=""/>
      <w:lvlJc w:val="left"/>
      <w:pPr>
        <w:ind w:left="3960" w:hanging="360"/>
      </w:pPr>
      <w:rPr>
        <w:rFonts w:ascii="Symbol" w:hAnsi="Symbol" w:hint="default"/>
      </w:rPr>
    </w:lvl>
    <w:lvl w:ilvl="4" w:tplc="041D0003" w:tentative="1">
      <w:start w:val="1"/>
      <w:numFmt w:val="bullet"/>
      <w:lvlText w:val="o"/>
      <w:lvlJc w:val="left"/>
      <w:pPr>
        <w:ind w:left="4680" w:hanging="360"/>
      </w:pPr>
      <w:rPr>
        <w:rFonts w:ascii="Courier New" w:hAnsi="Courier New" w:cs="Courier New" w:hint="default"/>
      </w:rPr>
    </w:lvl>
    <w:lvl w:ilvl="5" w:tplc="041D0005" w:tentative="1">
      <w:start w:val="1"/>
      <w:numFmt w:val="bullet"/>
      <w:lvlText w:val=""/>
      <w:lvlJc w:val="left"/>
      <w:pPr>
        <w:ind w:left="5400" w:hanging="360"/>
      </w:pPr>
      <w:rPr>
        <w:rFonts w:ascii="Wingdings" w:hAnsi="Wingdings" w:hint="default"/>
      </w:rPr>
    </w:lvl>
    <w:lvl w:ilvl="6" w:tplc="041D0001" w:tentative="1">
      <w:start w:val="1"/>
      <w:numFmt w:val="bullet"/>
      <w:lvlText w:val=""/>
      <w:lvlJc w:val="left"/>
      <w:pPr>
        <w:ind w:left="6120" w:hanging="360"/>
      </w:pPr>
      <w:rPr>
        <w:rFonts w:ascii="Symbol" w:hAnsi="Symbol" w:hint="default"/>
      </w:rPr>
    </w:lvl>
    <w:lvl w:ilvl="7" w:tplc="041D0003" w:tentative="1">
      <w:start w:val="1"/>
      <w:numFmt w:val="bullet"/>
      <w:lvlText w:val="o"/>
      <w:lvlJc w:val="left"/>
      <w:pPr>
        <w:ind w:left="6840" w:hanging="360"/>
      </w:pPr>
      <w:rPr>
        <w:rFonts w:ascii="Courier New" w:hAnsi="Courier New" w:cs="Courier New" w:hint="default"/>
      </w:rPr>
    </w:lvl>
    <w:lvl w:ilvl="8" w:tplc="041D0005" w:tentative="1">
      <w:start w:val="1"/>
      <w:numFmt w:val="bullet"/>
      <w:lvlText w:val=""/>
      <w:lvlJc w:val="left"/>
      <w:pPr>
        <w:ind w:left="7560" w:hanging="360"/>
      </w:pPr>
      <w:rPr>
        <w:rFonts w:ascii="Wingdings" w:hAnsi="Wingdings" w:hint="default"/>
      </w:rPr>
    </w:lvl>
  </w:abstractNum>
  <w:abstractNum w:abstractNumId="2" w15:restartNumberingAfterBreak="0">
    <w:nsid w:val="3FBC462E"/>
    <w:multiLevelType w:val="hybridMultilevel"/>
    <w:tmpl w:val="24CC28C2"/>
    <w:lvl w:ilvl="0" w:tplc="FFFFFFF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 w15:restartNumberingAfterBreak="0">
    <w:nsid w:val="4161678C"/>
    <w:multiLevelType w:val="multilevel"/>
    <w:tmpl w:val="6A20B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37617F3"/>
    <w:multiLevelType w:val="hybridMultilevel"/>
    <w:tmpl w:val="F21833F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 w15:restartNumberingAfterBreak="0">
    <w:nsid w:val="71A0676C"/>
    <w:multiLevelType w:val="hybridMultilevel"/>
    <w:tmpl w:val="B07ACA30"/>
    <w:lvl w:ilvl="0" w:tplc="041D0001">
      <w:start w:val="1"/>
      <w:numFmt w:val="bullet"/>
      <w:lvlText w:val=""/>
      <w:lvlJc w:val="left"/>
      <w:pPr>
        <w:ind w:left="1800" w:hanging="360"/>
      </w:pPr>
      <w:rPr>
        <w:rFonts w:ascii="Symbol" w:hAnsi="Symbol" w:hint="default"/>
      </w:rPr>
    </w:lvl>
    <w:lvl w:ilvl="1" w:tplc="041D0003" w:tentative="1">
      <w:start w:val="1"/>
      <w:numFmt w:val="bullet"/>
      <w:lvlText w:val="o"/>
      <w:lvlJc w:val="left"/>
      <w:pPr>
        <w:ind w:left="2520" w:hanging="360"/>
      </w:pPr>
      <w:rPr>
        <w:rFonts w:ascii="Courier New" w:hAnsi="Courier New" w:cs="Courier New" w:hint="default"/>
      </w:rPr>
    </w:lvl>
    <w:lvl w:ilvl="2" w:tplc="041D0005" w:tentative="1">
      <w:start w:val="1"/>
      <w:numFmt w:val="bullet"/>
      <w:lvlText w:val=""/>
      <w:lvlJc w:val="left"/>
      <w:pPr>
        <w:ind w:left="3240" w:hanging="360"/>
      </w:pPr>
      <w:rPr>
        <w:rFonts w:ascii="Wingdings" w:hAnsi="Wingdings" w:hint="default"/>
      </w:rPr>
    </w:lvl>
    <w:lvl w:ilvl="3" w:tplc="041D0001" w:tentative="1">
      <w:start w:val="1"/>
      <w:numFmt w:val="bullet"/>
      <w:lvlText w:val=""/>
      <w:lvlJc w:val="left"/>
      <w:pPr>
        <w:ind w:left="3960" w:hanging="360"/>
      </w:pPr>
      <w:rPr>
        <w:rFonts w:ascii="Symbol" w:hAnsi="Symbol" w:hint="default"/>
      </w:rPr>
    </w:lvl>
    <w:lvl w:ilvl="4" w:tplc="041D0003" w:tentative="1">
      <w:start w:val="1"/>
      <w:numFmt w:val="bullet"/>
      <w:lvlText w:val="o"/>
      <w:lvlJc w:val="left"/>
      <w:pPr>
        <w:ind w:left="4680" w:hanging="360"/>
      </w:pPr>
      <w:rPr>
        <w:rFonts w:ascii="Courier New" w:hAnsi="Courier New" w:cs="Courier New" w:hint="default"/>
      </w:rPr>
    </w:lvl>
    <w:lvl w:ilvl="5" w:tplc="041D0005" w:tentative="1">
      <w:start w:val="1"/>
      <w:numFmt w:val="bullet"/>
      <w:lvlText w:val=""/>
      <w:lvlJc w:val="left"/>
      <w:pPr>
        <w:ind w:left="5400" w:hanging="360"/>
      </w:pPr>
      <w:rPr>
        <w:rFonts w:ascii="Wingdings" w:hAnsi="Wingdings" w:hint="default"/>
      </w:rPr>
    </w:lvl>
    <w:lvl w:ilvl="6" w:tplc="041D0001" w:tentative="1">
      <w:start w:val="1"/>
      <w:numFmt w:val="bullet"/>
      <w:lvlText w:val=""/>
      <w:lvlJc w:val="left"/>
      <w:pPr>
        <w:ind w:left="6120" w:hanging="360"/>
      </w:pPr>
      <w:rPr>
        <w:rFonts w:ascii="Symbol" w:hAnsi="Symbol" w:hint="default"/>
      </w:rPr>
    </w:lvl>
    <w:lvl w:ilvl="7" w:tplc="041D0003" w:tentative="1">
      <w:start w:val="1"/>
      <w:numFmt w:val="bullet"/>
      <w:lvlText w:val="o"/>
      <w:lvlJc w:val="left"/>
      <w:pPr>
        <w:ind w:left="6840" w:hanging="360"/>
      </w:pPr>
      <w:rPr>
        <w:rFonts w:ascii="Courier New" w:hAnsi="Courier New" w:cs="Courier New" w:hint="default"/>
      </w:rPr>
    </w:lvl>
    <w:lvl w:ilvl="8" w:tplc="041D0005" w:tentative="1">
      <w:start w:val="1"/>
      <w:numFmt w:val="bullet"/>
      <w:lvlText w:val=""/>
      <w:lvlJc w:val="left"/>
      <w:pPr>
        <w:ind w:left="7560" w:hanging="360"/>
      </w:pPr>
      <w:rPr>
        <w:rFonts w:ascii="Wingdings" w:hAnsi="Wingdings" w:hint="default"/>
      </w:rPr>
    </w:lvl>
  </w:abstractNum>
  <w:abstractNum w:abstractNumId="6" w15:restartNumberingAfterBreak="0">
    <w:nsid w:val="73182455"/>
    <w:multiLevelType w:val="hybridMultilevel"/>
    <w:tmpl w:val="F7EA82B8"/>
    <w:lvl w:ilvl="0" w:tplc="041D0001">
      <w:start w:val="1"/>
      <w:numFmt w:val="bullet"/>
      <w:lvlText w:val=""/>
      <w:lvlJc w:val="left"/>
      <w:pPr>
        <w:ind w:left="1800" w:hanging="360"/>
      </w:pPr>
      <w:rPr>
        <w:rFonts w:ascii="Symbol" w:hAnsi="Symbol" w:hint="default"/>
      </w:rPr>
    </w:lvl>
    <w:lvl w:ilvl="1" w:tplc="041D0003" w:tentative="1">
      <w:start w:val="1"/>
      <w:numFmt w:val="bullet"/>
      <w:lvlText w:val="o"/>
      <w:lvlJc w:val="left"/>
      <w:pPr>
        <w:ind w:left="2520" w:hanging="360"/>
      </w:pPr>
      <w:rPr>
        <w:rFonts w:ascii="Courier New" w:hAnsi="Courier New" w:cs="Courier New" w:hint="default"/>
      </w:rPr>
    </w:lvl>
    <w:lvl w:ilvl="2" w:tplc="041D0005" w:tentative="1">
      <w:start w:val="1"/>
      <w:numFmt w:val="bullet"/>
      <w:lvlText w:val=""/>
      <w:lvlJc w:val="left"/>
      <w:pPr>
        <w:ind w:left="3240" w:hanging="360"/>
      </w:pPr>
      <w:rPr>
        <w:rFonts w:ascii="Wingdings" w:hAnsi="Wingdings" w:hint="default"/>
      </w:rPr>
    </w:lvl>
    <w:lvl w:ilvl="3" w:tplc="041D0001" w:tentative="1">
      <w:start w:val="1"/>
      <w:numFmt w:val="bullet"/>
      <w:lvlText w:val=""/>
      <w:lvlJc w:val="left"/>
      <w:pPr>
        <w:ind w:left="3960" w:hanging="360"/>
      </w:pPr>
      <w:rPr>
        <w:rFonts w:ascii="Symbol" w:hAnsi="Symbol" w:hint="default"/>
      </w:rPr>
    </w:lvl>
    <w:lvl w:ilvl="4" w:tplc="041D0003" w:tentative="1">
      <w:start w:val="1"/>
      <w:numFmt w:val="bullet"/>
      <w:lvlText w:val="o"/>
      <w:lvlJc w:val="left"/>
      <w:pPr>
        <w:ind w:left="4680" w:hanging="360"/>
      </w:pPr>
      <w:rPr>
        <w:rFonts w:ascii="Courier New" w:hAnsi="Courier New" w:cs="Courier New" w:hint="default"/>
      </w:rPr>
    </w:lvl>
    <w:lvl w:ilvl="5" w:tplc="041D0005" w:tentative="1">
      <w:start w:val="1"/>
      <w:numFmt w:val="bullet"/>
      <w:lvlText w:val=""/>
      <w:lvlJc w:val="left"/>
      <w:pPr>
        <w:ind w:left="5400" w:hanging="360"/>
      </w:pPr>
      <w:rPr>
        <w:rFonts w:ascii="Wingdings" w:hAnsi="Wingdings" w:hint="default"/>
      </w:rPr>
    </w:lvl>
    <w:lvl w:ilvl="6" w:tplc="041D0001" w:tentative="1">
      <w:start w:val="1"/>
      <w:numFmt w:val="bullet"/>
      <w:lvlText w:val=""/>
      <w:lvlJc w:val="left"/>
      <w:pPr>
        <w:ind w:left="6120" w:hanging="360"/>
      </w:pPr>
      <w:rPr>
        <w:rFonts w:ascii="Symbol" w:hAnsi="Symbol" w:hint="default"/>
      </w:rPr>
    </w:lvl>
    <w:lvl w:ilvl="7" w:tplc="041D0003" w:tentative="1">
      <w:start w:val="1"/>
      <w:numFmt w:val="bullet"/>
      <w:lvlText w:val="o"/>
      <w:lvlJc w:val="left"/>
      <w:pPr>
        <w:ind w:left="6840" w:hanging="360"/>
      </w:pPr>
      <w:rPr>
        <w:rFonts w:ascii="Courier New" w:hAnsi="Courier New" w:cs="Courier New" w:hint="default"/>
      </w:rPr>
    </w:lvl>
    <w:lvl w:ilvl="8" w:tplc="041D0005" w:tentative="1">
      <w:start w:val="1"/>
      <w:numFmt w:val="bullet"/>
      <w:lvlText w:val=""/>
      <w:lvlJc w:val="left"/>
      <w:pPr>
        <w:ind w:left="7560" w:hanging="360"/>
      </w:pPr>
      <w:rPr>
        <w:rFonts w:ascii="Wingdings" w:hAnsi="Wingdings" w:hint="default"/>
      </w:rPr>
    </w:lvl>
  </w:abstractNum>
  <w:num w:numId="1" w16cid:durableId="1114061527">
    <w:abstractNumId w:val="1"/>
  </w:num>
  <w:num w:numId="2" w16cid:durableId="2131971793">
    <w:abstractNumId w:val="5"/>
  </w:num>
  <w:num w:numId="3" w16cid:durableId="1226915466">
    <w:abstractNumId w:val="6"/>
  </w:num>
  <w:num w:numId="4" w16cid:durableId="804155625">
    <w:abstractNumId w:val="0"/>
  </w:num>
  <w:num w:numId="5" w16cid:durableId="550192140">
    <w:abstractNumId w:val="2"/>
  </w:num>
  <w:num w:numId="6" w16cid:durableId="1245064090">
    <w:abstractNumId w:val="3"/>
  </w:num>
  <w:num w:numId="7" w16cid:durableId="210927309">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8"/>
  <w:proofState w:spelling="clean" w:grammar="clean"/>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B96"/>
    <w:rsid w:val="00000362"/>
    <w:rsid w:val="00000B11"/>
    <w:rsid w:val="00000DA2"/>
    <w:rsid w:val="000024CA"/>
    <w:rsid w:val="00003D66"/>
    <w:rsid w:val="0000424A"/>
    <w:rsid w:val="000047C8"/>
    <w:rsid w:val="000048CE"/>
    <w:rsid w:val="00006D24"/>
    <w:rsid w:val="0000797D"/>
    <w:rsid w:val="0000798D"/>
    <w:rsid w:val="00007C54"/>
    <w:rsid w:val="00010296"/>
    <w:rsid w:val="000104A1"/>
    <w:rsid w:val="000121B5"/>
    <w:rsid w:val="00012341"/>
    <w:rsid w:val="00012CBA"/>
    <w:rsid w:val="00012F0E"/>
    <w:rsid w:val="00013DD6"/>
    <w:rsid w:val="000146FA"/>
    <w:rsid w:val="00014923"/>
    <w:rsid w:val="00014E27"/>
    <w:rsid w:val="0001584A"/>
    <w:rsid w:val="00015C76"/>
    <w:rsid w:val="0001703F"/>
    <w:rsid w:val="00017555"/>
    <w:rsid w:val="0001760D"/>
    <w:rsid w:val="00020158"/>
    <w:rsid w:val="00021608"/>
    <w:rsid w:val="000223D4"/>
    <w:rsid w:val="00022CAD"/>
    <w:rsid w:val="0002336C"/>
    <w:rsid w:val="00025D50"/>
    <w:rsid w:val="00026956"/>
    <w:rsid w:val="000276C9"/>
    <w:rsid w:val="000303AB"/>
    <w:rsid w:val="000304F4"/>
    <w:rsid w:val="000315C6"/>
    <w:rsid w:val="00031A2E"/>
    <w:rsid w:val="0003266E"/>
    <w:rsid w:val="00032CB5"/>
    <w:rsid w:val="00033D63"/>
    <w:rsid w:val="00040A6B"/>
    <w:rsid w:val="00041406"/>
    <w:rsid w:val="000430F2"/>
    <w:rsid w:val="000434C9"/>
    <w:rsid w:val="00044CB1"/>
    <w:rsid w:val="00045457"/>
    <w:rsid w:val="00045F9A"/>
    <w:rsid w:val="0004620B"/>
    <w:rsid w:val="00046894"/>
    <w:rsid w:val="00050EA4"/>
    <w:rsid w:val="00051D5E"/>
    <w:rsid w:val="00054153"/>
    <w:rsid w:val="000542D1"/>
    <w:rsid w:val="0005510C"/>
    <w:rsid w:val="00057A41"/>
    <w:rsid w:val="00057BF4"/>
    <w:rsid w:val="00057EF6"/>
    <w:rsid w:val="000602C3"/>
    <w:rsid w:val="00060EF5"/>
    <w:rsid w:val="000610A4"/>
    <w:rsid w:val="000633B3"/>
    <w:rsid w:val="0006354B"/>
    <w:rsid w:val="0006372F"/>
    <w:rsid w:val="00063BF8"/>
    <w:rsid w:val="0006422F"/>
    <w:rsid w:val="000652C0"/>
    <w:rsid w:val="00065788"/>
    <w:rsid w:val="00065D8E"/>
    <w:rsid w:val="0006627E"/>
    <w:rsid w:val="00066537"/>
    <w:rsid w:val="000678B2"/>
    <w:rsid w:val="00067BC1"/>
    <w:rsid w:val="00067E25"/>
    <w:rsid w:val="00067E8D"/>
    <w:rsid w:val="00073679"/>
    <w:rsid w:val="00073AE0"/>
    <w:rsid w:val="00073D83"/>
    <w:rsid w:val="00074050"/>
    <w:rsid w:val="00074198"/>
    <w:rsid w:val="0007423A"/>
    <w:rsid w:val="000744CB"/>
    <w:rsid w:val="0007512D"/>
    <w:rsid w:val="00075586"/>
    <w:rsid w:val="000762D2"/>
    <w:rsid w:val="0007642E"/>
    <w:rsid w:val="000764AC"/>
    <w:rsid w:val="00077A74"/>
    <w:rsid w:val="00077B69"/>
    <w:rsid w:val="000801F7"/>
    <w:rsid w:val="00080C17"/>
    <w:rsid w:val="00081915"/>
    <w:rsid w:val="00082158"/>
    <w:rsid w:val="00082F72"/>
    <w:rsid w:val="00084BB8"/>
    <w:rsid w:val="00085AAB"/>
    <w:rsid w:val="00085C94"/>
    <w:rsid w:val="00086D6C"/>
    <w:rsid w:val="00087CC5"/>
    <w:rsid w:val="00087F11"/>
    <w:rsid w:val="00091FC3"/>
    <w:rsid w:val="00093ED5"/>
    <w:rsid w:val="000949E6"/>
    <w:rsid w:val="00095CF3"/>
    <w:rsid w:val="000966E7"/>
    <w:rsid w:val="00096A23"/>
    <w:rsid w:val="000973BF"/>
    <w:rsid w:val="0009776F"/>
    <w:rsid w:val="00097E2F"/>
    <w:rsid w:val="000A05CD"/>
    <w:rsid w:val="000A239B"/>
    <w:rsid w:val="000A2D98"/>
    <w:rsid w:val="000A304A"/>
    <w:rsid w:val="000A37EC"/>
    <w:rsid w:val="000A5B6D"/>
    <w:rsid w:val="000A5E12"/>
    <w:rsid w:val="000A6028"/>
    <w:rsid w:val="000A6678"/>
    <w:rsid w:val="000A6F02"/>
    <w:rsid w:val="000B0499"/>
    <w:rsid w:val="000B1200"/>
    <w:rsid w:val="000B1687"/>
    <w:rsid w:val="000B2051"/>
    <w:rsid w:val="000B219A"/>
    <w:rsid w:val="000B2353"/>
    <w:rsid w:val="000B284E"/>
    <w:rsid w:val="000B3BEA"/>
    <w:rsid w:val="000B4EB9"/>
    <w:rsid w:val="000B53E0"/>
    <w:rsid w:val="000B5522"/>
    <w:rsid w:val="000B555D"/>
    <w:rsid w:val="000B568A"/>
    <w:rsid w:val="000B638A"/>
    <w:rsid w:val="000B731F"/>
    <w:rsid w:val="000B7B5D"/>
    <w:rsid w:val="000B7B93"/>
    <w:rsid w:val="000C0EA6"/>
    <w:rsid w:val="000C124D"/>
    <w:rsid w:val="000C1E75"/>
    <w:rsid w:val="000C27EA"/>
    <w:rsid w:val="000C3433"/>
    <w:rsid w:val="000C3BDA"/>
    <w:rsid w:val="000C3F5C"/>
    <w:rsid w:val="000C6398"/>
    <w:rsid w:val="000C6724"/>
    <w:rsid w:val="000C67E3"/>
    <w:rsid w:val="000C6C00"/>
    <w:rsid w:val="000C6EDC"/>
    <w:rsid w:val="000D1D06"/>
    <w:rsid w:val="000D1F54"/>
    <w:rsid w:val="000D27AA"/>
    <w:rsid w:val="000D3573"/>
    <w:rsid w:val="000D4253"/>
    <w:rsid w:val="000D4D05"/>
    <w:rsid w:val="000D5703"/>
    <w:rsid w:val="000D59F6"/>
    <w:rsid w:val="000D5DF1"/>
    <w:rsid w:val="000E05D6"/>
    <w:rsid w:val="000E0B27"/>
    <w:rsid w:val="000E235D"/>
    <w:rsid w:val="000E299C"/>
    <w:rsid w:val="000E2E3F"/>
    <w:rsid w:val="000E3237"/>
    <w:rsid w:val="000E3A33"/>
    <w:rsid w:val="000E3DFB"/>
    <w:rsid w:val="000E3E3D"/>
    <w:rsid w:val="000E542B"/>
    <w:rsid w:val="000E634B"/>
    <w:rsid w:val="000E6C2A"/>
    <w:rsid w:val="000E7B27"/>
    <w:rsid w:val="000F28A3"/>
    <w:rsid w:val="000F2E12"/>
    <w:rsid w:val="000F4795"/>
    <w:rsid w:val="000F498B"/>
    <w:rsid w:val="000F4DB4"/>
    <w:rsid w:val="000F4ED1"/>
    <w:rsid w:val="000F4ED7"/>
    <w:rsid w:val="000F503D"/>
    <w:rsid w:val="000F58C4"/>
    <w:rsid w:val="000F6077"/>
    <w:rsid w:val="00100B3E"/>
    <w:rsid w:val="00101BD8"/>
    <w:rsid w:val="00102CBD"/>
    <w:rsid w:val="00103C5C"/>
    <w:rsid w:val="001045FC"/>
    <w:rsid w:val="0010487A"/>
    <w:rsid w:val="00104D58"/>
    <w:rsid w:val="00107034"/>
    <w:rsid w:val="001075B1"/>
    <w:rsid w:val="001105A6"/>
    <w:rsid w:val="00110807"/>
    <w:rsid w:val="0011085C"/>
    <w:rsid w:val="00110ABC"/>
    <w:rsid w:val="00111B55"/>
    <w:rsid w:val="00111D2E"/>
    <w:rsid w:val="001131FA"/>
    <w:rsid w:val="001137D0"/>
    <w:rsid w:val="00113C3F"/>
    <w:rsid w:val="00113EAD"/>
    <w:rsid w:val="001141B6"/>
    <w:rsid w:val="00114AF4"/>
    <w:rsid w:val="00116399"/>
    <w:rsid w:val="001167D1"/>
    <w:rsid w:val="001169E7"/>
    <w:rsid w:val="0011704E"/>
    <w:rsid w:val="001178A9"/>
    <w:rsid w:val="00117CEA"/>
    <w:rsid w:val="00117D19"/>
    <w:rsid w:val="00121177"/>
    <w:rsid w:val="001212F6"/>
    <w:rsid w:val="001214AE"/>
    <w:rsid w:val="001220A6"/>
    <w:rsid w:val="001225D2"/>
    <w:rsid w:val="001245ED"/>
    <w:rsid w:val="00124679"/>
    <w:rsid w:val="00125D0F"/>
    <w:rsid w:val="00125F9A"/>
    <w:rsid w:val="0012798E"/>
    <w:rsid w:val="001319F1"/>
    <w:rsid w:val="00133AA3"/>
    <w:rsid w:val="00133DF3"/>
    <w:rsid w:val="001349B5"/>
    <w:rsid w:val="00134A81"/>
    <w:rsid w:val="00134CD1"/>
    <w:rsid w:val="001357F1"/>
    <w:rsid w:val="00137E7A"/>
    <w:rsid w:val="00140642"/>
    <w:rsid w:val="00141972"/>
    <w:rsid w:val="00145FF8"/>
    <w:rsid w:val="001462E7"/>
    <w:rsid w:val="0014782E"/>
    <w:rsid w:val="00147A1A"/>
    <w:rsid w:val="001500F8"/>
    <w:rsid w:val="00150328"/>
    <w:rsid w:val="00150567"/>
    <w:rsid w:val="001506E7"/>
    <w:rsid w:val="00150D54"/>
    <w:rsid w:val="00151C69"/>
    <w:rsid w:val="00152FD5"/>
    <w:rsid w:val="001536C4"/>
    <w:rsid w:val="0015391E"/>
    <w:rsid w:val="00154106"/>
    <w:rsid w:val="001575A8"/>
    <w:rsid w:val="0016031C"/>
    <w:rsid w:val="00161698"/>
    <w:rsid w:val="001619F1"/>
    <w:rsid w:val="00162437"/>
    <w:rsid w:val="00162C3A"/>
    <w:rsid w:val="00163400"/>
    <w:rsid w:val="00163DE6"/>
    <w:rsid w:val="00164156"/>
    <w:rsid w:val="00164362"/>
    <w:rsid w:val="00164413"/>
    <w:rsid w:val="001649DD"/>
    <w:rsid w:val="00165763"/>
    <w:rsid w:val="00165D28"/>
    <w:rsid w:val="00166C2A"/>
    <w:rsid w:val="0017009A"/>
    <w:rsid w:val="00170102"/>
    <w:rsid w:val="00171F3E"/>
    <w:rsid w:val="001731DE"/>
    <w:rsid w:val="001738E0"/>
    <w:rsid w:val="00173A63"/>
    <w:rsid w:val="00174BD1"/>
    <w:rsid w:val="00174E72"/>
    <w:rsid w:val="00175D21"/>
    <w:rsid w:val="00175D63"/>
    <w:rsid w:val="0017691F"/>
    <w:rsid w:val="00177967"/>
    <w:rsid w:val="00181323"/>
    <w:rsid w:val="00181539"/>
    <w:rsid w:val="001835D2"/>
    <w:rsid w:val="00184212"/>
    <w:rsid w:val="00186211"/>
    <w:rsid w:val="00186DDC"/>
    <w:rsid w:val="00187D27"/>
    <w:rsid w:val="00187DC9"/>
    <w:rsid w:val="0019034C"/>
    <w:rsid w:val="0019272E"/>
    <w:rsid w:val="00192DCE"/>
    <w:rsid w:val="0019415B"/>
    <w:rsid w:val="00194CAD"/>
    <w:rsid w:val="00194CE0"/>
    <w:rsid w:val="00194ED8"/>
    <w:rsid w:val="001958D9"/>
    <w:rsid w:val="0019689B"/>
    <w:rsid w:val="00196B2D"/>
    <w:rsid w:val="001A00F9"/>
    <w:rsid w:val="001A1141"/>
    <w:rsid w:val="001A16C3"/>
    <w:rsid w:val="001A1EAF"/>
    <w:rsid w:val="001A3EBD"/>
    <w:rsid w:val="001A4BFE"/>
    <w:rsid w:val="001A4CB4"/>
    <w:rsid w:val="001A51C1"/>
    <w:rsid w:val="001A5489"/>
    <w:rsid w:val="001A65E7"/>
    <w:rsid w:val="001A6FDB"/>
    <w:rsid w:val="001A7E63"/>
    <w:rsid w:val="001B075E"/>
    <w:rsid w:val="001B09B6"/>
    <w:rsid w:val="001B1005"/>
    <w:rsid w:val="001B15C0"/>
    <w:rsid w:val="001B1AD5"/>
    <w:rsid w:val="001B1D7D"/>
    <w:rsid w:val="001B2124"/>
    <w:rsid w:val="001B275F"/>
    <w:rsid w:val="001B53F3"/>
    <w:rsid w:val="001B567C"/>
    <w:rsid w:val="001B61E9"/>
    <w:rsid w:val="001B6583"/>
    <w:rsid w:val="001B6B4E"/>
    <w:rsid w:val="001C0927"/>
    <w:rsid w:val="001C178B"/>
    <w:rsid w:val="001C20A2"/>
    <w:rsid w:val="001C27B7"/>
    <w:rsid w:val="001C37EA"/>
    <w:rsid w:val="001C3B97"/>
    <w:rsid w:val="001C40B0"/>
    <w:rsid w:val="001C500A"/>
    <w:rsid w:val="001C67B5"/>
    <w:rsid w:val="001C6E11"/>
    <w:rsid w:val="001D06AB"/>
    <w:rsid w:val="001D080B"/>
    <w:rsid w:val="001D0B02"/>
    <w:rsid w:val="001D249B"/>
    <w:rsid w:val="001D284B"/>
    <w:rsid w:val="001D2F5B"/>
    <w:rsid w:val="001D3DC4"/>
    <w:rsid w:val="001D3FDC"/>
    <w:rsid w:val="001D4F44"/>
    <w:rsid w:val="001D5572"/>
    <w:rsid w:val="001D5716"/>
    <w:rsid w:val="001D66F9"/>
    <w:rsid w:val="001D7407"/>
    <w:rsid w:val="001E018C"/>
    <w:rsid w:val="001E09B6"/>
    <w:rsid w:val="001E2A8C"/>
    <w:rsid w:val="001E2BAD"/>
    <w:rsid w:val="001E3CC0"/>
    <w:rsid w:val="001E3E61"/>
    <w:rsid w:val="001E4C66"/>
    <w:rsid w:val="001E4D9D"/>
    <w:rsid w:val="001E52C5"/>
    <w:rsid w:val="001E624E"/>
    <w:rsid w:val="001E6F79"/>
    <w:rsid w:val="001E70DE"/>
    <w:rsid w:val="001E75A1"/>
    <w:rsid w:val="001F029E"/>
    <w:rsid w:val="001F1F0F"/>
    <w:rsid w:val="001F3504"/>
    <w:rsid w:val="001F454C"/>
    <w:rsid w:val="001F4A42"/>
    <w:rsid w:val="001F5261"/>
    <w:rsid w:val="001F52C1"/>
    <w:rsid w:val="001F6319"/>
    <w:rsid w:val="001F632C"/>
    <w:rsid w:val="001F678D"/>
    <w:rsid w:val="001F6CA5"/>
    <w:rsid w:val="001F6DA0"/>
    <w:rsid w:val="001F742E"/>
    <w:rsid w:val="002000B7"/>
    <w:rsid w:val="002017A0"/>
    <w:rsid w:val="00201B96"/>
    <w:rsid w:val="0020237C"/>
    <w:rsid w:val="0020301E"/>
    <w:rsid w:val="0020409D"/>
    <w:rsid w:val="002063AE"/>
    <w:rsid w:val="002068D1"/>
    <w:rsid w:val="00206C08"/>
    <w:rsid w:val="002101B9"/>
    <w:rsid w:val="00212211"/>
    <w:rsid w:val="00212373"/>
    <w:rsid w:val="002126AD"/>
    <w:rsid w:val="0021422B"/>
    <w:rsid w:val="00214326"/>
    <w:rsid w:val="00214B45"/>
    <w:rsid w:val="00215ACB"/>
    <w:rsid w:val="002213B5"/>
    <w:rsid w:val="002214C4"/>
    <w:rsid w:val="00221E28"/>
    <w:rsid w:val="00222265"/>
    <w:rsid w:val="0022405C"/>
    <w:rsid w:val="00224388"/>
    <w:rsid w:val="00226A2A"/>
    <w:rsid w:val="00226AE6"/>
    <w:rsid w:val="00226E3B"/>
    <w:rsid w:val="002276E9"/>
    <w:rsid w:val="00227A71"/>
    <w:rsid w:val="002322CD"/>
    <w:rsid w:val="00232CB9"/>
    <w:rsid w:val="002338E1"/>
    <w:rsid w:val="0023396E"/>
    <w:rsid w:val="00234050"/>
    <w:rsid w:val="00235286"/>
    <w:rsid w:val="00235355"/>
    <w:rsid w:val="002366C5"/>
    <w:rsid w:val="0023699C"/>
    <w:rsid w:val="0023745B"/>
    <w:rsid w:val="00237622"/>
    <w:rsid w:val="00237BC2"/>
    <w:rsid w:val="00237BF0"/>
    <w:rsid w:val="00240494"/>
    <w:rsid w:val="00240AF1"/>
    <w:rsid w:val="002436C1"/>
    <w:rsid w:val="00244693"/>
    <w:rsid w:val="00245119"/>
    <w:rsid w:val="002467D2"/>
    <w:rsid w:val="00246AF4"/>
    <w:rsid w:val="00246F31"/>
    <w:rsid w:val="0024787E"/>
    <w:rsid w:val="00247885"/>
    <w:rsid w:val="00247B0D"/>
    <w:rsid w:val="002504CE"/>
    <w:rsid w:val="0025075D"/>
    <w:rsid w:val="002508BE"/>
    <w:rsid w:val="00251645"/>
    <w:rsid w:val="00252216"/>
    <w:rsid w:val="0025390C"/>
    <w:rsid w:val="00253FA3"/>
    <w:rsid w:val="00254143"/>
    <w:rsid w:val="00254196"/>
    <w:rsid w:val="002551C0"/>
    <w:rsid w:val="002555A2"/>
    <w:rsid w:val="002557B1"/>
    <w:rsid w:val="00255ACE"/>
    <w:rsid w:val="002564E7"/>
    <w:rsid w:val="0025651E"/>
    <w:rsid w:val="002567A8"/>
    <w:rsid w:val="00256D60"/>
    <w:rsid w:val="002570DC"/>
    <w:rsid w:val="00260A9A"/>
    <w:rsid w:val="0026102A"/>
    <w:rsid w:val="002625E3"/>
    <w:rsid w:val="00263004"/>
    <w:rsid w:val="002639A0"/>
    <w:rsid w:val="00264AD7"/>
    <w:rsid w:val="0026516A"/>
    <w:rsid w:val="002661C1"/>
    <w:rsid w:val="002663C6"/>
    <w:rsid w:val="002678F7"/>
    <w:rsid w:val="002700A3"/>
    <w:rsid w:val="002707FA"/>
    <w:rsid w:val="002716D6"/>
    <w:rsid w:val="00272330"/>
    <w:rsid w:val="00272AE2"/>
    <w:rsid w:val="00273BE0"/>
    <w:rsid w:val="00273BEC"/>
    <w:rsid w:val="00273D24"/>
    <w:rsid w:val="00276523"/>
    <w:rsid w:val="00280591"/>
    <w:rsid w:val="002816EE"/>
    <w:rsid w:val="00282573"/>
    <w:rsid w:val="00283BD4"/>
    <w:rsid w:val="00283DE3"/>
    <w:rsid w:val="00284DAA"/>
    <w:rsid w:val="00284E90"/>
    <w:rsid w:val="0028518A"/>
    <w:rsid w:val="00285735"/>
    <w:rsid w:val="00285FC1"/>
    <w:rsid w:val="002869E0"/>
    <w:rsid w:val="0028786A"/>
    <w:rsid w:val="00290118"/>
    <w:rsid w:val="0029036A"/>
    <w:rsid w:val="00290549"/>
    <w:rsid w:val="0029061D"/>
    <w:rsid w:val="0029119C"/>
    <w:rsid w:val="002937AE"/>
    <w:rsid w:val="00294A29"/>
    <w:rsid w:val="00294F03"/>
    <w:rsid w:val="00295011"/>
    <w:rsid w:val="00295927"/>
    <w:rsid w:val="00295E9B"/>
    <w:rsid w:val="00296DC5"/>
    <w:rsid w:val="002A0AFA"/>
    <w:rsid w:val="002A0C5F"/>
    <w:rsid w:val="002A425B"/>
    <w:rsid w:val="002A54D6"/>
    <w:rsid w:val="002A6149"/>
    <w:rsid w:val="002A6C7A"/>
    <w:rsid w:val="002B1BB4"/>
    <w:rsid w:val="002B2948"/>
    <w:rsid w:val="002B2EA9"/>
    <w:rsid w:val="002B38C0"/>
    <w:rsid w:val="002B3CCB"/>
    <w:rsid w:val="002B425E"/>
    <w:rsid w:val="002B4D50"/>
    <w:rsid w:val="002B534D"/>
    <w:rsid w:val="002B59B8"/>
    <w:rsid w:val="002B5EB0"/>
    <w:rsid w:val="002B5F28"/>
    <w:rsid w:val="002B776D"/>
    <w:rsid w:val="002C0211"/>
    <w:rsid w:val="002C168D"/>
    <w:rsid w:val="002C1813"/>
    <w:rsid w:val="002C3EF7"/>
    <w:rsid w:val="002C474F"/>
    <w:rsid w:val="002C4DFE"/>
    <w:rsid w:val="002C5611"/>
    <w:rsid w:val="002C6167"/>
    <w:rsid w:val="002C6647"/>
    <w:rsid w:val="002D063D"/>
    <w:rsid w:val="002D0F00"/>
    <w:rsid w:val="002D3CF7"/>
    <w:rsid w:val="002D3ED3"/>
    <w:rsid w:val="002D4048"/>
    <w:rsid w:val="002D42DE"/>
    <w:rsid w:val="002D588E"/>
    <w:rsid w:val="002D6A63"/>
    <w:rsid w:val="002D6E86"/>
    <w:rsid w:val="002D7203"/>
    <w:rsid w:val="002E0617"/>
    <w:rsid w:val="002E06BE"/>
    <w:rsid w:val="002E21B0"/>
    <w:rsid w:val="002E2FF4"/>
    <w:rsid w:val="002E366C"/>
    <w:rsid w:val="002E3E0D"/>
    <w:rsid w:val="002E42D8"/>
    <w:rsid w:val="002E4BA1"/>
    <w:rsid w:val="002E6113"/>
    <w:rsid w:val="002E7708"/>
    <w:rsid w:val="002E7E7F"/>
    <w:rsid w:val="002E7FE2"/>
    <w:rsid w:val="002F0FD9"/>
    <w:rsid w:val="002F3758"/>
    <w:rsid w:val="002F3F6C"/>
    <w:rsid w:val="002F4225"/>
    <w:rsid w:val="002F5BE5"/>
    <w:rsid w:val="002F67AB"/>
    <w:rsid w:val="002F6D68"/>
    <w:rsid w:val="0030001E"/>
    <w:rsid w:val="0030061D"/>
    <w:rsid w:val="003007D7"/>
    <w:rsid w:val="00300A9E"/>
    <w:rsid w:val="00300FA4"/>
    <w:rsid w:val="003014DF"/>
    <w:rsid w:val="003014FD"/>
    <w:rsid w:val="00301E16"/>
    <w:rsid w:val="0030289B"/>
    <w:rsid w:val="00302C7F"/>
    <w:rsid w:val="00304514"/>
    <w:rsid w:val="0030491C"/>
    <w:rsid w:val="00304B24"/>
    <w:rsid w:val="003050CA"/>
    <w:rsid w:val="00305595"/>
    <w:rsid w:val="00305706"/>
    <w:rsid w:val="00305A78"/>
    <w:rsid w:val="00307826"/>
    <w:rsid w:val="0030785D"/>
    <w:rsid w:val="003079B0"/>
    <w:rsid w:val="0031083D"/>
    <w:rsid w:val="00310FE3"/>
    <w:rsid w:val="003111B1"/>
    <w:rsid w:val="00312B2C"/>
    <w:rsid w:val="0031336A"/>
    <w:rsid w:val="00314AA3"/>
    <w:rsid w:val="0031624B"/>
    <w:rsid w:val="00316994"/>
    <w:rsid w:val="00317058"/>
    <w:rsid w:val="00321563"/>
    <w:rsid w:val="003216A1"/>
    <w:rsid w:val="00322089"/>
    <w:rsid w:val="00322440"/>
    <w:rsid w:val="003227A4"/>
    <w:rsid w:val="00323217"/>
    <w:rsid w:val="003233FC"/>
    <w:rsid w:val="00324A00"/>
    <w:rsid w:val="003259CB"/>
    <w:rsid w:val="00325E64"/>
    <w:rsid w:val="00327578"/>
    <w:rsid w:val="00330432"/>
    <w:rsid w:val="0033263E"/>
    <w:rsid w:val="00332710"/>
    <w:rsid w:val="0033404E"/>
    <w:rsid w:val="00334E45"/>
    <w:rsid w:val="003358F2"/>
    <w:rsid w:val="00335DAF"/>
    <w:rsid w:val="00337B3B"/>
    <w:rsid w:val="00340E1E"/>
    <w:rsid w:val="00341436"/>
    <w:rsid w:val="00341505"/>
    <w:rsid w:val="0034172B"/>
    <w:rsid w:val="003427F0"/>
    <w:rsid w:val="003432A8"/>
    <w:rsid w:val="003434A9"/>
    <w:rsid w:val="00343C61"/>
    <w:rsid w:val="00343E1B"/>
    <w:rsid w:val="0034473C"/>
    <w:rsid w:val="00344A76"/>
    <w:rsid w:val="00344BF0"/>
    <w:rsid w:val="00344DF9"/>
    <w:rsid w:val="003456B4"/>
    <w:rsid w:val="00345ADC"/>
    <w:rsid w:val="003466FC"/>
    <w:rsid w:val="00347552"/>
    <w:rsid w:val="00351519"/>
    <w:rsid w:val="003517FA"/>
    <w:rsid w:val="00351A15"/>
    <w:rsid w:val="00351DFA"/>
    <w:rsid w:val="00352006"/>
    <w:rsid w:val="00352395"/>
    <w:rsid w:val="00352E7A"/>
    <w:rsid w:val="00354D04"/>
    <w:rsid w:val="00355386"/>
    <w:rsid w:val="00356FE4"/>
    <w:rsid w:val="003570C0"/>
    <w:rsid w:val="0035786F"/>
    <w:rsid w:val="00357947"/>
    <w:rsid w:val="003609AB"/>
    <w:rsid w:val="00360FDB"/>
    <w:rsid w:val="00361E4B"/>
    <w:rsid w:val="003624C2"/>
    <w:rsid w:val="00362714"/>
    <w:rsid w:val="00362906"/>
    <w:rsid w:val="00363318"/>
    <w:rsid w:val="00366702"/>
    <w:rsid w:val="00366E73"/>
    <w:rsid w:val="003700BE"/>
    <w:rsid w:val="0037075A"/>
    <w:rsid w:val="00370F08"/>
    <w:rsid w:val="003717B8"/>
    <w:rsid w:val="0037205D"/>
    <w:rsid w:val="00372494"/>
    <w:rsid w:val="00375392"/>
    <w:rsid w:val="00376170"/>
    <w:rsid w:val="00380621"/>
    <w:rsid w:val="00380667"/>
    <w:rsid w:val="00381842"/>
    <w:rsid w:val="00381A31"/>
    <w:rsid w:val="00381A62"/>
    <w:rsid w:val="00382688"/>
    <w:rsid w:val="00382AB5"/>
    <w:rsid w:val="00382B71"/>
    <w:rsid w:val="00382E37"/>
    <w:rsid w:val="0038399B"/>
    <w:rsid w:val="00383DFF"/>
    <w:rsid w:val="003866F4"/>
    <w:rsid w:val="00386A69"/>
    <w:rsid w:val="0039020B"/>
    <w:rsid w:val="00390863"/>
    <w:rsid w:val="003909D4"/>
    <w:rsid w:val="00390F52"/>
    <w:rsid w:val="00391555"/>
    <w:rsid w:val="003928B1"/>
    <w:rsid w:val="003931B4"/>
    <w:rsid w:val="00394AC6"/>
    <w:rsid w:val="00394B97"/>
    <w:rsid w:val="00394C9E"/>
    <w:rsid w:val="00395120"/>
    <w:rsid w:val="00396890"/>
    <w:rsid w:val="003A0D77"/>
    <w:rsid w:val="003A23D5"/>
    <w:rsid w:val="003A2F0F"/>
    <w:rsid w:val="003A31D9"/>
    <w:rsid w:val="003A468B"/>
    <w:rsid w:val="003A472E"/>
    <w:rsid w:val="003A51D9"/>
    <w:rsid w:val="003A560A"/>
    <w:rsid w:val="003A5A6B"/>
    <w:rsid w:val="003A5EC0"/>
    <w:rsid w:val="003A614E"/>
    <w:rsid w:val="003A67A0"/>
    <w:rsid w:val="003A6973"/>
    <w:rsid w:val="003B0261"/>
    <w:rsid w:val="003B22C2"/>
    <w:rsid w:val="003B2C8C"/>
    <w:rsid w:val="003B3E4F"/>
    <w:rsid w:val="003B43FD"/>
    <w:rsid w:val="003B497B"/>
    <w:rsid w:val="003B49C5"/>
    <w:rsid w:val="003B535B"/>
    <w:rsid w:val="003B5E8C"/>
    <w:rsid w:val="003B7D29"/>
    <w:rsid w:val="003C128E"/>
    <w:rsid w:val="003C2647"/>
    <w:rsid w:val="003C2B9E"/>
    <w:rsid w:val="003C3815"/>
    <w:rsid w:val="003C47FD"/>
    <w:rsid w:val="003C4FAD"/>
    <w:rsid w:val="003C4FB9"/>
    <w:rsid w:val="003C54FC"/>
    <w:rsid w:val="003C5ADD"/>
    <w:rsid w:val="003C6821"/>
    <w:rsid w:val="003C7A19"/>
    <w:rsid w:val="003D1566"/>
    <w:rsid w:val="003D1A44"/>
    <w:rsid w:val="003D27C7"/>
    <w:rsid w:val="003D2F7D"/>
    <w:rsid w:val="003D3238"/>
    <w:rsid w:val="003D3C3D"/>
    <w:rsid w:val="003D527E"/>
    <w:rsid w:val="003D5425"/>
    <w:rsid w:val="003D5A42"/>
    <w:rsid w:val="003D64B3"/>
    <w:rsid w:val="003D7469"/>
    <w:rsid w:val="003D7710"/>
    <w:rsid w:val="003E1FBF"/>
    <w:rsid w:val="003E2578"/>
    <w:rsid w:val="003E2593"/>
    <w:rsid w:val="003E2881"/>
    <w:rsid w:val="003E2BCF"/>
    <w:rsid w:val="003E3387"/>
    <w:rsid w:val="003E46EB"/>
    <w:rsid w:val="003E5382"/>
    <w:rsid w:val="003E5EC6"/>
    <w:rsid w:val="003E747B"/>
    <w:rsid w:val="003E78B6"/>
    <w:rsid w:val="003F0D6A"/>
    <w:rsid w:val="003F30F8"/>
    <w:rsid w:val="003F3277"/>
    <w:rsid w:val="003F4168"/>
    <w:rsid w:val="003F4389"/>
    <w:rsid w:val="003F4AE0"/>
    <w:rsid w:val="003F744F"/>
    <w:rsid w:val="003F79BD"/>
    <w:rsid w:val="003F7F1C"/>
    <w:rsid w:val="0040010D"/>
    <w:rsid w:val="00401DFA"/>
    <w:rsid w:val="00401EA8"/>
    <w:rsid w:val="00402D17"/>
    <w:rsid w:val="00403384"/>
    <w:rsid w:val="00405820"/>
    <w:rsid w:val="0041029A"/>
    <w:rsid w:val="00410915"/>
    <w:rsid w:val="00413663"/>
    <w:rsid w:val="00413E8E"/>
    <w:rsid w:val="00415852"/>
    <w:rsid w:val="00415AF8"/>
    <w:rsid w:val="00415F91"/>
    <w:rsid w:val="00417C81"/>
    <w:rsid w:val="004207CF"/>
    <w:rsid w:val="00421D08"/>
    <w:rsid w:val="00422259"/>
    <w:rsid w:val="0042281E"/>
    <w:rsid w:val="00422D33"/>
    <w:rsid w:val="004243D8"/>
    <w:rsid w:val="00425466"/>
    <w:rsid w:val="00425481"/>
    <w:rsid w:val="00425C81"/>
    <w:rsid w:val="00426219"/>
    <w:rsid w:val="00430084"/>
    <w:rsid w:val="004301B5"/>
    <w:rsid w:val="00430BD6"/>
    <w:rsid w:val="004312A0"/>
    <w:rsid w:val="004320C0"/>
    <w:rsid w:val="0043215B"/>
    <w:rsid w:val="00432FBD"/>
    <w:rsid w:val="00433106"/>
    <w:rsid w:val="00433389"/>
    <w:rsid w:val="004335D1"/>
    <w:rsid w:val="00433979"/>
    <w:rsid w:val="00433983"/>
    <w:rsid w:val="00433D93"/>
    <w:rsid w:val="00436623"/>
    <w:rsid w:val="004367B6"/>
    <w:rsid w:val="004373C2"/>
    <w:rsid w:val="004407A2"/>
    <w:rsid w:val="004409D2"/>
    <w:rsid w:val="0044262E"/>
    <w:rsid w:val="004449DB"/>
    <w:rsid w:val="00447B87"/>
    <w:rsid w:val="00447F0B"/>
    <w:rsid w:val="004506AA"/>
    <w:rsid w:val="004507BE"/>
    <w:rsid w:val="00450A76"/>
    <w:rsid w:val="004510DA"/>
    <w:rsid w:val="004528F5"/>
    <w:rsid w:val="0045348C"/>
    <w:rsid w:val="004538E6"/>
    <w:rsid w:val="004541B7"/>
    <w:rsid w:val="0045565B"/>
    <w:rsid w:val="00455FF1"/>
    <w:rsid w:val="00456229"/>
    <w:rsid w:val="00456637"/>
    <w:rsid w:val="0045795B"/>
    <w:rsid w:val="00460829"/>
    <w:rsid w:val="00462806"/>
    <w:rsid w:val="0046289E"/>
    <w:rsid w:val="004645DA"/>
    <w:rsid w:val="0046480A"/>
    <w:rsid w:val="00464D28"/>
    <w:rsid w:val="00466F6F"/>
    <w:rsid w:val="004670E6"/>
    <w:rsid w:val="00467B6B"/>
    <w:rsid w:val="004723B9"/>
    <w:rsid w:val="00472B4F"/>
    <w:rsid w:val="00473C90"/>
    <w:rsid w:val="00473CBC"/>
    <w:rsid w:val="00474378"/>
    <w:rsid w:val="0047492F"/>
    <w:rsid w:val="00474DA6"/>
    <w:rsid w:val="00475651"/>
    <w:rsid w:val="00475ACF"/>
    <w:rsid w:val="00475C4C"/>
    <w:rsid w:val="00475D73"/>
    <w:rsid w:val="0047635A"/>
    <w:rsid w:val="00480286"/>
    <w:rsid w:val="00480668"/>
    <w:rsid w:val="00480A4E"/>
    <w:rsid w:val="00480CB0"/>
    <w:rsid w:val="00481614"/>
    <w:rsid w:val="00482A70"/>
    <w:rsid w:val="00483041"/>
    <w:rsid w:val="004842E5"/>
    <w:rsid w:val="00484F6D"/>
    <w:rsid w:val="004853C1"/>
    <w:rsid w:val="004855F0"/>
    <w:rsid w:val="00485EB7"/>
    <w:rsid w:val="0048660F"/>
    <w:rsid w:val="004878DD"/>
    <w:rsid w:val="00487CC1"/>
    <w:rsid w:val="0049260F"/>
    <w:rsid w:val="00492759"/>
    <w:rsid w:val="004948FF"/>
    <w:rsid w:val="00495E51"/>
    <w:rsid w:val="00497BF8"/>
    <w:rsid w:val="004A159E"/>
    <w:rsid w:val="004A1E91"/>
    <w:rsid w:val="004A2DB9"/>
    <w:rsid w:val="004A3822"/>
    <w:rsid w:val="004A45CF"/>
    <w:rsid w:val="004A525E"/>
    <w:rsid w:val="004A77BD"/>
    <w:rsid w:val="004A7B42"/>
    <w:rsid w:val="004B050D"/>
    <w:rsid w:val="004B3DD9"/>
    <w:rsid w:val="004B47E3"/>
    <w:rsid w:val="004B562D"/>
    <w:rsid w:val="004B5CC1"/>
    <w:rsid w:val="004B5CEF"/>
    <w:rsid w:val="004B65B4"/>
    <w:rsid w:val="004B7A3F"/>
    <w:rsid w:val="004B7AA5"/>
    <w:rsid w:val="004C0311"/>
    <w:rsid w:val="004C0D18"/>
    <w:rsid w:val="004C0E91"/>
    <w:rsid w:val="004C0EC9"/>
    <w:rsid w:val="004C171F"/>
    <w:rsid w:val="004C1A61"/>
    <w:rsid w:val="004C22B4"/>
    <w:rsid w:val="004C2C7A"/>
    <w:rsid w:val="004C4B02"/>
    <w:rsid w:val="004C58E6"/>
    <w:rsid w:val="004C67F6"/>
    <w:rsid w:val="004D0439"/>
    <w:rsid w:val="004D0873"/>
    <w:rsid w:val="004D0925"/>
    <w:rsid w:val="004D3CE5"/>
    <w:rsid w:val="004D422D"/>
    <w:rsid w:val="004D5033"/>
    <w:rsid w:val="004D56DC"/>
    <w:rsid w:val="004D5A80"/>
    <w:rsid w:val="004D6867"/>
    <w:rsid w:val="004D6C8D"/>
    <w:rsid w:val="004D73A2"/>
    <w:rsid w:val="004E1868"/>
    <w:rsid w:val="004E1ED4"/>
    <w:rsid w:val="004E259A"/>
    <w:rsid w:val="004E41A9"/>
    <w:rsid w:val="004E53C9"/>
    <w:rsid w:val="004E54D8"/>
    <w:rsid w:val="004E5C2C"/>
    <w:rsid w:val="004E6AE7"/>
    <w:rsid w:val="004F05E8"/>
    <w:rsid w:val="004F158E"/>
    <w:rsid w:val="004F33BE"/>
    <w:rsid w:val="004F5EB9"/>
    <w:rsid w:val="004F739F"/>
    <w:rsid w:val="004F7A4A"/>
    <w:rsid w:val="004F7BF4"/>
    <w:rsid w:val="00500A28"/>
    <w:rsid w:val="00500F07"/>
    <w:rsid w:val="0050101F"/>
    <w:rsid w:val="00501188"/>
    <w:rsid w:val="005013F9"/>
    <w:rsid w:val="00505317"/>
    <w:rsid w:val="00505E62"/>
    <w:rsid w:val="005066A9"/>
    <w:rsid w:val="00506975"/>
    <w:rsid w:val="00507359"/>
    <w:rsid w:val="005075E6"/>
    <w:rsid w:val="005076F4"/>
    <w:rsid w:val="0051033F"/>
    <w:rsid w:val="00514A42"/>
    <w:rsid w:val="00514D9F"/>
    <w:rsid w:val="00514F21"/>
    <w:rsid w:val="00514FC7"/>
    <w:rsid w:val="0051501A"/>
    <w:rsid w:val="00517119"/>
    <w:rsid w:val="005171B7"/>
    <w:rsid w:val="00517F52"/>
    <w:rsid w:val="005208B8"/>
    <w:rsid w:val="0052111C"/>
    <w:rsid w:val="00522CF6"/>
    <w:rsid w:val="005243D6"/>
    <w:rsid w:val="00525292"/>
    <w:rsid w:val="0052552E"/>
    <w:rsid w:val="00526DD7"/>
    <w:rsid w:val="005307F7"/>
    <w:rsid w:val="00530947"/>
    <w:rsid w:val="00531C60"/>
    <w:rsid w:val="0053434A"/>
    <w:rsid w:val="0053491C"/>
    <w:rsid w:val="00535457"/>
    <w:rsid w:val="005357BC"/>
    <w:rsid w:val="00535802"/>
    <w:rsid w:val="00535861"/>
    <w:rsid w:val="005358BB"/>
    <w:rsid w:val="00536294"/>
    <w:rsid w:val="0053637F"/>
    <w:rsid w:val="00536A3C"/>
    <w:rsid w:val="00536F3E"/>
    <w:rsid w:val="0053758A"/>
    <w:rsid w:val="0054117F"/>
    <w:rsid w:val="0054146C"/>
    <w:rsid w:val="00541606"/>
    <w:rsid w:val="00541B2B"/>
    <w:rsid w:val="00543CC5"/>
    <w:rsid w:val="0054560A"/>
    <w:rsid w:val="0054560B"/>
    <w:rsid w:val="00545AB6"/>
    <w:rsid w:val="00545BAD"/>
    <w:rsid w:val="0054622E"/>
    <w:rsid w:val="005469DD"/>
    <w:rsid w:val="005479E3"/>
    <w:rsid w:val="00550A9E"/>
    <w:rsid w:val="00551D7F"/>
    <w:rsid w:val="0055334A"/>
    <w:rsid w:val="00553B80"/>
    <w:rsid w:val="00554354"/>
    <w:rsid w:val="005547B3"/>
    <w:rsid w:val="005553D3"/>
    <w:rsid w:val="005555EE"/>
    <w:rsid w:val="005562E5"/>
    <w:rsid w:val="0055760C"/>
    <w:rsid w:val="00557704"/>
    <w:rsid w:val="00557C26"/>
    <w:rsid w:val="005601A0"/>
    <w:rsid w:val="00560397"/>
    <w:rsid w:val="005607A3"/>
    <w:rsid w:val="0056189A"/>
    <w:rsid w:val="00561C4B"/>
    <w:rsid w:val="0056220E"/>
    <w:rsid w:val="00562BEA"/>
    <w:rsid w:val="00563484"/>
    <w:rsid w:val="00563F33"/>
    <w:rsid w:val="00564427"/>
    <w:rsid w:val="005649AF"/>
    <w:rsid w:val="005649F1"/>
    <w:rsid w:val="00564C98"/>
    <w:rsid w:val="00564E98"/>
    <w:rsid w:val="005658BF"/>
    <w:rsid w:val="00565A19"/>
    <w:rsid w:val="00565A50"/>
    <w:rsid w:val="00565E0E"/>
    <w:rsid w:val="005662FA"/>
    <w:rsid w:val="0056694C"/>
    <w:rsid w:val="00567FEF"/>
    <w:rsid w:val="00570732"/>
    <w:rsid w:val="00571015"/>
    <w:rsid w:val="00571D51"/>
    <w:rsid w:val="00571FE2"/>
    <w:rsid w:val="00572678"/>
    <w:rsid w:val="0057394D"/>
    <w:rsid w:val="0057406A"/>
    <w:rsid w:val="005740FD"/>
    <w:rsid w:val="0057588A"/>
    <w:rsid w:val="00575DF0"/>
    <w:rsid w:val="00575E96"/>
    <w:rsid w:val="00576627"/>
    <w:rsid w:val="00577B61"/>
    <w:rsid w:val="00577FC6"/>
    <w:rsid w:val="005802EA"/>
    <w:rsid w:val="00580523"/>
    <w:rsid w:val="005813FD"/>
    <w:rsid w:val="00582ED3"/>
    <w:rsid w:val="00583ACB"/>
    <w:rsid w:val="00583D14"/>
    <w:rsid w:val="00583F4E"/>
    <w:rsid w:val="00584BC4"/>
    <w:rsid w:val="0058550F"/>
    <w:rsid w:val="0058678C"/>
    <w:rsid w:val="00587914"/>
    <w:rsid w:val="00587B26"/>
    <w:rsid w:val="0059015C"/>
    <w:rsid w:val="00590B5E"/>
    <w:rsid w:val="00591296"/>
    <w:rsid w:val="005913DD"/>
    <w:rsid w:val="00591A0B"/>
    <w:rsid w:val="00591F9D"/>
    <w:rsid w:val="005924FA"/>
    <w:rsid w:val="005933E1"/>
    <w:rsid w:val="00593406"/>
    <w:rsid w:val="00593558"/>
    <w:rsid w:val="00593D1C"/>
    <w:rsid w:val="00593E8D"/>
    <w:rsid w:val="00594304"/>
    <w:rsid w:val="00594885"/>
    <w:rsid w:val="005948DC"/>
    <w:rsid w:val="00594DDD"/>
    <w:rsid w:val="00596091"/>
    <w:rsid w:val="0059781A"/>
    <w:rsid w:val="005A0316"/>
    <w:rsid w:val="005A0844"/>
    <w:rsid w:val="005A12EC"/>
    <w:rsid w:val="005A34EA"/>
    <w:rsid w:val="005A3F52"/>
    <w:rsid w:val="005A45FB"/>
    <w:rsid w:val="005A5351"/>
    <w:rsid w:val="005A5E50"/>
    <w:rsid w:val="005A69EA"/>
    <w:rsid w:val="005A6A3F"/>
    <w:rsid w:val="005A6A63"/>
    <w:rsid w:val="005A6D3A"/>
    <w:rsid w:val="005B2419"/>
    <w:rsid w:val="005B26DA"/>
    <w:rsid w:val="005B3150"/>
    <w:rsid w:val="005B3907"/>
    <w:rsid w:val="005B42F8"/>
    <w:rsid w:val="005B4E93"/>
    <w:rsid w:val="005B5E0A"/>
    <w:rsid w:val="005B75F8"/>
    <w:rsid w:val="005B77AD"/>
    <w:rsid w:val="005B7A81"/>
    <w:rsid w:val="005C0631"/>
    <w:rsid w:val="005C1139"/>
    <w:rsid w:val="005C1A74"/>
    <w:rsid w:val="005C1FEA"/>
    <w:rsid w:val="005C1FF0"/>
    <w:rsid w:val="005C2198"/>
    <w:rsid w:val="005C357E"/>
    <w:rsid w:val="005C36A7"/>
    <w:rsid w:val="005C4A99"/>
    <w:rsid w:val="005D2437"/>
    <w:rsid w:val="005D2E03"/>
    <w:rsid w:val="005D4D3C"/>
    <w:rsid w:val="005D7A6C"/>
    <w:rsid w:val="005E0A46"/>
    <w:rsid w:val="005E0A92"/>
    <w:rsid w:val="005E1680"/>
    <w:rsid w:val="005E1909"/>
    <w:rsid w:val="005E1A57"/>
    <w:rsid w:val="005E2224"/>
    <w:rsid w:val="005E2AAF"/>
    <w:rsid w:val="005E3138"/>
    <w:rsid w:val="005E47B3"/>
    <w:rsid w:val="005E573D"/>
    <w:rsid w:val="005E5E31"/>
    <w:rsid w:val="005E6274"/>
    <w:rsid w:val="005E67CA"/>
    <w:rsid w:val="005E7E1E"/>
    <w:rsid w:val="005E7F7C"/>
    <w:rsid w:val="005F0633"/>
    <w:rsid w:val="005F1A9C"/>
    <w:rsid w:val="005F1EED"/>
    <w:rsid w:val="005F271D"/>
    <w:rsid w:val="005F3D62"/>
    <w:rsid w:val="005F4410"/>
    <w:rsid w:val="005F47CB"/>
    <w:rsid w:val="005F56AF"/>
    <w:rsid w:val="005F5B52"/>
    <w:rsid w:val="005F5BFB"/>
    <w:rsid w:val="00601CDD"/>
    <w:rsid w:val="006022A6"/>
    <w:rsid w:val="006041A9"/>
    <w:rsid w:val="0060496D"/>
    <w:rsid w:val="00605C09"/>
    <w:rsid w:val="00606139"/>
    <w:rsid w:val="0060720D"/>
    <w:rsid w:val="00607275"/>
    <w:rsid w:val="00610A8D"/>
    <w:rsid w:val="006111C3"/>
    <w:rsid w:val="00611565"/>
    <w:rsid w:val="00613422"/>
    <w:rsid w:val="006134F2"/>
    <w:rsid w:val="00613609"/>
    <w:rsid w:val="00617153"/>
    <w:rsid w:val="00620E8B"/>
    <w:rsid w:val="00620FC5"/>
    <w:rsid w:val="0062140A"/>
    <w:rsid w:val="00621DC4"/>
    <w:rsid w:val="0062200E"/>
    <w:rsid w:val="0062217B"/>
    <w:rsid w:val="00622BBE"/>
    <w:rsid w:val="006233E7"/>
    <w:rsid w:val="00623F56"/>
    <w:rsid w:val="006247D7"/>
    <w:rsid w:val="006249B9"/>
    <w:rsid w:val="006250C9"/>
    <w:rsid w:val="0062570B"/>
    <w:rsid w:val="00625A5B"/>
    <w:rsid w:val="00626BD6"/>
    <w:rsid w:val="006301AB"/>
    <w:rsid w:val="0063061D"/>
    <w:rsid w:val="006316B5"/>
    <w:rsid w:val="0063285C"/>
    <w:rsid w:val="006353D0"/>
    <w:rsid w:val="00635920"/>
    <w:rsid w:val="0063672D"/>
    <w:rsid w:val="00637016"/>
    <w:rsid w:val="006372F7"/>
    <w:rsid w:val="00637DC6"/>
    <w:rsid w:val="00637F0F"/>
    <w:rsid w:val="0064073C"/>
    <w:rsid w:val="006412FC"/>
    <w:rsid w:val="0064232B"/>
    <w:rsid w:val="00642FFE"/>
    <w:rsid w:val="0064335E"/>
    <w:rsid w:val="00643476"/>
    <w:rsid w:val="0064397A"/>
    <w:rsid w:val="006439E0"/>
    <w:rsid w:val="00644238"/>
    <w:rsid w:val="00644538"/>
    <w:rsid w:val="0064504E"/>
    <w:rsid w:val="006460BE"/>
    <w:rsid w:val="006460C1"/>
    <w:rsid w:val="006470FD"/>
    <w:rsid w:val="006472BD"/>
    <w:rsid w:val="00647686"/>
    <w:rsid w:val="00647CDD"/>
    <w:rsid w:val="006501BC"/>
    <w:rsid w:val="00650ECE"/>
    <w:rsid w:val="0065136A"/>
    <w:rsid w:val="0065245D"/>
    <w:rsid w:val="00653218"/>
    <w:rsid w:val="006532BB"/>
    <w:rsid w:val="00653647"/>
    <w:rsid w:val="00653F93"/>
    <w:rsid w:val="0065411D"/>
    <w:rsid w:val="006547A7"/>
    <w:rsid w:val="006549FA"/>
    <w:rsid w:val="00654B47"/>
    <w:rsid w:val="00655277"/>
    <w:rsid w:val="006567F2"/>
    <w:rsid w:val="0065791A"/>
    <w:rsid w:val="006604FD"/>
    <w:rsid w:val="00660A96"/>
    <w:rsid w:val="00660C48"/>
    <w:rsid w:val="00661635"/>
    <w:rsid w:val="0066168B"/>
    <w:rsid w:val="00662177"/>
    <w:rsid w:val="00663C16"/>
    <w:rsid w:val="006663C6"/>
    <w:rsid w:val="00666814"/>
    <w:rsid w:val="006673C0"/>
    <w:rsid w:val="00667974"/>
    <w:rsid w:val="006704B1"/>
    <w:rsid w:val="00670D9C"/>
    <w:rsid w:val="00671072"/>
    <w:rsid w:val="0067168C"/>
    <w:rsid w:val="00671935"/>
    <w:rsid w:val="00671FF1"/>
    <w:rsid w:val="006779DA"/>
    <w:rsid w:val="00677F8A"/>
    <w:rsid w:val="0068074F"/>
    <w:rsid w:val="00683A38"/>
    <w:rsid w:val="00684B27"/>
    <w:rsid w:val="006868AA"/>
    <w:rsid w:val="00687DD1"/>
    <w:rsid w:val="00687E45"/>
    <w:rsid w:val="0069065B"/>
    <w:rsid w:val="00691067"/>
    <w:rsid w:val="00692540"/>
    <w:rsid w:val="00692A84"/>
    <w:rsid w:val="00694C68"/>
    <w:rsid w:val="00695589"/>
    <w:rsid w:val="0069639D"/>
    <w:rsid w:val="006964B5"/>
    <w:rsid w:val="00697152"/>
    <w:rsid w:val="006A26A0"/>
    <w:rsid w:val="006A2D15"/>
    <w:rsid w:val="006A35F4"/>
    <w:rsid w:val="006A45C9"/>
    <w:rsid w:val="006A48CC"/>
    <w:rsid w:val="006A4DC2"/>
    <w:rsid w:val="006A4F0A"/>
    <w:rsid w:val="006A4F1D"/>
    <w:rsid w:val="006A553E"/>
    <w:rsid w:val="006A59D3"/>
    <w:rsid w:val="006A60AD"/>
    <w:rsid w:val="006A682A"/>
    <w:rsid w:val="006A77FE"/>
    <w:rsid w:val="006A794D"/>
    <w:rsid w:val="006B26E7"/>
    <w:rsid w:val="006B26FC"/>
    <w:rsid w:val="006B3BD3"/>
    <w:rsid w:val="006B4EBE"/>
    <w:rsid w:val="006B6036"/>
    <w:rsid w:val="006B6329"/>
    <w:rsid w:val="006B68A4"/>
    <w:rsid w:val="006B68D4"/>
    <w:rsid w:val="006B6FA6"/>
    <w:rsid w:val="006C000D"/>
    <w:rsid w:val="006C05EA"/>
    <w:rsid w:val="006C09C1"/>
    <w:rsid w:val="006C0E6D"/>
    <w:rsid w:val="006C1555"/>
    <w:rsid w:val="006C3B84"/>
    <w:rsid w:val="006C436C"/>
    <w:rsid w:val="006C6101"/>
    <w:rsid w:val="006C6341"/>
    <w:rsid w:val="006C667D"/>
    <w:rsid w:val="006C669C"/>
    <w:rsid w:val="006C6B9A"/>
    <w:rsid w:val="006C748B"/>
    <w:rsid w:val="006D04DA"/>
    <w:rsid w:val="006D0A57"/>
    <w:rsid w:val="006D101A"/>
    <w:rsid w:val="006D117B"/>
    <w:rsid w:val="006D26CE"/>
    <w:rsid w:val="006D4110"/>
    <w:rsid w:val="006D4645"/>
    <w:rsid w:val="006D4B93"/>
    <w:rsid w:val="006D55C7"/>
    <w:rsid w:val="006D77EA"/>
    <w:rsid w:val="006D7841"/>
    <w:rsid w:val="006D7B19"/>
    <w:rsid w:val="006D7B55"/>
    <w:rsid w:val="006E0244"/>
    <w:rsid w:val="006E07F1"/>
    <w:rsid w:val="006E19FD"/>
    <w:rsid w:val="006E1D59"/>
    <w:rsid w:val="006E223E"/>
    <w:rsid w:val="006E28CB"/>
    <w:rsid w:val="006E29AD"/>
    <w:rsid w:val="006E2FC2"/>
    <w:rsid w:val="006E5147"/>
    <w:rsid w:val="006E5687"/>
    <w:rsid w:val="006E5ED7"/>
    <w:rsid w:val="006E5FEC"/>
    <w:rsid w:val="006E65D3"/>
    <w:rsid w:val="006E6A25"/>
    <w:rsid w:val="006E6F35"/>
    <w:rsid w:val="006E71C7"/>
    <w:rsid w:val="006E79E2"/>
    <w:rsid w:val="006F019B"/>
    <w:rsid w:val="006F0248"/>
    <w:rsid w:val="006F08A3"/>
    <w:rsid w:val="006F13FA"/>
    <w:rsid w:val="006F2ABD"/>
    <w:rsid w:val="006F3A28"/>
    <w:rsid w:val="006F40FF"/>
    <w:rsid w:val="006F4341"/>
    <w:rsid w:val="006F4549"/>
    <w:rsid w:val="006F46F9"/>
    <w:rsid w:val="006F48E5"/>
    <w:rsid w:val="006F5A5A"/>
    <w:rsid w:val="006F5D6A"/>
    <w:rsid w:val="006F7435"/>
    <w:rsid w:val="006F745E"/>
    <w:rsid w:val="00700ABD"/>
    <w:rsid w:val="00701734"/>
    <w:rsid w:val="007038D4"/>
    <w:rsid w:val="00704169"/>
    <w:rsid w:val="007046B7"/>
    <w:rsid w:val="007052F1"/>
    <w:rsid w:val="007055B7"/>
    <w:rsid w:val="00706618"/>
    <w:rsid w:val="0070762D"/>
    <w:rsid w:val="007111E1"/>
    <w:rsid w:val="007114FD"/>
    <w:rsid w:val="00712687"/>
    <w:rsid w:val="00713464"/>
    <w:rsid w:val="00713E36"/>
    <w:rsid w:val="007147C1"/>
    <w:rsid w:val="00715356"/>
    <w:rsid w:val="007154DD"/>
    <w:rsid w:val="00715B14"/>
    <w:rsid w:val="00716802"/>
    <w:rsid w:val="00720152"/>
    <w:rsid w:val="0072076A"/>
    <w:rsid w:val="00721C0A"/>
    <w:rsid w:val="007241FB"/>
    <w:rsid w:val="0072426C"/>
    <w:rsid w:val="0072444C"/>
    <w:rsid w:val="007249E8"/>
    <w:rsid w:val="00724E61"/>
    <w:rsid w:val="00725A5E"/>
    <w:rsid w:val="00725C0D"/>
    <w:rsid w:val="00725F8C"/>
    <w:rsid w:val="00726082"/>
    <w:rsid w:val="00726DBF"/>
    <w:rsid w:val="00727527"/>
    <w:rsid w:val="007302C4"/>
    <w:rsid w:val="00731683"/>
    <w:rsid w:val="0073180D"/>
    <w:rsid w:val="007328E8"/>
    <w:rsid w:val="00733462"/>
    <w:rsid w:val="007336D6"/>
    <w:rsid w:val="007341F4"/>
    <w:rsid w:val="0073447D"/>
    <w:rsid w:val="0073453B"/>
    <w:rsid w:val="00734E30"/>
    <w:rsid w:val="0073591E"/>
    <w:rsid w:val="00735DF7"/>
    <w:rsid w:val="00736455"/>
    <w:rsid w:val="00736551"/>
    <w:rsid w:val="007366B7"/>
    <w:rsid w:val="00740AF6"/>
    <w:rsid w:val="00740CE2"/>
    <w:rsid w:val="00740F5C"/>
    <w:rsid w:val="007411AB"/>
    <w:rsid w:val="00741691"/>
    <w:rsid w:val="00741FE0"/>
    <w:rsid w:val="00742AD1"/>
    <w:rsid w:val="00743F1A"/>
    <w:rsid w:val="0074423A"/>
    <w:rsid w:val="00744274"/>
    <w:rsid w:val="00744818"/>
    <w:rsid w:val="00746DA8"/>
    <w:rsid w:val="007502B5"/>
    <w:rsid w:val="00750379"/>
    <w:rsid w:val="007513A9"/>
    <w:rsid w:val="00753EAC"/>
    <w:rsid w:val="00754BC1"/>
    <w:rsid w:val="00755E00"/>
    <w:rsid w:val="00756BB1"/>
    <w:rsid w:val="00757653"/>
    <w:rsid w:val="00757E49"/>
    <w:rsid w:val="007619BF"/>
    <w:rsid w:val="007623EA"/>
    <w:rsid w:val="0076262B"/>
    <w:rsid w:val="00762B9B"/>
    <w:rsid w:val="007640AD"/>
    <w:rsid w:val="0076446A"/>
    <w:rsid w:val="0076555D"/>
    <w:rsid w:val="0076562A"/>
    <w:rsid w:val="0076564B"/>
    <w:rsid w:val="00766374"/>
    <w:rsid w:val="00766A94"/>
    <w:rsid w:val="007703C1"/>
    <w:rsid w:val="00771079"/>
    <w:rsid w:val="00772CA0"/>
    <w:rsid w:val="00772CD6"/>
    <w:rsid w:val="00773442"/>
    <w:rsid w:val="00773AF2"/>
    <w:rsid w:val="00773B0D"/>
    <w:rsid w:val="00774223"/>
    <w:rsid w:val="0077432B"/>
    <w:rsid w:val="00775A03"/>
    <w:rsid w:val="007762C8"/>
    <w:rsid w:val="00776AF0"/>
    <w:rsid w:val="0077732B"/>
    <w:rsid w:val="00777A40"/>
    <w:rsid w:val="00780C83"/>
    <w:rsid w:val="007817F0"/>
    <w:rsid w:val="0078285C"/>
    <w:rsid w:val="00783311"/>
    <w:rsid w:val="00783769"/>
    <w:rsid w:val="00783984"/>
    <w:rsid w:val="00783A3E"/>
    <w:rsid w:val="00783AC1"/>
    <w:rsid w:val="0078436C"/>
    <w:rsid w:val="00785D0F"/>
    <w:rsid w:val="00785E3D"/>
    <w:rsid w:val="00790270"/>
    <w:rsid w:val="00790B51"/>
    <w:rsid w:val="00791028"/>
    <w:rsid w:val="00791144"/>
    <w:rsid w:val="00792E01"/>
    <w:rsid w:val="00793D76"/>
    <w:rsid w:val="00793E08"/>
    <w:rsid w:val="00794494"/>
    <w:rsid w:val="00794D2D"/>
    <w:rsid w:val="007956B2"/>
    <w:rsid w:val="00795B79"/>
    <w:rsid w:val="007974A2"/>
    <w:rsid w:val="007A0108"/>
    <w:rsid w:val="007A2D7F"/>
    <w:rsid w:val="007A2D83"/>
    <w:rsid w:val="007A2DF0"/>
    <w:rsid w:val="007A46F0"/>
    <w:rsid w:val="007A5619"/>
    <w:rsid w:val="007A7056"/>
    <w:rsid w:val="007A77EC"/>
    <w:rsid w:val="007B125F"/>
    <w:rsid w:val="007B2118"/>
    <w:rsid w:val="007B2B48"/>
    <w:rsid w:val="007B3805"/>
    <w:rsid w:val="007B3D21"/>
    <w:rsid w:val="007B3F09"/>
    <w:rsid w:val="007B44E9"/>
    <w:rsid w:val="007B457A"/>
    <w:rsid w:val="007B4BD6"/>
    <w:rsid w:val="007B4ED6"/>
    <w:rsid w:val="007B50AE"/>
    <w:rsid w:val="007B51DA"/>
    <w:rsid w:val="007B609B"/>
    <w:rsid w:val="007B74E5"/>
    <w:rsid w:val="007C1BA8"/>
    <w:rsid w:val="007C1DCA"/>
    <w:rsid w:val="007C1DD5"/>
    <w:rsid w:val="007C1FC8"/>
    <w:rsid w:val="007C3B04"/>
    <w:rsid w:val="007C3EBF"/>
    <w:rsid w:val="007C3FF8"/>
    <w:rsid w:val="007C4704"/>
    <w:rsid w:val="007C4DFC"/>
    <w:rsid w:val="007C4E39"/>
    <w:rsid w:val="007C5DE2"/>
    <w:rsid w:val="007C6788"/>
    <w:rsid w:val="007C6E15"/>
    <w:rsid w:val="007C7F2E"/>
    <w:rsid w:val="007D074E"/>
    <w:rsid w:val="007D13D2"/>
    <w:rsid w:val="007D1D56"/>
    <w:rsid w:val="007D2B76"/>
    <w:rsid w:val="007D3218"/>
    <w:rsid w:val="007D3567"/>
    <w:rsid w:val="007D3954"/>
    <w:rsid w:val="007D3C5B"/>
    <w:rsid w:val="007D444F"/>
    <w:rsid w:val="007D5FF9"/>
    <w:rsid w:val="007D61F4"/>
    <w:rsid w:val="007D7043"/>
    <w:rsid w:val="007D7DE3"/>
    <w:rsid w:val="007D7E99"/>
    <w:rsid w:val="007E05B6"/>
    <w:rsid w:val="007E0A3B"/>
    <w:rsid w:val="007E2706"/>
    <w:rsid w:val="007E378F"/>
    <w:rsid w:val="007E6484"/>
    <w:rsid w:val="007E7773"/>
    <w:rsid w:val="007E7C2D"/>
    <w:rsid w:val="007F0406"/>
    <w:rsid w:val="007F05F5"/>
    <w:rsid w:val="007F0700"/>
    <w:rsid w:val="007F1953"/>
    <w:rsid w:val="007F1BC1"/>
    <w:rsid w:val="007F2454"/>
    <w:rsid w:val="007F2765"/>
    <w:rsid w:val="007F2A66"/>
    <w:rsid w:val="007F4093"/>
    <w:rsid w:val="007F45FF"/>
    <w:rsid w:val="007F7560"/>
    <w:rsid w:val="00801AFC"/>
    <w:rsid w:val="008025AA"/>
    <w:rsid w:val="00802C58"/>
    <w:rsid w:val="008037CC"/>
    <w:rsid w:val="00803915"/>
    <w:rsid w:val="00804866"/>
    <w:rsid w:val="008143DA"/>
    <w:rsid w:val="0081507C"/>
    <w:rsid w:val="0081612D"/>
    <w:rsid w:val="00816FD3"/>
    <w:rsid w:val="00817D98"/>
    <w:rsid w:val="00817EF1"/>
    <w:rsid w:val="00821A89"/>
    <w:rsid w:val="00821C2F"/>
    <w:rsid w:val="00822EEB"/>
    <w:rsid w:val="00824755"/>
    <w:rsid w:val="00825023"/>
    <w:rsid w:val="008254C2"/>
    <w:rsid w:val="00826F77"/>
    <w:rsid w:val="008276AB"/>
    <w:rsid w:val="00827C0C"/>
    <w:rsid w:val="00827CB1"/>
    <w:rsid w:val="00827F8B"/>
    <w:rsid w:val="00830A6D"/>
    <w:rsid w:val="008328B7"/>
    <w:rsid w:val="00832D29"/>
    <w:rsid w:val="008330E5"/>
    <w:rsid w:val="008331FA"/>
    <w:rsid w:val="008338A7"/>
    <w:rsid w:val="00833A4F"/>
    <w:rsid w:val="00835EC3"/>
    <w:rsid w:val="00836A64"/>
    <w:rsid w:val="00836EAD"/>
    <w:rsid w:val="008372A6"/>
    <w:rsid w:val="00837331"/>
    <w:rsid w:val="00837601"/>
    <w:rsid w:val="00837C38"/>
    <w:rsid w:val="008415BA"/>
    <w:rsid w:val="00841E8C"/>
    <w:rsid w:val="008424C5"/>
    <w:rsid w:val="00842AEC"/>
    <w:rsid w:val="00842B55"/>
    <w:rsid w:val="00842FF6"/>
    <w:rsid w:val="0084351B"/>
    <w:rsid w:val="00844F26"/>
    <w:rsid w:val="00845FC9"/>
    <w:rsid w:val="008460C4"/>
    <w:rsid w:val="00846EEF"/>
    <w:rsid w:val="00847199"/>
    <w:rsid w:val="008476CC"/>
    <w:rsid w:val="00850454"/>
    <w:rsid w:val="00850B53"/>
    <w:rsid w:val="00851D04"/>
    <w:rsid w:val="0085211D"/>
    <w:rsid w:val="0085235B"/>
    <w:rsid w:val="00852726"/>
    <w:rsid w:val="00852E5D"/>
    <w:rsid w:val="00854660"/>
    <w:rsid w:val="00854A60"/>
    <w:rsid w:val="0085569D"/>
    <w:rsid w:val="00855D48"/>
    <w:rsid w:val="008574A9"/>
    <w:rsid w:val="008575F2"/>
    <w:rsid w:val="0085760F"/>
    <w:rsid w:val="008579C5"/>
    <w:rsid w:val="008616D9"/>
    <w:rsid w:val="0086217E"/>
    <w:rsid w:val="0086329A"/>
    <w:rsid w:val="00866263"/>
    <w:rsid w:val="008670CC"/>
    <w:rsid w:val="0086725A"/>
    <w:rsid w:val="008673D5"/>
    <w:rsid w:val="008675D4"/>
    <w:rsid w:val="008677F0"/>
    <w:rsid w:val="00867E73"/>
    <w:rsid w:val="00870592"/>
    <w:rsid w:val="00870C4F"/>
    <w:rsid w:val="00870D25"/>
    <w:rsid w:val="00870FC7"/>
    <w:rsid w:val="008715D6"/>
    <w:rsid w:val="00872779"/>
    <w:rsid w:val="008727F5"/>
    <w:rsid w:val="00873C12"/>
    <w:rsid w:val="0087451F"/>
    <w:rsid w:val="00875770"/>
    <w:rsid w:val="00880384"/>
    <w:rsid w:val="0088137A"/>
    <w:rsid w:val="00881737"/>
    <w:rsid w:val="00881AD1"/>
    <w:rsid w:val="00883484"/>
    <w:rsid w:val="00884A2C"/>
    <w:rsid w:val="00884BFE"/>
    <w:rsid w:val="00885349"/>
    <w:rsid w:val="00885422"/>
    <w:rsid w:val="008859CD"/>
    <w:rsid w:val="00886DBA"/>
    <w:rsid w:val="008879E5"/>
    <w:rsid w:val="0089009A"/>
    <w:rsid w:val="008900AE"/>
    <w:rsid w:val="00890347"/>
    <w:rsid w:val="00890888"/>
    <w:rsid w:val="008916DA"/>
    <w:rsid w:val="008928D5"/>
    <w:rsid w:val="008933D7"/>
    <w:rsid w:val="00893BB6"/>
    <w:rsid w:val="00893CBC"/>
    <w:rsid w:val="00894869"/>
    <w:rsid w:val="00895025"/>
    <w:rsid w:val="0089522C"/>
    <w:rsid w:val="00896DF5"/>
    <w:rsid w:val="00897227"/>
    <w:rsid w:val="008977B4"/>
    <w:rsid w:val="00897A3E"/>
    <w:rsid w:val="008A03B3"/>
    <w:rsid w:val="008A1731"/>
    <w:rsid w:val="008A1FEA"/>
    <w:rsid w:val="008A239A"/>
    <w:rsid w:val="008A320B"/>
    <w:rsid w:val="008A40DD"/>
    <w:rsid w:val="008A56F2"/>
    <w:rsid w:val="008A71B3"/>
    <w:rsid w:val="008A77BF"/>
    <w:rsid w:val="008A7C43"/>
    <w:rsid w:val="008B0290"/>
    <w:rsid w:val="008B0DDC"/>
    <w:rsid w:val="008B0FB6"/>
    <w:rsid w:val="008B1ECD"/>
    <w:rsid w:val="008B2462"/>
    <w:rsid w:val="008B396E"/>
    <w:rsid w:val="008B4BC5"/>
    <w:rsid w:val="008B5145"/>
    <w:rsid w:val="008B5717"/>
    <w:rsid w:val="008B609F"/>
    <w:rsid w:val="008B6674"/>
    <w:rsid w:val="008B7547"/>
    <w:rsid w:val="008B7F61"/>
    <w:rsid w:val="008C0C3C"/>
    <w:rsid w:val="008C10BD"/>
    <w:rsid w:val="008C1C2A"/>
    <w:rsid w:val="008C2ADF"/>
    <w:rsid w:val="008C3276"/>
    <w:rsid w:val="008C3CA1"/>
    <w:rsid w:val="008C3E8B"/>
    <w:rsid w:val="008C4A25"/>
    <w:rsid w:val="008C4A4E"/>
    <w:rsid w:val="008C5F77"/>
    <w:rsid w:val="008C6015"/>
    <w:rsid w:val="008C7306"/>
    <w:rsid w:val="008C7D9D"/>
    <w:rsid w:val="008D07DA"/>
    <w:rsid w:val="008D0B6F"/>
    <w:rsid w:val="008D10C5"/>
    <w:rsid w:val="008D1333"/>
    <w:rsid w:val="008D1703"/>
    <w:rsid w:val="008D1FC9"/>
    <w:rsid w:val="008D2525"/>
    <w:rsid w:val="008D2914"/>
    <w:rsid w:val="008D31F8"/>
    <w:rsid w:val="008D356D"/>
    <w:rsid w:val="008D48A1"/>
    <w:rsid w:val="008D4E48"/>
    <w:rsid w:val="008D555F"/>
    <w:rsid w:val="008D5DD0"/>
    <w:rsid w:val="008D6792"/>
    <w:rsid w:val="008D7631"/>
    <w:rsid w:val="008E07B8"/>
    <w:rsid w:val="008E07DF"/>
    <w:rsid w:val="008E0912"/>
    <w:rsid w:val="008E2655"/>
    <w:rsid w:val="008E3900"/>
    <w:rsid w:val="008E3B7D"/>
    <w:rsid w:val="008F0453"/>
    <w:rsid w:val="008F17E7"/>
    <w:rsid w:val="008F19DA"/>
    <w:rsid w:val="008F2450"/>
    <w:rsid w:val="008F2805"/>
    <w:rsid w:val="008F2855"/>
    <w:rsid w:val="008F3249"/>
    <w:rsid w:val="008F33B3"/>
    <w:rsid w:val="008F70CE"/>
    <w:rsid w:val="008F7F9E"/>
    <w:rsid w:val="00900316"/>
    <w:rsid w:val="00902634"/>
    <w:rsid w:val="00904857"/>
    <w:rsid w:val="0090777A"/>
    <w:rsid w:val="00907E56"/>
    <w:rsid w:val="009101FF"/>
    <w:rsid w:val="00910314"/>
    <w:rsid w:val="009114FE"/>
    <w:rsid w:val="00912361"/>
    <w:rsid w:val="00912769"/>
    <w:rsid w:val="00914099"/>
    <w:rsid w:val="00914436"/>
    <w:rsid w:val="009146A6"/>
    <w:rsid w:val="009168F4"/>
    <w:rsid w:val="0092059E"/>
    <w:rsid w:val="009226A6"/>
    <w:rsid w:val="00922A61"/>
    <w:rsid w:val="00924646"/>
    <w:rsid w:val="00924A36"/>
    <w:rsid w:val="0092603E"/>
    <w:rsid w:val="009261EA"/>
    <w:rsid w:val="0092676F"/>
    <w:rsid w:val="0092677F"/>
    <w:rsid w:val="00926931"/>
    <w:rsid w:val="00926DBA"/>
    <w:rsid w:val="00927287"/>
    <w:rsid w:val="00930300"/>
    <w:rsid w:val="009305B1"/>
    <w:rsid w:val="009307F4"/>
    <w:rsid w:val="0093134E"/>
    <w:rsid w:val="009329D4"/>
    <w:rsid w:val="009331B4"/>
    <w:rsid w:val="00933E2F"/>
    <w:rsid w:val="009354DB"/>
    <w:rsid w:val="00935A5E"/>
    <w:rsid w:val="00940833"/>
    <w:rsid w:val="0094182C"/>
    <w:rsid w:val="00941D22"/>
    <w:rsid w:val="00942980"/>
    <w:rsid w:val="009459F2"/>
    <w:rsid w:val="00950963"/>
    <w:rsid w:val="00951C5E"/>
    <w:rsid w:val="00951D84"/>
    <w:rsid w:val="00951E96"/>
    <w:rsid w:val="00951FF8"/>
    <w:rsid w:val="0095248A"/>
    <w:rsid w:val="00952647"/>
    <w:rsid w:val="009528F6"/>
    <w:rsid w:val="00952F60"/>
    <w:rsid w:val="0095534B"/>
    <w:rsid w:val="009554C4"/>
    <w:rsid w:val="0095665D"/>
    <w:rsid w:val="009577D5"/>
    <w:rsid w:val="009603B8"/>
    <w:rsid w:val="0096168C"/>
    <w:rsid w:val="0096175B"/>
    <w:rsid w:val="00963780"/>
    <w:rsid w:val="009637AA"/>
    <w:rsid w:val="00966DB8"/>
    <w:rsid w:val="00967299"/>
    <w:rsid w:val="00970C7A"/>
    <w:rsid w:val="00970CF6"/>
    <w:rsid w:val="00970DA2"/>
    <w:rsid w:val="00972918"/>
    <w:rsid w:val="0097295D"/>
    <w:rsid w:val="00972C40"/>
    <w:rsid w:val="009731D8"/>
    <w:rsid w:val="00973775"/>
    <w:rsid w:val="00973BD0"/>
    <w:rsid w:val="00974A9F"/>
    <w:rsid w:val="009752C0"/>
    <w:rsid w:val="0097633D"/>
    <w:rsid w:val="00976CE7"/>
    <w:rsid w:val="00977C71"/>
    <w:rsid w:val="009810DE"/>
    <w:rsid w:val="009818AD"/>
    <w:rsid w:val="00982323"/>
    <w:rsid w:val="00982A0B"/>
    <w:rsid w:val="00982AF3"/>
    <w:rsid w:val="00982D6A"/>
    <w:rsid w:val="00982EA4"/>
    <w:rsid w:val="00983326"/>
    <w:rsid w:val="00983C69"/>
    <w:rsid w:val="00984493"/>
    <w:rsid w:val="00984BA1"/>
    <w:rsid w:val="00984F03"/>
    <w:rsid w:val="0098667A"/>
    <w:rsid w:val="009909F2"/>
    <w:rsid w:val="009917DD"/>
    <w:rsid w:val="009918B1"/>
    <w:rsid w:val="00991D28"/>
    <w:rsid w:val="009921B2"/>
    <w:rsid w:val="009921E7"/>
    <w:rsid w:val="00992B0F"/>
    <w:rsid w:val="00993255"/>
    <w:rsid w:val="00993795"/>
    <w:rsid w:val="009946A7"/>
    <w:rsid w:val="00994F12"/>
    <w:rsid w:val="00995126"/>
    <w:rsid w:val="00997984"/>
    <w:rsid w:val="009A050C"/>
    <w:rsid w:val="009A1798"/>
    <w:rsid w:val="009A22BC"/>
    <w:rsid w:val="009A23E2"/>
    <w:rsid w:val="009A3E36"/>
    <w:rsid w:val="009A6C7B"/>
    <w:rsid w:val="009A7553"/>
    <w:rsid w:val="009A787E"/>
    <w:rsid w:val="009A7941"/>
    <w:rsid w:val="009A7C54"/>
    <w:rsid w:val="009B0799"/>
    <w:rsid w:val="009B08C2"/>
    <w:rsid w:val="009B0A81"/>
    <w:rsid w:val="009B0F30"/>
    <w:rsid w:val="009B1484"/>
    <w:rsid w:val="009B1DC0"/>
    <w:rsid w:val="009B258B"/>
    <w:rsid w:val="009B27EF"/>
    <w:rsid w:val="009B354C"/>
    <w:rsid w:val="009B4560"/>
    <w:rsid w:val="009B477E"/>
    <w:rsid w:val="009B4C6E"/>
    <w:rsid w:val="009B5371"/>
    <w:rsid w:val="009B6BA5"/>
    <w:rsid w:val="009B6E4D"/>
    <w:rsid w:val="009C03BD"/>
    <w:rsid w:val="009C094E"/>
    <w:rsid w:val="009C0B5C"/>
    <w:rsid w:val="009C1436"/>
    <w:rsid w:val="009C2533"/>
    <w:rsid w:val="009C2FD6"/>
    <w:rsid w:val="009C32DD"/>
    <w:rsid w:val="009C42C4"/>
    <w:rsid w:val="009C4A6B"/>
    <w:rsid w:val="009C5001"/>
    <w:rsid w:val="009C52BA"/>
    <w:rsid w:val="009C5558"/>
    <w:rsid w:val="009C61DD"/>
    <w:rsid w:val="009D08CC"/>
    <w:rsid w:val="009D1C6F"/>
    <w:rsid w:val="009D2CD4"/>
    <w:rsid w:val="009D3140"/>
    <w:rsid w:val="009D3261"/>
    <w:rsid w:val="009D3F58"/>
    <w:rsid w:val="009D61B0"/>
    <w:rsid w:val="009D6733"/>
    <w:rsid w:val="009D67AC"/>
    <w:rsid w:val="009D718E"/>
    <w:rsid w:val="009D776B"/>
    <w:rsid w:val="009D7A70"/>
    <w:rsid w:val="009E03B8"/>
    <w:rsid w:val="009E1040"/>
    <w:rsid w:val="009E2216"/>
    <w:rsid w:val="009E286B"/>
    <w:rsid w:val="009E30C5"/>
    <w:rsid w:val="009E3990"/>
    <w:rsid w:val="009E3A82"/>
    <w:rsid w:val="009E4916"/>
    <w:rsid w:val="009E4A7F"/>
    <w:rsid w:val="009E4E19"/>
    <w:rsid w:val="009E60B3"/>
    <w:rsid w:val="009E6472"/>
    <w:rsid w:val="009E7D92"/>
    <w:rsid w:val="009F145E"/>
    <w:rsid w:val="009F2422"/>
    <w:rsid w:val="009F38AC"/>
    <w:rsid w:val="009F4F7D"/>
    <w:rsid w:val="009F5097"/>
    <w:rsid w:val="009F53EB"/>
    <w:rsid w:val="009F62C5"/>
    <w:rsid w:val="009F6393"/>
    <w:rsid w:val="009F6A61"/>
    <w:rsid w:val="00A01C98"/>
    <w:rsid w:val="00A0215D"/>
    <w:rsid w:val="00A024CF"/>
    <w:rsid w:val="00A05141"/>
    <w:rsid w:val="00A05A39"/>
    <w:rsid w:val="00A05CB0"/>
    <w:rsid w:val="00A05DDE"/>
    <w:rsid w:val="00A062AE"/>
    <w:rsid w:val="00A06BB3"/>
    <w:rsid w:val="00A06D14"/>
    <w:rsid w:val="00A1020B"/>
    <w:rsid w:val="00A10BB6"/>
    <w:rsid w:val="00A13662"/>
    <w:rsid w:val="00A149A2"/>
    <w:rsid w:val="00A14D65"/>
    <w:rsid w:val="00A152F2"/>
    <w:rsid w:val="00A154B3"/>
    <w:rsid w:val="00A15CC6"/>
    <w:rsid w:val="00A1723F"/>
    <w:rsid w:val="00A17332"/>
    <w:rsid w:val="00A204F6"/>
    <w:rsid w:val="00A20614"/>
    <w:rsid w:val="00A21CA0"/>
    <w:rsid w:val="00A2346E"/>
    <w:rsid w:val="00A23488"/>
    <w:rsid w:val="00A23752"/>
    <w:rsid w:val="00A23EAB"/>
    <w:rsid w:val="00A24593"/>
    <w:rsid w:val="00A24926"/>
    <w:rsid w:val="00A24E7C"/>
    <w:rsid w:val="00A25BA1"/>
    <w:rsid w:val="00A25BA8"/>
    <w:rsid w:val="00A26548"/>
    <w:rsid w:val="00A26A65"/>
    <w:rsid w:val="00A30B57"/>
    <w:rsid w:val="00A30FE8"/>
    <w:rsid w:val="00A319C3"/>
    <w:rsid w:val="00A33573"/>
    <w:rsid w:val="00A3367A"/>
    <w:rsid w:val="00A33CF4"/>
    <w:rsid w:val="00A34375"/>
    <w:rsid w:val="00A34603"/>
    <w:rsid w:val="00A35482"/>
    <w:rsid w:val="00A35CCB"/>
    <w:rsid w:val="00A36BF2"/>
    <w:rsid w:val="00A37345"/>
    <w:rsid w:val="00A37ADF"/>
    <w:rsid w:val="00A4006B"/>
    <w:rsid w:val="00A402BE"/>
    <w:rsid w:val="00A4050B"/>
    <w:rsid w:val="00A41E14"/>
    <w:rsid w:val="00A433B9"/>
    <w:rsid w:val="00A43628"/>
    <w:rsid w:val="00A44537"/>
    <w:rsid w:val="00A44B10"/>
    <w:rsid w:val="00A450E9"/>
    <w:rsid w:val="00A457ED"/>
    <w:rsid w:val="00A45DEC"/>
    <w:rsid w:val="00A45E9A"/>
    <w:rsid w:val="00A462DC"/>
    <w:rsid w:val="00A46485"/>
    <w:rsid w:val="00A4685B"/>
    <w:rsid w:val="00A502A8"/>
    <w:rsid w:val="00A50372"/>
    <w:rsid w:val="00A51160"/>
    <w:rsid w:val="00A51F9D"/>
    <w:rsid w:val="00A5299B"/>
    <w:rsid w:val="00A529B2"/>
    <w:rsid w:val="00A52A80"/>
    <w:rsid w:val="00A536AC"/>
    <w:rsid w:val="00A54B6C"/>
    <w:rsid w:val="00A54EA1"/>
    <w:rsid w:val="00A54F50"/>
    <w:rsid w:val="00A55A92"/>
    <w:rsid w:val="00A565D3"/>
    <w:rsid w:val="00A6103C"/>
    <w:rsid w:val="00A61583"/>
    <w:rsid w:val="00A63058"/>
    <w:rsid w:val="00A63166"/>
    <w:rsid w:val="00A6319A"/>
    <w:rsid w:val="00A63909"/>
    <w:rsid w:val="00A64CED"/>
    <w:rsid w:val="00A654AB"/>
    <w:rsid w:val="00A659E5"/>
    <w:rsid w:val="00A6617C"/>
    <w:rsid w:val="00A667F2"/>
    <w:rsid w:val="00A672A7"/>
    <w:rsid w:val="00A70EE5"/>
    <w:rsid w:val="00A71168"/>
    <w:rsid w:val="00A712B8"/>
    <w:rsid w:val="00A72C99"/>
    <w:rsid w:val="00A7381E"/>
    <w:rsid w:val="00A747E1"/>
    <w:rsid w:val="00A755E0"/>
    <w:rsid w:val="00A75961"/>
    <w:rsid w:val="00A759E8"/>
    <w:rsid w:val="00A769DD"/>
    <w:rsid w:val="00A77F56"/>
    <w:rsid w:val="00A8078D"/>
    <w:rsid w:val="00A8095A"/>
    <w:rsid w:val="00A80F39"/>
    <w:rsid w:val="00A810AB"/>
    <w:rsid w:val="00A81D11"/>
    <w:rsid w:val="00A81D7F"/>
    <w:rsid w:val="00A833F9"/>
    <w:rsid w:val="00A84366"/>
    <w:rsid w:val="00A84FA9"/>
    <w:rsid w:val="00A85138"/>
    <w:rsid w:val="00A85B48"/>
    <w:rsid w:val="00A85F78"/>
    <w:rsid w:val="00A86773"/>
    <w:rsid w:val="00A8719C"/>
    <w:rsid w:val="00A90568"/>
    <w:rsid w:val="00A90EC5"/>
    <w:rsid w:val="00A91DD4"/>
    <w:rsid w:val="00A920C9"/>
    <w:rsid w:val="00A92FC3"/>
    <w:rsid w:val="00A937A8"/>
    <w:rsid w:val="00A94974"/>
    <w:rsid w:val="00A94A5B"/>
    <w:rsid w:val="00A94AD8"/>
    <w:rsid w:val="00A94FB5"/>
    <w:rsid w:val="00A96DA9"/>
    <w:rsid w:val="00A96E09"/>
    <w:rsid w:val="00A974EE"/>
    <w:rsid w:val="00AA0C62"/>
    <w:rsid w:val="00AA1710"/>
    <w:rsid w:val="00AA22B1"/>
    <w:rsid w:val="00AA249C"/>
    <w:rsid w:val="00AA334A"/>
    <w:rsid w:val="00AA39D4"/>
    <w:rsid w:val="00AA3F02"/>
    <w:rsid w:val="00AA5E4E"/>
    <w:rsid w:val="00AA608D"/>
    <w:rsid w:val="00AA6496"/>
    <w:rsid w:val="00AA7320"/>
    <w:rsid w:val="00AA7CF6"/>
    <w:rsid w:val="00AB0B09"/>
    <w:rsid w:val="00AB24C2"/>
    <w:rsid w:val="00AB34AC"/>
    <w:rsid w:val="00AB4D3B"/>
    <w:rsid w:val="00AB5559"/>
    <w:rsid w:val="00AB630F"/>
    <w:rsid w:val="00AB685A"/>
    <w:rsid w:val="00AB7971"/>
    <w:rsid w:val="00AC0261"/>
    <w:rsid w:val="00AC0732"/>
    <w:rsid w:val="00AC0B07"/>
    <w:rsid w:val="00AC2287"/>
    <w:rsid w:val="00AC4253"/>
    <w:rsid w:val="00AC49E5"/>
    <w:rsid w:val="00AC5C5B"/>
    <w:rsid w:val="00AC6D0B"/>
    <w:rsid w:val="00AC7CDB"/>
    <w:rsid w:val="00AD1452"/>
    <w:rsid w:val="00AD2A40"/>
    <w:rsid w:val="00AD3E97"/>
    <w:rsid w:val="00AD50A1"/>
    <w:rsid w:val="00AD5328"/>
    <w:rsid w:val="00AD61E1"/>
    <w:rsid w:val="00AD6E89"/>
    <w:rsid w:val="00AD73A3"/>
    <w:rsid w:val="00AD7BDE"/>
    <w:rsid w:val="00AE0158"/>
    <w:rsid w:val="00AE118B"/>
    <w:rsid w:val="00AE1F0A"/>
    <w:rsid w:val="00AE2C80"/>
    <w:rsid w:val="00AE317E"/>
    <w:rsid w:val="00AE361F"/>
    <w:rsid w:val="00AE3EFA"/>
    <w:rsid w:val="00AE44A9"/>
    <w:rsid w:val="00AE4558"/>
    <w:rsid w:val="00AE4EED"/>
    <w:rsid w:val="00AE5499"/>
    <w:rsid w:val="00AE6C61"/>
    <w:rsid w:val="00AF020B"/>
    <w:rsid w:val="00AF05BE"/>
    <w:rsid w:val="00AF10D4"/>
    <w:rsid w:val="00AF1F69"/>
    <w:rsid w:val="00AF2302"/>
    <w:rsid w:val="00AF2BC1"/>
    <w:rsid w:val="00AF4035"/>
    <w:rsid w:val="00AF442E"/>
    <w:rsid w:val="00AF55B9"/>
    <w:rsid w:val="00AF5635"/>
    <w:rsid w:val="00AF5A18"/>
    <w:rsid w:val="00AF5BB1"/>
    <w:rsid w:val="00AF5D62"/>
    <w:rsid w:val="00AF6BE3"/>
    <w:rsid w:val="00AF6DF6"/>
    <w:rsid w:val="00AF7314"/>
    <w:rsid w:val="00AF73A3"/>
    <w:rsid w:val="00AF79BB"/>
    <w:rsid w:val="00B009F0"/>
    <w:rsid w:val="00B00EB9"/>
    <w:rsid w:val="00B027A7"/>
    <w:rsid w:val="00B051C8"/>
    <w:rsid w:val="00B0679A"/>
    <w:rsid w:val="00B075B5"/>
    <w:rsid w:val="00B07B98"/>
    <w:rsid w:val="00B10221"/>
    <w:rsid w:val="00B11176"/>
    <w:rsid w:val="00B1164A"/>
    <w:rsid w:val="00B11CFA"/>
    <w:rsid w:val="00B12240"/>
    <w:rsid w:val="00B123A3"/>
    <w:rsid w:val="00B12524"/>
    <w:rsid w:val="00B12B5C"/>
    <w:rsid w:val="00B1361E"/>
    <w:rsid w:val="00B136D7"/>
    <w:rsid w:val="00B13BD0"/>
    <w:rsid w:val="00B1410A"/>
    <w:rsid w:val="00B14423"/>
    <w:rsid w:val="00B14604"/>
    <w:rsid w:val="00B15345"/>
    <w:rsid w:val="00B15761"/>
    <w:rsid w:val="00B15CC7"/>
    <w:rsid w:val="00B16400"/>
    <w:rsid w:val="00B168ED"/>
    <w:rsid w:val="00B16B8F"/>
    <w:rsid w:val="00B172DE"/>
    <w:rsid w:val="00B17F94"/>
    <w:rsid w:val="00B2080A"/>
    <w:rsid w:val="00B21869"/>
    <w:rsid w:val="00B22460"/>
    <w:rsid w:val="00B23427"/>
    <w:rsid w:val="00B24AA7"/>
    <w:rsid w:val="00B260DF"/>
    <w:rsid w:val="00B26F2F"/>
    <w:rsid w:val="00B270D7"/>
    <w:rsid w:val="00B3112B"/>
    <w:rsid w:val="00B31ECD"/>
    <w:rsid w:val="00B326BF"/>
    <w:rsid w:val="00B33FE1"/>
    <w:rsid w:val="00B34A58"/>
    <w:rsid w:val="00B34B43"/>
    <w:rsid w:val="00B359D9"/>
    <w:rsid w:val="00B36307"/>
    <w:rsid w:val="00B36577"/>
    <w:rsid w:val="00B37098"/>
    <w:rsid w:val="00B370C8"/>
    <w:rsid w:val="00B37A60"/>
    <w:rsid w:val="00B41BD9"/>
    <w:rsid w:val="00B445CD"/>
    <w:rsid w:val="00B4517A"/>
    <w:rsid w:val="00B46633"/>
    <w:rsid w:val="00B479C5"/>
    <w:rsid w:val="00B508CA"/>
    <w:rsid w:val="00B51260"/>
    <w:rsid w:val="00B5297E"/>
    <w:rsid w:val="00B548CE"/>
    <w:rsid w:val="00B54B57"/>
    <w:rsid w:val="00B54FA4"/>
    <w:rsid w:val="00B55624"/>
    <w:rsid w:val="00B55BAA"/>
    <w:rsid w:val="00B56560"/>
    <w:rsid w:val="00B56A12"/>
    <w:rsid w:val="00B56F35"/>
    <w:rsid w:val="00B601BA"/>
    <w:rsid w:val="00B60C0E"/>
    <w:rsid w:val="00B60C47"/>
    <w:rsid w:val="00B61B26"/>
    <w:rsid w:val="00B62892"/>
    <w:rsid w:val="00B629C0"/>
    <w:rsid w:val="00B63D1A"/>
    <w:rsid w:val="00B64016"/>
    <w:rsid w:val="00B64D15"/>
    <w:rsid w:val="00B65054"/>
    <w:rsid w:val="00B6566A"/>
    <w:rsid w:val="00B6615A"/>
    <w:rsid w:val="00B66D16"/>
    <w:rsid w:val="00B71466"/>
    <w:rsid w:val="00B71890"/>
    <w:rsid w:val="00B72731"/>
    <w:rsid w:val="00B748AB"/>
    <w:rsid w:val="00B74918"/>
    <w:rsid w:val="00B76772"/>
    <w:rsid w:val="00B76CB3"/>
    <w:rsid w:val="00B77FEE"/>
    <w:rsid w:val="00B80328"/>
    <w:rsid w:val="00B81145"/>
    <w:rsid w:val="00B8170E"/>
    <w:rsid w:val="00B83701"/>
    <w:rsid w:val="00B837C2"/>
    <w:rsid w:val="00B84B15"/>
    <w:rsid w:val="00B84F76"/>
    <w:rsid w:val="00B85B87"/>
    <w:rsid w:val="00B87B12"/>
    <w:rsid w:val="00B87F8C"/>
    <w:rsid w:val="00B909B6"/>
    <w:rsid w:val="00B90F50"/>
    <w:rsid w:val="00B92063"/>
    <w:rsid w:val="00B92277"/>
    <w:rsid w:val="00B92567"/>
    <w:rsid w:val="00B92E60"/>
    <w:rsid w:val="00B9317B"/>
    <w:rsid w:val="00B936DD"/>
    <w:rsid w:val="00B95391"/>
    <w:rsid w:val="00B960B2"/>
    <w:rsid w:val="00B963B6"/>
    <w:rsid w:val="00B969E1"/>
    <w:rsid w:val="00B96BE8"/>
    <w:rsid w:val="00B96F19"/>
    <w:rsid w:val="00B973AA"/>
    <w:rsid w:val="00B974A6"/>
    <w:rsid w:val="00BA019B"/>
    <w:rsid w:val="00BA039A"/>
    <w:rsid w:val="00BA0CA4"/>
    <w:rsid w:val="00BA12DD"/>
    <w:rsid w:val="00BA1CA3"/>
    <w:rsid w:val="00BA3385"/>
    <w:rsid w:val="00BA369D"/>
    <w:rsid w:val="00BA3A37"/>
    <w:rsid w:val="00BA3B35"/>
    <w:rsid w:val="00BA4A30"/>
    <w:rsid w:val="00BA557F"/>
    <w:rsid w:val="00BB177D"/>
    <w:rsid w:val="00BB2104"/>
    <w:rsid w:val="00BB2783"/>
    <w:rsid w:val="00BB2CE0"/>
    <w:rsid w:val="00BB6CD4"/>
    <w:rsid w:val="00BB7770"/>
    <w:rsid w:val="00BB7CB1"/>
    <w:rsid w:val="00BC12D3"/>
    <w:rsid w:val="00BC17CF"/>
    <w:rsid w:val="00BC1E8F"/>
    <w:rsid w:val="00BC2344"/>
    <w:rsid w:val="00BC3DF5"/>
    <w:rsid w:val="00BC4B4C"/>
    <w:rsid w:val="00BC4BB4"/>
    <w:rsid w:val="00BC4CF5"/>
    <w:rsid w:val="00BC5902"/>
    <w:rsid w:val="00BC76FC"/>
    <w:rsid w:val="00BD1261"/>
    <w:rsid w:val="00BD1E6C"/>
    <w:rsid w:val="00BD5031"/>
    <w:rsid w:val="00BD607C"/>
    <w:rsid w:val="00BD6C46"/>
    <w:rsid w:val="00BD7A3F"/>
    <w:rsid w:val="00BE053D"/>
    <w:rsid w:val="00BE0E7F"/>
    <w:rsid w:val="00BE1E1E"/>
    <w:rsid w:val="00BE22A9"/>
    <w:rsid w:val="00BE4B36"/>
    <w:rsid w:val="00BE542A"/>
    <w:rsid w:val="00BE6EAD"/>
    <w:rsid w:val="00BE7AC9"/>
    <w:rsid w:val="00BF012E"/>
    <w:rsid w:val="00BF0315"/>
    <w:rsid w:val="00BF34D3"/>
    <w:rsid w:val="00BF36ED"/>
    <w:rsid w:val="00BF3ACD"/>
    <w:rsid w:val="00BF4D06"/>
    <w:rsid w:val="00BF5560"/>
    <w:rsid w:val="00BF7C59"/>
    <w:rsid w:val="00C00F2F"/>
    <w:rsid w:val="00C01EF2"/>
    <w:rsid w:val="00C02568"/>
    <w:rsid w:val="00C033A8"/>
    <w:rsid w:val="00C03A32"/>
    <w:rsid w:val="00C03CD2"/>
    <w:rsid w:val="00C040AC"/>
    <w:rsid w:val="00C05365"/>
    <w:rsid w:val="00C06037"/>
    <w:rsid w:val="00C062F6"/>
    <w:rsid w:val="00C06397"/>
    <w:rsid w:val="00C06B35"/>
    <w:rsid w:val="00C06D23"/>
    <w:rsid w:val="00C07858"/>
    <w:rsid w:val="00C07D5B"/>
    <w:rsid w:val="00C10573"/>
    <w:rsid w:val="00C11136"/>
    <w:rsid w:val="00C11240"/>
    <w:rsid w:val="00C119B8"/>
    <w:rsid w:val="00C12B95"/>
    <w:rsid w:val="00C12E49"/>
    <w:rsid w:val="00C1595A"/>
    <w:rsid w:val="00C159EA"/>
    <w:rsid w:val="00C1762A"/>
    <w:rsid w:val="00C17EE9"/>
    <w:rsid w:val="00C21390"/>
    <w:rsid w:val="00C21CF8"/>
    <w:rsid w:val="00C21EFE"/>
    <w:rsid w:val="00C233E2"/>
    <w:rsid w:val="00C242DD"/>
    <w:rsid w:val="00C244C5"/>
    <w:rsid w:val="00C248D3"/>
    <w:rsid w:val="00C25218"/>
    <w:rsid w:val="00C254BB"/>
    <w:rsid w:val="00C25CF4"/>
    <w:rsid w:val="00C26119"/>
    <w:rsid w:val="00C271D5"/>
    <w:rsid w:val="00C2722E"/>
    <w:rsid w:val="00C3000E"/>
    <w:rsid w:val="00C30D94"/>
    <w:rsid w:val="00C333F9"/>
    <w:rsid w:val="00C344FA"/>
    <w:rsid w:val="00C34894"/>
    <w:rsid w:val="00C34C02"/>
    <w:rsid w:val="00C34CDF"/>
    <w:rsid w:val="00C34FA0"/>
    <w:rsid w:val="00C3562E"/>
    <w:rsid w:val="00C35D9B"/>
    <w:rsid w:val="00C36EDE"/>
    <w:rsid w:val="00C37023"/>
    <w:rsid w:val="00C375E1"/>
    <w:rsid w:val="00C37CD7"/>
    <w:rsid w:val="00C4089C"/>
    <w:rsid w:val="00C4196D"/>
    <w:rsid w:val="00C41CBD"/>
    <w:rsid w:val="00C4272E"/>
    <w:rsid w:val="00C428EA"/>
    <w:rsid w:val="00C430FA"/>
    <w:rsid w:val="00C440F7"/>
    <w:rsid w:val="00C44E0B"/>
    <w:rsid w:val="00C45455"/>
    <w:rsid w:val="00C46EC7"/>
    <w:rsid w:val="00C5048D"/>
    <w:rsid w:val="00C50B7C"/>
    <w:rsid w:val="00C512B9"/>
    <w:rsid w:val="00C51A8D"/>
    <w:rsid w:val="00C534D2"/>
    <w:rsid w:val="00C539D1"/>
    <w:rsid w:val="00C53D81"/>
    <w:rsid w:val="00C54433"/>
    <w:rsid w:val="00C54623"/>
    <w:rsid w:val="00C54822"/>
    <w:rsid w:val="00C5600A"/>
    <w:rsid w:val="00C56199"/>
    <w:rsid w:val="00C5662B"/>
    <w:rsid w:val="00C573D6"/>
    <w:rsid w:val="00C6041D"/>
    <w:rsid w:val="00C61604"/>
    <w:rsid w:val="00C64631"/>
    <w:rsid w:val="00C646F1"/>
    <w:rsid w:val="00C64E8B"/>
    <w:rsid w:val="00C66212"/>
    <w:rsid w:val="00C6726F"/>
    <w:rsid w:val="00C70DD2"/>
    <w:rsid w:val="00C70FD7"/>
    <w:rsid w:val="00C71B81"/>
    <w:rsid w:val="00C71F79"/>
    <w:rsid w:val="00C72F5A"/>
    <w:rsid w:val="00C72F82"/>
    <w:rsid w:val="00C7365A"/>
    <w:rsid w:val="00C73BF1"/>
    <w:rsid w:val="00C73F25"/>
    <w:rsid w:val="00C73FFF"/>
    <w:rsid w:val="00C74531"/>
    <w:rsid w:val="00C759F0"/>
    <w:rsid w:val="00C7610C"/>
    <w:rsid w:val="00C777F1"/>
    <w:rsid w:val="00C77FDC"/>
    <w:rsid w:val="00C81238"/>
    <w:rsid w:val="00C81298"/>
    <w:rsid w:val="00C81776"/>
    <w:rsid w:val="00C81A2D"/>
    <w:rsid w:val="00C828E1"/>
    <w:rsid w:val="00C82AB2"/>
    <w:rsid w:val="00C82C1D"/>
    <w:rsid w:val="00C82E28"/>
    <w:rsid w:val="00C8336A"/>
    <w:rsid w:val="00C83D38"/>
    <w:rsid w:val="00C83DAC"/>
    <w:rsid w:val="00C84519"/>
    <w:rsid w:val="00C84B6E"/>
    <w:rsid w:val="00C84CD7"/>
    <w:rsid w:val="00C8580C"/>
    <w:rsid w:val="00C8750E"/>
    <w:rsid w:val="00C90858"/>
    <w:rsid w:val="00C909E7"/>
    <w:rsid w:val="00C90B08"/>
    <w:rsid w:val="00C92600"/>
    <w:rsid w:val="00C92C21"/>
    <w:rsid w:val="00C92FB3"/>
    <w:rsid w:val="00C9362A"/>
    <w:rsid w:val="00C941A3"/>
    <w:rsid w:val="00C943C1"/>
    <w:rsid w:val="00C94917"/>
    <w:rsid w:val="00C9502D"/>
    <w:rsid w:val="00C96994"/>
    <w:rsid w:val="00C9765A"/>
    <w:rsid w:val="00C97918"/>
    <w:rsid w:val="00CA0A7A"/>
    <w:rsid w:val="00CA0E70"/>
    <w:rsid w:val="00CA1B3C"/>
    <w:rsid w:val="00CA1D8E"/>
    <w:rsid w:val="00CA2BBB"/>
    <w:rsid w:val="00CA33B7"/>
    <w:rsid w:val="00CA471B"/>
    <w:rsid w:val="00CA501B"/>
    <w:rsid w:val="00CA52FC"/>
    <w:rsid w:val="00CA56EE"/>
    <w:rsid w:val="00CA5A3E"/>
    <w:rsid w:val="00CA7565"/>
    <w:rsid w:val="00CA7D75"/>
    <w:rsid w:val="00CB01F9"/>
    <w:rsid w:val="00CB28C5"/>
    <w:rsid w:val="00CB30F9"/>
    <w:rsid w:val="00CB5801"/>
    <w:rsid w:val="00CB5ADC"/>
    <w:rsid w:val="00CB62FC"/>
    <w:rsid w:val="00CB73E9"/>
    <w:rsid w:val="00CB743B"/>
    <w:rsid w:val="00CC00E6"/>
    <w:rsid w:val="00CC080D"/>
    <w:rsid w:val="00CC0E4E"/>
    <w:rsid w:val="00CC40E0"/>
    <w:rsid w:val="00CC57C3"/>
    <w:rsid w:val="00CC5D00"/>
    <w:rsid w:val="00CC65ED"/>
    <w:rsid w:val="00CC7397"/>
    <w:rsid w:val="00CC7C91"/>
    <w:rsid w:val="00CD1643"/>
    <w:rsid w:val="00CD1C8D"/>
    <w:rsid w:val="00CD228A"/>
    <w:rsid w:val="00CD2C24"/>
    <w:rsid w:val="00CD2EB9"/>
    <w:rsid w:val="00CD5029"/>
    <w:rsid w:val="00CD516B"/>
    <w:rsid w:val="00CD5A1C"/>
    <w:rsid w:val="00CD6022"/>
    <w:rsid w:val="00CD62D0"/>
    <w:rsid w:val="00CD725F"/>
    <w:rsid w:val="00CD7458"/>
    <w:rsid w:val="00CE00A8"/>
    <w:rsid w:val="00CE044D"/>
    <w:rsid w:val="00CE0742"/>
    <w:rsid w:val="00CE1122"/>
    <w:rsid w:val="00CE12B7"/>
    <w:rsid w:val="00CE198C"/>
    <w:rsid w:val="00CE1FB7"/>
    <w:rsid w:val="00CE236C"/>
    <w:rsid w:val="00CE3FBF"/>
    <w:rsid w:val="00CE4EAA"/>
    <w:rsid w:val="00CE5359"/>
    <w:rsid w:val="00CE60A6"/>
    <w:rsid w:val="00CE6A38"/>
    <w:rsid w:val="00CE6C17"/>
    <w:rsid w:val="00CE7E42"/>
    <w:rsid w:val="00CF00B4"/>
    <w:rsid w:val="00CF1BE4"/>
    <w:rsid w:val="00CF1D76"/>
    <w:rsid w:val="00CF26F8"/>
    <w:rsid w:val="00CF3CB7"/>
    <w:rsid w:val="00CF44BB"/>
    <w:rsid w:val="00CF44D9"/>
    <w:rsid w:val="00CF45D6"/>
    <w:rsid w:val="00CF47EB"/>
    <w:rsid w:val="00CF4BBD"/>
    <w:rsid w:val="00CF5827"/>
    <w:rsid w:val="00CF6727"/>
    <w:rsid w:val="00D00B1E"/>
    <w:rsid w:val="00D01EE2"/>
    <w:rsid w:val="00D02CAF"/>
    <w:rsid w:val="00D03419"/>
    <w:rsid w:val="00D03FAB"/>
    <w:rsid w:val="00D04552"/>
    <w:rsid w:val="00D04698"/>
    <w:rsid w:val="00D04FD3"/>
    <w:rsid w:val="00D053B8"/>
    <w:rsid w:val="00D05D7E"/>
    <w:rsid w:val="00D063F7"/>
    <w:rsid w:val="00D0739D"/>
    <w:rsid w:val="00D07C7C"/>
    <w:rsid w:val="00D07DA3"/>
    <w:rsid w:val="00D10CF2"/>
    <w:rsid w:val="00D10D48"/>
    <w:rsid w:val="00D11958"/>
    <w:rsid w:val="00D11C8C"/>
    <w:rsid w:val="00D1273D"/>
    <w:rsid w:val="00D12826"/>
    <w:rsid w:val="00D138D5"/>
    <w:rsid w:val="00D14583"/>
    <w:rsid w:val="00D148C2"/>
    <w:rsid w:val="00D152F2"/>
    <w:rsid w:val="00D163C8"/>
    <w:rsid w:val="00D16999"/>
    <w:rsid w:val="00D16C53"/>
    <w:rsid w:val="00D176BE"/>
    <w:rsid w:val="00D17C15"/>
    <w:rsid w:val="00D20F77"/>
    <w:rsid w:val="00D22094"/>
    <w:rsid w:val="00D22F44"/>
    <w:rsid w:val="00D2385A"/>
    <w:rsid w:val="00D23905"/>
    <w:rsid w:val="00D23A1E"/>
    <w:rsid w:val="00D23D6A"/>
    <w:rsid w:val="00D24408"/>
    <w:rsid w:val="00D247C5"/>
    <w:rsid w:val="00D24CD9"/>
    <w:rsid w:val="00D25CF6"/>
    <w:rsid w:val="00D262B8"/>
    <w:rsid w:val="00D26D31"/>
    <w:rsid w:val="00D273F7"/>
    <w:rsid w:val="00D27643"/>
    <w:rsid w:val="00D303B4"/>
    <w:rsid w:val="00D30A3C"/>
    <w:rsid w:val="00D32EBF"/>
    <w:rsid w:val="00D33C8F"/>
    <w:rsid w:val="00D34B9A"/>
    <w:rsid w:val="00D3598A"/>
    <w:rsid w:val="00D406B4"/>
    <w:rsid w:val="00D409F5"/>
    <w:rsid w:val="00D40F9F"/>
    <w:rsid w:val="00D415B6"/>
    <w:rsid w:val="00D41995"/>
    <w:rsid w:val="00D42613"/>
    <w:rsid w:val="00D4268B"/>
    <w:rsid w:val="00D42A55"/>
    <w:rsid w:val="00D43BC4"/>
    <w:rsid w:val="00D45FD2"/>
    <w:rsid w:val="00D46C9D"/>
    <w:rsid w:val="00D46DBE"/>
    <w:rsid w:val="00D50217"/>
    <w:rsid w:val="00D504C9"/>
    <w:rsid w:val="00D50A94"/>
    <w:rsid w:val="00D51565"/>
    <w:rsid w:val="00D51969"/>
    <w:rsid w:val="00D51F9C"/>
    <w:rsid w:val="00D536B0"/>
    <w:rsid w:val="00D54534"/>
    <w:rsid w:val="00D568DF"/>
    <w:rsid w:val="00D6069D"/>
    <w:rsid w:val="00D61E22"/>
    <w:rsid w:val="00D621D3"/>
    <w:rsid w:val="00D62ACE"/>
    <w:rsid w:val="00D63F2F"/>
    <w:rsid w:val="00D64049"/>
    <w:rsid w:val="00D6408A"/>
    <w:rsid w:val="00D6444A"/>
    <w:rsid w:val="00D65122"/>
    <w:rsid w:val="00D651F6"/>
    <w:rsid w:val="00D65535"/>
    <w:rsid w:val="00D65DD6"/>
    <w:rsid w:val="00D668AD"/>
    <w:rsid w:val="00D66958"/>
    <w:rsid w:val="00D7001C"/>
    <w:rsid w:val="00D70187"/>
    <w:rsid w:val="00D7029B"/>
    <w:rsid w:val="00D71BDA"/>
    <w:rsid w:val="00D71FAE"/>
    <w:rsid w:val="00D72BF6"/>
    <w:rsid w:val="00D74427"/>
    <w:rsid w:val="00D75634"/>
    <w:rsid w:val="00D777A1"/>
    <w:rsid w:val="00D808EC"/>
    <w:rsid w:val="00D8113F"/>
    <w:rsid w:val="00D81C1E"/>
    <w:rsid w:val="00D826D6"/>
    <w:rsid w:val="00D836DC"/>
    <w:rsid w:val="00D83DBC"/>
    <w:rsid w:val="00D83E9B"/>
    <w:rsid w:val="00D841BC"/>
    <w:rsid w:val="00D84F94"/>
    <w:rsid w:val="00D850C6"/>
    <w:rsid w:val="00D85460"/>
    <w:rsid w:val="00D87D5B"/>
    <w:rsid w:val="00D90342"/>
    <w:rsid w:val="00D90496"/>
    <w:rsid w:val="00D90E7A"/>
    <w:rsid w:val="00D90F46"/>
    <w:rsid w:val="00D91175"/>
    <w:rsid w:val="00D9173D"/>
    <w:rsid w:val="00D91F4A"/>
    <w:rsid w:val="00D92418"/>
    <w:rsid w:val="00D925A6"/>
    <w:rsid w:val="00D9270C"/>
    <w:rsid w:val="00D93B14"/>
    <w:rsid w:val="00D949EE"/>
    <w:rsid w:val="00D96F99"/>
    <w:rsid w:val="00D97935"/>
    <w:rsid w:val="00DA1185"/>
    <w:rsid w:val="00DA1196"/>
    <w:rsid w:val="00DA14A1"/>
    <w:rsid w:val="00DA1ADA"/>
    <w:rsid w:val="00DA2256"/>
    <w:rsid w:val="00DA2B9A"/>
    <w:rsid w:val="00DA2C4C"/>
    <w:rsid w:val="00DA3346"/>
    <w:rsid w:val="00DA395D"/>
    <w:rsid w:val="00DA4194"/>
    <w:rsid w:val="00DA4758"/>
    <w:rsid w:val="00DA4C39"/>
    <w:rsid w:val="00DA4DD7"/>
    <w:rsid w:val="00DA4DDA"/>
    <w:rsid w:val="00DA5376"/>
    <w:rsid w:val="00DA610D"/>
    <w:rsid w:val="00DA7AB2"/>
    <w:rsid w:val="00DB0147"/>
    <w:rsid w:val="00DB0EFF"/>
    <w:rsid w:val="00DB1930"/>
    <w:rsid w:val="00DB2184"/>
    <w:rsid w:val="00DB2895"/>
    <w:rsid w:val="00DB3F55"/>
    <w:rsid w:val="00DB42CF"/>
    <w:rsid w:val="00DB447F"/>
    <w:rsid w:val="00DB6228"/>
    <w:rsid w:val="00DB74F3"/>
    <w:rsid w:val="00DC08E8"/>
    <w:rsid w:val="00DC0E6B"/>
    <w:rsid w:val="00DC1090"/>
    <w:rsid w:val="00DC13C5"/>
    <w:rsid w:val="00DC1A3C"/>
    <w:rsid w:val="00DC22AF"/>
    <w:rsid w:val="00DC3E5C"/>
    <w:rsid w:val="00DC523B"/>
    <w:rsid w:val="00DC554E"/>
    <w:rsid w:val="00DC772B"/>
    <w:rsid w:val="00DD016D"/>
    <w:rsid w:val="00DD0560"/>
    <w:rsid w:val="00DD06B5"/>
    <w:rsid w:val="00DD1A71"/>
    <w:rsid w:val="00DD20D9"/>
    <w:rsid w:val="00DD2C16"/>
    <w:rsid w:val="00DD32E5"/>
    <w:rsid w:val="00DD3F47"/>
    <w:rsid w:val="00DD4D37"/>
    <w:rsid w:val="00DD5391"/>
    <w:rsid w:val="00DD6096"/>
    <w:rsid w:val="00DE00EE"/>
    <w:rsid w:val="00DE00F7"/>
    <w:rsid w:val="00DE0805"/>
    <w:rsid w:val="00DE0C62"/>
    <w:rsid w:val="00DE118D"/>
    <w:rsid w:val="00DE15FD"/>
    <w:rsid w:val="00DE4012"/>
    <w:rsid w:val="00DE4416"/>
    <w:rsid w:val="00DE4A1B"/>
    <w:rsid w:val="00DE4BC7"/>
    <w:rsid w:val="00DE4FAC"/>
    <w:rsid w:val="00DE57A3"/>
    <w:rsid w:val="00DE630C"/>
    <w:rsid w:val="00DE7744"/>
    <w:rsid w:val="00DE788B"/>
    <w:rsid w:val="00DE7E41"/>
    <w:rsid w:val="00DF016B"/>
    <w:rsid w:val="00DF0E8F"/>
    <w:rsid w:val="00DF1107"/>
    <w:rsid w:val="00DF116F"/>
    <w:rsid w:val="00DF1BD0"/>
    <w:rsid w:val="00DF1FB2"/>
    <w:rsid w:val="00DF2DD4"/>
    <w:rsid w:val="00DF32C7"/>
    <w:rsid w:val="00DF42E8"/>
    <w:rsid w:val="00DF4A1B"/>
    <w:rsid w:val="00DF540C"/>
    <w:rsid w:val="00DF63DC"/>
    <w:rsid w:val="00DF6885"/>
    <w:rsid w:val="00DF6BB8"/>
    <w:rsid w:val="00DF7EF4"/>
    <w:rsid w:val="00E003BE"/>
    <w:rsid w:val="00E00588"/>
    <w:rsid w:val="00E01368"/>
    <w:rsid w:val="00E02011"/>
    <w:rsid w:val="00E0289E"/>
    <w:rsid w:val="00E037F3"/>
    <w:rsid w:val="00E03DB1"/>
    <w:rsid w:val="00E03F9F"/>
    <w:rsid w:val="00E0592A"/>
    <w:rsid w:val="00E06009"/>
    <w:rsid w:val="00E073D4"/>
    <w:rsid w:val="00E07E85"/>
    <w:rsid w:val="00E108BE"/>
    <w:rsid w:val="00E130C7"/>
    <w:rsid w:val="00E13453"/>
    <w:rsid w:val="00E17B25"/>
    <w:rsid w:val="00E17E81"/>
    <w:rsid w:val="00E20808"/>
    <w:rsid w:val="00E20935"/>
    <w:rsid w:val="00E21203"/>
    <w:rsid w:val="00E2202C"/>
    <w:rsid w:val="00E23821"/>
    <w:rsid w:val="00E2496F"/>
    <w:rsid w:val="00E30B3A"/>
    <w:rsid w:val="00E3126B"/>
    <w:rsid w:val="00E32176"/>
    <w:rsid w:val="00E322E7"/>
    <w:rsid w:val="00E35640"/>
    <w:rsid w:val="00E35C00"/>
    <w:rsid w:val="00E37640"/>
    <w:rsid w:val="00E4012B"/>
    <w:rsid w:val="00E40F99"/>
    <w:rsid w:val="00E41142"/>
    <w:rsid w:val="00E41995"/>
    <w:rsid w:val="00E41C4A"/>
    <w:rsid w:val="00E41E60"/>
    <w:rsid w:val="00E42726"/>
    <w:rsid w:val="00E42FB5"/>
    <w:rsid w:val="00E435EC"/>
    <w:rsid w:val="00E45E17"/>
    <w:rsid w:val="00E462D9"/>
    <w:rsid w:val="00E464B9"/>
    <w:rsid w:val="00E5210F"/>
    <w:rsid w:val="00E52386"/>
    <w:rsid w:val="00E53DF5"/>
    <w:rsid w:val="00E543C4"/>
    <w:rsid w:val="00E54B36"/>
    <w:rsid w:val="00E55CCC"/>
    <w:rsid w:val="00E563B3"/>
    <w:rsid w:val="00E5730C"/>
    <w:rsid w:val="00E57512"/>
    <w:rsid w:val="00E575A7"/>
    <w:rsid w:val="00E57913"/>
    <w:rsid w:val="00E57A33"/>
    <w:rsid w:val="00E6090D"/>
    <w:rsid w:val="00E61D50"/>
    <w:rsid w:val="00E62D50"/>
    <w:rsid w:val="00E62E97"/>
    <w:rsid w:val="00E63114"/>
    <w:rsid w:val="00E6338F"/>
    <w:rsid w:val="00E64C08"/>
    <w:rsid w:val="00E673E2"/>
    <w:rsid w:val="00E67F9A"/>
    <w:rsid w:val="00E7030E"/>
    <w:rsid w:val="00E704A8"/>
    <w:rsid w:val="00E70AC5"/>
    <w:rsid w:val="00E714D9"/>
    <w:rsid w:val="00E73D63"/>
    <w:rsid w:val="00E73E2F"/>
    <w:rsid w:val="00E741FA"/>
    <w:rsid w:val="00E74255"/>
    <w:rsid w:val="00E74769"/>
    <w:rsid w:val="00E74EDF"/>
    <w:rsid w:val="00E75E2B"/>
    <w:rsid w:val="00E76792"/>
    <w:rsid w:val="00E771D9"/>
    <w:rsid w:val="00E77450"/>
    <w:rsid w:val="00E77636"/>
    <w:rsid w:val="00E779CC"/>
    <w:rsid w:val="00E77D2C"/>
    <w:rsid w:val="00E8088F"/>
    <w:rsid w:val="00E80955"/>
    <w:rsid w:val="00E81930"/>
    <w:rsid w:val="00E82522"/>
    <w:rsid w:val="00E83500"/>
    <w:rsid w:val="00E838E6"/>
    <w:rsid w:val="00E8420D"/>
    <w:rsid w:val="00E844EC"/>
    <w:rsid w:val="00E851AB"/>
    <w:rsid w:val="00E857C4"/>
    <w:rsid w:val="00E86127"/>
    <w:rsid w:val="00E86346"/>
    <w:rsid w:val="00E86DD7"/>
    <w:rsid w:val="00E90F43"/>
    <w:rsid w:val="00E913B6"/>
    <w:rsid w:val="00E9259C"/>
    <w:rsid w:val="00E9279B"/>
    <w:rsid w:val="00E92B5E"/>
    <w:rsid w:val="00E93FF9"/>
    <w:rsid w:val="00E9589D"/>
    <w:rsid w:val="00E96072"/>
    <w:rsid w:val="00E9624C"/>
    <w:rsid w:val="00E96ED3"/>
    <w:rsid w:val="00E97183"/>
    <w:rsid w:val="00E97FA8"/>
    <w:rsid w:val="00EA0383"/>
    <w:rsid w:val="00EA084F"/>
    <w:rsid w:val="00EA0870"/>
    <w:rsid w:val="00EA1DBE"/>
    <w:rsid w:val="00EA2B7C"/>
    <w:rsid w:val="00EA305A"/>
    <w:rsid w:val="00EA45A5"/>
    <w:rsid w:val="00EA579B"/>
    <w:rsid w:val="00EA7F7E"/>
    <w:rsid w:val="00EB0067"/>
    <w:rsid w:val="00EB0869"/>
    <w:rsid w:val="00EB11EA"/>
    <w:rsid w:val="00EB243C"/>
    <w:rsid w:val="00EB27AC"/>
    <w:rsid w:val="00EB2BDC"/>
    <w:rsid w:val="00EB3D83"/>
    <w:rsid w:val="00EB478C"/>
    <w:rsid w:val="00EB4CF0"/>
    <w:rsid w:val="00EB52E0"/>
    <w:rsid w:val="00EB533F"/>
    <w:rsid w:val="00EB6D9E"/>
    <w:rsid w:val="00EB7080"/>
    <w:rsid w:val="00EB745F"/>
    <w:rsid w:val="00EC05FC"/>
    <w:rsid w:val="00EC0795"/>
    <w:rsid w:val="00EC191B"/>
    <w:rsid w:val="00EC2CF3"/>
    <w:rsid w:val="00EC3377"/>
    <w:rsid w:val="00EC3AC7"/>
    <w:rsid w:val="00EC448B"/>
    <w:rsid w:val="00EC5501"/>
    <w:rsid w:val="00EC5F4B"/>
    <w:rsid w:val="00EC78C3"/>
    <w:rsid w:val="00EC7D66"/>
    <w:rsid w:val="00ED03F7"/>
    <w:rsid w:val="00ED1A44"/>
    <w:rsid w:val="00ED26DA"/>
    <w:rsid w:val="00ED28D3"/>
    <w:rsid w:val="00ED3006"/>
    <w:rsid w:val="00ED3E06"/>
    <w:rsid w:val="00ED4227"/>
    <w:rsid w:val="00ED45DF"/>
    <w:rsid w:val="00ED47E3"/>
    <w:rsid w:val="00ED4A08"/>
    <w:rsid w:val="00ED6458"/>
    <w:rsid w:val="00ED67FF"/>
    <w:rsid w:val="00ED6BDB"/>
    <w:rsid w:val="00ED7EF6"/>
    <w:rsid w:val="00EE0A85"/>
    <w:rsid w:val="00EE10B9"/>
    <w:rsid w:val="00EE2C65"/>
    <w:rsid w:val="00EE326F"/>
    <w:rsid w:val="00EE32BE"/>
    <w:rsid w:val="00EE4E16"/>
    <w:rsid w:val="00EE51C1"/>
    <w:rsid w:val="00EE69E3"/>
    <w:rsid w:val="00EE69ED"/>
    <w:rsid w:val="00EE7101"/>
    <w:rsid w:val="00EE74BD"/>
    <w:rsid w:val="00EF044F"/>
    <w:rsid w:val="00EF08AD"/>
    <w:rsid w:val="00EF0A14"/>
    <w:rsid w:val="00EF0BD8"/>
    <w:rsid w:val="00EF1477"/>
    <w:rsid w:val="00EF1FEB"/>
    <w:rsid w:val="00EF2698"/>
    <w:rsid w:val="00EF29E6"/>
    <w:rsid w:val="00EF4962"/>
    <w:rsid w:val="00EF49F9"/>
    <w:rsid w:val="00EF4D0F"/>
    <w:rsid w:val="00EF5B70"/>
    <w:rsid w:val="00EF5FA8"/>
    <w:rsid w:val="00EF71FD"/>
    <w:rsid w:val="00EF7901"/>
    <w:rsid w:val="00EF7A88"/>
    <w:rsid w:val="00F00690"/>
    <w:rsid w:val="00F008E4"/>
    <w:rsid w:val="00F00C8E"/>
    <w:rsid w:val="00F00DB3"/>
    <w:rsid w:val="00F01440"/>
    <w:rsid w:val="00F02020"/>
    <w:rsid w:val="00F0324E"/>
    <w:rsid w:val="00F056FC"/>
    <w:rsid w:val="00F05EFB"/>
    <w:rsid w:val="00F06166"/>
    <w:rsid w:val="00F07118"/>
    <w:rsid w:val="00F076EA"/>
    <w:rsid w:val="00F1068F"/>
    <w:rsid w:val="00F118EC"/>
    <w:rsid w:val="00F11E78"/>
    <w:rsid w:val="00F12553"/>
    <w:rsid w:val="00F12BEB"/>
    <w:rsid w:val="00F13251"/>
    <w:rsid w:val="00F13EFE"/>
    <w:rsid w:val="00F14750"/>
    <w:rsid w:val="00F14808"/>
    <w:rsid w:val="00F14C36"/>
    <w:rsid w:val="00F14CA3"/>
    <w:rsid w:val="00F14F5C"/>
    <w:rsid w:val="00F160EB"/>
    <w:rsid w:val="00F163C1"/>
    <w:rsid w:val="00F167B9"/>
    <w:rsid w:val="00F169FE"/>
    <w:rsid w:val="00F17474"/>
    <w:rsid w:val="00F21C7F"/>
    <w:rsid w:val="00F21D0B"/>
    <w:rsid w:val="00F23AAE"/>
    <w:rsid w:val="00F23AE0"/>
    <w:rsid w:val="00F25018"/>
    <w:rsid w:val="00F255F9"/>
    <w:rsid w:val="00F25A70"/>
    <w:rsid w:val="00F26902"/>
    <w:rsid w:val="00F30741"/>
    <w:rsid w:val="00F30C8A"/>
    <w:rsid w:val="00F315D6"/>
    <w:rsid w:val="00F31DB1"/>
    <w:rsid w:val="00F32948"/>
    <w:rsid w:val="00F32A5D"/>
    <w:rsid w:val="00F331DC"/>
    <w:rsid w:val="00F33CF9"/>
    <w:rsid w:val="00F33EDE"/>
    <w:rsid w:val="00F3466C"/>
    <w:rsid w:val="00F34D3A"/>
    <w:rsid w:val="00F35B3B"/>
    <w:rsid w:val="00F363C3"/>
    <w:rsid w:val="00F367E8"/>
    <w:rsid w:val="00F37F22"/>
    <w:rsid w:val="00F4084E"/>
    <w:rsid w:val="00F40C4E"/>
    <w:rsid w:val="00F415C1"/>
    <w:rsid w:val="00F41737"/>
    <w:rsid w:val="00F41781"/>
    <w:rsid w:val="00F41A89"/>
    <w:rsid w:val="00F4254E"/>
    <w:rsid w:val="00F426A7"/>
    <w:rsid w:val="00F4276D"/>
    <w:rsid w:val="00F43C8D"/>
    <w:rsid w:val="00F452DA"/>
    <w:rsid w:val="00F457AD"/>
    <w:rsid w:val="00F4608D"/>
    <w:rsid w:val="00F46E10"/>
    <w:rsid w:val="00F473DB"/>
    <w:rsid w:val="00F476C2"/>
    <w:rsid w:val="00F4773A"/>
    <w:rsid w:val="00F47A90"/>
    <w:rsid w:val="00F50042"/>
    <w:rsid w:val="00F509A6"/>
    <w:rsid w:val="00F50E09"/>
    <w:rsid w:val="00F5117D"/>
    <w:rsid w:val="00F52780"/>
    <w:rsid w:val="00F5326B"/>
    <w:rsid w:val="00F53B1B"/>
    <w:rsid w:val="00F55036"/>
    <w:rsid w:val="00F557EE"/>
    <w:rsid w:val="00F56B9F"/>
    <w:rsid w:val="00F57227"/>
    <w:rsid w:val="00F60546"/>
    <w:rsid w:val="00F6161F"/>
    <w:rsid w:val="00F61E4E"/>
    <w:rsid w:val="00F62511"/>
    <w:rsid w:val="00F65153"/>
    <w:rsid w:val="00F658AA"/>
    <w:rsid w:val="00F65BA3"/>
    <w:rsid w:val="00F65FC4"/>
    <w:rsid w:val="00F66759"/>
    <w:rsid w:val="00F70E8C"/>
    <w:rsid w:val="00F71BF0"/>
    <w:rsid w:val="00F72256"/>
    <w:rsid w:val="00F723A7"/>
    <w:rsid w:val="00F725A1"/>
    <w:rsid w:val="00F72667"/>
    <w:rsid w:val="00F727D8"/>
    <w:rsid w:val="00F72823"/>
    <w:rsid w:val="00F73005"/>
    <w:rsid w:val="00F74D49"/>
    <w:rsid w:val="00F751D8"/>
    <w:rsid w:val="00F755AD"/>
    <w:rsid w:val="00F767D6"/>
    <w:rsid w:val="00F768FC"/>
    <w:rsid w:val="00F77150"/>
    <w:rsid w:val="00F80043"/>
    <w:rsid w:val="00F803A4"/>
    <w:rsid w:val="00F80642"/>
    <w:rsid w:val="00F80D21"/>
    <w:rsid w:val="00F80E95"/>
    <w:rsid w:val="00F8133A"/>
    <w:rsid w:val="00F81A4C"/>
    <w:rsid w:val="00F82F7E"/>
    <w:rsid w:val="00F8310D"/>
    <w:rsid w:val="00F84225"/>
    <w:rsid w:val="00F8422E"/>
    <w:rsid w:val="00F8482C"/>
    <w:rsid w:val="00F84F02"/>
    <w:rsid w:val="00F85B2C"/>
    <w:rsid w:val="00F860A6"/>
    <w:rsid w:val="00F86643"/>
    <w:rsid w:val="00F86E98"/>
    <w:rsid w:val="00F9012B"/>
    <w:rsid w:val="00F9209A"/>
    <w:rsid w:val="00F92A7D"/>
    <w:rsid w:val="00F93115"/>
    <w:rsid w:val="00F931DA"/>
    <w:rsid w:val="00F939AB"/>
    <w:rsid w:val="00F93DA9"/>
    <w:rsid w:val="00F9431C"/>
    <w:rsid w:val="00F957AF"/>
    <w:rsid w:val="00F95F6D"/>
    <w:rsid w:val="00F9605C"/>
    <w:rsid w:val="00F961EC"/>
    <w:rsid w:val="00F97BD2"/>
    <w:rsid w:val="00F97C09"/>
    <w:rsid w:val="00FA0B43"/>
    <w:rsid w:val="00FA16EB"/>
    <w:rsid w:val="00FA1A36"/>
    <w:rsid w:val="00FA30A5"/>
    <w:rsid w:val="00FA3CF5"/>
    <w:rsid w:val="00FA3EF6"/>
    <w:rsid w:val="00FA5F08"/>
    <w:rsid w:val="00FA6F8C"/>
    <w:rsid w:val="00FB32CA"/>
    <w:rsid w:val="00FB3886"/>
    <w:rsid w:val="00FB3AA6"/>
    <w:rsid w:val="00FB3B08"/>
    <w:rsid w:val="00FB5FAC"/>
    <w:rsid w:val="00FB6946"/>
    <w:rsid w:val="00FB7309"/>
    <w:rsid w:val="00FC1347"/>
    <w:rsid w:val="00FC2DCE"/>
    <w:rsid w:val="00FC3618"/>
    <w:rsid w:val="00FC3B8F"/>
    <w:rsid w:val="00FC6171"/>
    <w:rsid w:val="00FC715F"/>
    <w:rsid w:val="00FD1EDF"/>
    <w:rsid w:val="00FD4729"/>
    <w:rsid w:val="00FD6754"/>
    <w:rsid w:val="00FD7037"/>
    <w:rsid w:val="00FD765B"/>
    <w:rsid w:val="00FD79A3"/>
    <w:rsid w:val="00FD7EC3"/>
    <w:rsid w:val="00FE000A"/>
    <w:rsid w:val="00FE0C85"/>
    <w:rsid w:val="00FE14D7"/>
    <w:rsid w:val="00FE2181"/>
    <w:rsid w:val="00FE2D3E"/>
    <w:rsid w:val="00FE4274"/>
    <w:rsid w:val="00FE470D"/>
    <w:rsid w:val="00FE4C6A"/>
    <w:rsid w:val="00FE530F"/>
    <w:rsid w:val="00FE6B53"/>
    <w:rsid w:val="00FE6F7A"/>
    <w:rsid w:val="00FE7380"/>
    <w:rsid w:val="00FE77B7"/>
    <w:rsid w:val="00FE7CE2"/>
    <w:rsid w:val="00FF0013"/>
    <w:rsid w:val="00FF08C7"/>
    <w:rsid w:val="00FF1050"/>
    <w:rsid w:val="00FF19B5"/>
    <w:rsid w:val="00FF2A23"/>
    <w:rsid w:val="00FF3612"/>
    <w:rsid w:val="00FF4238"/>
    <w:rsid w:val="00FF4880"/>
    <w:rsid w:val="00FF5D29"/>
    <w:rsid w:val="00FF6544"/>
    <w:rsid w:val="00FF7191"/>
    <w:rsid w:val="00FF7CDA"/>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F2A6C0"/>
  <w15:chartTrackingRefBased/>
  <w15:docId w15:val="{397EF340-EC5D-4AAB-B3EB-491074B70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7CB"/>
    <w:rPr>
      <w:lang w:val="en-GB"/>
    </w:rPr>
  </w:style>
  <w:style w:type="paragraph" w:styleId="Rubrik1">
    <w:name w:val="heading 1"/>
    <w:basedOn w:val="Normal"/>
    <w:next w:val="Normal"/>
    <w:link w:val="Rubrik1Char"/>
    <w:uiPriority w:val="9"/>
    <w:qFormat/>
    <w:rsid w:val="00201B9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Rubrik2">
    <w:name w:val="heading 2"/>
    <w:basedOn w:val="Normal"/>
    <w:next w:val="Normal"/>
    <w:link w:val="Rubrik2Char"/>
    <w:uiPriority w:val="9"/>
    <w:semiHidden/>
    <w:unhideWhenUsed/>
    <w:qFormat/>
    <w:rsid w:val="00201B9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Rubrik3">
    <w:name w:val="heading 3"/>
    <w:basedOn w:val="Normal"/>
    <w:next w:val="Normal"/>
    <w:link w:val="Rubrik3Char"/>
    <w:uiPriority w:val="9"/>
    <w:unhideWhenUsed/>
    <w:qFormat/>
    <w:rsid w:val="00201B96"/>
    <w:pPr>
      <w:keepNext/>
      <w:keepLines/>
      <w:spacing w:before="160" w:after="80"/>
      <w:outlineLvl w:val="2"/>
    </w:pPr>
    <w:rPr>
      <w:rFonts w:eastAsiaTheme="majorEastAsia" w:cstheme="majorBidi"/>
      <w:color w:val="2F5496" w:themeColor="accent1" w:themeShade="BF"/>
      <w:sz w:val="28"/>
      <w:szCs w:val="28"/>
    </w:rPr>
  </w:style>
  <w:style w:type="paragraph" w:styleId="Rubrik4">
    <w:name w:val="heading 4"/>
    <w:basedOn w:val="Normal"/>
    <w:next w:val="Normal"/>
    <w:link w:val="Rubrik4Char"/>
    <w:uiPriority w:val="9"/>
    <w:semiHidden/>
    <w:unhideWhenUsed/>
    <w:qFormat/>
    <w:rsid w:val="00201B96"/>
    <w:pPr>
      <w:keepNext/>
      <w:keepLines/>
      <w:spacing w:before="80" w:after="40"/>
      <w:outlineLvl w:val="3"/>
    </w:pPr>
    <w:rPr>
      <w:rFonts w:eastAsiaTheme="majorEastAsia" w:cstheme="majorBidi"/>
      <w:i/>
      <w:iCs/>
      <w:color w:val="2F5496" w:themeColor="accent1" w:themeShade="BF"/>
    </w:rPr>
  </w:style>
  <w:style w:type="paragraph" w:styleId="Rubrik5">
    <w:name w:val="heading 5"/>
    <w:basedOn w:val="Normal"/>
    <w:next w:val="Normal"/>
    <w:link w:val="Rubrik5Char"/>
    <w:uiPriority w:val="9"/>
    <w:semiHidden/>
    <w:unhideWhenUsed/>
    <w:qFormat/>
    <w:rsid w:val="00201B96"/>
    <w:pPr>
      <w:keepNext/>
      <w:keepLines/>
      <w:spacing w:before="80" w:after="40"/>
      <w:outlineLvl w:val="4"/>
    </w:pPr>
    <w:rPr>
      <w:rFonts w:eastAsiaTheme="majorEastAsia" w:cstheme="majorBidi"/>
      <w:color w:val="2F5496" w:themeColor="accent1" w:themeShade="BF"/>
    </w:rPr>
  </w:style>
  <w:style w:type="paragraph" w:styleId="Rubrik6">
    <w:name w:val="heading 6"/>
    <w:basedOn w:val="Normal"/>
    <w:next w:val="Normal"/>
    <w:link w:val="Rubrik6Char"/>
    <w:uiPriority w:val="9"/>
    <w:semiHidden/>
    <w:unhideWhenUsed/>
    <w:qFormat/>
    <w:rsid w:val="00201B96"/>
    <w:pPr>
      <w:keepNext/>
      <w:keepLines/>
      <w:spacing w:before="40" w:after="0"/>
      <w:outlineLvl w:val="5"/>
    </w:pPr>
    <w:rPr>
      <w:rFonts w:eastAsiaTheme="majorEastAsia" w:cstheme="majorBidi"/>
      <w:i/>
      <w:iCs/>
      <w:color w:val="595959" w:themeColor="text1" w:themeTint="A6"/>
    </w:rPr>
  </w:style>
  <w:style w:type="paragraph" w:styleId="Rubrik7">
    <w:name w:val="heading 7"/>
    <w:basedOn w:val="Normal"/>
    <w:next w:val="Normal"/>
    <w:link w:val="Rubrik7Char"/>
    <w:uiPriority w:val="9"/>
    <w:semiHidden/>
    <w:unhideWhenUsed/>
    <w:qFormat/>
    <w:rsid w:val="00201B96"/>
    <w:pPr>
      <w:keepNext/>
      <w:keepLines/>
      <w:spacing w:before="40" w:after="0"/>
      <w:outlineLvl w:val="6"/>
    </w:pPr>
    <w:rPr>
      <w:rFonts w:eastAsiaTheme="majorEastAsia" w:cstheme="majorBidi"/>
      <w:color w:val="595959" w:themeColor="text1" w:themeTint="A6"/>
    </w:rPr>
  </w:style>
  <w:style w:type="paragraph" w:styleId="Rubrik8">
    <w:name w:val="heading 8"/>
    <w:basedOn w:val="Normal"/>
    <w:next w:val="Normal"/>
    <w:link w:val="Rubrik8Char"/>
    <w:uiPriority w:val="9"/>
    <w:semiHidden/>
    <w:unhideWhenUsed/>
    <w:qFormat/>
    <w:rsid w:val="00201B96"/>
    <w:pPr>
      <w:keepNext/>
      <w:keepLines/>
      <w:spacing w:after="0"/>
      <w:outlineLvl w:val="7"/>
    </w:pPr>
    <w:rPr>
      <w:rFonts w:eastAsiaTheme="majorEastAsia" w:cstheme="majorBidi"/>
      <w:i/>
      <w:iCs/>
      <w:color w:val="272727" w:themeColor="text1" w:themeTint="D8"/>
    </w:rPr>
  </w:style>
  <w:style w:type="paragraph" w:styleId="Rubrik9">
    <w:name w:val="heading 9"/>
    <w:basedOn w:val="Normal"/>
    <w:next w:val="Normal"/>
    <w:link w:val="Rubrik9Char"/>
    <w:uiPriority w:val="9"/>
    <w:semiHidden/>
    <w:unhideWhenUsed/>
    <w:qFormat/>
    <w:rsid w:val="00201B96"/>
    <w:pPr>
      <w:keepNext/>
      <w:keepLines/>
      <w:spacing w:after="0"/>
      <w:outlineLvl w:val="8"/>
    </w:pPr>
    <w:rPr>
      <w:rFonts w:eastAsiaTheme="majorEastAsia" w:cstheme="majorBidi"/>
      <w:color w:val="272727" w:themeColor="text1" w:themeTint="D8"/>
    </w:rPr>
  </w:style>
  <w:style w:type="character" w:default="1" w:styleId="Standardstycketeckensnitt">
    <w:name w:val="Default Paragraph Font"/>
    <w:uiPriority w:val="1"/>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201B96"/>
    <w:rPr>
      <w:rFonts w:asciiTheme="majorHAnsi" w:eastAsiaTheme="majorEastAsia" w:hAnsiTheme="majorHAnsi" w:cstheme="majorBidi"/>
      <w:color w:val="2F5496" w:themeColor="accent1" w:themeShade="BF"/>
      <w:sz w:val="40"/>
      <w:szCs w:val="40"/>
    </w:rPr>
  </w:style>
  <w:style w:type="character" w:customStyle="1" w:styleId="Rubrik2Char">
    <w:name w:val="Rubrik 2 Char"/>
    <w:basedOn w:val="Standardstycketeckensnitt"/>
    <w:link w:val="Rubrik2"/>
    <w:uiPriority w:val="9"/>
    <w:semiHidden/>
    <w:rsid w:val="00201B96"/>
    <w:rPr>
      <w:rFonts w:asciiTheme="majorHAnsi" w:eastAsiaTheme="majorEastAsia" w:hAnsiTheme="majorHAnsi" w:cstheme="majorBidi"/>
      <w:color w:val="2F5496" w:themeColor="accent1" w:themeShade="BF"/>
      <w:sz w:val="32"/>
      <w:szCs w:val="32"/>
    </w:rPr>
  </w:style>
  <w:style w:type="character" w:customStyle="1" w:styleId="Rubrik3Char">
    <w:name w:val="Rubrik 3 Char"/>
    <w:basedOn w:val="Standardstycketeckensnitt"/>
    <w:link w:val="Rubrik3"/>
    <w:uiPriority w:val="9"/>
    <w:rsid w:val="00201B96"/>
    <w:rPr>
      <w:rFonts w:eastAsiaTheme="majorEastAsia" w:cstheme="majorBidi"/>
      <w:color w:val="2F5496" w:themeColor="accent1" w:themeShade="BF"/>
      <w:sz w:val="28"/>
      <w:szCs w:val="28"/>
    </w:rPr>
  </w:style>
  <w:style w:type="character" w:customStyle="1" w:styleId="Rubrik4Char">
    <w:name w:val="Rubrik 4 Char"/>
    <w:basedOn w:val="Standardstycketeckensnitt"/>
    <w:link w:val="Rubrik4"/>
    <w:uiPriority w:val="9"/>
    <w:semiHidden/>
    <w:rsid w:val="00201B96"/>
    <w:rPr>
      <w:rFonts w:eastAsiaTheme="majorEastAsia" w:cstheme="majorBidi"/>
      <w:i/>
      <w:iCs/>
      <w:color w:val="2F5496" w:themeColor="accent1" w:themeShade="BF"/>
    </w:rPr>
  </w:style>
  <w:style w:type="character" w:customStyle="1" w:styleId="Rubrik5Char">
    <w:name w:val="Rubrik 5 Char"/>
    <w:basedOn w:val="Standardstycketeckensnitt"/>
    <w:link w:val="Rubrik5"/>
    <w:uiPriority w:val="9"/>
    <w:semiHidden/>
    <w:rsid w:val="00201B96"/>
    <w:rPr>
      <w:rFonts w:eastAsiaTheme="majorEastAsia" w:cstheme="majorBidi"/>
      <w:color w:val="2F5496" w:themeColor="accent1" w:themeShade="BF"/>
    </w:rPr>
  </w:style>
  <w:style w:type="character" w:customStyle="1" w:styleId="Rubrik6Char">
    <w:name w:val="Rubrik 6 Char"/>
    <w:basedOn w:val="Standardstycketeckensnitt"/>
    <w:link w:val="Rubrik6"/>
    <w:uiPriority w:val="9"/>
    <w:semiHidden/>
    <w:rsid w:val="00201B96"/>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201B96"/>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201B96"/>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201B96"/>
    <w:rPr>
      <w:rFonts w:eastAsiaTheme="majorEastAsia" w:cstheme="majorBidi"/>
      <w:color w:val="272727" w:themeColor="text1" w:themeTint="D8"/>
    </w:rPr>
  </w:style>
  <w:style w:type="paragraph" w:styleId="Rubrik">
    <w:name w:val="Title"/>
    <w:basedOn w:val="Normal"/>
    <w:next w:val="Normal"/>
    <w:link w:val="RubrikChar"/>
    <w:uiPriority w:val="10"/>
    <w:qFormat/>
    <w:rsid w:val="00201B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201B96"/>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uiPriority w:val="11"/>
    <w:qFormat/>
    <w:rsid w:val="00201B96"/>
    <w:pPr>
      <w:numPr>
        <w:ilvl w:val="1"/>
      </w:numPr>
    </w:pPr>
    <w:rPr>
      <w:rFonts w:eastAsiaTheme="majorEastAsia" w:cstheme="majorBidi"/>
      <w:color w:val="595959" w:themeColor="text1" w:themeTint="A6"/>
      <w:spacing w:val="15"/>
      <w:sz w:val="28"/>
      <w:szCs w:val="28"/>
    </w:rPr>
  </w:style>
  <w:style w:type="character" w:customStyle="1" w:styleId="UnderrubrikChar">
    <w:name w:val="Underrubrik Char"/>
    <w:basedOn w:val="Standardstycketeckensnitt"/>
    <w:link w:val="Underrubrik"/>
    <w:uiPriority w:val="11"/>
    <w:rsid w:val="00201B96"/>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201B96"/>
    <w:pPr>
      <w:spacing w:before="160"/>
      <w:jc w:val="center"/>
    </w:pPr>
    <w:rPr>
      <w:i/>
      <w:iCs/>
      <w:color w:val="404040" w:themeColor="text1" w:themeTint="BF"/>
    </w:rPr>
  </w:style>
  <w:style w:type="character" w:customStyle="1" w:styleId="CitatChar">
    <w:name w:val="Citat Char"/>
    <w:basedOn w:val="Standardstycketeckensnitt"/>
    <w:link w:val="Citat"/>
    <w:uiPriority w:val="29"/>
    <w:rsid w:val="00201B96"/>
    <w:rPr>
      <w:i/>
      <w:iCs/>
      <w:color w:val="404040" w:themeColor="text1" w:themeTint="BF"/>
    </w:rPr>
  </w:style>
  <w:style w:type="paragraph" w:styleId="Liststycke">
    <w:name w:val="List Paragraph"/>
    <w:basedOn w:val="Normal"/>
    <w:uiPriority w:val="34"/>
    <w:qFormat/>
    <w:rsid w:val="00201B96"/>
    <w:pPr>
      <w:ind w:left="720"/>
      <w:contextualSpacing/>
    </w:pPr>
  </w:style>
  <w:style w:type="character" w:styleId="Starkbetoning">
    <w:name w:val="Intense Emphasis"/>
    <w:basedOn w:val="Standardstycketeckensnitt"/>
    <w:uiPriority w:val="21"/>
    <w:qFormat/>
    <w:rsid w:val="00201B96"/>
    <w:rPr>
      <w:i/>
      <w:iCs/>
      <w:color w:val="2F5496" w:themeColor="accent1" w:themeShade="BF"/>
    </w:rPr>
  </w:style>
  <w:style w:type="paragraph" w:styleId="Starktcitat">
    <w:name w:val="Intense Quote"/>
    <w:basedOn w:val="Normal"/>
    <w:next w:val="Normal"/>
    <w:link w:val="StarktcitatChar"/>
    <w:uiPriority w:val="30"/>
    <w:qFormat/>
    <w:rsid w:val="00201B9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StarktcitatChar">
    <w:name w:val="Starkt citat Char"/>
    <w:basedOn w:val="Standardstycketeckensnitt"/>
    <w:link w:val="Starktcitat"/>
    <w:uiPriority w:val="30"/>
    <w:rsid w:val="00201B96"/>
    <w:rPr>
      <w:i/>
      <w:iCs/>
      <w:color w:val="2F5496" w:themeColor="accent1" w:themeShade="BF"/>
    </w:rPr>
  </w:style>
  <w:style w:type="character" w:styleId="Starkreferens">
    <w:name w:val="Intense Reference"/>
    <w:basedOn w:val="Standardstycketeckensnitt"/>
    <w:uiPriority w:val="32"/>
    <w:qFormat/>
    <w:rsid w:val="00201B96"/>
    <w:rPr>
      <w:b/>
      <w:bCs/>
      <w:smallCaps/>
      <w:color w:val="2F5496" w:themeColor="accent1" w:themeShade="BF"/>
      <w:spacing w:val="5"/>
    </w:rPr>
  </w:style>
  <w:style w:type="paragraph" w:styleId="Sidhuvud">
    <w:name w:val="header"/>
    <w:basedOn w:val="Normal"/>
    <w:link w:val="SidhuvudChar"/>
    <w:uiPriority w:val="99"/>
    <w:unhideWhenUsed/>
    <w:rsid w:val="007F2454"/>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7F2454"/>
    <w:rPr>
      <w:lang w:val="en-GB"/>
    </w:rPr>
  </w:style>
  <w:style w:type="paragraph" w:styleId="Sidfot">
    <w:name w:val="footer"/>
    <w:basedOn w:val="Normal"/>
    <w:link w:val="SidfotChar"/>
    <w:uiPriority w:val="99"/>
    <w:unhideWhenUsed/>
    <w:rsid w:val="007F2454"/>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7F2454"/>
    <w:rPr>
      <w:lang w:val="en-GB"/>
    </w:rPr>
  </w:style>
  <w:style w:type="character" w:styleId="Hyperlnk">
    <w:name w:val="Hyperlink"/>
    <w:basedOn w:val="Standardstycketeckensnitt"/>
    <w:uiPriority w:val="99"/>
    <w:unhideWhenUsed/>
    <w:rsid w:val="008A1731"/>
    <w:rPr>
      <w:color w:val="0563C1" w:themeColor="hyperlink"/>
      <w:u w:val="single"/>
    </w:rPr>
  </w:style>
  <w:style w:type="character" w:styleId="Olstomnmnande">
    <w:name w:val="Unresolved Mention"/>
    <w:basedOn w:val="Standardstycketeckensnitt"/>
    <w:uiPriority w:val="99"/>
    <w:semiHidden/>
    <w:unhideWhenUsed/>
    <w:rsid w:val="008A1731"/>
    <w:rPr>
      <w:color w:val="605E5C"/>
      <w:shd w:val="clear" w:color="auto" w:fill="E1DFDD"/>
    </w:rPr>
  </w:style>
  <w:style w:type="paragraph" w:styleId="Normalwebb">
    <w:name w:val="Normal (Web)"/>
    <w:basedOn w:val="Normal"/>
    <w:uiPriority w:val="99"/>
    <w:unhideWhenUsed/>
    <w:rsid w:val="003B43FD"/>
    <w:pPr>
      <w:spacing w:before="100" w:beforeAutospacing="1" w:after="100" w:afterAutospacing="1" w:line="240" w:lineRule="auto"/>
    </w:pPr>
    <w:rPr>
      <w:rFonts w:ascii="Times New Roman" w:eastAsia="Times New Roman" w:hAnsi="Times New Roman" w:cs="Times New Roman"/>
      <w:sz w:val="24"/>
      <w:szCs w:val="24"/>
      <w:lang w:val="sv-SE" w:eastAsia="sv-SE"/>
    </w:rPr>
  </w:style>
  <w:style w:type="character" w:styleId="Stark">
    <w:name w:val="Strong"/>
    <w:basedOn w:val="Standardstycketeckensnitt"/>
    <w:uiPriority w:val="22"/>
    <w:qFormat/>
    <w:rsid w:val="00252216"/>
    <w:rPr>
      <w:b/>
      <w:bCs/>
    </w:rPr>
  </w:style>
  <w:style w:type="paragraph" w:customStyle="1" w:styleId="pdq2pgselectionanchorcontainer">
    <w:name w:val="pdq2pg_selectionanchorcontainer"/>
    <w:basedOn w:val="Normal"/>
    <w:rsid w:val="00CC7C91"/>
    <w:pPr>
      <w:spacing w:before="100" w:beforeAutospacing="1" w:after="100" w:afterAutospacing="1" w:line="240" w:lineRule="auto"/>
    </w:pPr>
    <w:rPr>
      <w:rFonts w:ascii="Times New Roman" w:eastAsia="Times New Roman" w:hAnsi="Times New Roman" w:cs="Times New Roman"/>
      <w:sz w:val="24"/>
      <w:szCs w:val="24"/>
      <w:lang w:val="sv-SE" w:eastAsia="sv-SE"/>
    </w:rPr>
  </w:style>
  <w:style w:type="table" w:styleId="Tabellrutnt">
    <w:name w:val="Table Grid"/>
    <w:basedOn w:val="Normaltabell"/>
    <w:uiPriority w:val="39"/>
    <w:rsid w:val="008C2A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Normal"/>
    <w:uiPriority w:val="40"/>
    <w:qFormat/>
    <w:rsid w:val="00B11176"/>
    <w:pPr>
      <w:tabs>
        <w:tab w:val="decimal" w:pos="360"/>
      </w:tabs>
      <w:spacing w:after="200" w:line="276" w:lineRule="auto"/>
    </w:pPr>
    <w:rPr>
      <w:rFonts w:eastAsiaTheme="minorEastAsia" w:cs="Times New Roman"/>
      <w:lang w:val="sv-SE" w:eastAsia="sv-SE"/>
    </w:rPr>
  </w:style>
  <w:style w:type="paragraph" w:styleId="Fotnotstext">
    <w:name w:val="footnote text"/>
    <w:basedOn w:val="Normal"/>
    <w:link w:val="FotnotstextChar"/>
    <w:uiPriority w:val="99"/>
    <w:unhideWhenUsed/>
    <w:rsid w:val="00B11176"/>
    <w:pPr>
      <w:spacing w:after="0" w:line="240" w:lineRule="auto"/>
    </w:pPr>
    <w:rPr>
      <w:rFonts w:eastAsiaTheme="minorEastAsia" w:cs="Times New Roman"/>
      <w:sz w:val="20"/>
      <w:szCs w:val="20"/>
      <w:lang w:val="sv-SE" w:eastAsia="sv-SE"/>
    </w:rPr>
  </w:style>
  <w:style w:type="character" w:customStyle="1" w:styleId="FotnotstextChar">
    <w:name w:val="Fotnotstext Char"/>
    <w:basedOn w:val="Standardstycketeckensnitt"/>
    <w:link w:val="Fotnotstext"/>
    <w:uiPriority w:val="99"/>
    <w:rsid w:val="00B11176"/>
    <w:rPr>
      <w:rFonts w:eastAsiaTheme="minorEastAsia" w:cs="Times New Roman"/>
      <w:sz w:val="20"/>
      <w:szCs w:val="20"/>
      <w:lang w:eastAsia="sv-SE"/>
    </w:rPr>
  </w:style>
  <w:style w:type="character" w:styleId="Diskretbetoning">
    <w:name w:val="Subtle Emphasis"/>
    <w:basedOn w:val="Standardstycketeckensnitt"/>
    <w:uiPriority w:val="19"/>
    <w:qFormat/>
    <w:rsid w:val="00B11176"/>
    <w:rPr>
      <w:i/>
      <w:iCs/>
    </w:rPr>
  </w:style>
  <w:style w:type="table" w:styleId="Ljusskuggning-dekorfrg1">
    <w:name w:val="Light Shading Accent 1"/>
    <w:basedOn w:val="Normaltabell"/>
    <w:uiPriority w:val="60"/>
    <w:rsid w:val="00B11176"/>
    <w:pPr>
      <w:spacing w:after="0" w:line="240" w:lineRule="auto"/>
    </w:pPr>
    <w:rPr>
      <w:rFonts w:eastAsiaTheme="minorEastAsia"/>
      <w:color w:val="2F5496" w:themeColor="accent1" w:themeShade="BF"/>
      <w:lang w:eastAsia="sv-S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Mellanmrkskuggning2-dekorfrg5">
    <w:name w:val="Medium Shading 2 Accent 5"/>
    <w:basedOn w:val="Normaltabell"/>
    <w:uiPriority w:val="64"/>
    <w:rsid w:val="00D01EE2"/>
    <w:pPr>
      <w:spacing w:after="0" w:line="240" w:lineRule="auto"/>
    </w:pPr>
    <w:rPr>
      <w:rFonts w:eastAsiaTheme="minorEastAsia"/>
      <w:lang w:eastAsia="sv-S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Betoning">
    <w:name w:val="Emphasis"/>
    <w:basedOn w:val="Standardstycketeckensnitt"/>
    <w:uiPriority w:val="20"/>
    <w:qFormat/>
    <w:rsid w:val="005F56AF"/>
    <w:rPr>
      <w:i/>
      <w:iCs/>
    </w:rPr>
  </w:style>
  <w:style w:type="paragraph" w:customStyle="1" w:styleId="isselectedend">
    <w:name w:val="isselectedend"/>
    <w:basedOn w:val="Normal"/>
    <w:rsid w:val="00E01368"/>
    <w:pPr>
      <w:spacing w:before="100" w:beforeAutospacing="1" w:after="100" w:afterAutospacing="1" w:line="240" w:lineRule="auto"/>
    </w:pPr>
    <w:rPr>
      <w:rFonts w:ascii="Times New Roman" w:eastAsia="Times New Roman" w:hAnsi="Times New Roman" w:cs="Times New Roman"/>
      <w:sz w:val="24"/>
      <w:szCs w:val="24"/>
      <w:lang w:val="sv-SE"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01614681221132944" TargetMode="External"/><Relationship Id="rId18" Type="http://schemas.openxmlformats.org/officeDocument/2006/relationships/hyperlink" Target="https://commission.europa.eu/strategy-and-policy/policies/justice-and-fundamental-rights/disability/persons-disabilities-eu_en" TargetMode="External"/><Relationship Id="rId26" Type="http://schemas.openxmlformats.org/officeDocument/2006/relationships/hyperlink" Target="https://doi.org/10.1037/dhe0000045" TargetMode="External"/><Relationship Id="rId39" Type="http://schemas.openxmlformats.org/officeDocument/2006/relationships/hyperlink" Target="https://doi.org/10.1080/03054985.2023.2274027" TargetMode="External"/><Relationship Id="rId21" Type="http://schemas.openxmlformats.org/officeDocument/2006/relationships/hyperlink" Target="https://doi.org/10.1007/s11162-019-09574-8" TargetMode="External"/><Relationship Id="rId34" Type="http://schemas.openxmlformats.org/officeDocument/2006/relationships/hyperlink" Target="https://doi.org/10.3390/su14159724" TargetMode="External"/><Relationship Id="rId42" Type="http://schemas.openxmlformats.org/officeDocument/2006/relationships/hyperlink" Target="https://www.scb.se/en/finding-statistics/statistics-by-subject-area/population-and-living-conditions/living-conditions/children-and-their-families/pong/statistical-news/children-and-their-families2/" TargetMode="External"/><Relationship Id="rId47" Type="http://schemas.openxmlformats.org/officeDocument/2006/relationships/image" Target="media/image1.emf"/><Relationship Id="rId50" Type="http://schemas.openxmlformats.org/officeDocument/2006/relationships/theme" Target="theme/theme1.xml"/><Relationship Id="rId7"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hyperlink" Target="https://doi.org/10.1080/13603116.2019.1579874" TargetMode="External"/><Relationship Id="rId29" Type="http://schemas.openxmlformats.org/officeDocument/2006/relationships/hyperlink" Target="https://doi.org/10.14738/assrj.117.17018" TargetMode="External"/><Relationship Id="rId11" Type="http://schemas.openxmlformats.org/officeDocument/2006/relationships/hyperlink" Target="https://doi.org/10.1590/s0102-8529.20254701e20230027" TargetMode="External"/><Relationship Id="rId24" Type="http://schemas.openxmlformats.org/officeDocument/2006/relationships/hyperlink" Target="https://doi.org/10.1111/j.1468-0149.2007.00453_8.x" TargetMode="External"/><Relationship Id="rId32" Type="http://schemas.openxmlformats.org/officeDocument/2006/relationships/hyperlink" Target="https://doi.org/10.1080/09620214.2022.2118809" TargetMode="External"/><Relationship Id="rId37" Type="http://schemas.openxmlformats.org/officeDocument/2006/relationships/hyperlink" Target="https://doi.org/10.1201/9781003088226" TargetMode="External"/><Relationship Id="rId40" Type="http://schemas.openxmlformats.org/officeDocument/2006/relationships/hyperlink" Target="https://www.skolverket.se/sok-publikationer/publikationsserier/styrdokument/2025/laroplan-for-anpassade-grundskolan---lgra22" TargetMode="External"/><Relationship Id="rId45" Type="http://schemas.openxmlformats.org/officeDocument/2006/relationships/hyperlink" Target="https://doi.org/10.1007/s11162-025-09878-y" TargetMode="External"/><Relationship Id="rId5" Type="http://schemas.openxmlformats.org/officeDocument/2006/relationships/footnotes" Target="footnotes.xml"/><Relationship Id="rId15" Type="http://schemas.openxmlformats.org/officeDocument/2006/relationships/hyperlink" Target="https://doi.org/10.1177/0741713617739347" TargetMode="External"/><Relationship Id="rId23" Type="http://schemas.openxmlformats.org/officeDocument/2006/relationships/hyperlink" Target="https://psycnet.apa.org/doi/10.1037/dhe0000088" TargetMode="External"/><Relationship Id="rId28" Type="http://schemas.openxmlformats.org/officeDocument/2006/relationships/hyperlink" Target="https://doi.org/10.1080/1034912x.2020.1749239" TargetMode="External"/><Relationship Id="rId36" Type="http://schemas.openxmlformats.org/officeDocument/2006/relationships/hyperlink" Target="https://doi.org/10.1093/oxfordhb/9780190622879.013.19" TargetMode="External"/><Relationship Id="rId49" Type="http://schemas.openxmlformats.org/officeDocument/2006/relationships/fontTable" Target="fontTable.xml"/><Relationship Id="rId10" Type="http://schemas.openxmlformats.org/officeDocument/2006/relationships/hyperlink" Target="https://doi.org/10.1016/j.tranpol.2023.08.010" TargetMode="External"/><Relationship Id="rId19" Type="http://schemas.openxmlformats.org/officeDocument/2006/relationships/hyperlink" Target="https://doi.org/10.1111/ejed.12284" TargetMode="External"/><Relationship Id="rId31" Type="http://schemas.openxmlformats.org/officeDocument/2006/relationships/hyperlink" Target="https://doi.org/10.1007/s43545-023-00775-8" TargetMode="External"/><Relationship Id="rId44" Type="http://schemas.openxmlformats.org/officeDocument/2006/relationships/hyperlink" Target="https://doi.org/10.1017/S0892679410000122" TargetMode="External"/><Relationship Id="rId4" Type="http://schemas.openxmlformats.org/officeDocument/2006/relationships/webSettings" Target="webSettings.xml"/><Relationship Id="rId9" Type="http://schemas.openxmlformats.org/officeDocument/2006/relationships/hyperlink" Target="https://doi.org/10.1080/13603116.2019.1622800" TargetMode="External"/><Relationship Id="rId14" Type="http://schemas.openxmlformats.org/officeDocument/2006/relationships/hyperlink" Target="https://doi.org/10.1080/21568235.2026.2672468" TargetMode="External"/><Relationship Id="rId22" Type="http://schemas.openxmlformats.org/officeDocument/2006/relationships/hyperlink" Target="https://doi.org/10.1016/j.soncn.2023.151398" TargetMode="External"/><Relationship Id="rId27" Type="http://schemas.openxmlformats.org/officeDocument/2006/relationships/hyperlink" Target="https://doi.org/10.1177/00222429231216910" TargetMode="External"/><Relationship Id="rId30" Type="http://schemas.openxmlformats.org/officeDocument/2006/relationships/hyperlink" Target="https://doi.org/10.29210/020243691" TargetMode="External"/><Relationship Id="rId35" Type="http://schemas.openxmlformats.org/officeDocument/2006/relationships/hyperlink" Target="https://doi.org/10.1080/19452829.2023.2200239" TargetMode="External"/><Relationship Id="rId43" Type="http://schemas.openxmlformats.org/officeDocument/2006/relationships/hyperlink" Target="https://doi.org/10.1080/15017419.2015.1114019" TargetMode="External"/><Relationship Id="rId48" Type="http://schemas.openxmlformats.org/officeDocument/2006/relationships/footer" Target="footer1.xml"/><Relationship Id="rId8" Type="http://schemas.openxmlformats.org/officeDocument/2006/relationships/chart" Target="charts/chart2.xml"/><Relationship Id="rId3" Type="http://schemas.openxmlformats.org/officeDocument/2006/relationships/settings" Target="settings.xml"/><Relationship Id="rId12" Type="http://schemas.openxmlformats.org/officeDocument/2006/relationships/hyperlink" Target="https://doi.org/10.1080/19452829.2024.2369502" TargetMode="External"/><Relationship Id="rId17" Type="http://schemas.openxmlformats.org/officeDocument/2006/relationships/hyperlink" Target="https://doi.org/10.5334/irsp.198" TargetMode="External"/><Relationship Id="rId25" Type="http://schemas.openxmlformats.org/officeDocument/2006/relationships/hyperlink" Target="https://doi.org/10.4324/9781003671077-5" TargetMode="External"/><Relationship Id="rId33" Type="http://schemas.openxmlformats.org/officeDocument/2006/relationships/hyperlink" Target="https://doi.org/10.15415/iie.2021.92009" TargetMode="External"/><Relationship Id="rId38" Type="http://schemas.openxmlformats.org/officeDocument/2006/relationships/hyperlink" Target="https://doi.org/10.1080/13562517.2023.2280266" TargetMode="External"/><Relationship Id="rId46" Type="http://schemas.openxmlformats.org/officeDocument/2006/relationships/hyperlink" Target="https://doi.org/10.33050/atm.v2i2.789" TargetMode="External"/><Relationship Id="rId20" Type="http://schemas.openxmlformats.org/officeDocument/2006/relationships/hyperlink" Target="https://doi.org/10.1590/2317-6172202123" TargetMode="External"/><Relationship Id="rId41" Type="http://schemas.openxmlformats.org/officeDocument/2006/relationships/hyperlink" Target="https://www.scb.se/uf0601?utm_source=chatgpt.com" TargetMode="External"/><Relationship Id="rId1" Type="http://schemas.openxmlformats.org/officeDocument/2006/relationships/numbering" Target="numbering.xml"/><Relationship Id="rId6" Type="http://schemas.openxmlformats.org/officeDocument/2006/relationships/endnotes" Target="endnot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sv-SE" b="0">
                <a:latin typeface="Times New Roman" panose="02020603050405020304" pitchFamily="18" charset="0"/>
                <a:cs typeface="Times New Roman" panose="02020603050405020304" pitchFamily="18" charset="0"/>
              </a:rPr>
              <a:t>Post-secondary education participation by disability status</a:t>
            </a:r>
            <a:r>
              <a:rPr lang="sv-SE" b="0" baseline="0">
                <a:latin typeface="Times New Roman" panose="02020603050405020304" pitchFamily="18" charset="0"/>
                <a:cs typeface="Times New Roman" panose="02020603050405020304" pitchFamily="18" charset="0"/>
              </a:rPr>
              <a:t> &amp; gender</a:t>
            </a:r>
          </a:p>
          <a:p>
            <a:pPr>
              <a:defRPr/>
            </a:pPr>
            <a:r>
              <a:rPr lang="sv-SE" sz="1200" b="0">
                <a:latin typeface="Times New Roman" panose="02020603050405020304" pitchFamily="18" charset="0"/>
                <a:cs typeface="Times New Roman" panose="02020603050405020304" pitchFamily="18" charset="0"/>
              </a:rPr>
              <a:t>Annual</a:t>
            </a:r>
            <a:r>
              <a:rPr lang="sv-SE" sz="1200" b="0" baseline="0">
                <a:latin typeface="Times New Roman" panose="02020603050405020304" pitchFamily="18" charset="0"/>
                <a:cs typeface="Times New Roman" panose="02020603050405020304" pitchFamily="18" charset="0"/>
              </a:rPr>
              <a:t> numbers in percentage of participating students from 2018 to 2020</a:t>
            </a:r>
            <a:endParaRPr lang="sv-SE" sz="1200" b="0">
              <a:latin typeface="Times New Roman" panose="02020603050405020304" pitchFamily="18" charset="0"/>
              <a:cs typeface="Times New Roman" panose="02020603050405020304" pitchFamily="18" charset="0"/>
            </a:endParaRPr>
          </a:p>
        </c:rich>
      </c:tx>
      <c:layout>
        <c:manualLayout>
          <c:xMode val="edge"/>
          <c:yMode val="edge"/>
          <c:x val="0.11654509541165532"/>
          <c:y val="1.587301587301587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v-SE"/>
        </a:p>
      </c:txPr>
    </c:title>
    <c:autoTitleDeleted val="0"/>
    <c:plotArea>
      <c:layout/>
      <c:lineChart>
        <c:grouping val="standard"/>
        <c:varyColors val="0"/>
        <c:ser>
          <c:idx val="0"/>
          <c:order val="0"/>
          <c:tx>
            <c:strRef>
              <c:f>Blad1!$B$1</c:f>
              <c:strCache>
                <c:ptCount val="1"/>
                <c:pt idx="0">
                  <c:v>Female students with disabilities</c:v>
                </c:pt>
              </c:strCache>
            </c:strRef>
          </c:tx>
          <c:spPr>
            <a:ln w="28575" cap="rnd">
              <a:solidFill>
                <a:schemeClr val="accent1"/>
              </a:solidFill>
              <a:round/>
            </a:ln>
            <a:effectLst/>
          </c:spPr>
          <c:marker>
            <c:symbol val="none"/>
          </c:marker>
          <c:cat>
            <c:numRef>
              <c:f>Blad1!$A$2:$A$5</c:f>
              <c:numCache>
                <c:formatCode>General</c:formatCode>
                <c:ptCount val="4"/>
                <c:pt idx="0">
                  <c:v>2018</c:v>
                </c:pt>
                <c:pt idx="1">
                  <c:v>2019</c:v>
                </c:pt>
                <c:pt idx="2">
                  <c:v>2020</c:v>
                </c:pt>
              </c:numCache>
            </c:numRef>
          </c:cat>
          <c:val>
            <c:numRef>
              <c:f>Blad1!$B$2:$B$5</c:f>
              <c:numCache>
                <c:formatCode>General</c:formatCode>
                <c:ptCount val="4"/>
                <c:pt idx="0">
                  <c:v>53</c:v>
                </c:pt>
                <c:pt idx="1">
                  <c:v>63</c:v>
                </c:pt>
                <c:pt idx="2">
                  <c:v>68</c:v>
                </c:pt>
              </c:numCache>
            </c:numRef>
          </c:val>
          <c:smooth val="0"/>
          <c:extLst>
            <c:ext xmlns:c16="http://schemas.microsoft.com/office/drawing/2014/chart" uri="{C3380CC4-5D6E-409C-BE32-E72D297353CC}">
              <c16:uniqueId val="{00000000-DB3A-493D-A0B7-FC2670E4C0DF}"/>
            </c:ext>
          </c:extLst>
        </c:ser>
        <c:ser>
          <c:idx val="1"/>
          <c:order val="1"/>
          <c:tx>
            <c:strRef>
              <c:f>Blad1!$C$1</c:f>
              <c:strCache>
                <c:ptCount val="1"/>
                <c:pt idx="0">
                  <c:v>female students without disabilities </c:v>
                </c:pt>
              </c:strCache>
            </c:strRef>
          </c:tx>
          <c:spPr>
            <a:ln w="28575" cap="rnd">
              <a:solidFill>
                <a:schemeClr val="accent2"/>
              </a:solidFill>
              <a:round/>
            </a:ln>
            <a:effectLst/>
          </c:spPr>
          <c:marker>
            <c:symbol val="none"/>
          </c:marker>
          <c:cat>
            <c:numRef>
              <c:f>Blad1!$A$2:$A$5</c:f>
              <c:numCache>
                <c:formatCode>General</c:formatCode>
                <c:ptCount val="4"/>
                <c:pt idx="0">
                  <c:v>2018</c:v>
                </c:pt>
                <c:pt idx="1">
                  <c:v>2019</c:v>
                </c:pt>
                <c:pt idx="2">
                  <c:v>2020</c:v>
                </c:pt>
              </c:numCache>
            </c:numRef>
          </c:cat>
          <c:val>
            <c:numRef>
              <c:f>Blad1!$C$2:$C$5</c:f>
              <c:numCache>
                <c:formatCode>General</c:formatCode>
                <c:ptCount val="4"/>
                <c:pt idx="0">
                  <c:v>44</c:v>
                </c:pt>
                <c:pt idx="1">
                  <c:v>54</c:v>
                </c:pt>
                <c:pt idx="2">
                  <c:v>59</c:v>
                </c:pt>
              </c:numCache>
            </c:numRef>
          </c:val>
          <c:smooth val="0"/>
          <c:extLst>
            <c:ext xmlns:c16="http://schemas.microsoft.com/office/drawing/2014/chart" uri="{C3380CC4-5D6E-409C-BE32-E72D297353CC}">
              <c16:uniqueId val="{00000001-DB3A-493D-A0B7-FC2670E4C0DF}"/>
            </c:ext>
          </c:extLst>
        </c:ser>
        <c:ser>
          <c:idx val="2"/>
          <c:order val="2"/>
          <c:tx>
            <c:strRef>
              <c:f>Blad1!$D$1</c:f>
              <c:strCache>
                <c:ptCount val="1"/>
                <c:pt idx="0">
                  <c:v>Male students with disabilities</c:v>
                </c:pt>
              </c:strCache>
            </c:strRef>
          </c:tx>
          <c:spPr>
            <a:ln w="28575" cap="rnd">
              <a:solidFill>
                <a:schemeClr val="accent3"/>
              </a:solidFill>
              <a:round/>
            </a:ln>
            <a:effectLst/>
          </c:spPr>
          <c:marker>
            <c:symbol val="none"/>
          </c:marker>
          <c:cat>
            <c:numRef>
              <c:f>Blad1!$A$2:$A$5</c:f>
              <c:numCache>
                <c:formatCode>General</c:formatCode>
                <c:ptCount val="4"/>
                <c:pt idx="0">
                  <c:v>2018</c:v>
                </c:pt>
                <c:pt idx="1">
                  <c:v>2019</c:v>
                </c:pt>
                <c:pt idx="2">
                  <c:v>2020</c:v>
                </c:pt>
              </c:numCache>
            </c:numRef>
          </c:cat>
          <c:val>
            <c:numRef>
              <c:f>Blad1!$D$2:$D$5</c:f>
              <c:numCache>
                <c:formatCode>General</c:formatCode>
                <c:ptCount val="4"/>
                <c:pt idx="0">
                  <c:v>44</c:v>
                </c:pt>
                <c:pt idx="1">
                  <c:v>53</c:v>
                </c:pt>
                <c:pt idx="2">
                  <c:v>57</c:v>
                </c:pt>
              </c:numCache>
            </c:numRef>
          </c:val>
          <c:smooth val="0"/>
          <c:extLst>
            <c:ext xmlns:c16="http://schemas.microsoft.com/office/drawing/2014/chart" uri="{C3380CC4-5D6E-409C-BE32-E72D297353CC}">
              <c16:uniqueId val="{00000002-DB3A-493D-A0B7-FC2670E4C0DF}"/>
            </c:ext>
          </c:extLst>
        </c:ser>
        <c:ser>
          <c:idx val="3"/>
          <c:order val="3"/>
          <c:tx>
            <c:strRef>
              <c:f>Blad1!$E$1</c:f>
              <c:strCache>
                <c:ptCount val="1"/>
                <c:pt idx="0">
                  <c:v>Male students without disabilities</c:v>
                </c:pt>
              </c:strCache>
            </c:strRef>
          </c:tx>
          <c:spPr>
            <a:ln w="28575" cap="rnd">
              <a:solidFill>
                <a:schemeClr val="accent4"/>
              </a:solidFill>
              <a:round/>
            </a:ln>
            <a:effectLst/>
          </c:spPr>
          <c:marker>
            <c:symbol val="none"/>
          </c:marker>
          <c:cat>
            <c:numRef>
              <c:f>Blad1!$A$2:$A$5</c:f>
              <c:numCache>
                <c:formatCode>General</c:formatCode>
                <c:ptCount val="4"/>
                <c:pt idx="0">
                  <c:v>2018</c:v>
                </c:pt>
                <c:pt idx="1">
                  <c:v>2019</c:v>
                </c:pt>
                <c:pt idx="2">
                  <c:v>2020</c:v>
                </c:pt>
              </c:numCache>
            </c:numRef>
          </c:cat>
          <c:val>
            <c:numRef>
              <c:f>Blad1!$E$2:$E$5</c:f>
              <c:numCache>
                <c:formatCode>General</c:formatCode>
                <c:ptCount val="4"/>
                <c:pt idx="0">
                  <c:v>38</c:v>
                </c:pt>
                <c:pt idx="1">
                  <c:v>45</c:v>
                </c:pt>
                <c:pt idx="2">
                  <c:v>50</c:v>
                </c:pt>
              </c:numCache>
            </c:numRef>
          </c:val>
          <c:smooth val="0"/>
          <c:extLst>
            <c:ext xmlns:c16="http://schemas.microsoft.com/office/drawing/2014/chart" uri="{C3380CC4-5D6E-409C-BE32-E72D297353CC}">
              <c16:uniqueId val="{00000003-DB3A-493D-A0B7-FC2670E4C0DF}"/>
            </c:ext>
          </c:extLst>
        </c:ser>
        <c:dLbls>
          <c:showLegendKey val="0"/>
          <c:showVal val="0"/>
          <c:showCatName val="0"/>
          <c:showSerName val="0"/>
          <c:showPercent val="0"/>
          <c:showBubbleSize val="0"/>
        </c:dLbls>
        <c:smooth val="0"/>
        <c:axId val="775892415"/>
        <c:axId val="798556303"/>
      </c:lineChart>
      <c:catAx>
        <c:axId val="7758924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crossAx val="798556303"/>
        <c:crosses val="autoZero"/>
        <c:auto val="1"/>
        <c:lblAlgn val="ctr"/>
        <c:lblOffset val="100"/>
        <c:noMultiLvlLbl val="0"/>
      </c:catAx>
      <c:valAx>
        <c:axId val="7985563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crossAx val="7758924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sv-SE"/>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Blad1!$B$1</c:f>
              <c:strCache>
                <c:ptCount val="1"/>
                <c:pt idx="0">
                  <c:v>female students</c:v>
                </c:pt>
              </c:strCache>
            </c:strRef>
          </c:tx>
          <c:spPr>
            <a:solidFill>
              <a:schemeClr val="accent1"/>
            </a:solidFill>
            <a:ln>
              <a:noFill/>
            </a:ln>
            <a:effectLst/>
          </c:spPr>
          <c:invertIfNegative val="0"/>
          <c:cat>
            <c:strRef>
              <c:f>Blad1!$A$2:$A$5</c:f>
              <c:strCache>
                <c:ptCount val="4"/>
                <c:pt idx="0">
                  <c:v>Dyslexia</c:v>
                </c:pt>
                <c:pt idx="1">
                  <c:v>Deaf</c:v>
                </c:pt>
                <c:pt idx="2">
                  <c:v>Language impairment</c:v>
                </c:pt>
                <c:pt idx="3">
                  <c:v>Psychiatric disability</c:v>
                </c:pt>
              </c:strCache>
            </c:strRef>
          </c:cat>
          <c:val>
            <c:numRef>
              <c:f>Blad1!$B$2:$B$5</c:f>
              <c:numCache>
                <c:formatCode>0%</c:formatCode>
                <c:ptCount val="4"/>
                <c:pt idx="0">
                  <c:v>0.56000000000000005</c:v>
                </c:pt>
                <c:pt idx="1">
                  <c:v>0.68</c:v>
                </c:pt>
                <c:pt idx="2">
                  <c:v>0.38</c:v>
                </c:pt>
                <c:pt idx="3">
                  <c:v>0.56000000000000005</c:v>
                </c:pt>
              </c:numCache>
            </c:numRef>
          </c:val>
          <c:extLst>
            <c:ext xmlns:c16="http://schemas.microsoft.com/office/drawing/2014/chart" uri="{C3380CC4-5D6E-409C-BE32-E72D297353CC}">
              <c16:uniqueId val="{00000000-D98F-48F6-8A16-B105D836BF93}"/>
            </c:ext>
          </c:extLst>
        </c:ser>
        <c:ser>
          <c:idx val="1"/>
          <c:order val="1"/>
          <c:tx>
            <c:strRef>
              <c:f>Blad1!$C$1</c:f>
              <c:strCache>
                <c:ptCount val="1"/>
                <c:pt idx="0">
                  <c:v>Male students</c:v>
                </c:pt>
              </c:strCache>
            </c:strRef>
          </c:tx>
          <c:spPr>
            <a:solidFill>
              <a:schemeClr val="accent2"/>
            </a:solidFill>
            <a:ln>
              <a:noFill/>
            </a:ln>
            <a:effectLst/>
          </c:spPr>
          <c:invertIfNegative val="0"/>
          <c:cat>
            <c:strRef>
              <c:f>Blad1!$A$2:$A$5</c:f>
              <c:strCache>
                <c:ptCount val="4"/>
                <c:pt idx="0">
                  <c:v>Dyslexia</c:v>
                </c:pt>
                <c:pt idx="1">
                  <c:v>Deaf</c:v>
                </c:pt>
                <c:pt idx="2">
                  <c:v>Language impairment</c:v>
                </c:pt>
                <c:pt idx="3">
                  <c:v>Psychiatric disability</c:v>
                </c:pt>
              </c:strCache>
            </c:strRef>
          </c:cat>
          <c:val>
            <c:numRef>
              <c:f>Blad1!$C$2:$C$5</c:f>
              <c:numCache>
                <c:formatCode>0%</c:formatCode>
                <c:ptCount val="4"/>
                <c:pt idx="0">
                  <c:v>0.44</c:v>
                </c:pt>
                <c:pt idx="1">
                  <c:v>0.32</c:v>
                </c:pt>
                <c:pt idx="2">
                  <c:v>0.62</c:v>
                </c:pt>
                <c:pt idx="3">
                  <c:v>0.44</c:v>
                </c:pt>
              </c:numCache>
            </c:numRef>
          </c:val>
          <c:extLst>
            <c:ext xmlns:c16="http://schemas.microsoft.com/office/drawing/2014/chart" uri="{C3380CC4-5D6E-409C-BE32-E72D297353CC}">
              <c16:uniqueId val="{00000001-D98F-48F6-8A16-B105D836BF93}"/>
            </c:ext>
          </c:extLst>
        </c:ser>
        <c:ser>
          <c:idx val="2"/>
          <c:order val="2"/>
          <c:tx>
            <c:strRef>
              <c:f>Blad1!$D$1</c:f>
              <c:strCache>
                <c:ptCount val="1"/>
                <c:pt idx="0">
                  <c:v>Kolumn1</c:v>
                </c:pt>
              </c:strCache>
            </c:strRef>
          </c:tx>
          <c:spPr>
            <a:solidFill>
              <a:schemeClr val="accent3"/>
            </a:solidFill>
            <a:ln>
              <a:noFill/>
            </a:ln>
            <a:effectLst/>
          </c:spPr>
          <c:invertIfNegative val="0"/>
          <c:cat>
            <c:strRef>
              <c:f>Blad1!$A$2:$A$5</c:f>
              <c:strCache>
                <c:ptCount val="4"/>
                <c:pt idx="0">
                  <c:v>Dyslexia</c:v>
                </c:pt>
                <c:pt idx="1">
                  <c:v>Deaf</c:v>
                </c:pt>
                <c:pt idx="2">
                  <c:v>Language impairment</c:v>
                </c:pt>
                <c:pt idx="3">
                  <c:v>Psychiatric disability</c:v>
                </c:pt>
              </c:strCache>
            </c:strRef>
          </c:cat>
          <c:val>
            <c:numRef>
              <c:f>Blad1!$D$2:$D$5</c:f>
              <c:numCache>
                <c:formatCode>General</c:formatCode>
                <c:ptCount val="4"/>
              </c:numCache>
            </c:numRef>
          </c:val>
          <c:extLst>
            <c:ext xmlns:c16="http://schemas.microsoft.com/office/drawing/2014/chart" uri="{C3380CC4-5D6E-409C-BE32-E72D297353CC}">
              <c16:uniqueId val="{00000002-D98F-48F6-8A16-B105D836BF93}"/>
            </c:ext>
          </c:extLst>
        </c:ser>
        <c:dLbls>
          <c:showLegendKey val="0"/>
          <c:showVal val="0"/>
          <c:showCatName val="0"/>
          <c:showSerName val="0"/>
          <c:showPercent val="0"/>
          <c:showBubbleSize val="0"/>
        </c:dLbls>
        <c:gapWidth val="219"/>
        <c:overlap val="-27"/>
        <c:axId val="548336943"/>
        <c:axId val="798729103"/>
      </c:barChart>
      <c:catAx>
        <c:axId val="5483369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crossAx val="798729103"/>
        <c:crosses val="autoZero"/>
        <c:auto val="1"/>
        <c:lblAlgn val="ctr"/>
        <c:lblOffset val="100"/>
        <c:noMultiLvlLbl val="0"/>
      </c:catAx>
      <c:valAx>
        <c:axId val="79872910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crossAx val="548336943"/>
        <c:crosses val="autoZero"/>
        <c:crossBetween val="between"/>
      </c:valAx>
      <c:spPr>
        <a:noFill/>
        <a:ln>
          <a:noFill/>
        </a:ln>
        <a:effectLst/>
      </c:spPr>
    </c:plotArea>
    <c:legend>
      <c:legendPos val="b"/>
      <c:layout>
        <c:manualLayout>
          <c:xMode val="edge"/>
          <c:yMode val="edge"/>
          <c:x val="0.25871518664333626"/>
          <c:y val="0.9092257217847769"/>
          <c:w val="0.38071777486147562"/>
          <c:h val="6.696475440569928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sv-SE"/>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53581</TotalTime>
  <Pages>34</Pages>
  <Words>11373</Words>
  <Characters>60283</Characters>
  <Application>Microsoft Office Word</Application>
  <DocSecurity>0</DocSecurity>
  <Lines>502</Lines>
  <Paragraphs>143</Paragraphs>
  <ScaleCrop>false</ScaleCrop>
  <HeadingPairs>
    <vt:vector size="2" baseType="variant">
      <vt:variant>
        <vt:lpstr>Rubrik</vt:lpstr>
      </vt:variant>
      <vt:variant>
        <vt:i4>1</vt:i4>
      </vt:variant>
    </vt:vector>
  </HeadingPairs>
  <TitlesOfParts>
    <vt:vector size="1" baseType="lpstr">
      <vt:lpstr/>
    </vt:vector>
  </TitlesOfParts>
  <Company>BUF</Company>
  <LinksUpToDate>false</LinksUpToDate>
  <CharactersWithSpaces>71513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Nkalubo</dc:creator>
  <cp:keywords/>
  <dc:description/>
  <cp:lastModifiedBy>Arthur Nkalubo</cp:lastModifiedBy>
  <cp:revision>2881</cp:revision>
  <dcterms:created xsi:type="dcterms:W3CDTF">2026-06-19T11:24:00Z</dcterms:created>
  <dcterms:modified xsi:type="dcterms:W3CDTF">2026-09-19T06:45:00Z</dcterms:modified>
</cp:coreProperties>
</file>