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11FE0FCE"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1C411D">
              <w:rPr>
                <w:rFonts w:ascii="Times New Roman" w:hAnsi="Times New Roman" w:cs="Times New Roman"/>
                <w:b/>
                <w:color w:val="auto"/>
                <w:sz w:val="48"/>
              </w:rPr>
              <w:t>Rosie Palin</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775D3886"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EF4E32">
              <w:rPr>
                <w:rFonts w:ascii="Times New Roman" w:hAnsi="Times New Roman" w:cs="Times New Roman"/>
                <w:b/>
                <w:color w:val="auto"/>
                <w:sz w:val="48"/>
              </w:rPr>
              <w:t xml:space="preserve"> </w:t>
            </w:r>
            <w:r w:rsidR="00EF4E32" w:rsidRPr="00EF4E32">
              <w:rPr>
                <w:rFonts w:ascii="Times New Roman" w:hAnsi="Times New Roman" w:cs="Times New Roman"/>
                <w:b/>
                <w:color w:val="auto"/>
                <w:sz w:val="48"/>
              </w:rPr>
              <w:t>2521738@student.uwtsd.ac.uk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57D47550" w14:textId="1FAC44F1" w:rsidR="001C411D" w:rsidRPr="001C411D" w:rsidRDefault="001C411D" w:rsidP="001C411D">
            <w:pPr>
              <w:ind w:right="-957"/>
              <w:rPr>
                <w:rFonts w:ascii="Times New Roman" w:hAnsi="Times New Roman" w:cs="Times New Roman"/>
                <w:b/>
                <w:sz w:val="48"/>
              </w:rPr>
            </w:pPr>
            <w:r>
              <w:rPr>
                <w:rFonts w:ascii="Times New Roman" w:hAnsi="Times New Roman" w:cs="Times New Roman"/>
                <w:b/>
                <w:sz w:val="48"/>
              </w:rPr>
              <w:t>2521738</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6F89D707"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1C411D">
              <w:rPr>
                <w:rFonts w:ascii="Times New Roman" w:hAnsi="Times New Roman" w:cs="Times New Roman"/>
                <w:b/>
                <w:color w:val="auto"/>
                <w:sz w:val="48"/>
              </w:rPr>
              <w:t xml:space="preserve"> </w:t>
            </w:r>
            <w:r w:rsidR="00AE6231">
              <w:rPr>
                <w:rFonts w:ascii="Times New Roman" w:hAnsi="Times New Roman" w:cs="Times New Roman"/>
                <w:b/>
                <w:color w:val="auto"/>
                <w:sz w:val="48"/>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w:t>
            </w:r>
            <w:proofErr w:type="gramStart"/>
            <w:r w:rsidRPr="00AE1868">
              <w:rPr>
                <w:b/>
                <w:sz w:val="24"/>
                <w:szCs w:val="24"/>
              </w:rPr>
              <w:t>main focus</w:t>
            </w:r>
            <w:proofErr w:type="gramEnd"/>
            <w:r w:rsidRPr="00AE1868">
              <w:rPr>
                <w:b/>
                <w:sz w:val="24"/>
                <w:szCs w:val="24"/>
              </w:rPr>
              <w:t xml:space="preserve">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7589AC63" w14:textId="77777777" w:rsidR="00DE6EA3" w:rsidRPr="00EF4E32" w:rsidRDefault="00DE6EA3" w:rsidP="00DE6EA3">
            <w:pPr>
              <w:jc w:val="both"/>
              <w:rPr>
                <w:sz w:val="24"/>
                <w:szCs w:val="24"/>
              </w:rPr>
            </w:pPr>
            <w:r w:rsidRPr="00EF4E32">
              <w:rPr>
                <w:sz w:val="24"/>
                <w:szCs w:val="24"/>
              </w:rPr>
              <w:t>As I currently work within Children's Services, this section focuses on safeguarding adults within Wales. Safeguarding adults aims to protect individuals aged 18 and over from abuse, neglect and exploitation whilst promoting their wellbeing, rights and independence. Adult safeguarding differs from child safeguarding in that adults with capacity have the right to make decisions about their own lives, even where professionals may disagree with those decisions. Therefore, adult safeguarding balances protection with empowerment, choice and autonomy.</w:t>
            </w:r>
          </w:p>
          <w:p w14:paraId="5956CA2C" w14:textId="77777777" w:rsidR="00F26CBC" w:rsidRPr="00EF4E32" w:rsidRDefault="00F26CBC" w:rsidP="00DE6EA3">
            <w:pPr>
              <w:jc w:val="both"/>
              <w:rPr>
                <w:sz w:val="24"/>
                <w:szCs w:val="24"/>
              </w:rPr>
            </w:pPr>
          </w:p>
          <w:p w14:paraId="3DA73F5C" w14:textId="77777777" w:rsidR="00DE6EA3" w:rsidRPr="00EF4E32" w:rsidRDefault="00DE6EA3" w:rsidP="00DE6EA3">
            <w:pPr>
              <w:jc w:val="both"/>
              <w:rPr>
                <w:sz w:val="24"/>
                <w:szCs w:val="24"/>
              </w:rPr>
            </w:pPr>
            <w:r w:rsidRPr="00EF4E32">
              <w:rPr>
                <w:sz w:val="24"/>
                <w:szCs w:val="24"/>
              </w:rPr>
              <w:t>The primary legislation governing adult safeguarding in Wales is the Social Services and Well-being (Wales) Act 2014 (SSWBA). The Act promotes a strengths-based and person-centred approach to care and support, encouraging individuals to have greater control over decisions that affect their lives. Under Section 126 of the Act, an adult at risk is defined as a person who is experiencing, or is at risk of, abuse or neglect, has needs for care and support, and is unable to protect themselves because of those needs (Welsh Government, 2024). Where concerns are identified, local authorities have a duty to make enquiries and consider what action is required to safeguard the individual.</w:t>
            </w:r>
          </w:p>
          <w:p w14:paraId="444BA02D" w14:textId="77777777" w:rsidR="00F26CBC" w:rsidRPr="00EF4E32" w:rsidRDefault="00F26CBC" w:rsidP="00DE6EA3">
            <w:pPr>
              <w:jc w:val="both"/>
              <w:rPr>
                <w:sz w:val="24"/>
                <w:szCs w:val="24"/>
              </w:rPr>
            </w:pPr>
          </w:p>
          <w:p w14:paraId="54368DC1" w14:textId="77777777" w:rsidR="00DE6EA3" w:rsidRPr="00EF4E32" w:rsidRDefault="00DE6EA3" w:rsidP="00DE6EA3">
            <w:pPr>
              <w:jc w:val="both"/>
              <w:rPr>
                <w:sz w:val="24"/>
                <w:szCs w:val="24"/>
              </w:rPr>
            </w:pPr>
            <w:r w:rsidRPr="00EF4E32">
              <w:rPr>
                <w:sz w:val="24"/>
                <w:szCs w:val="24"/>
              </w:rPr>
              <w:t>National policy and guidance are provided through the Wales Safeguarding Procedures (2019) and Working Together to Safeguard People: Volume 6 – Handling Individual Cases to Protect Adults at Risk (Social Care Wales, 2019). These documents outline the responsibilities of professionals, information-sharing arrangements and procedures for responding to safeguarding concerns. They emphasise that safeguarding is everyone's responsibility and that effective outcomes require collaborative working between social services, health services, the police and third-sector organisations.</w:t>
            </w:r>
          </w:p>
          <w:p w14:paraId="2CE42AE3" w14:textId="77777777" w:rsidR="00F26CBC" w:rsidRPr="00EF4E32" w:rsidRDefault="00F26CBC" w:rsidP="00DE6EA3">
            <w:pPr>
              <w:jc w:val="both"/>
              <w:rPr>
                <w:sz w:val="24"/>
                <w:szCs w:val="24"/>
              </w:rPr>
            </w:pPr>
          </w:p>
          <w:p w14:paraId="4BE8FD14" w14:textId="77777777" w:rsidR="00DE6EA3" w:rsidRPr="00EF4E32" w:rsidRDefault="00DE6EA3" w:rsidP="00DE6EA3">
            <w:pPr>
              <w:jc w:val="both"/>
              <w:rPr>
                <w:sz w:val="24"/>
                <w:szCs w:val="24"/>
              </w:rPr>
            </w:pPr>
            <w:r w:rsidRPr="00EF4E32">
              <w:rPr>
                <w:sz w:val="24"/>
                <w:szCs w:val="24"/>
              </w:rPr>
              <w:t xml:space="preserve">Adult safeguarding is also underpinned by several additional pieces of legislation. The Mental Capacity Act 2005 provides a legal framework for assessing capacity and making decisions on behalf of individuals who lack capacity. The Act establishes that all practicable steps should be taken to support a person to make their own decisions and that any action taken on behalf of an individual must be in their best interests and be the least restrictive option. The Human </w:t>
            </w:r>
            <w:r w:rsidRPr="00EF4E32">
              <w:rPr>
                <w:sz w:val="24"/>
                <w:szCs w:val="24"/>
              </w:rPr>
              <w:lastRenderedPageBreak/>
              <w:t>Rights Act 1998, particularly Article 8, protects an individual's right to private and family life, whilst the Equality Act 2010 promotes protection from discrimination and supports equal access to services.</w:t>
            </w:r>
          </w:p>
          <w:p w14:paraId="78C41BCC" w14:textId="77777777" w:rsidR="00F26CBC" w:rsidRPr="00EF4E32" w:rsidRDefault="00F26CBC" w:rsidP="00DE6EA3">
            <w:pPr>
              <w:jc w:val="both"/>
              <w:rPr>
                <w:sz w:val="24"/>
                <w:szCs w:val="24"/>
              </w:rPr>
            </w:pPr>
          </w:p>
          <w:p w14:paraId="4441CB8C" w14:textId="77777777" w:rsidR="00DE6EA3" w:rsidRPr="00EF4E32" w:rsidRDefault="00DE6EA3" w:rsidP="00DE6EA3">
            <w:pPr>
              <w:jc w:val="both"/>
              <w:rPr>
                <w:sz w:val="24"/>
                <w:szCs w:val="24"/>
              </w:rPr>
            </w:pPr>
            <w:r w:rsidRPr="00EF4E32">
              <w:rPr>
                <w:sz w:val="24"/>
                <w:szCs w:val="24"/>
              </w:rPr>
              <w:t>At a local level, safeguarding is coordinated through regional safeguarding boards. In Wales, the Wales Safeguarding Board promotes multi-agency working, develops regional procedures, coordinates training and oversees Adult Practice Reviews. These arrangements help ensure a consistent safeguarding response across agencies and local authority areas.</w:t>
            </w:r>
          </w:p>
          <w:p w14:paraId="2F89D6EF" w14:textId="77777777" w:rsidR="00F26CBC" w:rsidRPr="00EF4E32" w:rsidRDefault="00F26CBC" w:rsidP="00DE6EA3">
            <w:pPr>
              <w:jc w:val="both"/>
              <w:rPr>
                <w:sz w:val="24"/>
                <w:szCs w:val="24"/>
              </w:rPr>
            </w:pPr>
          </w:p>
          <w:p w14:paraId="2B2A8730" w14:textId="77777777" w:rsidR="00DE6EA3" w:rsidRPr="00EF4E32" w:rsidRDefault="00DE6EA3" w:rsidP="00DE6EA3">
            <w:pPr>
              <w:jc w:val="both"/>
              <w:rPr>
                <w:sz w:val="24"/>
                <w:szCs w:val="24"/>
              </w:rPr>
            </w:pPr>
            <w:r w:rsidRPr="00EF4E32">
              <w:rPr>
                <w:sz w:val="24"/>
                <w:szCs w:val="24"/>
              </w:rPr>
              <w:t>Within organisations, safeguarding responsibilities are supported through internal safeguarding policies and procedures. These include mandatory safeguarding training, clear reporting pathways, designated safeguarding leads and systems for recording and escalating concerns. The Code of Professional Practice for Social Care (Social Care Wales, 2017) further requires practitioners to act in the best interests of individuals, maintain confidentiality and report concerns when someone may be at risk of harm.</w:t>
            </w:r>
          </w:p>
          <w:p w14:paraId="71E01A9D" w14:textId="77777777" w:rsidR="00F26CBC" w:rsidRPr="00EF4E32" w:rsidRDefault="00F26CBC" w:rsidP="00DE6EA3">
            <w:pPr>
              <w:jc w:val="both"/>
              <w:rPr>
                <w:sz w:val="24"/>
                <w:szCs w:val="24"/>
              </w:rPr>
            </w:pPr>
          </w:p>
          <w:p w14:paraId="1991014D" w14:textId="77777777" w:rsidR="00DE6EA3" w:rsidRPr="00EF4E32" w:rsidRDefault="00DE6EA3" w:rsidP="00DE6EA3">
            <w:pPr>
              <w:jc w:val="both"/>
              <w:rPr>
                <w:sz w:val="24"/>
                <w:szCs w:val="24"/>
              </w:rPr>
            </w:pPr>
            <w:r w:rsidRPr="00EF4E32">
              <w:rPr>
                <w:sz w:val="24"/>
                <w:szCs w:val="24"/>
              </w:rPr>
              <w:t>Overall, adult safeguarding within Wales is underpinned by legislation, policy and multi-agency partnership working that seeks to protect adults at risk whilst promoting independence, dignity and personal choice.</w:t>
            </w:r>
          </w:p>
          <w:p w14:paraId="0318E819" w14:textId="7F8D5A4B" w:rsidR="00FC0334" w:rsidRDefault="00FC0334" w:rsidP="00FF7EBB">
            <w:pPr>
              <w:jc w:val="both"/>
              <w:rPr>
                <w:sz w:val="24"/>
                <w:szCs w:val="24"/>
              </w:rPr>
            </w:pPr>
          </w:p>
          <w:p w14:paraId="14883BA0" w14:textId="6C45D377" w:rsidR="00FC0334" w:rsidRDefault="00F26CBC" w:rsidP="00FF7EBB">
            <w:pPr>
              <w:jc w:val="both"/>
              <w:rPr>
                <w:sz w:val="24"/>
                <w:szCs w:val="24"/>
              </w:rPr>
            </w:pPr>
            <w:r>
              <w:rPr>
                <w:sz w:val="24"/>
                <w:szCs w:val="24"/>
              </w:rPr>
              <w:t>Word Count: 501 words</w:t>
            </w:r>
          </w:p>
          <w:p w14:paraId="49641ACD" w14:textId="77777777" w:rsidR="00FC0334" w:rsidRDefault="00FC0334" w:rsidP="00FF7EBB">
            <w:pPr>
              <w:jc w:val="both"/>
              <w:rPr>
                <w:sz w:val="24"/>
                <w:szCs w:val="24"/>
              </w:rPr>
            </w:pPr>
          </w:p>
          <w:p w14:paraId="206514B9" w14:textId="77777777" w:rsidR="00FC0334" w:rsidRDefault="00FC0334" w:rsidP="00FF7EBB">
            <w:pPr>
              <w:jc w:val="both"/>
              <w:rPr>
                <w:sz w:val="24"/>
                <w:szCs w:val="24"/>
              </w:rPr>
            </w:pPr>
          </w:p>
          <w:p w14:paraId="60D8C669" w14:textId="77777777" w:rsidR="00FC0334" w:rsidRDefault="00FC0334" w:rsidP="00FF7EBB">
            <w:pPr>
              <w:jc w:val="both"/>
              <w:rPr>
                <w:sz w:val="24"/>
                <w:szCs w:val="24"/>
              </w:rPr>
            </w:pPr>
          </w:p>
          <w:p w14:paraId="774095BD" w14:textId="77777777" w:rsidR="00FC0334" w:rsidRPr="006108C9" w:rsidRDefault="00FC0334" w:rsidP="00FF7EBB">
            <w:pPr>
              <w:jc w:val="both"/>
              <w:rPr>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CABE426" w14:textId="77777777" w:rsidR="00FC0334" w:rsidRDefault="00FC0334" w:rsidP="00FC0334">
            <w:pPr>
              <w:jc w:val="both"/>
              <w:rPr>
                <w:sz w:val="24"/>
                <w:szCs w:val="24"/>
              </w:rPr>
            </w:pPr>
          </w:p>
          <w:p w14:paraId="1FD5B7F0" w14:textId="77777777" w:rsidR="0088557A" w:rsidRPr="002D53C4" w:rsidRDefault="0088557A" w:rsidP="0088557A">
            <w:pPr>
              <w:jc w:val="both"/>
              <w:rPr>
                <w:sz w:val="24"/>
                <w:szCs w:val="24"/>
              </w:rPr>
            </w:pPr>
            <w:r w:rsidRPr="002D53C4">
              <w:rPr>
                <w:sz w:val="24"/>
                <w:szCs w:val="24"/>
              </w:rPr>
              <w:t>Although safeguarding adults and children are both underpinned by the Social Services and Well-being (Wales) Act 2014, there are significant differences in how safeguarding concerns are managed in practice. The overall aim in both areas is to protect individuals from abuse, neglect and harm. However, adult safeguarding places greater emphasis on autonomy and consent, whereas children's safeguarding prioritises protection and welfare (Social Services and Well-being (Wales) Act 2014).</w:t>
            </w:r>
          </w:p>
          <w:p w14:paraId="0915F049" w14:textId="77777777" w:rsidR="002D53C4" w:rsidRPr="002D53C4" w:rsidRDefault="002D53C4" w:rsidP="0088557A">
            <w:pPr>
              <w:jc w:val="both"/>
              <w:rPr>
                <w:sz w:val="24"/>
                <w:szCs w:val="24"/>
              </w:rPr>
            </w:pPr>
          </w:p>
          <w:p w14:paraId="64FE3C71" w14:textId="77777777" w:rsidR="0088557A" w:rsidRPr="002D53C4" w:rsidRDefault="0088557A" w:rsidP="0088557A">
            <w:pPr>
              <w:jc w:val="both"/>
              <w:rPr>
                <w:sz w:val="24"/>
                <w:szCs w:val="24"/>
              </w:rPr>
            </w:pPr>
            <w:r w:rsidRPr="002D53C4">
              <w:rPr>
                <w:sz w:val="24"/>
                <w:szCs w:val="24"/>
              </w:rPr>
              <w:t xml:space="preserve">As I currently work within Children's Services, one of the most noticeable differences is the role of consent. In children's safeguarding, professionals have a statutory duty to act when a child is at risk of significant harm, regardless of whether the child or their parents agree with intervention. If concerns meet the required threshold, Children's Services can progress enquiries, Child Protection processes and, where necessary, seek legal intervention. Whilst the wishes and feelings of children should always be considered, the child's welfare remains </w:t>
            </w:r>
            <w:r w:rsidRPr="002D53C4">
              <w:rPr>
                <w:sz w:val="24"/>
                <w:szCs w:val="24"/>
              </w:rPr>
              <w:lastRenderedPageBreak/>
              <w:t>paramount. This reflects the principle that children's needs take precedence when concerns about significant harm arise (Social Services and Well-being (Wales) Act 2014).</w:t>
            </w:r>
          </w:p>
          <w:p w14:paraId="5822BDCB" w14:textId="77777777" w:rsidR="002D53C4" w:rsidRPr="002D53C4" w:rsidRDefault="002D53C4" w:rsidP="0088557A">
            <w:pPr>
              <w:jc w:val="both"/>
              <w:rPr>
                <w:sz w:val="24"/>
                <w:szCs w:val="24"/>
              </w:rPr>
            </w:pPr>
          </w:p>
          <w:p w14:paraId="0861951E" w14:textId="77777777" w:rsidR="0088557A" w:rsidRPr="002D53C4" w:rsidRDefault="0088557A" w:rsidP="0088557A">
            <w:pPr>
              <w:jc w:val="both"/>
              <w:rPr>
                <w:sz w:val="24"/>
                <w:szCs w:val="24"/>
              </w:rPr>
            </w:pPr>
            <w:r w:rsidRPr="002D53C4">
              <w:rPr>
                <w:sz w:val="24"/>
                <w:szCs w:val="24"/>
              </w:rPr>
              <w:t>In contrast, adult safeguarding is founded on empowerment, choice and control. Adults are presumed to have capacity unless assessed otherwise under the Mental Capacity Act 2005. This means adults can make decisions about their own lives, including those professionals may view as risky or unwise. The Act highlights that a person should not be treated as lacking capacity simply because they make an unwise decision (HM Government, 2005). Therefore, safeguarding adults often involves supporting informed decision-making rather than directing outcomes.</w:t>
            </w:r>
          </w:p>
          <w:p w14:paraId="4F1389F0" w14:textId="77777777" w:rsidR="002D53C4" w:rsidRPr="002D53C4" w:rsidRDefault="002D53C4" w:rsidP="0088557A">
            <w:pPr>
              <w:jc w:val="both"/>
              <w:rPr>
                <w:sz w:val="24"/>
                <w:szCs w:val="24"/>
              </w:rPr>
            </w:pPr>
          </w:p>
          <w:p w14:paraId="22A2601D" w14:textId="77777777" w:rsidR="0088557A" w:rsidRPr="002D53C4" w:rsidRDefault="0088557A" w:rsidP="0088557A">
            <w:pPr>
              <w:jc w:val="both"/>
              <w:rPr>
                <w:sz w:val="24"/>
                <w:szCs w:val="24"/>
              </w:rPr>
            </w:pPr>
            <w:r w:rsidRPr="002D53C4">
              <w:rPr>
                <w:sz w:val="24"/>
                <w:szCs w:val="24"/>
              </w:rPr>
              <w:t>The issue of consent can create ethical challenges for professionals. The Wales Safeguarding Procedures emphasise that practitioners should seek an adult's consent to make a safeguarding report where possible and involve them throughout the process (Wales Safeguarding Procedures, 2019). However, professionals may need to act without consent where there is a significant risk of harm, concerns regarding capacity or wider public interest considerations (Social Care Wales, 2019).</w:t>
            </w:r>
          </w:p>
          <w:p w14:paraId="6CA2E502" w14:textId="77777777" w:rsidR="002D53C4" w:rsidRPr="002D53C4" w:rsidRDefault="002D53C4" w:rsidP="0088557A">
            <w:pPr>
              <w:jc w:val="both"/>
              <w:rPr>
                <w:sz w:val="24"/>
                <w:szCs w:val="24"/>
              </w:rPr>
            </w:pPr>
          </w:p>
          <w:p w14:paraId="4A4E0590" w14:textId="77777777" w:rsidR="0088557A" w:rsidRPr="002D53C4" w:rsidRDefault="0088557A" w:rsidP="0088557A">
            <w:pPr>
              <w:jc w:val="both"/>
              <w:rPr>
                <w:sz w:val="24"/>
                <w:szCs w:val="24"/>
              </w:rPr>
            </w:pPr>
            <w:r w:rsidRPr="002D53C4">
              <w:rPr>
                <w:sz w:val="24"/>
                <w:szCs w:val="24"/>
              </w:rPr>
              <w:t>Another difference relates to the categories of abuse commonly considered within each area of practice. Whilst both adults and children can experience physical, emotional and sexual abuse, adult safeguarding also includes self-neglect, financial abuse, institutional abuse and modern slavery (Social Care Wales, 2019).</w:t>
            </w:r>
          </w:p>
          <w:p w14:paraId="7271118D" w14:textId="77777777" w:rsidR="002D53C4" w:rsidRPr="002D53C4" w:rsidRDefault="002D53C4" w:rsidP="0088557A">
            <w:pPr>
              <w:jc w:val="both"/>
              <w:rPr>
                <w:sz w:val="24"/>
                <w:szCs w:val="24"/>
              </w:rPr>
            </w:pPr>
          </w:p>
          <w:p w14:paraId="2E3834AA" w14:textId="77777777" w:rsidR="0088557A" w:rsidRPr="002D53C4" w:rsidRDefault="0088557A" w:rsidP="0088557A">
            <w:pPr>
              <w:jc w:val="both"/>
              <w:rPr>
                <w:sz w:val="24"/>
                <w:szCs w:val="24"/>
              </w:rPr>
            </w:pPr>
            <w:r w:rsidRPr="002D53C4">
              <w:rPr>
                <w:sz w:val="24"/>
                <w:szCs w:val="24"/>
              </w:rPr>
              <w:t>Reflecting on these differences has helped me appreciate that safeguarding is not a one-size-fits-all process. Whilst the principles of protection, wellbeing and partnership working remain consistent, professional practice must adapt according to the individual's age, capacity and legal rights. Having worked in both children's and adults' social services has enabled me to better understand how legislation influences safeguarding practice and professional decision-making.</w:t>
            </w:r>
          </w:p>
          <w:p w14:paraId="795C6051" w14:textId="77777777" w:rsidR="00FC0334" w:rsidRDefault="00FC0334" w:rsidP="00FC0334">
            <w:pPr>
              <w:jc w:val="both"/>
              <w:rPr>
                <w:sz w:val="24"/>
                <w:szCs w:val="24"/>
              </w:rPr>
            </w:pPr>
          </w:p>
          <w:p w14:paraId="67E7ED72" w14:textId="5F2BA3F6" w:rsidR="00FC0334" w:rsidRDefault="002D53C4" w:rsidP="00FC0334">
            <w:pPr>
              <w:jc w:val="both"/>
              <w:rPr>
                <w:sz w:val="24"/>
                <w:szCs w:val="24"/>
              </w:rPr>
            </w:pPr>
            <w:r>
              <w:rPr>
                <w:sz w:val="24"/>
                <w:szCs w:val="24"/>
              </w:rPr>
              <w:t>Word Count: 426 words</w:t>
            </w:r>
          </w:p>
          <w:p w14:paraId="478D2F84" w14:textId="77777777" w:rsidR="00FC0334" w:rsidRDefault="00FC0334" w:rsidP="00FC0334">
            <w:pPr>
              <w:jc w:val="both"/>
              <w:rPr>
                <w:sz w:val="24"/>
                <w:szCs w:val="24"/>
              </w:rPr>
            </w:pPr>
          </w:p>
          <w:p w14:paraId="0E64B386" w14:textId="77777777" w:rsidR="00FC0334" w:rsidRDefault="00FC0334" w:rsidP="00FC0334">
            <w:pPr>
              <w:jc w:val="both"/>
              <w:rPr>
                <w:sz w:val="24"/>
                <w:szCs w:val="24"/>
              </w:rPr>
            </w:pPr>
          </w:p>
          <w:p w14:paraId="4847C39E" w14:textId="77777777" w:rsidR="00FC0334" w:rsidRDefault="00FC0334" w:rsidP="00FC0334">
            <w:pPr>
              <w:jc w:val="both"/>
              <w:rPr>
                <w:sz w:val="24"/>
                <w:szCs w:val="24"/>
              </w:rPr>
            </w:pPr>
          </w:p>
          <w:p w14:paraId="04285720" w14:textId="77777777" w:rsidR="00FC0334" w:rsidRDefault="00FC0334" w:rsidP="00FC0334">
            <w:pPr>
              <w:jc w:val="both"/>
              <w:rPr>
                <w:sz w:val="24"/>
                <w:szCs w:val="24"/>
              </w:rPr>
            </w:pPr>
          </w:p>
          <w:p w14:paraId="1AA3081F" w14:textId="77777777" w:rsidR="00FC0334" w:rsidRDefault="00FC0334" w:rsidP="00FC0334">
            <w:pPr>
              <w:jc w:val="both"/>
              <w:rPr>
                <w:sz w:val="24"/>
                <w:szCs w:val="24"/>
              </w:rPr>
            </w:pPr>
          </w:p>
          <w:p w14:paraId="7B7B4827" w14:textId="77777777" w:rsidR="00FC0334" w:rsidRDefault="00FC0334" w:rsidP="00FC0334">
            <w:pPr>
              <w:jc w:val="both"/>
              <w:rPr>
                <w:sz w:val="24"/>
                <w:szCs w:val="24"/>
              </w:rPr>
            </w:pPr>
          </w:p>
          <w:p w14:paraId="438BF787" w14:textId="77777777" w:rsidR="00FC0334" w:rsidRPr="006108C9" w:rsidRDefault="00FC0334" w:rsidP="00FC0334">
            <w:pPr>
              <w:jc w:val="both"/>
              <w:rPr>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2ABB49" w14:textId="77777777" w:rsidR="00FA0FE7" w:rsidRDefault="00FA0FE7">
      <w:r>
        <w:separator/>
      </w:r>
    </w:p>
  </w:endnote>
  <w:endnote w:type="continuationSeparator" w:id="0">
    <w:p w14:paraId="4C774839" w14:textId="77777777" w:rsidR="00FA0FE7" w:rsidRDefault="00FA0FE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2A21B9" w14:textId="77777777" w:rsidR="00FA0FE7" w:rsidRDefault="00FA0FE7">
      <w:r>
        <w:separator/>
      </w:r>
    </w:p>
  </w:footnote>
  <w:footnote w:type="continuationSeparator" w:id="0">
    <w:p w14:paraId="1AAF8FC6" w14:textId="77777777" w:rsidR="00FA0FE7" w:rsidRDefault="00FA0FE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11D"/>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3C4"/>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B4865"/>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329A"/>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57A"/>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06AA8"/>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65F13"/>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E6EA3"/>
    <w:rsid w:val="00DF2469"/>
    <w:rsid w:val="00DF7899"/>
    <w:rsid w:val="00E0524C"/>
    <w:rsid w:val="00E15751"/>
    <w:rsid w:val="00E17160"/>
    <w:rsid w:val="00E17D41"/>
    <w:rsid w:val="00E231D1"/>
    <w:rsid w:val="00E31EF3"/>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4E32"/>
    <w:rsid w:val="00EF68BB"/>
    <w:rsid w:val="00F01F92"/>
    <w:rsid w:val="00F030D4"/>
    <w:rsid w:val="00F04053"/>
    <w:rsid w:val="00F06573"/>
    <w:rsid w:val="00F10A08"/>
    <w:rsid w:val="00F15354"/>
    <w:rsid w:val="00F22AC5"/>
    <w:rsid w:val="00F254D1"/>
    <w:rsid w:val="00F26CBC"/>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0FE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4</Pages>
  <Words>1195</Words>
  <Characters>6813</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Rosie Palin</cp:lastModifiedBy>
  <cp:revision>9</cp:revision>
  <cp:lastPrinted>2020-02-11T19:20:00Z</cp:lastPrinted>
  <dcterms:created xsi:type="dcterms:W3CDTF">2026-10-02T13:40:00Z</dcterms:created>
  <dcterms:modified xsi:type="dcterms:W3CDTF">2026-10-06T14:48:00Z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