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C8A43" w14:textId="64A3F626" w:rsidR="00D150A9" w:rsidRPr="00B31A9F" w:rsidRDefault="00E06EFB">
      <w:pPr>
        <w:rPr>
          <w:b/>
          <w:bCs/>
          <w:sz w:val="28"/>
          <w:szCs w:val="28"/>
        </w:rPr>
      </w:pPr>
      <w:r w:rsidRPr="00B31A9F">
        <w:rPr>
          <w:b/>
          <w:bCs/>
          <w:sz w:val="28"/>
          <w:szCs w:val="28"/>
        </w:rPr>
        <w:t>Component 2 Raport LCLM5002</w:t>
      </w:r>
    </w:p>
    <w:p w14:paraId="4DF22433" w14:textId="6B3D9E1B" w:rsidR="00E06EFB" w:rsidRPr="00B31A9F" w:rsidRDefault="00E06EFB">
      <w:pPr>
        <w:rPr>
          <w:b/>
          <w:bCs/>
          <w:sz w:val="28"/>
          <w:szCs w:val="28"/>
        </w:rPr>
      </w:pPr>
      <w:r w:rsidRPr="00B31A9F">
        <w:rPr>
          <w:b/>
          <w:bCs/>
          <w:sz w:val="28"/>
          <w:szCs w:val="28"/>
        </w:rPr>
        <w:t>Andreia Farcas- 2421345</w:t>
      </w:r>
    </w:p>
    <w:p w14:paraId="6C738040" w14:textId="77777777" w:rsidR="00B31A9F" w:rsidRDefault="00B31A9F"/>
    <w:p w14:paraId="36183B04" w14:textId="77777777" w:rsidR="00B31A9F" w:rsidRDefault="00B31A9F"/>
    <w:p w14:paraId="50DB7AD2" w14:textId="6178F782" w:rsidR="00B31A9F" w:rsidRPr="00B31A9F" w:rsidRDefault="00B31A9F">
      <w:pPr>
        <w:rPr>
          <w:b/>
          <w:bCs/>
          <w:sz w:val="32"/>
          <w:szCs w:val="32"/>
        </w:rPr>
      </w:pPr>
      <w:r w:rsidRPr="00B31A9F">
        <w:rPr>
          <w:b/>
          <w:bCs/>
          <w:sz w:val="32"/>
          <w:szCs w:val="32"/>
        </w:rPr>
        <w:t>Human Resource Management Report: Addressing Contemporary HR Challenges at Asda</w:t>
      </w:r>
    </w:p>
    <w:p w14:paraId="1B57652B" w14:textId="77777777" w:rsidR="00B31A9F" w:rsidRDefault="00B31A9F"/>
    <w:p w14:paraId="244D053E" w14:textId="77777777" w:rsidR="00B31A9F" w:rsidRDefault="00B31A9F"/>
    <w:p w14:paraId="50D09A2E" w14:textId="77777777" w:rsidR="00B31A9F" w:rsidRDefault="00B31A9F"/>
    <w:p w14:paraId="3A95678D" w14:textId="77777777" w:rsidR="00B31A9F" w:rsidRDefault="00B31A9F"/>
    <w:p w14:paraId="26334ECC" w14:textId="77777777" w:rsidR="00B31A9F" w:rsidRDefault="00B31A9F"/>
    <w:p w14:paraId="7B1F2B4F" w14:textId="77777777" w:rsidR="00B31A9F" w:rsidRDefault="00B31A9F"/>
    <w:p w14:paraId="679560A0" w14:textId="77777777" w:rsidR="00B31A9F" w:rsidRDefault="00B31A9F"/>
    <w:p w14:paraId="2FF22404" w14:textId="77777777" w:rsidR="00B31A9F" w:rsidRDefault="00B31A9F"/>
    <w:p w14:paraId="349F4FD5" w14:textId="77777777" w:rsidR="00B31A9F" w:rsidRDefault="00B31A9F"/>
    <w:p w14:paraId="7CBFE7E1" w14:textId="77777777" w:rsidR="00B31A9F" w:rsidRDefault="00B31A9F"/>
    <w:p w14:paraId="6082AC37" w14:textId="77777777" w:rsidR="00B31A9F" w:rsidRDefault="00B31A9F"/>
    <w:p w14:paraId="27D48574" w14:textId="77777777" w:rsidR="00B31A9F" w:rsidRDefault="00B31A9F"/>
    <w:p w14:paraId="55B310BF" w14:textId="77777777" w:rsidR="00B31A9F" w:rsidRDefault="00B31A9F"/>
    <w:p w14:paraId="102D4918" w14:textId="77777777" w:rsidR="00B31A9F" w:rsidRDefault="00B31A9F"/>
    <w:p w14:paraId="77C639C9" w14:textId="77777777" w:rsidR="00B31A9F" w:rsidRDefault="00B31A9F"/>
    <w:p w14:paraId="495C4887" w14:textId="77777777" w:rsidR="00B31A9F" w:rsidRDefault="00B31A9F"/>
    <w:p w14:paraId="50602BF0" w14:textId="77777777" w:rsidR="00B31A9F" w:rsidRDefault="00B31A9F"/>
    <w:p w14:paraId="6D77B289" w14:textId="77777777" w:rsidR="00B31A9F" w:rsidRDefault="00B31A9F"/>
    <w:p w14:paraId="0FCEEF35" w14:textId="77777777" w:rsidR="00B31A9F" w:rsidRDefault="00B31A9F"/>
    <w:p w14:paraId="03E7275C" w14:textId="77777777" w:rsidR="00B31A9F" w:rsidRDefault="00B31A9F"/>
    <w:p w14:paraId="3170EBE5" w14:textId="77777777" w:rsidR="00B31A9F" w:rsidRDefault="00B31A9F"/>
    <w:p w14:paraId="7DB1DDFC" w14:textId="77777777" w:rsidR="00B31A9F" w:rsidRDefault="00B31A9F"/>
    <w:p w14:paraId="6617790E" w14:textId="77777777" w:rsidR="00B31A9F" w:rsidRDefault="00B31A9F"/>
    <w:p w14:paraId="6CBA5058" w14:textId="77777777" w:rsidR="00B31A9F" w:rsidRDefault="00B31A9F"/>
    <w:p w14:paraId="08A3AA92" w14:textId="77777777" w:rsidR="00E06EFB" w:rsidRDefault="00E06EFB"/>
    <w:sdt>
      <w:sdtPr>
        <w:id w:val="-32390050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083726A" w14:textId="5069651F" w:rsidR="00D94A44" w:rsidRDefault="00D94A44">
          <w:pPr>
            <w:pStyle w:val="TOCHeading"/>
          </w:pPr>
          <w:r>
            <w:t>Contents</w:t>
          </w:r>
        </w:p>
        <w:p w14:paraId="28424A35" w14:textId="23191597" w:rsidR="00B31A9F" w:rsidRDefault="00D94A4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551079" w:history="1">
            <w:r w:rsidR="00B31A9F" w:rsidRPr="00A032FE">
              <w:rPr>
                <w:rStyle w:val="Hyperlink"/>
                <w:noProof/>
              </w:rPr>
              <w:t>1. Introduction</w:t>
            </w:r>
            <w:r w:rsidR="00B31A9F">
              <w:rPr>
                <w:noProof/>
                <w:webHidden/>
              </w:rPr>
              <w:tab/>
            </w:r>
            <w:r w:rsidR="00B31A9F">
              <w:rPr>
                <w:noProof/>
                <w:webHidden/>
              </w:rPr>
              <w:fldChar w:fldCharType="begin"/>
            </w:r>
            <w:r w:rsidR="00B31A9F">
              <w:rPr>
                <w:noProof/>
                <w:webHidden/>
              </w:rPr>
              <w:instrText xml:space="preserve"> PAGEREF _Toc225551079 \h </w:instrText>
            </w:r>
            <w:r w:rsidR="00B31A9F">
              <w:rPr>
                <w:noProof/>
                <w:webHidden/>
              </w:rPr>
            </w:r>
            <w:r w:rsidR="00B31A9F">
              <w:rPr>
                <w:noProof/>
                <w:webHidden/>
              </w:rPr>
              <w:fldChar w:fldCharType="separate"/>
            </w:r>
            <w:r w:rsidR="00B31A9F">
              <w:rPr>
                <w:noProof/>
                <w:webHidden/>
              </w:rPr>
              <w:t>3</w:t>
            </w:r>
            <w:r w:rsidR="00B31A9F">
              <w:rPr>
                <w:noProof/>
                <w:webHidden/>
              </w:rPr>
              <w:fldChar w:fldCharType="end"/>
            </w:r>
          </w:hyperlink>
        </w:p>
        <w:p w14:paraId="12259B43" w14:textId="741AE9BA" w:rsidR="00B31A9F" w:rsidRDefault="00B31A9F">
          <w:pPr>
            <w:pStyle w:val="TOC1"/>
            <w:tabs>
              <w:tab w:val="right" w:leader="dot" w:pos="9016"/>
            </w:tabs>
            <w:rPr>
              <w:rFonts w:eastAsiaTheme="minorEastAsia"/>
              <w:noProof/>
              <w:sz w:val="24"/>
              <w:szCs w:val="24"/>
              <w:lang w:eastAsia="en-GB"/>
            </w:rPr>
          </w:pPr>
          <w:hyperlink w:anchor="_Toc225551080" w:history="1">
            <w:r w:rsidRPr="00A032FE">
              <w:rPr>
                <w:rStyle w:val="Hyperlink"/>
                <w:noProof/>
              </w:rPr>
              <w:t>2. Factors Influencing Key HR Challenges</w:t>
            </w:r>
            <w:r>
              <w:rPr>
                <w:noProof/>
                <w:webHidden/>
              </w:rPr>
              <w:tab/>
            </w:r>
            <w:r>
              <w:rPr>
                <w:noProof/>
                <w:webHidden/>
              </w:rPr>
              <w:fldChar w:fldCharType="begin"/>
            </w:r>
            <w:r>
              <w:rPr>
                <w:noProof/>
                <w:webHidden/>
              </w:rPr>
              <w:instrText xml:space="preserve"> PAGEREF _Toc225551080 \h </w:instrText>
            </w:r>
            <w:r>
              <w:rPr>
                <w:noProof/>
                <w:webHidden/>
              </w:rPr>
            </w:r>
            <w:r>
              <w:rPr>
                <w:noProof/>
                <w:webHidden/>
              </w:rPr>
              <w:fldChar w:fldCharType="separate"/>
            </w:r>
            <w:r>
              <w:rPr>
                <w:noProof/>
                <w:webHidden/>
              </w:rPr>
              <w:t>3</w:t>
            </w:r>
            <w:r>
              <w:rPr>
                <w:noProof/>
                <w:webHidden/>
              </w:rPr>
              <w:fldChar w:fldCharType="end"/>
            </w:r>
          </w:hyperlink>
        </w:p>
        <w:p w14:paraId="47C2222C" w14:textId="69268788" w:rsidR="00B31A9F" w:rsidRDefault="00B31A9F">
          <w:pPr>
            <w:pStyle w:val="TOC2"/>
            <w:tabs>
              <w:tab w:val="right" w:leader="dot" w:pos="9016"/>
            </w:tabs>
            <w:rPr>
              <w:rFonts w:eastAsiaTheme="minorEastAsia"/>
              <w:noProof/>
              <w:sz w:val="24"/>
              <w:szCs w:val="24"/>
              <w:lang w:eastAsia="en-GB"/>
            </w:rPr>
          </w:pPr>
          <w:hyperlink w:anchor="_Toc225551081" w:history="1">
            <w:r w:rsidRPr="00A032FE">
              <w:rPr>
                <w:rStyle w:val="Hyperlink"/>
                <w:noProof/>
              </w:rPr>
              <w:t>2.1 Technological Advancement</w:t>
            </w:r>
            <w:r>
              <w:rPr>
                <w:noProof/>
                <w:webHidden/>
              </w:rPr>
              <w:tab/>
            </w:r>
            <w:r>
              <w:rPr>
                <w:noProof/>
                <w:webHidden/>
              </w:rPr>
              <w:fldChar w:fldCharType="begin"/>
            </w:r>
            <w:r>
              <w:rPr>
                <w:noProof/>
                <w:webHidden/>
              </w:rPr>
              <w:instrText xml:space="preserve"> PAGEREF _Toc225551081 \h </w:instrText>
            </w:r>
            <w:r>
              <w:rPr>
                <w:noProof/>
                <w:webHidden/>
              </w:rPr>
            </w:r>
            <w:r>
              <w:rPr>
                <w:noProof/>
                <w:webHidden/>
              </w:rPr>
              <w:fldChar w:fldCharType="separate"/>
            </w:r>
            <w:r>
              <w:rPr>
                <w:noProof/>
                <w:webHidden/>
              </w:rPr>
              <w:t>3</w:t>
            </w:r>
            <w:r>
              <w:rPr>
                <w:noProof/>
                <w:webHidden/>
              </w:rPr>
              <w:fldChar w:fldCharType="end"/>
            </w:r>
          </w:hyperlink>
        </w:p>
        <w:p w14:paraId="7DA5BABC" w14:textId="23CF1745" w:rsidR="00B31A9F" w:rsidRDefault="00B31A9F">
          <w:pPr>
            <w:pStyle w:val="TOC2"/>
            <w:tabs>
              <w:tab w:val="right" w:leader="dot" w:pos="9016"/>
            </w:tabs>
            <w:rPr>
              <w:rFonts w:eastAsiaTheme="minorEastAsia"/>
              <w:noProof/>
              <w:sz w:val="24"/>
              <w:szCs w:val="24"/>
              <w:lang w:eastAsia="en-GB"/>
            </w:rPr>
          </w:pPr>
          <w:hyperlink w:anchor="_Toc225551082" w:history="1">
            <w:r w:rsidRPr="00A032FE">
              <w:rPr>
                <w:rStyle w:val="Hyperlink"/>
                <w:noProof/>
              </w:rPr>
              <w:t>2.2 Talent Acquisition and Retention</w:t>
            </w:r>
            <w:r>
              <w:rPr>
                <w:noProof/>
                <w:webHidden/>
              </w:rPr>
              <w:tab/>
            </w:r>
            <w:r>
              <w:rPr>
                <w:noProof/>
                <w:webHidden/>
              </w:rPr>
              <w:fldChar w:fldCharType="begin"/>
            </w:r>
            <w:r>
              <w:rPr>
                <w:noProof/>
                <w:webHidden/>
              </w:rPr>
              <w:instrText xml:space="preserve"> PAGEREF _Toc225551082 \h </w:instrText>
            </w:r>
            <w:r>
              <w:rPr>
                <w:noProof/>
                <w:webHidden/>
              </w:rPr>
            </w:r>
            <w:r>
              <w:rPr>
                <w:noProof/>
                <w:webHidden/>
              </w:rPr>
              <w:fldChar w:fldCharType="separate"/>
            </w:r>
            <w:r>
              <w:rPr>
                <w:noProof/>
                <w:webHidden/>
              </w:rPr>
              <w:t>4</w:t>
            </w:r>
            <w:r>
              <w:rPr>
                <w:noProof/>
                <w:webHidden/>
              </w:rPr>
              <w:fldChar w:fldCharType="end"/>
            </w:r>
          </w:hyperlink>
        </w:p>
        <w:p w14:paraId="59F9CCCF" w14:textId="0ADD9CA9" w:rsidR="00B31A9F" w:rsidRDefault="00B31A9F">
          <w:pPr>
            <w:pStyle w:val="TOC2"/>
            <w:tabs>
              <w:tab w:val="right" w:leader="dot" w:pos="9016"/>
            </w:tabs>
            <w:rPr>
              <w:rFonts w:eastAsiaTheme="minorEastAsia"/>
              <w:noProof/>
              <w:sz w:val="24"/>
              <w:szCs w:val="24"/>
              <w:lang w:eastAsia="en-GB"/>
            </w:rPr>
          </w:pPr>
          <w:hyperlink w:anchor="_Toc225551083" w:history="1">
            <w:r w:rsidRPr="00A032FE">
              <w:rPr>
                <w:rStyle w:val="Hyperlink"/>
                <w:noProof/>
              </w:rPr>
              <w:t>2.3 Diversity, Equity, and Inclusion (DEI)</w:t>
            </w:r>
            <w:r>
              <w:rPr>
                <w:noProof/>
                <w:webHidden/>
              </w:rPr>
              <w:tab/>
            </w:r>
            <w:r>
              <w:rPr>
                <w:noProof/>
                <w:webHidden/>
              </w:rPr>
              <w:fldChar w:fldCharType="begin"/>
            </w:r>
            <w:r>
              <w:rPr>
                <w:noProof/>
                <w:webHidden/>
              </w:rPr>
              <w:instrText xml:space="preserve"> PAGEREF _Toc225551083 \h </w:instrText>
            </w:r>
            <w:r>
              <w:rPr>
                <w:noProof/>
                <w:webHidden/>
              </w:rPr>
            </w:r>
            <w:r>
              <w:rPr>
                <w:noProof/>
                <w:webHidden/>
              </w:rPr>
              <w:fldChar w:fldCharType="separate"/>
            </w:r>
            <w:r>
              <w:rPr>
                <w:noProof/>
                <w:webHidden/>
              </w:rPr>
              <w:t>4</w:t>
            </w:r>
            <w:r>
              <w:rPr>
                <w:noProof/>
                <w:webHidden/>
              </w:rPr>
              <w:fldChar w:fldCharType="end"/>
            </w:r>
          </w:hyperlink>
        </w:p>
        <w:p w14:paraId="5F330D9E" w14:textId="24DD08E2" w:rsidR="00B31A9F" w:rsidRDefault="00B31A9F">
          <w:pPr>
            <w:pStyle w:val="TOC1"/>
            <w:tabs>
              <w:tab w:val="right" w:leader="dot" w:pos="9016"/>
            </w:tabs>
            <w:rPr>
              <w:rFonts w:eastAsiaTheme="minorEastAsia"/>
              <w:noProof/>
              <w:sz w:val="24"/>
              <w:szCs w:val="24"/>
              <w:lang w:eastAsia="en-GB"/>
            </w:rPr>
          </w:pPr>
          <w:hyperlink w:anchor="_Toc225551084" w:history="1">
            <w:r w:rsidRPr="00A032FE">
              <w:rPr>
                <w:rStyle w:val="Hyperlink"/>
                <w:noProof/>
              </w:rPr>
              <w:t>3. Evaluation of Contemporary HR Practices</w:t>
            </w:r>
            <w:r>
              <w:rPr>
                <w:noProof/>
                <w:webHidden/>
              </w:rPr>
              <w:tab/>
            </w:r>
            <w:r>
              <w:rPr>
                <w:noProof/>
                <w:webHidden/>
              </w:rPr>
              <w:fldChar w:fldCharType="begin"/>
            </w:r>
            <w:r>
              <w:rPr>
                <w:noProof/>
                <w:webHidden/>
              </w:rPr>
              <w:instrText xml:space="preserve"> PAGEREF _Toc225551084 \h </w:instrText>
            </w:r>
            <w:r>
              <w:rPr>
                <w:noProof/>
                <w:webHidden/>
              </w:rPr>
            </w:r>
            <w:r>
              <w:rPr>
                <w:noProof/>
                <w:webHidden/>
              </w:rPr>
              <w:fldChar w:fldCharType="separate"/>
            </w:r>
            <w:r>
              <w:rPr>
                <w:noProof/>
                <w:webHidden/>
              </w:rPr>
              <w:t>5</w:t>
            </w:r>
            <w:r>
              <w:rPr>
                <w:noProof/>
                <w:webHidden/>
              </w:rPr>
              <w:fldChar w:fldCharType="end"/>
            </w:r>
          </w:hyperlink>
        </w:p>
        <w:p w14:paraId="449E603B" w14:textId="01B87E62" w:rsidR="00B31A9F" w:rsidRDefault="00B31A9F">
          <w:pPr>
            <w:pStyle w:val="TOC2"/>
            <w:tabs>
              <w:tab w:val="right" w:leader="dot" w:pos="9016"/>
            </w:tabs>
            <w:rPr>
              <w:rFonts w:eastAsiaTheme="minorEastAsia"/>
              <w:noProof/>
              <w:sz w:val="24"/>
              <w:szCs w:val="24"/>
              <w:lang w:eastAsia="en-GB"/>
            </w:rPr>
          </w:pPr>
          <w:hyperlink w:anchor="_Toc225551085" w:history="1">
            <w:r w:rsidRPr="00A032FE">
              <w:rPr>
                <w:rStyle w:val="Hyperlink"/>
                <w:noProof/>
              </w:rPr>
              <w:t>3.1 Technological Advancement Practices</w:t>
            </w:r>
            <w:r>
              <w:rPr>
                <w:noProof/>
                <w:webHidden/>
              </w:rPr>
              <w:tab/>
            </w:r>
            <w:r>
              <w:rPr>
                <w:noProof/>
                <w:webHidden/>
              </w:rPr>
              <w:fldChar w:fldCharType="begin"/>
            </w:r>
            <w:r>
              <w:rPr>
                <w:noProof/>
                <w:webHidden/>
              </w:rPr>
              <w:instrText xml:space="preserve"> PAGEREF _Toc225551085 \h </w:instrText>
            </w:r>
            <w:r>
              <w:rPr>
                <w:noProof/>
                <w:webHidden/>
              </w:rPr>
            </w:r>
            <w:r>
              <w:rPr>
                <w:noProof/>
                <w:webHidden/>
              </w:rPr>
              <w:fldChar w:fldCharType="separate"/>
            </w:r>
            <w:r>
              <w:rPr>
                <w:noProof/>
                <w:webHidden/>
              </w:rPr>
              <w:t>5</w:t>
            </w:r>
            <w:r>
              <w:rPr>
                <w:noProof/>
                <w:webHidden/>
              </w:rPr>
              <w:fldChar w:fldCharType="end"/>
            </w:r>
          </w:hyperlink>
        </w:p>
        <w:p w14:paraId="0ADE9E9D" w14:textId="16143041" w:rsidR="00B31A9F" w:rsidRDefault="00B31A9F">
          <w:pPr>
            <w:pStyle w:val="TOC2"/>
            <w:tabs>
              <w:tab w:val="right" w:leader="dot" w:pos="9016"/>
            </w:tabs>
            <w:rPr>
              <w:rFonts w:eastAsiaTheme="minorEastAsia"/>
              <w:noProof/>
              <w:sz w:val="24"/>
              <w:szCs w:val="24"/>
              <w:lang w:eastAsia="en-GB"/>
            </w:rPr>
          </w:pPr>
          <w:hyperlink w:anchor="_Toc225551086" w:history="1">
            <w:r w:rsidRPr="00A032FE">
              <w:rPr>
                <w:rStyle w:val="Hyperlink"/>
                <w:noProof/>
              </w:rPr>
              <w:t>3.2 Talent Acquisition and Retention Practices</w:t>
            </w:r>
            <w:r>
              <w:rPr>
                <w:noProof/>
                <w:webHidden/>
              </w:rPr>
              <w:tab/>
            </w:r>
            <w:r>
              <w:rPr>
                <w:noProof/>
                <w:webHidden/>
              </w:rPr>
              <w:fldChar w:fldCharType="begin"/>
            </w:r>
            <w:r>
              <w:rPr>
                <w:noProof/>
                <w:webHidden/>
              </w:rPr>
              <w:instrText xml:space="preserve"> PAGEREF _Toc225551086 \h </w:instrText>
            </w:r>
            <w:r>
              <w:rPr>
                <w:noProof/>
                <w:webHidden/>
              </w:rPr>
            </w:r>
            <w:r>
              <w:rPr>
                <w:noProof/>
                <w:webHidden/>
              </w:rPr>
              <w:fldChar w:fldCharType="separate"/>
            </w:r>
            <w:r>
              <w:rPr>
                <w:noProof/>
                <w:webHidden/>
              </w:rPr>
              <w:t>5</w:t>
            </w:r>
            <w:r>
              <w:rPr>
                <w:noProof/>
                <w:webHidden/>
              </w:rPr>
              <w:fldChar w:fldCharType="end"/>
            </w:r>
          </w:hyperlink>
        </w:p>
        <w:p w14:paraId="1977A516" w14:textId="537AEA35" w:rsidR="00B31A9F" w:rsidRDefault="00B31A9F">
          <w:pPr>
            <w:pStyle w:val="TOC2"/>
            <w:tabs>
              <w:tab w:val="right" w:leader="dot" w:pos="9016"/>
            </w:tabs>
            <w:rPr>
              <w:rFonts w:eastAsiaTheme="minorEastAsia"/>
              <w:noProof/>
              <w:sz w:val="24"/>
              <w:szCs w:val="24"/>
              <w:lang w:eastAsia="en-GB"/>
            </w:rPr>
          </w:pPr>
          <w:hyperlink w:anchor="_Toc225551087" w:history="1">
            <w:r w:rsidRPr="00A032FE">
              <w:rPr>
                <w:rStyle w:val="Hyperlink"/>
                <w:noProof/>
              </w:rPr>
              <w:t>3.3 DEI Practices</w:t>
            </w:r>
            <w:r>
              <w:rPr>
                <w:noProof/>
                <w:webHidden/>
              </w:rPr>
              <w:tab/>
            </w:r>
            <w:r>
              <w:rPr>
                <w:noProof/>
                <w:webHidden/>
              </w:rPr>
              <w:fldChar w:fldCharType="begin"/>
            </w:r>
            <w:r>
              <w:rPr>
                <w:noProof/>
                <w:webHidden/>
              </w:rPr>
              <w:instrText xml:space="preserve"> PAGEREF _Toc225551087 \h </w:instrText>
            </w:r>
            <w:r>
              <w:rPr>
                <w:noProof/>
                <w:webHidden/>
              </w:rPr>
            </w:r>
            <w:r>
              <w:rPr>
                <w:noProof/>
                <w:webHidden/>
              </w:rPr>
              <w:fldChar w:fldCharType="separate"/>
            </w:r>
            <w:r>
              <w:rPr>
                <w:noProof/>
                <w:webHidden/>
              </w:rPr>
              <w:t>6</w:t>
            </w:r>
            <w:r>
              <w:rPr>
                <w:noProof/>
                <w:webHidden/>
              </w:rPr>
              <w:fldChar w:fldCharType="end"/>
            </w:r>
          </w:hyperlink>
        </w:p>
        <w:p w14:paraId="1E04EB60" w14:textId="6B8D5AA7" w:rsidR="00B31A9F" w:rsidRDefault="00B31A9F">
          <w:pPr>
            <w:pStyle w:val="TOC1"/>
            <w:tabs>
              <w:tab w:val="right" w:leader="dot" w:pos="9016"/>
            </w:tabs>
            <w:rPr>
              <w:rFonts w:eastAsiaTheme="minorEastAsia"/>
              <w:noProof/>
              <w:sz w:val="24"/>
              <w:szCs w:val="24"/>
              <w:lang w:eastAsia="en-GB"/>
            </w:rPr>
          </w:pPr>
          <w:hyperlink w:anchor="_Toc225551088" w:history="1">
            <w:r w:rsidRPr="00A032FE">
              <w:rPr>
                <w:rStyle w:val="Hyperlink"/>
                <w:noProof/>
              </w:rPr>
              <w:t>4. Role of Departmental Managers</w:t>
            </w:r>
            <w:r>
              <w:rPr>
                <w:noProof/>
                <w:webHidden/>
              </w:rPr>
              <w:tab/>
            </w:r>
            <w:r>
              <w:rPr>
                <w:noProof/>
                <w:webHidden/>
              </w:rPr>
              <w:fldChar w:fldCharType="begin"/>
            </w:r>
            <w:r>
              <w:rPr>
                <w:noProof/>
                <w:webHidden/>
              </w:rPr>
              <w:instrText xml:space="preserve"> PAGEREF _Toc225551088 \h </w:instrText>
            </w:r>
            <w:r>
              <w:rPr>
                <w:noProof/>
                <w:webHidden/>
              </w:rPr>
            </w:r>
            <w:r>
              <w:rPr>
                <w:noProof/>
                <w:webHidden/>
              </w:rPr>
              <w:fldChar w:fldCharType="separate"/>
            </w:r>
            <w:r>
              <w:rPr>
                <w:noProof/>
                <w:webHidden/>
              </w:rPr>
              <w:t>6</w:t>
            </w:r>
            <w:r>
              <w:rPr>
                <w:noProof/>
                <w:webHidden/>
              </w:rPr>
              <w:fldChar w:fldCharType="end"/>
            </w:r>
          </w:hyperlink>
        </w:p>
        <w:p w14:paraId="3DC6860F" w14:textId="0B6DACF2" w:rsidR="00B31A9F" w:rsidRDefault="00B31A9F">
          <w:pPr>
            <w:pStyle w:val="TOC1"/>
            <w:tabs>
              <w:tab w:val="right" w:leader="dot" w:pos="9016"/>
            </w:tabs>
            <w:rPr>
              <w:rFonts w:eastAsiaTheme="minorEastAsia"/>
              <w:noProof/>
              <w:sz w:val="24"/>
              <w:szCs w:val="24"/>
              <w:lang w:eastAsia="en-GB"/>
            </w:rPr>
          </w:pPr>
          <w:hyperlink w:anchor="_Toc225551089" w:history="1">
            <w:r w:rsidRPr="00A032FE">
              <w:rPr>
                <w:rStyle w:val="Hyperlink"/>
                <w:noProof/>
              </w:rPr>
              <w:t>5. Conclusion and Recommendations</w:t>
            </w:r>
            <w:r>
              <w:rPr>
                <w:noProof/>
                <w:webHidden/>
              </w:rPr>
              <w:tab/>
            </w:r>
            <w:r>
              <w:rPr>
                <w:noProof/>
                <w:webHidden/>
              </w:rPr>
              <w:fldChar w:fldCharType="begin"/>
            </w:r>
            <w:r>
              <w:rPr>
                <w:noProof/>
                <w:webHidden/>
              </w:rPr>
              <w:instrText xml:space="preserve"> PAGEREF _Toc225551089 \h </w:instrText>
            </w:r>
            <w:r>
              <w:rPr>
                <w:noProof/>
                <w:webHidden/>
              </w:rPr>
            </w:r>
            <w:r>
              <w:rPr>
                <w:noProof/>
                <w:webHidden/>
              </w:rPr>
              <w:fldChar w:fldCharType="separate"/>
            </w:r>
            <w:r>
              <w:rPr>
                <w:noProof/>
                <w:webHidden/>
              </w:rPr>
              <w:t>7</w:t>
            </w:r>
            <w:r>
              <w:rPr>
                <w:noProof/>
                <w:webHidden/>
              </w:rPr>
              <w:fldChar w:fldCharType="end"/>
            </w:r>
          </w:hyperlink>
        </w:p>
        <w:p w14:paraId="0411D288" w14:textId="0406C7C2" w:rsidR="00B31A9F" w:rsidRDefault="00B31A9F">
          <w:pPr>
            <w:pStyle w:val="TOC1"/>
            <w:tabs>
              <w:tab w:val="right" w:leader="dot" w:pos="9016"/>
            </w:tabs>
            <w:rPr>
              <w:rFonts w:eastAsiaTheme="minorEastAsia"/>
              <w:noProof/>
              <w:sz w:val="24"/>
              <w:szCs w:val="24"/>
              <w:lang w:eastAsia="en-GB"/>
            </w:rPr>
          </w:pPr>
          <w:hyperlink w:anchor="_Toc225551090" w:history="1">
            <w:r w:rsidRPr="00A032FE">
              <w:rPr>
                <w:rStyle w:val="Hyperlink"/>
                <w:noProof/>
              </w:rPr>
              <w:t>References</w:t>
            </w:r>
            <w:r>
              <w:rPr>
                <w:noProof/>
                <w:webHidden/>
              </w:rPr>
              <w:tab/>
            </w:r>
            <w:r>
              <w:rPr>
                <w:noProof/>
                <w:webHidden/>
              </w:rPr>
              <w:fldChar w:fldCharType="begin"/>
            </w:r>
            <w:r>
              <w:rPr>
                <w:noProof/>
                <w:webHidden/>
              </w:rPr>
              <w:instrText xml:space="preserve"> PAGEREF _Toc225551090 \h </w:instrText>
            </w:r>
            <w:r>
              <w:rPr>
                <w:noProof/>
                <w:webHidden/>
              </w:rPr>
            </w:r>
            <w:r>
              <w:rPr>
                <w:noProof/>
                <w:webHidden/>
              </w:rPr>
              <w:fldChar w:fldCharType="separate"/>
            </w:r>
            <w:r>
              <w:rPr>
                <w:noProof/>
                <w:webHidden/>
              </w:rPr>
              <w:t>8</w:t>
            </w:r>
            <w:r>
              <w:rPr>
                <w:noProof/>
                <w:webHidden/>
              </w:rPr>
              <w:fldChar w:fldCharType="end"/>
            </w:r>
          </w:hyperlink>
        </w:p>
        <w:p w14:paraId="3AC66028" w14:textId="4D582F27" w:rsidR="00B31A9F" w:rsidRDefault="00B31A9F">
          <w:pPr>
            <w:pStyle w:val="TOC1"/>
            <w:tabs>
              <w:tab w:val="right" w:leader="dot" w:pos="9016"/>
            </w:tabs>
            <w:rPr>
              <w:rFonts w:eastAsiaTheme="minorEastAsia"/>
              <w:noProof/>
              <w:sz w:val="24"/>
              <w:szCs w:val="24"/>
              <w:lang w:eastAsia="en-GB"/>
            </w:rPr>
          </w:pPr>
          <w:hyperlink w:anchor="_Toc225551091" w:history="1">
            <w:r w:rsidRPr="00A032FE">
              <w:rPr>
                <w:rStyle w:val="Hyperlink"/>
                <w:noProof/>
              </w:rPr>
              <w:t>Appendix 1:</w:t>
            </w:r>
            <w:r>
              <w:rPr>
                <w:noProof/>
                <w:webHidden/>
              </w:rPr>
              <w:tab/>
            </w:r>
            <w:r>
              <w:rPr>
                <w:noProof/>
                <w:webHidden/>
              </w:rPr>
              <w:fldChar w:fldCharType="begin"/>
            </w:r>
            <w:r>
              <w:rPr>
                <w:noProof/>
                <w:webHidden/>
              </w:rPr>
              <w:instrText xml:space="preserve"> PAGEREF _Toc225551091 \h </w:instrText>
            </w:r>
            <w:r>
              <w:rPr>
                <w:noProof/>
                <w:webHidden/>
              </w:rPr>
            </w:r>
            <w:r>
              <w:rPr>
                <w:noProof/>
                <w:webHidden/>
              </w:rPr>
              <w:fldChar w:fldCharType="separate"/>
            </w:r>
            <w:r>
              <w:rPr>
                <w:noProof/>
                <w:webHidden/>
              </w:rPr>
              <w:t>9</w:t>
            </w:r>
            <w:r>
              <w:rPr>
                <w:noProof/>
                <w:webHidden/>
              </w:rPr>
              <w:fldChar w:fldCharType="end"/>
            </w:r>
          </w:hyperlink>
        </w:p>
        <w:p w14:paraId="7DC9322F" w14:textId="6763B393" w:rsidR="00D94A44" w:rsidRDefault="00D94A44">
          <w:r>
            <w:rPr>
              <w:b/>
              <w:bCs/>
            </w:rPr>
            <w:fldChar w:fldCharType="end"/>
          </w:r>
        </w:p>
      </w:sdtContent>
    </w:sdt>
    <w:p w14:paraId="0C267211" w14:textId="77777777" w:rsidR="00E06EFB" w:rsidRDefault="00E06EFB"/>
    <w:p w14:paraId="2F8284E6" w14:textId="77777777" w:rsidR="00E06EFB" w:rsidRDefault="00E06EFB"/>
    <w:p w14:paraId="24713A30" w14:textId="77777777" w:rsidR="00E06EFB" w:rsidRDefault="00E06EFB"/>
    <w:p w14:paraId="619B0DED" w14:textId="77777777" w:rsidR="00E06EFB" w:rsidRDefault="00E06EFB"/>
    <w:p w14:paraId="7A454B91" w14:textId="77777777" w:rsidR="00E06EFB" w:rsidRDefault="00E06EFB"/>
    <w:p w14:paraId="3E094912" w14:textId="77777777" w:rsidR="00E06EFB" w:rsidRDefault="00E06EFB"/>
    <w:p w14:paraId="473C9673" w14:textId="77777777" w:rsidR="00E06EFB" w:rsidRDefault="00E06EFB"/>
    <w:p w14:paraId="024BA5DF" w14:textId="77777777" w:rsidR="00E06EFB" w:rsidRDefault="00E06EFB"/>
    <w:p w14:paraId="15EE700D" w14:textId="77777777" w:rsidR="00E06EFB" w:rsidRDefault="00E06EFB"/>
    <w:p w14:paraId="6E7A827B" w14:textId="77777777" w:rsidR="00E06EFB" w:rsidRDefault="00E06EFB"/>
    <w:p w14:paraId="49EA8E52" w14:textId="77777777" w:rsidR="00E06EFB" w:rsidRDefault="00E06EFB"/>
    <w:p w14:paraId="553B9E5D" w14:textId="77777777" w:rsidR="00E06EFB" w:rsidRDefault="00E06EFB"/>
    <w:p w14:paraId="4318F188" w14:textId="77777777" w:rsidR="00E06EFB" w:rsidRDefault="00E06EFB"/>
    <w:p w14:paraId="4EABD0B1" w14:textId="77777777" w:rsidR="00E06EFB" w:rsidRDefault="00E06EFB"/>
    <w:p w14:paraId="20FC0563" w14:textId="77777777" w:rsidR="00E06EFB" w:rsidRDefault="00E06EFB"/>
    <w:p w14:paraId="3C97E09E" w14:textId="77777777" w:rsidR="00E06EFB" w:rsidRDefault="00E06EFB"/>
    <w:p w14:paraId="36BEE3F0" w14:textId="77777777" w:rsidR="00E06EFB" w:rsidRDefault="00E06EFB"/>
    <w:p w14:paraId="67332364" w14:textId="77777777" w:rsidR="00E06EFB" w:rsidRDefault="00E06EFB"/>
    <w:p w14:paraId="2B5DFFCE" w14:textId="77777777" w:rsidR="00E06EFB" w:rsidRDefault="00E06EFB" w:rsidP="00E06EFB">
      <w:pPr>
        <w:rPr>
          <w:b/>
          <w:bCs/>
          <w:sz w:val="28"/>
          <w:szCs w:val="28"/>
        </w:rPr>
      </w:pPr>
    </w:p>
    <w:p w14:paraId="5859C1E5" w14:textId="5447409C" w:rsidR="00E06EFB" w:rsidRPr="00E06EFB" w:rsidRDefault="00E06EFB" w:rsidP="00D94A44">
      <w:pPr>
        <w:pStyle w:val="Heading1"/>
      </w:pPr>
      <w:bookmarkStart w:id="0" w:name="_Toc225551079"/>
      <w:r w:rsidRPr="00E06EFB">
        <w:t>1. Introduction</w:t>
      </w:r>
      <w:bookmarkEnd w:id="0"/>
      <w:r w:rsidRPr="00E06EFB">
        <w:t xml:space="preserve"> </w:t>
      </w:r>
    </w:p>
    <w:p w14:paraId="1D264578" w14:textId="73BEB4D4" w:rsidR="00E06EFB" w:rsidRPr="00E06EFB" w:rsidRDefault="00E06EFB" w:rsidP="00E06EFB">
      <w:pPr>
        <w:rPr>
          <w:rFonts w:ascii="Arial" w:hAnsi="Arial" w:cs="Arial"/>
        </w:rPr>
      </w:pPr>
      <w:r w:rsidRPr="00E06EFB">
        <w:rPr>
          <w:rFonts w:ascii="Arial" w:hAnsi="Arial" w:cs="Arial"/>
        </w:rPr>
        <w:t>In the contemporary business environment, organisations must continuously adapt to rapid technological, economic, and social changes to remain competitive. Human Resource Management (HRM) plays a pivotal role in enabling organisations to respond effectively to these challenges by managing workforce capabilities, engagement, and organisational culture. This report focuses on Asda, one of the largest retail organisations in the United Kingdom, operating over 1,000 stores and serving millions of customers weekly.</w:t>
      </w:r>
    </w:p>
    <w:p w14:paraId="22A21EE9" w14:textId="762C3055" w:rsidR="00E06EFB" w:rsidRPr="00E06EFB" w:rsidRDefault="00E06EFB" w:rsidP="00E06EFB">
      <w:pPr>
        <w:rPr>
          <w:rFonts w:ascii="Arial" w:hAnsi="Arial" w:cs="Arial"/>
        </w:rPr>
      </w:pPr>
      <w:r w:rsidRPr="00E06EFB">
        <w:rPr>
          <w:rFonts w:ascii="Arial" w:hAnsi="Arial" w:cs="Arial"/>
        </w:rPr>
        <w:t>Asda’s success relies heavily on its workforce, particularly frontline employees who directly influence customer satisfaction and operational efficiency. As highlighted in previous analysis, recruitment, training, and development are central to ensuring the right individuals are placed in appropriate roles, thereby enhancing performance and reducing turnover (Armstrong and Taylor, 2023). However, like many large retail organisations, Asda faces several contemporary HR challenges that require strategic intervention.</w:t>
      </w:r>
    </w:p>
    <w:p w14:paraId="539CE444" w14:textId="18472EE2" w:rsidR="00E06EFB" w:rsidRPr="00E06EFB" w:rsidRDefault="00E06EFB" w:rsidP="00E06EFB">
      <w:pPr>
        <w:rPr>
          <w:rFonts w:ascii="Arial" w:hAnsi="Arial" w:cs="Arial"/>
        </w:rPr>
      </w:pPr>
      <w:r w:rsidRPr="00E06EFB">
        <w:rPr>
          <w:rFonts w:ascii="Arial" w:hAnsi="Arial" w:cs="Arial"/>
        </w:rPr>
        <w:t>This report examines three critical HR issues: adapting to technological advancements, talent acquisition and retention, and Diversity, Equity, and Inclusion (DEI). These factors are increasingly significant as organisations navigate digital transformation, changing workforce expectations, and the need for inclusive workplaces.</w:t>
      </w:r>
    </w:p>
    <w:p w14:paraId="2777AF68" w14:textId="44EDD986" w:rsidR="00E06EFB" w:rsidRDefault="00E06EFB" w:rsidP="00E06EFB">
      <w:pPr>
        <w:rPr>
          <w:rFonts w:ascii="Arial" w:hAnsi="Arial" w:cs="Arial"/>
        </w:rPr>
      </w:pPr>
      <w:r w:rsidRPr="00E06EFB">
        <w:rPr>
          <w:rFonts w:ascii="Arial" w:hAnsi="Arial" w:cs="Arial"/>
        </w:rPr>
        <w:t>The report is structured into three main sections. The first section explains the key factors influencing these HR challenges within Asda. The second section evaluates contemporary HR practices designed to address these issues. The third section critically assesses the role of departmental managers in ensuring the urgent and effective implementation of these practices. The report concludes with practical recommendations aimed at strengthening HR strategies and improving organisational outcomes.</w:t>
      </w:r>
    </w:p>
    <w:p w14:paraId="7FBD7080" w14:textId="77777777" w:rsidR="00E06EFB" w:rsidRDefault="00E06EFB" w:rsidP="00E06EFB">
      <w:pPr>
        <w:rPr>
          <w:rFonts w:ascii="Arial" w:hAnsi="Arial" w:cs="Arial"/>
        </w:rPr>
      </w:pPr>
    </w:p>
    <w:p w14:paraId="71C38C09" w14:textId="7CFDC1D2" w:rsidR="00E06EFB" w:rsidRDefault="00E06EFB" w:rsidP="00D94A44">
      <w:pPr>
        <w:pStyle w:val="Heading1"/>
      </w:pPr>
      <w:bookmarkStart w:id="1" w:name="_Toc225551080"/>
      <w:r w:rsidRPr="00E06EFB">
        <w:t>2. Factors Influencing Key HR Challenges</w:t>
      </w:r>
      <w:bookmarkEnd w:id="1"/>
    </w:p>
    <w:p w14:paraId="1CCE8EC4" w14:textId="55E112CA" w:rsidR="00E06EFB" w:rsidRPr="00E06EFB" w:rsidRDefault="00E06EFB" w:rsidP="00D94A44">
      <w:pPr>
        <w:pStyle w:val="Heading2"/>
      </w:pPr>
      <w:bookmarkStart w:id="2" w:name="_Toc225551081"/>
      <w:r w:rsidRPr="00E06EFB">
        <w:t>2.1 Technological Advancement</w:t>
      </w:r>
      <w:bookmarkEnd w:id="2"/>
    </w:p>
    <w:p w14:paraId="49525389" w14:textId="2028BCD6" w:rsidR="00E06EFB" w:rsidRPr="00E06EFB" w:rsidRDefault="00E06EFB" w:rsidP="00E06EFB">
      <w:pPr>
        <w:rPr>
          <w:rFonts w:ascii="Arial" w:hAnsi="Arial" w:cs="Arial"/>
        </w:rPr>
      </w:pPr>
      <w:r w:rsidRPr="00E06EFB">
        <w:rPr>
          <w:rFonts w:ascii="Arial" w:hAnsi="Arial" w:cs="Arial"/>
        </w:rPr>
        <w:t>Technological advancement is a major factor shaping HR practices in the retail sector. Asda has increasingly adopted digital technologies such as self-service checkouts, online shopping platforms, and automated supply chain systems. These developments require employees to acquire new technical skills and adapt to changing job roles.</w:t>
      </w:r>
    </w:p>
    <w:p w14:paraId="3EC4D4E9" w14:textId="77777777" w:rsidR="00E06EFB" w:rsidRDefault="00E06EFB" w:rsidP="00E06EFB">
      <w:pPr>
        <w:rPr>
          <w:rFonts w:ascii="Arial" w:hAnsi="Arial" w:cs="Arial"/>
        </w:rPr>
      </w:pPr>
      <w:r w:rsidRPr="00E06EFB">
        <w:rPr>
          <w:rFonts w:ascii="Arial" w:hAnsi="Arial" w:cs="Arial"/>
        </w:rPr>
        <w:t>One key factor is digital transformation, which involves integrating technology into all aspects of business operations. This transformation requires continuous employee training and development to ensure staff can effectively use digital tools (CIPD, 2023). Additionally, automation can lead to job redesign, potentially creating uncertainty and resistance among employees who fear job displacement.</w:t>
      </w:r>
    </w:p>
    <w:p w14:paraId="21221FC1" w14:textId="20858ED2" w:rsidR="00E06EFB" w:rsidRPr="00E06EFB" w:rsidRDefault="00E06EFB" w:rsidP="00E06EFB">
      <w:pPr>
        <w:rPr>
          <w:rFonts w:ascii="Arial" w:hAnsi="Arial" w:cs="Arial"/>
        </w:rPr>
      </w:pPr>
      <w:r w:rsidRPr="00E06EFB">
        <w:rPr>
          <w:rFonts w:ascii="Arial" w:hAnsi="Arial" w:cs="Arial"/>
        </w:rPr>
        <w:t xml:space="preserve">Another important factor is the use of data analytics in HR decision-making. HR analytics enables organisations to monitor employee performance, predict turnover, and improve </w:t>
      </w:r>
      <w:r w:rsidRPr="00E06EFB">
        <w:rPr>
          <w:rFonts w:ascii="Arial" w:hAnsi="Arial" w:cs="Arial"/>
        </w:rPr>
        <w:lastRenderedPageBreak/>
        <w:t>recruitment strategies. However, implementing such systems requires significant investment and specialised skills.</w:t>
      </w:r>
    </w:p>
    <w:p w14:paraId="0B5870FA" w14:textId="3528FF83" w:rsidR="00E06EFB" w:rsidRDefault="00E06EFB" w:rsidP="00E06EFB">
      <w:pPr>
        <w:rPr>
          <w:rFonts w:ascii="Arial" w:hAnsi="Arial" w:cs="Arial"/>
        </w:rPr>
      </w:pPr>
      <w:r w:rsidRPr="00E06EFB">
        <w:rPr>
          <w:rFonts w:ascii="Arial" w:hAnsi="Arial" w:cs="Arial"/>
        </w:rPr>
        <w:t>Furthermore, cybersecurity and data protection have become critical concerns. Employees must be trained to handle sensitive information responsibly, particularly in a retail environment where customer data is frequently processed.</w:t>
      </w:r>
    </w:p>
    <w:p w14:paraId="13727F26" w14:textId="77777777" w:rsidR="00E06EFB" w:rsidRDefault="00E06EFB" w:rsidP="00E06EFB">
      <w:pPr>
        <w:rPr>
          <w:rFonts w:ascii="Arial" w:hAnsi="Arial" w:cs="Arial"/>
        </w:rPr>
      </w:pPr>
    </w:p>
    <w:p w14:paraId="7FDCACC8" w14:textId="2A849B2A" w:rsidR="00E06EFB" w:rsidRPr="00E06EFB" w:rsidRDefault="00E06EFB" w:rsidP="00D94A44">
      <w:pPr>
        <w:pStyle w:val="Heading2"/>
      </w:pPr>
      <w:bookmarkStart w:id="3" w:name="_Toc225551082"/>
      <w:r w:rsidRPr="00E06EFB">
        <w:t>2.2 Talent Acquisition and Retention</w:t>
      </w:r>
      <w:bookmarkEnd w:id="3"/>
    </w:p>
    <w:p w14:paraId="7AEDA638" w14:textId="3C41633D" w:rsidR="00E06EFB" w:rsidRPr="00E06EFB" w:rsidRDefault="00E06EFB" w:rsidP="00E06EFB">
      <w:pPr>
        <w:rPr>
          <w:rFonts w:ascii="Arial" w:hAnsi="Arial" w:cs="Arial"/>
        </w:rPr>
      </w:pPr>
      <w:r w:rsidRPr="00E06EFB">
        <w:rPr>
          <w:rFonts w:ascii="Arial" w:hAnsi="Arial" w:cs="Arial"/>
        </w:rPr>
        <w:t>Talent acquisition and retention remain significant challenges for Asda due to high turnover rates commonly associated with the retail sector. Recruiting suitable candidates is essential for maintaining service quality and operational efficiency (Armstrong and Taylor, 2023).</w:t>
      </w:r>
    </w:p>
    <w:p w14:paraId="6F0FEB9C" w14:textId="3388F1DA" w:rsidR="00E06EFB" w:rsidRPr="00E06EFB" w:rsidRDefault="00E06EFB" w:rsidP="00E06EFB">
      <w:pPr>
        <w:rPr>
          <w:rFonts w:ascii="Arial" w:hAnsi="Arial" w:cs="Arial"/>
        </w:rPr>
      </w:pPr>
      <w:r w:rsidRPr="00E06EFB">
        <w:rPr>
          <w:rFonts w:ascii="Arial" w:hAnsi="Arial" w:cs="Arial"/>
        </w:rPr>
        <w:t>One key factor influencing talent acquisition is labour market competition. Organisations compete for skilled employees, particularly those with digital competencies and leadership potential. As a result, Asda must offer competitive salaries, benefits, and career development opportunities to attract talent.</w:t>
      </w:r>
    </w:p>
    <w:p w14:paraId="23C1076F" w14:textId="27B3181B" w:rsidR="00E06EFB" w:rsidRPr="00E06EFB" w:rsidRDefault="00E06EFB" w:rsidP="00E06EFB">
      <w:pPr>
        <w:rPr>
          <w:rFonts w:ascii="Arial" w:hAnsi="Arial" w:cs="Arial"/>
        </w:rPr>
      </w:pPr>
      <w:r w:rsidRPr="00E06EFB">
        <w:rPr>
          <w:rFonts w:ascii="Arial" w:hAnsi="Arial" w:cs="Arial"/>
        </w:rPr>
        <w:t>Employee expectations have also evolved, with individuals seeking flexible working arrangements, career progression, and a positive work-life balance. Failure to meet these expectations can result in decreased employee satisfaction and increased turnover (CIPD, 2023).</w:t>
      </w:r>
    </w:p>
    <w:p w14:paraId="2867E9BD" w14:textId="3F470597" w:rsidR="00E06EFB" w:rsidRDefault="00E06EFB" w:rsidP="00E06EFB">
      <w:pPr>
        <w:rPr>
          <w:rFonts w:ascii="Arial" w:hAnsi="Arial" w:cs="Arial"/>
        </w:rPr>
      </w:pPr>
      <w:r w:rsidRPr="00E06EFB">
        <w:rPr>
          <w:rFonts w:ascii="Arial" w:hAnsi="Arial" w:cs="Arial"/>
        </w:rPr>
        <w:t>Additionally, employee engagement plays a crucial role in retention. Factors such as recognition, management support, and workplace culture significantly influence employees’ decisions to remain within an organisation. Poor management practices and limited development opportunities can lead to dissatisfaction and high turnover rates.</w:t>
      </w:r>
    </w:p>
    <w:p w14:paraId="3BBCDC16" w14:textId="77777777" w:rsidR="00E06EFB" w:rsidRDefault="00E06EFB" w:rsidP="00E06EFB">
      <w:pPr>
        <w:rPr>
          <w:rFonts w:ascii="Arial" w:hAnsi="Arial" w:cs="Arial"/>
        </w:rPr>
      </w:pPr>
    </w:p>
    <w:p w14:paraId="60BF3D36" w14:textId="171FC2C9" w:rsidR="00E06EFB" w:rsidRPr="00E06EFB" w:rsidRDefault="00E06EFB" w:rsidP="00D94A44">
      <w:pPr>
        <w:pStyle w:val="Heading2"/>
      </w:pPr>
      <w:bookmarkStart w:id="4" w:name="_Toc225551083"/>
      <w:r w:rsidRPr="00E06EFB">
        <w:t>2.3 Diversity, Equity, and Inclusion (DEI)</w:t>
      </w:r>
      <w:bookmarkEnd w:id="4"/>
    </w:p>
    <w:p w14:paraId="3933AF35" w14:textId="388049B9" w:rsidR="00E06EFB" w:rsidRPr="00E06EFB" w:rsidRDefault="00E06EFB" w:rsidP="00E06EFB">
      <w:pPr>
        <w:rPr>
          <w:rFonts w:ascii="Arial" w:hAnsi="Arial" w:cs="Arial"/>
        </w:rPr>
      </w:pPr>
      <w:r w:rsidRPr="00E06EFB">
        <w:rPr>
          <w:rFonts w:ascii="Arial" w:hAnsi="Arial" w:cs="Arial"/>
        </w:rPr>
        <w:t>Diversity, Equity, and Inclusion (DEI) are critical components of modern HR strategies. Asda operates in a diverse society and employs individuals from various cultural, social, and demographic backgrounds.</w:t>
      </w:r>
    </w:p>
    <w:p w14:paraId="2A1A554E" w14:textId="2C991A98" w:rsidR="00E06EFB" w:rsidRPr="00E06EFB" w:rsidRDefault="00E06EFB" w:rsidP="00E06EFB">
      <w:pPr>
        <w:rPr>
          <w:rFonts w:ascii="Arial" w:hAnsi="Arial" w:cs="Arial"/>
        </w:rPr>
      </w:pPr>
      <w:r w:rsidRPr="00E06EFB">
        <w:rPr>
          <w:rFonts w:ascii="Arial" w:hAnsi="Arial" w:cs="Arial"/>
        </w:rPr>
        <w:t>One key factor is compliance with UK equality legislation, which requires organisations to promote equal opportunities and prevent discrimination (Equality Act 2010). Failure to adhere to these regulations can result in legal consequences and reputational damage.</w:t>
      </w:r>
    </w:p>
    <w:p w14:paraId="024EEA5E" w14:textId="089E11A3" w:rsidR="00E06EFB" w:rsidRPr="00E06EFB" w:rsidRDefault="00E06EFB" w:rsidP="00E06EFB">
      <w:pPr>
        <w:rPr>
          <w:rFonts w:ascii="Arial" w:hAnsi="Arial" w:cs="Arial"/>
        </w:rPr>
      </w:pPr>
      <w:r w:rsidRPr="00E06EFB">
        <w:rPr>
          <w:rFonts w:ascii="Arial" w:hAnsi="Arial" w:cs="Arial"/>
        </w:rPr>
        <w:t>Workforce diversity is another important factor. Diverse teams bring different perspectives, which can enhance creativity and decision-making. However, managing diversity effectively requires inclusive leadership and organisational commitment.</w:t>
      </w:r>
    </w:p>
    <w:p w14:paraId="4C4BCBEF" w14:textId="2881D046" w:rsidR="00E06EFB" w:rsidRDefault="00E06EFB" w:rsidP="00E06EFB">
      <w:pPr>
        <w:rPr>
          <w:rFonts w:ascii="Arial" w:hAnsi="Arial" w:cs="Arial"/>
        </w:rPr>
      </w:pPr>
      <w:r w:rsidRPr="00E06EFB">
        <w:rPr>
          <w:rFonts w:ascii="Arial" w:hAnsi="Arial" w:cs="Arial"/>
        </w:rPr>
        <w:t>Equity and inclusion go beyond diversity by ensuring fair treatment and equal access to opportunities. Employees must feel valued and respected regardless of their background. Inclusive workplaces contribute to higher employee engagement, improved performance, and better organisational outcomes (Shore et al., 2018).</w:t>
      </w:r>
    </w:p>
    <w:p w14:paraId="21FABABB" w14:textId="77777777" w:rsidR="00E06EFB" w:rsidRDefault="00E06EFB" w:rsidP="00E06EFB">
      <w:pPr>
        <w:rPr>
          <w:rFonts w:ascii="Arial" w:hAnsi="Arial" w:cs="Arial"/>
        </w:rPr>
      </w:pPr>
    </w:p>
    <w:p w14:paraId="2768D72C" w14:textId="77777777" w:rsidR="00D94A44" w:rsidRDefault="00D94A44" w:rsidP="00E06EFB">
      <w:pPr>
        <w:rPr>
          <w:rFonts w:ascii="Arial" w:hAnsi="Arial" w:cs="Arial"/>
        </w:rPr>
      </w:pPr>
    </w:p>
    <w:p w14:paraId="167CEAF0" w14:textId="56A50E12" w:rsidR="00E06EFB" w:rsidRDefault="00E06EFB" w:rsidP="00D94A44">
      <w:pPr>
        <w:pStyle w:val="Heading1"/>
      </w:pPr>
      <w:bookmarkStart w:id="5" w:name="_Toc225551084"/>
      <w:r w:rsidRPr="00E06EFB">
        <w:lastRenderedPageBreak/>
        <w:t>3. Evaluation of Contemporary HR Practices</w:t>
      </w:r>
      <w:bookmarkEnd w:id="5"/>
    </w:p>
    <w:p w14:paraId="7F9A1C3C" w14:textId="2B6750CA" w:rsidR="006066FE" w:rsidRPr="006066FE" w:rsidRDefault="006066FE" w:rsidP="00D94A44">
      <w:pPr>
        <w:pStyle w:val="Heading2"/>
      </w:pPr>
      <w:bookmarkStart w:id="6" w:name="_Toc225551085"/>
      <w:r w:rsidRPr="006066FE">
        <w:t>3.1 Technological Advancement Practices</w:t>
      </w:r>
      <w:bookmarkEnd w:id="6"/>
    </w:p>
    <w:p w14:paraId="0F112345" w14:textId="0ABE519B" w:rsidR="006066FE" w:rsidRPr="006066FE" w:rsidRDefault="006066FE" w:rsidP="006066FE">
      <w:pPr>
        <w:rPr>
          <w:rFonts w:ascii="Arial" w:hAnsi="Arial" w:cs="Arial"/>
        </w:rPr>
      </w:pPr>
      <w:r w:rsidRPr="006066FE">
        <w:rPr>
          <w:rFonts w:ascii="Arial" w:hAnsi="Arial" w:cs="Arial"/>
        </w:rPr>
        <w:t>To address technological challenges, organisations like Asda adopt digital learning and development strategies. E-learning platforms and on-the-job training enable employees to develop the necessary technical skills required for modern retail operations. Experiential learning, where employees learn through practical experience, is particularly effective in this context (Kolb, 1984).</w:t>
      </w:r>
    </w:p>
    <w:p w14:paraId="76A0DF28" w14:textId="424D529E" w:rsidR="006066FE" w:rsidRPr="006066FE" w:rsidRDefault="006066FE" w:rsidP="006066FE">
      <w:pPr>
        <w:rPr>
          <w:rFonts w:ascii="Arial" w:hAnsi="Arial" w:cs="Arial"/>
        </w:rPr>
      </w:pPr>
      <w:r w:rsidRPr="006066FE">
        <w:rPr>
          <w:rFonts w:ascii="Arial" w:hAnsi="Arial" w:cs="Arial"/>
        </w:rPr>
        <w:t>HR analytics is another contemporary practice that supports data-driven decision-making. By analysing workforce data, organisations can identify trends, improve recruitment processes, and enhance employee performance. However, the implementation of HR analytics requires investment in technology and skilled personnel.</w:t>
      </w:r>
    </w:p>
    <w:p w14:paraId="5EFF0F16" w14:textId="149DF4A0" w:rsidR="006066FE" w:rsidRDefault="006066FE" w:rsidP="006066FE">
      <w:pPr>
        <w:rPr>
          <w:rFonts w:ascii="Arial" w:hAnsi="Arial" w:cs="Arial"/>
        </w:rPr>
      </w:pPr>
      <w:r w:rsidRPr="006066FE">
        <w:rPr>
          <w:rFonts w:ascii="Arial" w:hAnsi="Arial" w:cs="Arial"/>
        </w:rPr>
        <w:t>Change management practices are also essential. Effective communication, employee involvement, and leadership support are crucial for reducing resistance to technological change. Despite their effectiveness, these practices can be resource-intensive and require continuous adaptation.</w:t>
      </w:r>
    </w:p>
    <w:p w14:paraId="7DD0017F" w14:textId="535C17F9" w:rsidR="00C82BD5" w:rsidRDefault="00C82BD5" w:rsidP="006066FE">
      <w:pPr>
        <w:rPr>
          <w:rFonts w:ascii="Arial" w:hAnsi="Arial" w:cs="Arial"/>
        </w:rPr>
      </w:pPr>
      <w:r w:rsidRPr="00C82BD5">
        <w:rPr>
          <w:rFonts w:ascii="Arial" w:hAnsi="Arial" w:cs="Arial"/>
        </w:rPr>
        <w:t>Critically, while these practices enhance efficiency, they may also create unintended consequences such as employee stress and digital fatigue. Employees who are not technologically confident may feel excluded, leading to reduced engagement. Therefore, HR strategies must balance technological advancement with employee wellbeing by offering personalised support and inclusive training approaches.</w:t>
      </w:r>
    </w:p>
    <w:p w14:paraId="698DA7B4" w14:textId="6377F3A9" w:rsidR="006066FE" w:rsidRPr="006066FE" w:rsidRDefault="006066FE" w:rsidP="00D94A44">
      <w:pPr>
        <w:pStyle w:val="Heading2"/>
      </w:pPr>
      <w:bookmarkStart w:id="7" w:name="_Toc225551086"/>
      <w:r w:rsidRPr="006066FE">
        <w:t>3.2 Talent Acquisition and Retention Practices</w:t>
      </w:r>
      <w:bookmarkEnd w:id="7"/>
    </w:p>
    <w:p w14:paraId="700647BB" w14:textId="0BCB762F" w:rsidR="006066FE" w:rsidRPr="006066FE" w:rsidRDefault="006066FE" w:rsidP="006066FE">
      <w:pPr>
        <w:rPr>
          <w:rFonts w:ascii="Arial" w:hAnsi="Arial" w:cs="Arial"/>
        </w:rPr>
      </w:pPr>
      <w:r w:rsidRPr="006066FE">
        <w:rPr>
          <w:rFonts w:ascii="Arial" w:hAnsi="Arial" w:cs="Arial"/>
        </w:rPr>
        <w:t>Modern HR practices aimed at improving talent acquisition and retention include employer branding, flexible working, and career development initiatives.</w:t>
      </w:r>
    </w:p>
    <w:p w14:paraId="1F728642" w14:textId="1781B01C" w:rsidR="006066FE" w:rsidRPr="006066FE" w:rsidRDefault="006066FE" w:rsidP="006066FE">
      <w:pPr>
        <w:rPr>
          <w:rFonts w:ascii="Arial" w:hAnsi="Arial" w:cs="Arial"/>
        </w:rPr>
      </w:pPr>
      <w:r w:rsidRPr="006066FE">
        <w:rPr>
          <w:rFonts w:ascii="Arial" w:hAnsi="Arial" w:cs="Arial"/>
        </w:rPr>
        <w:t>Employer branding involves promoting the organisation as an attractive place to work through social media and recruitment campaigns. This helps attract high-quality candidates and strengthens the organisation’s reputation.</w:t>
      </w:r>
    </w:p>
    <w:p w14:paraId="0750C564" w14:textId="654DDD23" w:rsidR="006066FE" w:rsidRPr="006066FE" w:rsidRDefault="006066FE" w:rsidP="006066FE">
      <w:pPr>
        <w:rPr>
          <w:rFonts w:ascii="Arial" w:hAnsi="Arial" w:cs="Arial"/>
        </w:rPr>
      </w:pPr>
      <w:r w:rsidRPr="006066FE">
        <w:rPr>
          <w:rFonts w:ascii="Arial" w:hAnsi="Arial" w:cs="Arial"/>
        </w:rPr>
        <w:t>Flexible working arrangements, such as part-time roles and shift flexibility, are particularly relevant in the retail sector. These practices enhance work-life balance and improve employee satisfaction.</w:t>
      </w:r>
    </w:p>
    <w:p w14:paraId="6A665823" w14:textId="7729860A" w:rsidR="006066FE" w:rsidRPr="006066FE" w:rsidRDefault="006066FE" w:rsidP="006066FE">
      <w:pPr>
        <w:rPr>
          <w:rFonts w:ascii="Arial" w:hAnsi="Arial" w:cs="Arial"/>
        </w:rPr>
      </w:pPr>
      <w:r w:rsidRPr="006066FE">
        <w:rPr>
          <w:rFonts w:ascii="Arial" w:hAnsi="Arial" w:cs="Arial"/>
        </w:rPr>
        <w:t>Training and development programmes play a significant role in employee retention. Providing opportunities for skill development and career progression increases motivation and reduces turnover (Armstrong and Taylor, 2023).</w:t>
      </w:r>
    </w:p>
    <w:p w14:paraId="68C9E36C" w14:textId="73501D10" w:rsidR="006066FE" w:rsidRDefault="006066FE" w:rsidP="006066FE">
      <w:pPr>
        <w:rPr>
          <w:rFonts w:ascii="Arial" w:hAnsi="Arial" w:cs="Arial"/>
        </w:rPr>
      </w:pPr>
      <w:r w:rsidRPr="006066FE">
        <w:rPr>
          <w:rFonts w:ascii="Arial" w:hAnsi="Arial" w:cs="Arial"/>
        </w:rPr>
        <w:t>Performance management systems that include regular feedback and recognition also contribute to employee engagement. However, these practices can be costly and may not guarantee long-term retention if employees seek opportunities elsewhere.</w:t>
      </w:r>
    </w:p>
    <w:p w14:paraId="0AC7A467" w14:textId="4EFD55D0" w:rsidR="00C82BD5" w:rsidRDefault="00C82BD5" w:rsidP="006066FE">
      <w:pPr>
        <w:rPr>
          <w:rFonts w:ascii="Arial" w:hAnsi="Arial" w:cs="Arial"/>
        </w:rPr>
      </w:pPr>
      <w:r w:rsidRPr="00C82BD5">
        <w:rPr>
          <w:rFonts w:ascii="Arial" w:hAnsi="Arial" w:cs="Arial"/>
        </w:rPr>
        <w:t>From a critical perspective, retention strategies must go beyond financial incentives. Psychological contract theory suggests that employees expect fairness, respect, and growth opportunities. If these expectations are not met, even well-designed HR practices may fail. Therefore, organisations must adopt a holistic approach that integrates both tangible and intangible rewards.</w:t>
      </w:r>
    </w:p>
    <w:p w14:paraId="664D0CB8" w14:textId="77777777" w:rsidR="00D94A44" w:rsidRDefault="00D94A44" w:rsidP="006066FE">
      <w:pPr>
        <w:rPr>
          <w:rFonts w:ascii="Arial" w:hAnsi="Arial" w:cs="Arial"/>
        </w:rPr>
      </w:pPr>
    </w:p>
    <w:p w14:paraId="51B98E88" w14:textId="5BC16ADA" w:rsidR="006066FE" w:rsidRPr="006066FE" w:rsidRDefault="006066FE" w:rsidP="00D94A44">
      <w:pPr>
        <w:pStyle w:val="Heading2"/>
      </w:pPr>
      <w:bookmarkStart w:id="8" w:name="_Toc225551087"/>
      <w:r w:rsidRPr="006066FE">
        <w:lastRenderedPageBreak/>
        <w:t>3.3 DEI Practices</w:t>
      </w:r>
      <w:bookmarkEnd w:id="8"/>
    </w:p>
    <w:p w14:paraId="00EC9E7E" w14:textId="6FDF11F9" w:rsidR="006066FE" w:rsidRPr="006066FE" w:rsidRDefault="006066FE" w:rsidP="006066FE">
      <w:pPr>
        <w:rPr>
          <w:rFonts w:ascii="Arial" w:hAnsi="Arial" w:cs="Arial"/>
        </w:rPr>
      </w:pPr>
      <w:r w:rsidRPr="006066FE">
        <w:rPr>
          <w:rFonts w:ascii="Arial" w:hAnsi="Arial" w:cs="Arial"/>
        </w:rPr>
        <w:t>Contemporary HR practices supporting DEI include inclusive recruitment, diversity training, and equal opportunity policies.</w:t>
      </w:r>
    </w:p>
    <w:p w14:paraId="7101E498" w14:textId="56254BF0" w:rsidR="006066FE" w:rsidRPr="006066FE" w:rsidRDefault="006066FE" w:rsidP="006066FE">
      <w:pPr>
        <w:rPr>
          <w:rFonts w:ascii="Arial" w:hAnsi="Arial" w:cs="Arial"/>
        </w:rPr>
      </w:pPr>
      <w:r w:rsidRPr="006066FE">
        <w:rPr>
          <w:rFonts w:ascii="Arial" w:hAnsi="Arial" w:cs="Arial"/>
        </w:rPr>
        <w:t>Inclusive recruitment practices aim to eliminate bias in hiring processes by using structured interviews and standardised criteria. This ensures fairness and equal opportunities for all candidates.</w:t>
      </w:r>
    </w:p>
    <w:p w14:paraId="0166AC3E" w14:textId="16FBD4F4" w:rsidR="006066FE" w:rsidRPr="006066FE" w:rsidRDefault="006066FE" w:rsidP="006066FE">
      <w:pPr>
        <w:rPr>
          <w:rFonts w:ascii="Arial" w:hAnsi="Arial" w:cs="Arial"/>
        </w:rPr>
      </w:pPr>
      <w:r w:rsidRPr="006066FE">
        <w:rPr>
          <w:rFonts w:ascii="Arial" w:hAnsi="Arial" w:cs="Arial"/>
        </w:rPr>
        <w:t>Diversity training programmes educate employees about cultural differences and promote inclusive behaviours. These programmes contribute to a positive workplace culture but require ongoing commitment to be effective.</w:t>
      </w:r>
    </w:p>
    <w:p w14:paraId="5AEA89E2" w14:textId="77777777" w:rsidR="006066FE" w:rsidRPr="006066FE" w:rsidRDefault="006066FE" w:rsidP="006066FE">
      <w:pPr>
        <w:rPr>
          <w:rFonts w:ascii="Arial" w:hAnsi="Arial" w:cs="Arial"/>
        </w:rPr>
      </w:pPr>
      <w:r w:rsidRPr="006066FE">
        <w:rPr>
          <w:rFonts w:ascii="Arial" w:hAnsi="Arial" w:cs="Arial"/>
        </w:rPr>
        <w:t>Employee Resource Groups (ERGs) provide support networks for underrepresented groups, fostering a sense of belonging and inclusion.</w:t>
      </w:r>
    </w:p>
    <w:p w14:paraId="493D6C32" w14:textId="2C501329" w:rsidR="006066FE" w:rsidRDefault="006066FE" w:rsidP="006066FE">
      <w:pPr>
        <w:rPr>
          <w:rFonts w:ascii="Arial" w:hAnsi="Arial" w:cs="Arial"/>
        </w:rPr>
      </w:pPr>
      <w:r w:rsidRPr="006066FE">
        <w:rPr>
          <w:rFonts w:ascii="Arial" w:hAnsi="Arial" w:cs="Arial"/>
        </w:rPr>
        <w:t>Equal opportunity policies ensure fairness in promotions, training, and development opportunities. While these practices improve organisational culture, their effectiveness depends on strong leadership and consistent implementation.</w:t>
      </w:r>
    </w:p>
    <w:p w14:paraId="0ECA588F" w14:textId="44D65379" w:rsidR="00B52546" w:rsidRDefault="00C82BD5" w:rsidP="006066FE">
      <w:pPr>
        <w:rPr>
          <w:rFonts w:ascii="Arial" w:hAnsi="Arial" w:cs="Arial"/>
        </w:rPr>
      </w:pPr>
      <w:r w:rsidRPr="00C82BD5">
        <w:rPr>
          <w:rFonts w:ascii="Arial" w:hAnsi="Arial" w:cs="Arial"/>
        </w:rPr>
        <w:t>However, DEI initiatives can sometimes be perceived as symbolic rather than substantive if not embedded into organisational strategy. Tokenistic approaches may fail to address systemic inequalities. Therefore, organisations must adopt measurable DEI objectives, ensuring accountability at all levels of management.</w:t>
      </w:r>
    </w:p>
    <w:p w14:paraId="62467F71" w14:textId="48FD4251" w:rsidR="00B52546" w:rsidRPr="00B52546" w:rsidRDefault="00B52546" w:rsidP="00D94A44">
      <w:pPr>
        <w:pStyle w:val="Heading1"/>
      </w:pPr>
      <w:bookmarkStart w:id="9" w:name="_Toc225551088"/>
      <w:r w:rsidRPr="00B52546">
        <w:t>4. Role of Departmental Managers</w:t>
      </w:r>
      <w:bookmarkEnd w:id="9"/>
      <w:r w:rsidRPr="00B52546">
        <w:t xml:space="preserve"> </w:t>
      </w:r>
    </w:p>
    <w:p w14:paraId="56FB596E" w14:textId="757B71E9" w:rsidR="00B52546" w:rsidRPr="00B52546" w:rsidRDefault="00B52546" w:rsidP="00B52546">
      <w:pPr>
        <w:rPr>
          <w:rFonts w:ascii="Arial" w:hAnsi="Arial" w:cs="Arial"/>
        </w:rPr>
      </w:pPr>
      <w:r w:rsidRPr="00B52546">
        <w:rPr>
          <w:rFonts w:ascii="Arial" w:hAnsi="Arial" w:cs="Arial"/>
        </w:rPr>
        <w:t>Departmental managers play a critical role in implementing HR practices and ensuring organisational success. They act as intermediaries between HR policies and employees, making their involvement essential for effective execution.</w:t>
      </w:r>
    </w:p>
    <w:p w14:paraId="140BFA4D" w14:textId="05039518" w:rsidR="00B52546" w:rsidRPr="00B52546" w:rsidRDefault="00B52546" w:rsidP="00B52546">
      <w:pPr>
        <w:rPr>
          <w:rFonts w:ascii="Arial" w:hAnsi="Arial" w:cs="Arial"/>
        </w:rPr>
      </w:pPr>
      <w:r w:rsidRPr="00B52546">
        <w:rPr>
          <w:rFonts w:ascii="Arial" w:hAnsi="Arial" w:cs="Arial"/>
        </w:rPr>
        <w:t>Firstly, managers must demonstrate leadership and accountability. They are responsible for promoting HR initiatives such as digital training, inclusive practices, and performance management. Without managerial support, HR strategies are unlikely to succeed.</w:t>
      </w:r>
    </w:p>
    <w:p w14:paraId="27E4F596" w14:textId="5C3554D0" w:rsidR="00B52546" w:rsidRPr="00B52546" w:rsidRDefault="00B52546" w:rsidP="00B52546">
      <w:pPr>
        <w:rPr>
          <w:rFonts w:ascii="Arial" w:hAnsi="Arial" w:cs="Arial"/>
        </w:rPr>
      </w:pPr>
      <w:r w:rsidRPr="00B52546">
        <w:rPr>
          <w:rFonts w:ascii="Arial" w:hAnsi="Arial" w:cs="Arial"/>
        </w:rPr>
        <w:t>Secondly, effective communication is essential. Managers must clearly explain the purpose and benefits of HR practices to employees, particularly during periods of change. This helps reduce resistance and encourages employee engagement.</w:t>
      </w:r>
    </w:p>
    <w:p w14:paraId="5BD8B1E1" w14:textId="042A0CAF" w:rsidR="00B52546" w:rsidRPr="00B52546" w:rsidRDefault="00B52546" w:rsidP="00B52546">
      <w:pPr>
        <w:rPr>
          <w:rFonts w:ascii="Arial" w:hAnsi="Arial" w:cs="Arial"/>
        </w:rPr>
      </w:pPr>
      <w:r w:rsidRPr="00B52546">
        <w:rPr>
          <w:rFonts w:ascii="Arial" w:hAnsi="Arial" w:cs="Arial"/>
        </w:rPr>
        <w:t>Monitoring and evaluation are also key responsibilities. Managers must assess employee performance, engagement, and feedback to ensure HR practices are achieving desired outcomes. This includes using performance metrics and conducting regular reviews.</w:t>
      </w:r>
    </w:p>
    <w:p w14:paraId="0AF0AA9D" w14:textId="3B609B13" w:rsidR="00B52546" w:rsidRPr="00B52546" w:rsidRDefault="00B52546" w:rsidP="00B52546">
      <w:pPr>
        <w:rPr>
          <w:rFonts w:ascii="Arial" w:hAnsi="Arial" w:cs="Arial"/>
        </w:rPr>
      </w:pPr>
      <w:r w:rsidRPr="00B52546">
        <w:rPr>
          <w:rFonts w:ascii="Arial" w:hAnsi="Arial" w:cs="Arial"/>
        </w:rPr>
        <w:t>However, challenges may arise when managers lack the necessary skills or training. Some managers may prioritise operational tasks over HR initiatives, leading to ineffective implementation.</w:t>
      </w:r>
    </w:p>
    <w:p w14:paraId="7400AC61" w14:textId="6B51C788" w:rsidR="00B52546" w:rsidRPr="00B52546" w:rsidRDefault="00B52546" w:rsidP="00B52546">
      <w:pPr>
        <w:rPr>
          <w:rFonts w:ascii="Arial" w:hAnsi="Arial" w:cs="Arial"/>
        </w:rPr>
      </w:pPr>
      <w:r w:rsidRPr="00B52546">
        <w:rPr>
          <w:rFonts w:ascii="Arial" w:hAnsi="Arial" w:cs="Arial"/>
        </w:rPr>
        <w:t>To address this, organisations must invest in management development programmes. Training managers in leadership, communication, and change management enhances their ability to implement HR strategies effectively.</w:t>
      </w:r>
    </w:p>
    <w:p w14:paraId="6DF83FD6" w14:textId="472180AA" w:rsidR="00B52546" w:rsidRPr="00B52546" w:rsidRDefault="00B52546" w:rsidP="00B52546">
      <w:pPr>
        <w:rPr>
          <w:rFonts w:ascii="Arial" w:hAnsi="Arial" w:cs="Arial"/>
        </w:rPr>
      </w:pPr>
      <w:r w:rsidRPr="00B52546">
        <w:rPr>
          <w:rFonts w:ascii="Arial" w:hAnsi="Arial" w:cs="Arial"/>
        </w:rPr>
        <w:t>Additionally, managers play a vital role in fostering a positive organisational culture. By promoting inclusivity, teamwork, and continuous learning, they contribute to employee satisfaction and organisational success.</w:t>
      </w:r>
    </w:p>
    <w:p w14:paraId="488499B2" w14:textId="1B296AAA" w:rsidR="00C82BD5" w:rsidRPr="00C82BD5" w:rsidRDefault="00C82BD5" w:rsidP="00C82BD5">
      <w:pPr>
        <w:rPr>
          <w:rFonts w:ascii="Arial" w:hAnsi="Arial" w:cs="Arial"/>
        </w:rPr>
      </w:pPr>
      <w:r w:rsidRPr="00C82BD5">
        <w:rPr>
          <w:rFonts w:ascii="Arial" w:hAnsi="Arial" w:cs="Arial"/>
        </w:rPr>
        <w:lastRenderedPageBreak/>
        <w:t>Critically, the urgency of implementation depends on organisational culture and leadership style. Transformational leadership, which inspires and motivates employees, is more effective in driving change compared to transactional leadership, which focuses on routine tasks. Managers who adopt a transformational approach are more likely to encourage innovation and engagement.</w:t>
      </w:r>
    </w:p>
    <w:p w14:paraId="50BC0931" w14:textId="5FDAEE4C" w:rsidR="00C82BD5" w:rsidRPr="00C82BD5" w:rsidRDefault="00C82BD5" w:rsidP="00C82BD5">
      <w:pPr>
        <w:rPr>
          <w:rFonts w:ascii="Arial" w:hAnsi="Arial" w:cs="Arial"/>
        </w:rPr>
      </w:pPr>
      <w:r w:rsidRPr="00C82BD5">
        <w:rPr>
          <w:rFonts w:ascii="Arial" w:hAnsi="Arial" w:cs="Arial"/>
        </w:rPr>
        <w:t>Furthermore, resistance to change remains a significant barrier. Managers must actively manage this resistance by involving employees in decision-making processes and addressing their concerns. Failure to do so can result in disengagement and reduced productivity.</w:t>
      </w:r>
    </w:p>
    <w:p w14:paraId="2E77CD69" w14:textId="58B982C7" w:rsidR="00B52546" w:rsidRDefault="00C82BD5" w:rsidP="00C82BD5">
      <w:pPr>
        <w:rPr>
          <w:rFonts w:ascii="Arial" w:hAnsi="Arial" w:cs="Arial"/>
        </w:rPr>
      </w:pPr>
      <w:r w:rsidRPr="00C82BD5">
        <w:rPr>
          <w:rFonts w:ascii="Arial" w:hAnsi="Arial" w:cs="Arial"/>
        </w:rPr>
        <w:t>Finally, accountability mechanisms such as performance-linked incentives and regular audits can ensure that managers prioritise HR initiatives. Without clear accountability, even well-designed HR strategies may fail at the implementation stage</w:t>
      </w:r>
    </w:p>
    <w:p w14:paraId="61D4B206" w14:textId="6A8B3D71" w:rsidR="00B52546" w:rsidRPr="00B52546" w:rsidRDefault="00B52546" w:rsidP="00D94A44">
      <w:pPr>
        <w:pStyle w:val="Heading1"/>
      </w:pPr>
      <w:bookmarkStart w:id="10" w:name="_Toc225551089"/>
      <w:r w:rsidRPr="00B52546">
        <w:t>5. Conclusion and Recommendations</w:t>
      </w:r>
      <w:bookmarkEnd w:id="10"/>
      <w:r w:rsidRPr="00B52546">
        <w:t xml:space="preserve"> </w:t>
      </w:r>
    </w:p>
    <w:p w14:paraId="23E6DA96" w14:textId="7AC114CE" w:rsidR="00B52546" w:rsidRPr="00B52546" w:rsidRDefault="00B52546" w:rsidP="00B52546">
      <w:pPr>
        <w:rPr>
          <w:rFonts w:ascii="Arial" w:hAnsi="Arial" w:cs="Arial"/>
        </w:rPr>
      </w:pPr>
      <w:r w:rsidRPr="00B52546">
        <w:rPr>
          <w:rFonts w:ascii="Arial" w:hAnsi="Arial" w:cs="Arial"/>
        </w:rPr>
        <w:t>In conclusion, Asda faces significant HR challenges related to technological advancement, talent acquisition and retention, and DEI. These challenges are interconnected and have a direct impact on organisational performance and competitiveness.</w:t>
      </w:r>
    </w:p>
    <w:p w14:paraId="79020EE9" w14:textId="5C480D3C" w:rsidR="00B52546" w:rsidRPr="00B52546" w:rsidRDefault="00B52546" w:rsidP="00B52546">
      <w:pPr>
        <w:rPr>
          <w:rFonts w:ascii="Arial" w:hAnsi="Arial" w:cs="Arial"/>
        </w:rPr>
      </w:pPr>
      <w:r w:rsidRPr="00B52546">
        <w:rPr>
          <w:rFonts w:ascii="Arial" w:hAnsi="Arial" w:cs="Arial"/>
        </w:rPr>
        <w:t>The evaluation of contemporary HR practices demonstrates that strategies such as digital training, flexible working, and inclusive policies can effectively address these challenges. However, their success depends on strong leadership, adequate resources, and continuous monitoring.</w:t>
      </w:r>
    </w:p>
    <w:p w14:paraId="12A8C68C" w14:textId="027751E1" w:rsidR="00B52546" w:rsidRPr="00B52546" w:rsidRDefault="00B52546" w:rsidP="00B52546">
      <w:pPr>
        <w:rPr>
          <w:rFonts w:ascii="Arial" w:hAnsi="Arial" w:cs="Arial"/>
        </w:rPr>
      </w:pPr>
      <w:r w:rsidRPr="00B52546">
        <w:rPr>
          <w:rFonts w:ascii="Arial" w:hAnsi="Arial" w:cs="Arial"/>
        </w:rPr>
        <w:t>Departmental managers play a crucial role in ensuring the successful implementation of HR practices. Their leadership, communication, and accountability are essential for translating HR strategies into practical outcomes.</w:t>
      </w:r>
    </w:p>
    <w:p w14:paraId="6FD59690" w14:textId="77777777" w:rsidR="00B52546" w:rsidRPr="00B52546" w:rsidRDefault="00B52546" w:rsidP="00B52546">
      <w:pPr>
        <w:rPr>
          <w:rFonts w:ascii="Arial" w:hAnsi="Arial" w:cs="Arial"/>
          <w:b/>
          <w:bCs/>
        </w:rPr>
      </w:pPr>
      <w:r w:rsidRPr="00B52546">
        <w:rPr>
          <w:rFonts w:ascii="Arial" w:hAnsi="Arial" w:cs="Arial"/>
          <w:b/>
          <w:bCs/>
        </w:rPr>
        <w:t>Recommendations</w:t>
      </w:r>
    </w:p>
    <w:p w14:paraId="6FFE0ADF"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Enhance Digital Training Programmes</w:t>
      </w:r>
    </w:p>
    <w:p w14:paraId="7FF3F0E3"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Asda should invest in continuous digital learning to support technological adaptation.</w:t>
      </w:r>
    </w:p>
    <w:p w14:paraId="4C6D399D"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Strengthen Retention Strategies</w:t>
      </w:r>
    </w:p>
    <w:p w14:paraId="15480D56"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Offering career development opportunities and flexible working arrangements will improve employee retention.</w:t>
      </w:r>
    </w:p>
    <w:p w14:paraId="083452CB"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Promote Inclusive Workplace Culture</w:t>
      </w:r>
    </w:p>
    <w:p w14:paraId="5A58F236"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Regular DEI training and inclusive policies should be prioritised.</w:t>
      </w:r>
    </w:p>
    <w:p w14:paraId="2150F1DD"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Develop Managerial Capabilities</w:t>
      </w:r>
    </w:p>
    <w:p w14:paraId="395B6282"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Training programmes should be implemented to equip managers with the skills needed to lead HR initiatives.</w:t>
      </w:r>
    </w:p>
    <w:p w14:paraId="01DEEA0D"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Utilise HR Analytics</w:t>
      </w:r>
    </w:p>
    <w:p w14:paraId="5FC59983" w14:textId="77777777" w:rsidR="00B52546" w:rsidRPr="00B52546" w:rsidRDefault="00B52546" w:rsidP="00B52546">
      <w:pPr>
        <w:pStyle w:val="ListParagraph"/>
        <w:numPr>
          <w:ilvl w:val="0"/>
          <w:numId w:val="1"/>
        </w:numPr>
        <w:rPr>
          <w:rFonts w:ascii="Arial" w:hAnsi="Arial" w:cs="Arial"/>
        </w:rPr>
      </w:pPr>
      <w:r w:rsidRPr="00B52546">
        <w:rPr>
          <w:rFonts w:ascii="Arial" w:hAnsi="Arial" w:cs="Arial"/>
        </w:rPr>
        <w:t>Data-driven decision-making should be adopted to improve workforce planning and performance management.</w:t>
      </w:r>
    </w:p>
    <w:p w14:paraId="3A9F178D" w14:textId="77777777" w:rsidR="00B52546" w:rsidRPr="00B52546" w:rsidRDefault="00B52546" w:rsidP="00B52546">
      <w:pPr>
        <w:rPr>
          <w:rFonts w:ascii="Arial" w:hAnsi="Arial" w:cs="Arial"/>
        </w:rPr>
      </w:pPr>
    </w:p>
    <w:p w14:paraId="14D3A2F2" w14:textId="0457485B" w:rsidR="00B52546" w:rsidRDefault="00B52546" w:rsidP="00B52546">
      <w:pPr>
        <w:rPr>
          <w:rFonts w:ascii="Arial" w:hAnsi="Arial" w:cs="Arial"/>
        </w:rPr>
      </w:pPr>
      <w:r w:rsidRPr="00B52546">
        <w:rPr>
          <w:rFonts w:ascii="Arial" w:hAnsi="Arial" w:cs="Arial"/>
        </w:rPr>
        <w:t>By implementing these recommendations, Asda can strengthen its HR practices and maintain its competitive position within the UK retail industry.</w:t>
      </w:r>
    </w:p>
    <w:p w14:paraId="36A2795D" w14:textId="77777777" w:rsidR="00B52546" w:rsidRPr="00B52546" w:rsidRDefault="00B52546" w:rsidP="00B52546">
      <w:pPr>
        <w:rPr>
          <w:rFonts w:ascii="Arial" w:hAnsi="Arial" w:cs="Arial"/>
        </w:rPr>
      </w:pPr>
    </w:p>
    <w:p w14:paraId="30B5774B" w14:textId="77777777" w:rsidR="00B52546" w:rsidRDefault="00B52546" w:rsidP="00B52546">
      <w:pPr>
        <w:rPr>
          <w:rFonts w:ascii="Arial" w:hAnsi="Arial" w:cs="Arial"/>
        </w:rPr>
      </w:pPr>
    </w:p>
    <w:p w14:paraId="606BC6F1" w14:textId="77777777" w:rsidR="00B52546" w:rsidRDefault="00B52546" w:rsidP="00B52546">
      <w:pPr>
        <w:rPr>
          <w:rFonts w:ascii="Arial" w:hAnsi="Arial" w:cs="Arial"/>
        </w:rPr>
      </w:pPr>
    </w:p>
    <w:p w14:paraId="1C5A17C5" w14:textId="77777777" w:rsidR="00B52546" w:rsidRPr="00B52546" w:rsidRDefault="00B52546" w:rsidP="00D94A44">
      <w:pPr>
        <w:pStyle w:val="Heading1"/>
      </w:pPr>
      <w:bookmarkStart w:id="11" w:name="_Toc225551090"/>
      <w:r w:rsidRPr="00B52546">
        <w:t>References</w:t>
      </w:r>
      <w:bookmarkEnd w:id="11"/>
    </w:p>
    <w:p w14:paraId="474EB1B7" w14:textId="77777777" w:rsidR="00B52546" w:rsidRPr="00B52546" w:rsidRDefault="00B52546" w:rsidP="00B52546">
      <w:pPr>
        <w:rPr>
          <w:rFonts w:ascii="Arial" w:hAnsi="Arial" w:cs="Arial"/>
        </w:rPr>
      </w:pPr>
    </w:p>
    <w:p w14:paraId="31048875" w14:textId="77777777" w:rsidR="00B52546" w:rsidRPr="00B52546" w:rsidRDefault="00B52546" w:rsidP="00B52546">
      <w:pPr>
        <w:rPr>
          <w:rFonts w:ascii="Arial" w:hAnsi="Arial" w:cs="Arial"/>
        </w:rPr>
      </w:pPr>
      <w:r w:rsidRPr="00B52546">
        <w:rPr>
          <w:rFonts w:ascii="Arial" w:hAnsi="Arial" w:cs="Arial"/>
        </w:rPr>
        <w:t>Armstrong, M. and Taylor, S. (2023) Armstrong’s Handbook of Human Resource Management Practice. London: Kogan Page.</w:t>
      </w:r>
    </w:p>
    <w:p w14:paraId="15F3B537" w14:textId="77777777" w:rsidR="00B52546" w:rsidRPr="00B52546" w:rsidRDefault="00B52546" w:rsidP="00B52546">
      <w:pPr>
        <w:rPr>
          <w:rFonts w:ascii="Arial" w:hAnsi="Arial" w:cs="Arial"/>
        </w:rPr>
      </w:pPr>
    </w:p>
    <w:p w14:paraId="417BC81C" w14:textId="77777777" w:rsidR="00B52546" w:rsidRPr="00B52546" w:rsidRDefault="00B52546" w:rsidP="00B52546">
      <w:pPr>
        <w:rPr>
          <w:rFonts w:ascii="Arial" w:hAnsi="Arial" w:cs="Arial"/>
        </w:rPr>
      </w:pPr>
      <w:r w:rsidRPr="00B52546">
        <w:rPr>
          <w:rFonts w:ascii="Arial" w:hAnsi="Arial" w:cs="Arial"/>
        </w:rPr>
        <w:t>CIPD (2023) People Profession 2023: UK Trends. London: Chartered Institute of Personnel and Development.</w:t>
      </w:r>
    </w:p>
    <w:p w14:paraId="44B8BECD" w14:textId="77777777" w:rsidR="00B52546" w:rsidRPr="00B52546" w:rsidRDefault="00B52546" w:rsidP="00B52546">
      <w:pPr>
        <w:rPr>
          <w:rFonts w:ascii="Arial" w:hAnsi="Arial" w:cs="Arial"/>
        </w:rPr>
      </w:pPr>
    </w:p>
    <w:p w14:paraId="7E7C9623" w14:textId="77777777" w:rsidR="00B52546" w:rsidRPr="00B52546" w:rsidRDefault="00B52546" w:rsidP="00B52546">
      <w:pPr>
        <w:rPr>
          <w:rFonts w:ascii="Arial" w:hAnsi="Arial" w:cs="Arial"/>
        </w:rPr>
      </w:pPr>
      <w:r w:rsidRPr="00B52546">
        <w:rPr>
          <w:rFonts w:ascii="Arial" w:hAnsi="Arial" w:cs="Arial"/>
        </w:rPr>
        <w:t>Equality Act (2010) Equality Act 2010. London: UK Government.</w:t>
      </w:r>
    </w:p>
    <w:p w14:paraId="0C98AA7D" w14:textId="77777777" w:rsidR="00B52546" w:rsidRPr="00B52546" w:rsidRDefault="00B52546" w:rsidP="00B52546">
      <w:pPr>
        <w:rPr>
          <w:rFonts w:ascii="Arial" w:hAnsi="Arial" w:cs="Arial"/>
        </w:rPr>
      </w:pPr>
    </w:p>
    <w:p w14:paraId="57D134EE" w14:textId="77777777" w:rsidR="00B52546" w:rsidRPr="00B52546" w:rsidRDefault="00B52546" w:rsidP="00B52546">
      <w:pPr>
        <w:rPr>
          <w:rFonts w:ascii="Arial" w:hAnsi="Arial" w:cs="Arial"/>
        </w:rPr>
      </w:pPr>
      <w:r w:rsidRPr="00B52546">
        <w:rPr>
          <w:rFonts w:ascii="Arial" w:hAnsi="Arial" w:cs="Arial"/>
        </w:rPr>
        <w:t>Kolb, D.A. (1984) Experiential Learning: Experience as the Source of Learning and Development. New Jersey: Prentice Hall.</w:t>
      </w:r>
    </w:p>
    <w:p w14:paraId="0FE87F28" w14:textId="77777777" w:rsidR="00B52546" w:rsidRPr="00B52546" w:rsidRDefault="00B52546" w:rsidP="00B52546">
      <w:pPr>
        <w:rPr>
          <w:rFonts w:ascii="Arial" w:hAnsi="Arial" w:cs="Arial"/>
        </w:rPr>
      </w:pPr>
    </w:p>
    <w:p w14:paraId="440DB474" w14:textId="6562DC33" w:rsidR="00B52546" w:rsidRDefault="00B52546" w:rsidP="00B52546">
      <w:pPr>
        <w:rPr>
          <w:rFonts w:ascii="Arial" w:hAnsi="Arial" w:cs="Arial"/>
        </w:rPr>
      </w:pPr>
      <w:r w:rsidRPr="00B52546">
        <w:rPr>
          <w:rFonts w:ascii="Arial" w:hAnsi="Arial" w:cs="Arial"/>
        </w:rPr>
        <w:t>Shore, L.M. et al. (2018) ‘Inclusion and Diversity in Work Groups: A Review and Model for Future Research’, Journal of Management, 44(5), pp. 1897–1931.</w:t>
      </w:r>
    </w:p>
    <w:p w14:paraId="3671557E" w14:textId="77777777" w:rsidR="00615D39" w:rsidRPr="00615D39" w:rsidRDefault="00615D39" w:rsidP="00615D39">
      <w:pPr>
        <w:rPr>
          <w:rFonts w:ascii="Arial" w:hAnsi="Arial" w:cs="Arial"/>
        </w:rPr>
      </w:pPr>
    </w:p>
    <w:p w14:paraId="7EA341CD" w14:textId="77777777" w:rsidR="00615D39" w:rsidRPr="00615D39" w:rsidRDefault="00615D39" w:rsidP="00615D39">
      <w:pPr>
        <w:rPr>
          <w:rFonts w:ascii="Arial" w:hAnsi="Arial" w:cs="Arial"/>
        </w:rPr>
      </w:pPr>
    </w:p>
    <w:p w14:paraId="6C6C750B" w14:textId="77777777" w:rsidR="00615D39" w:rsidRPr="00615D39" w:rsidRDefault="00615D39" w:rsidP="00615D39">
      <w:pPr>
        <w:rPr>
          <w:rFonts w:ascii="Arial" w:hAnsi="Arial" w:cs="Arial"/>
        </w:rPr>
      </w:pPr>
    </w:p>
    <w:p w14:paraId="167A708E" w14:textId="77777777" w:rsidR="00615D39" w:rsidRPr="00615D39" w:rsidRDefault="00615D39" w:rsidP="00615D39">
      <w:pPr>
        <w:rPr>
          <w:rFonts w:ascii="Arial" w:hAnsi="Arial" w:cs="Arial"/>
        </w:rPr>
      </w:pPr>
    </w:p>
    <w:p w14:paraId="1FB4515F" w14:textId="77777777" w:rsidR="00615D39" w:rsidRPr="00615D39" w:rsidRDefault="00615D39" w:rsidP="00615D39">
      <w:pPr>
        <w:rPr>
          <w:rFonts w:ascii="Arial" w:hAnsi="Arial" w:cs="Arial"/>
        </w:rPr>
      </w:pPr>
    </w:p>
    <w:p w14:paraId="67C1DCFA" w14:textId="77777777" w:rsidR="00615D39" w:rsidRPr="00615D39" w:rsidRDefault="00615D39" w:rsidP="00615D39">
      <w:pPr>
        <w:rPr>
          <w:rFonts w:ascii="Arial" w:hAnsi="Arial" w:cs="Arial"/>
        </w:rPr>
      </w:pPr>
    </w:p>
    <w:p w14:paraId="2FF7652B" w14:textId="77777777" w:rsidR="00615D39" w:rsidRPr="00615D39" w:rsidRDefault="00615D39" w:rsidP="00615D39">
      <w:pPr>
        <w:rPr>
          <w:rFonts w:ascii="Arial" w:hAnsi="Arial" w:cs="Arial"/>
        </w:rPr>
      </w:pPr>
    </w:p>
    <w:p w14:paraId="78AD458D" w14:textId="77777777" w:rsidR="00615D39" w:rsidRPr="00615D39" w:rsidRDefault="00615D39" w:rsidP="00615D39">
      <w:pPr>
        <w:rPr>
          <w:rFonts w:ascii="Arial" w:hAnsi="Arial" w:cs="Arial"/>
        </w:rPr>
      </w:pPr>
    </w:p>
    <w:p w14:paraId="2F7944EE" w14:textId="77777777" w:rsidR="00615D39" w:rsidRPr="00615D39" w:rsidRDefault="00615D39" w:rsidP="00615D39">
      <w:pPr>
        <w:rPr>
          <w:rFonts w:ascii="Arial" w:hAnsi="Arial" w:cs="Arial"/>
        </w:rPr>
      </w:pPr>
    </w:p>
    <w:p w14:paraId="37E8DD16" w14:textId="77777777" w:rsidR="00615D39" w:rsidRPr="00615D39" w:rsidRDefault="00615D39" w:rsidP="00615D39">
      <w:pPr>
        <w:rPr>
          <w:rFonts w:ascii="Arial" w:hAnsi="Arial" w:cs="Arial"/>
        </w:rPr>
      </w:pPr>
    </w:p>
    <w:p w14:paraId="088C9E4E" w14:textId="77777777" w:rsidR="00615D39" w:rsidRPr="00615D39" w:rsidRDefault="00615D39" w:rsidP="00615D39">
      <w:pPr>
        <w:rPr>
          <w:rFonts w:ascii="Arial" w:hAnsi="Arial" w:cs="Arial"/>
        </w:rPr>
      </w:pPr>
    </w:p>
    <w:p w14:paraId="7CB66BFD" w14:textId="77777777" w:rsidR="00615D39" w:rsidRDefault="00615D39" w:rsidP="00615D39">
      <w:pPr>
        <w:rPr>
          <w:rFonts w:ascii="Arial" w:hAnsi="Arial" w:cs="Arial"/>
        </w:rPr>
      </w:pPr>
    </w:p>
    <w:p w14:paraId="75B68F9C" w14:textId="77777777" w:rsidR="00615D39" w:rsidRDefault="00615D39" w:rsidP="00615D39">
      <w:pPr>
        <w:ind w:firstLine="720"/>
        <w:rPr>
          <w:rFonts w:ascii="Arial" w:hAnsi="Arial" w:cs="Arial"/>
        </w:rPr>
      </w:pPr>
    </w:p>
    <w:p w14:paraId="42B6C850" w14:textId="77777777" w:rsidR="00615D39" w:rsidRDefault="00615D39" w:rsidP="00615D39">
      <w:pPr>
        <w:ind w:firstLine="720"/>
        <w:rPr>
          <w:rFonts w:ascii="Arial" w:hAnsi="Arial" w:cs="Arial"/>
        </w:rPr>
      </w:pPr>
    </w:p>
    <w:p w14:paraId="2C3B8B94" w14:textId="77777777" w:rsidR="00615D39" w:rsidRDefault="00615D39" w:rsidP="00615D39">
      <w:pPr>
        <w:ind w:firstLine="720"/>
        <w:rPr>
          <w:rFonts w:ascii="Arial" w:hAnsi="Arial" w:cs="Arial"/>
        </w:rPr>
      </w:pPr>
    </w:p>
    <w:p w14:paraId="0AF6EBA5" w14:textId="77777777" w:rsidR="00615D39" w:rsidRDefault="00615D39" w:rsidP="00615D39">
      <w:pPr>
        <w:ind w:firstLine="720"/>
        <w:rPr>
          <w:rFonts w:ascii="Arial" w:hAnsi="Arial" w:cs="Arial"/>
        </w:rPr>
      </w:pPr>
    </w:p>
    <w:p w14:paraId="439FA6C4" w14:textId="77777777" w:rsidR="00615D39" w:rsidRDefault="00615D39" w:rsidP="00615D39">
      <w:pPr>
        <w:ind w:firstLine="720"/>
        <w:rPr>
          <w:rFonts w:ascii="Arial" w:hAnsi="Arial" w:cs="Arial"/>
        </w:rPr>
      </w:pPr>
    </w:p>
    <w:p w14:paraId="0D160A6E" w14:textId="77777777" w:rsidR="00615D39" w:rsidRDefault="00615D39" w:rsidP="00615D39">
      <w:pPr>
        <w:ind w:firstLine="720"/>
        <w:rPr>
          <w:rFonts w:ascii="Arial" w:hAnsi="Arial" w:cs="Arial"/>
        </w:rPr>
      </w:pPr>
    </w:p>
    <w:p w14:paraId="36B5D4AE" w14:textId="77777777" w:rsidR="00615D39" w:rsidRDefault="00615D39" w:rsidP="00D94A44">
      <w:pPr>
        <w:pStyle w:val="Heading1"/>
      </w:pPr>
      <w:bookmarkStart w:id="12" w:name="_Toc225551091"/>
      <w:r w:rsidRPr="00615D39">
        <w:t>Appendix 1:</w:t>
      </w:r>
      <w:bookmarkEnd w:id="12"/>
      <w:r w:rsidRPr="00615D39">
        <w:t xml:space="preserve"> </w:t>
      </w:r>
    </w:p>
    <w:p w14:paraId="2D505FCE" w14:textId="596299DF" w:rsidR="00615D39" w:rsidRDefault="00615D39" w:rsidP="00615D39">
      <w:pPr>
        <w:ind w:firstLine="720"/>
        <w:jc w:val="both"/>
        <w:rPr>
          <w:rFonts w:ascii="Arial" w:hAnsi="Arial" w:cs="Arial"/>
        </w:rPr>
      </w:pPr>
      <w:r w:rsidRPr="00615D39">
        <w:rPr>
          <w:rFonts w:ascii="Arial" w:hAnsi="Arial" w:cs="Arial"/>
        </w:rPr>
        <w:t>Summary of HR Challenges, Practices and Managerial Actions at Asda</w:t>
      </w:r>
    </w:p>
    <w:p w14:paraId="4021C53E" w14:textId="77777777" w:rsidR="00615D39" w:rsidRDefault="00615D39" w:rsidP="00615D39">
      <w:pPr>
        <w:rPr>
          <w:rFonts w:ascii="Arial" w:hAnsi="Arial" w:cs="Arial"/>
        </w:rPr>
      </w:pPr>
    </w:p>
    <w:tbl>
      <w:tblPr>
        <w:tblStyle w:val="TableGrid"/>
        <w:tblW w:w="0" w:type="auto"/>
        <w:tblLook w:val="04A0" w:firstRow="1" w:lastRow="0" w:firstColumn="1" w:lastColumn="0" w:noHBand="0" w:noVBand="1"/>
      </w:tblPr>
      <w:tblGrid>
        <w:gridCol w:w="1803"/>
        <w:gridCol w:w="1803"/>
        <w:gridCol w:w="1803"/>
        <w:gridCol w:w="1803"/>
        <w:gridCol w:w="1804"/>
      </w:tblGrid>
      <w:tr w:rsidR="00615D39" w14:paraId="624079A1" w14:textId="77777777" w:rsidTr="00615D39">
        <w:tc>
          <w:tcPr>
            <w:tcW w:w="1803" w:type="dxa"/>
          </w:tcPr>
          <w:p w14:paraId="698AA31F" w14:textId="4580B56F" w:rsidR="00615D39" w:rsidRDefault="00615D39" w:rsidP="00615D39">
            <w:pPr>
              <w:rPr>
                <w:rFonts w:ascii="Arial" w:hAnsi="Arial" w:cs="Arial"/>
              </w:rPr>
            </w:pPr>
            <w:r w:rsidRPr="00615D39">
              <w:rPr>
                <w:rFonts w:ascii="Arial" w:hAnsi="Arial" w:cs="Arial"/>
              </w:rPr>
              <w:t>HR Challenge</w:t>
            </w:r>
          </w:p>
        </w:tc>
        <w:tc>
          <w:tcPr>
            <w:tcW w:w="1803" w:type="dxa"/>
          </w:tcPr>
          <w:p w14:paraId="06A0D44D" w14:textId="0959FC5C" w:rsidR="00615D39" w:rsidRDefault="00615D39" w:rsidP="00615D39">
            <w:pPr>
              <w:rPr>
                <w:rFonts w:ascii="Arial" w:hAnsi="Arial" w:cs="Arial"/>
              </w:rPr>
            </w:pPr>
            <w:r w:rsidRPr="00615D39">
              <w:rPr>
                <w:rFonts w:ascii="Arial" w:hAnsi="Arial" w:cs="Arial"/>
              </w:rPr>
              <w:t>Key Factors</w:t>
            </w:r>
          </w:p>
        </w:tc>
        <w:tc>
          <w:tcPr>
            <w:tcW w:w="1803" w:type="dxa"/>
          </w:tcPr>
          <w:p w14:paraId="62FD40FF" w14:textId="23CECC66" w:rsidR="00615D39" w:rsidRDefault="00615D39" w:rsidP="00615D39">
            <w:pPr>
              <w:rPr>
                <w:rFonts w:ascii="Arial" w:hAnsi="Arial" w:cs="Arial"/>
              </w:rPr>
            </w:pPr>
            <w:r w:rsidRPr="00615D39">
              <w:rPr>
                <w:rFonts w:ascii="Arial" w:hAnsi="Arial" w:cs="Arial"/>
              </w:rPr>
              <w:t>Contemporary HR Practices</w:t>
            </w:r>
          </w:p>
        </w:tc>
        <w:tc>
          <w:tcPr>
            <w:tcW w:w="1803" w:type="dxa"/>
          </w:tcPr>
          <w:p w14:paraId="28B36B3A" w14:textId="7A3BC6B3" w:rsidR="00615D39" w:rsidRDefault="00615D39" w:rsidP="00615D39">
            <w:pPr>
              <w:rPr>
                <w:rFonts w:ascii="Arial" w:hAnsi="Arial" w:cs="Arial"/>
              </w:rPr>
            </w:pPr>
            <w:r w:rsidRPr="00615D39">
              <w:rPr>
                <w:rFonts w:ascii="Arial" w:hAnsi="Arial" w:cs="Arial"/>
              </w:rPr>
              <w:t>Role of Departmental Managers</w:t>
            </w:r>
          </w:p>
        </w:tc>
        <w:tc>
          <w:tcPr>
            <w:tcW w:w="1804" w:type="dxa"/>
          </w:tcPr>
          <w:p w14:paraId="06255BD4" w14:textId="564765D1" w:rsidR="00615D39" w:rsidRDefault="00615D39" w:rsidP="00615D39">
            <w:pPr>
              <w:rPr>
                <w:rFonts w:ascii="Arial" w:hAnsi="Arial" w:cs="Arial"/>
              </w:rPr>
            </w:pPr>
            <w:r w:rsidRPr="00615D39">
              <w:rPr>
                <w:rFonts w:ascii="Arial" w:hAnsi="Arial" w:cs="Arial"/>
              </w:rPr>
              <w:t>Expected Outcome</w:t>
            </w:r>
            <w:r>
              <w:rPr>
                <w:rFonts w:ascii="Arial" w:hAnsi="Arial" w:cs="Arial"/>
              </w:rPr>
              <w:t>s</w:t>
            </w:r>
          </w:p>
        </w:tc>
      </w:tr>
      <w:tr w:rsidR="00615D39" w14:paraId="7AF430DE" w14:textId="77777777" w:rsidTr="00615D39">
        <w:tc>
          <w:tcPr>
            <w:tcW w:w="1803" w:type="dxa"/>
          </w:tcPr>
          <w:p w14:paraId="5E86F65E" w14:textId="50D7F644" w:rsidR="00615D39" w:rsidRDefault="00615D39" w:rsidP="00615D39">
            <w:pPr>
              <w:rPr>
                <w:rFonts w:ascii="Arial" w:hAnsi="Arial" w:cs="Arial"/>
              </w:rPr>
            </w:pPr>
            <w:r w:rsidRPr="00615D39">
              <w:rPr>
                <w:rFonts w:ascii="Arial" w:hAnsi="Arial" w:cs="Arial"/>
              </w:rPr>
              <w:t>Technological Advancement</w:t>
            </w:r>
          </w:p>
        </w:tc>
        <w:tc>
          <w:tcPr>
            <w:tcW w:w="1803" w:type="dxa"/>
          </w:tcPr>
          <w:p w14:paraId="1FE370CD" w14:textId="77777777" w:rsidR="00615D39" w:rsidRPr="00615D39" w:rsidRDefault="00615D39" w:rsidP="00615D39">
            <w:pPr>
              <w:rPr>
                <w:rFonts w:ascii="Arial" w:hAnsi="Arial" w:cs="Arial"/>
              </w:rPr>
            </w:pPr>
            <w:r w:rsidRPr="00615D39">
              <w:rPr>
                <w:rFonts w:ascii="Arial" w:hAnsi="Arial" w:cs="Arial"/>
              </w:rPr>
              <w:t>- Digital transformation</w:t>
            </w:r>
          </w:p>
          <w:p w14:paraId="736B1F51" w14:textId="77777777" w:rsidR="00615D39" w:rsidRPr="00615D39" w:rsidRDefault="00615D39" w:rsidP="00615D39">
            <w:pPr>
              <w:rPr>
                <w:rFonts w:ascii="Arial" w:hAnsi="Arial" w:cs="Arial"/>
              </w:rPr>
            </w:pPr>
            <w:r w:rsidRPr="00615D39">
              <w:rPr>
                <w:rFonts w:ascii="Arial" w:hAnsi="Arial" w:cs="Arial"/>
              </w:rPr>
              <w:t>- Automation of tasks</w:t>
            </w:r>
          </w:p>
          <w:p w14:paraId="6F9D6520" w14:textId="77777777" w:rsidR="00615D39" w:rsidRPr="00615D39" w:rsidRDefault="00615D39" w:rsidP="00615D39">
            <w:pPr>
              <w:rPr>
                <w:rFonts w:ascii="Arial" w:hAnsi="Arial" w:cs="Arial"/>
              </w:rPr>
            </w:pPr>
            <w:r w:rsidRPr="00615D39">
              <w:rPr>
                <w:rFonts w:ascii="Arial" w:hAnsi="Arial" w:cs="Arial"/>
              </w:rPr>
              <w:t>- Need for digital skills</w:t>
            </w:r>
          </w:p>
          <w:p w14:paraId="7AA66F07" w14:textId="043D82D3" w:rsidR="00615D39" w:rsidRDefault="00615D39" w:rsidP="00615D39">
            <w:pPr>
              <w:rPr>
                <w:rFonts w:ascii="Arial" w:hAnsi="Arial" w:cs="Arial"/>
              </w:rPr>
            </w:pPr>
            <w:r w:rsidRPr="00615D39">
              <w:rPr>
                <w:rFonts w:ascii="Arial" w:hAnsi="Arial" w:cs="Arial"/>
              </w:rPr>
              <w:t>- Data security requirements</w:t>
            </w:r>
          </w:p>
        </w:tc>
        <w:tc>
          <w:tcPr>
            <w:tcW w:w="1803" w:type="dxa"/>
          </w:tcPr>
          <w:p w14:paraId="2AB4F845" w14:textId="77777777" w:rsidR="00615D39" w:rsidRPr="00615D39" w:rsidRDefault="00615D39" w:rsidP="00615D39">
            <w:pPr>
              <w:rPr>
                <w:rFonts w:ascii="Arial" w:hAnsi="Arial" w:cs="Arial"/>
              </w:rPr>
            </w:pPr>
            <w:r w:rsidRPr="00615D39">
              <w:rPr>
                <w:rFonts w:ascii="Arial" w:hAnsi="Arial" w:cs="Arial"/>
              </w:rPr>
              <w:t>- E-learning platforms</w:t>
            </w:r>
          </w:p>
          <w:p w14:paraId="7BA53E6A" w14:textId="77777777" w:rsidR="00615D39" w:rsidRPr="00615D39" w:rsidRDefault="00615D39" w:rsidP="00615D39">
            <w:pPr>
              <w:rPr>
                <w:rFonts w:ascii="Arial" w:hAnsi="Arial" w:cs="Arial"/>
              </w:rPr>
            </w:pPr>
            <w:r w:rsidRPr="00615D39">
              <w:rPr>
                <w:rFonts w:ascii="Arial" w:hAnsi="Arial" w:cs="Arial"/>
              </w:rPr>
              <w:t>- On-the-job (experiential) training</w:t>
            </w:r>
          </w:p>
          <w:p w14:paraId="0D585010" w14:textId="77777777" w:rsidR="00615D39" w:rsidRPr="00615D39" w:rsidRDefault="00615D39" w:rsidP="00615D39">
            <w:pPr>
              <w:rPr>
                <w:rFonts w:ascii="Arial" w:hAnsi="Arial" w:cs="Arial"/>
              </w:rPr>
            </w:pPr>
            <w:r w:rsidRPr="00615D39">
              <w:rPr>
                <w:rFonts w:ascii="Arial" w:hAnsi="Arial" w:cs="Arial"/>
              </w:rPr>
              <w:t>- HR analytics systems</w:t>
            </w:r>
          </w:p>
          <w:p w14:paraId="5DFE5B8C" w14:textId="10042A7E" w:rsidR="00615D39" w:rsidRDefault="00615D39" w:rsidP="00615D39">
            <w:pPr>
              <w:rPr>
                <w:rFonts w:ascii="Arial" w:hAnsi="Arial" w:cs="Arial"/>
              </w:rPr>
            </w:pPr>
            <w:r w:rsidRPr="00615D39">
              <w:rPr>
                <w:rFonts w:ascii="Arial" w:hAnsi="Arial" w:cs="Arial"/>
              </w:rPr>
              <w:t>- Change management strategies</w:t>
            </w:r>
          </w:p>
        </w:tc>
        <w:tc>
          <w:tcPr>
            <w:tcW w:w="1803" w:type="dxa"/>
          </w:tcPr>
          <w:p w14:paraId="2D32947C" w14:textId="77777777" w:rsidR="00615D39" w:rsidRPr="00615D39" w:rsidRDefault="00615D39" w:rsidP="00615D39">
            <w:pPr>
              <w:rPr>
                <w:rFonts w:ascii="Arial" w:hAnsi="Arial" w:cs="Arial"/>
              </w:rPr>
            </w:pPr>
            <w:r w:rsidRPr="00615D39">
              <w:rPr>
                <w:rFonts w:ascii="Arial" w:hAnsi="Arial" w:cs="Arial"/>
              </w:rPr>
              <w:t>- Support digital training</w:t>
            </w:r>
          </w:p>
          <w:p w14:paraId="087726AD" w14:textId="77777777" w:rsidR="00615D39" w:rsidRPr="00615D39" w:rsidRDefault="00615D39" w:rsidP="00615D39">
            <w:pPr>
              <w:rPr>
                <w:rFonts w:ascii="Arial" w:hAnsi="Arial" w:cs="Arial"/>
              </w:rPr>
            </w:pPr>
            <w:r w:rsidRPr="00615D39">
              <w:rPr>
                <w:rFonts w:ascii="Arial" w:hAnsi="Arial" w:cs="Arial"/>
              </w:rPr>
              <w:t>- Communicate technological changes clearly</w:t>
            </w:r>
          </w:p>
          <w:p w14:paraId="5E137537" w14:textId="77777777" w:rsidR="00615D39" w:rsidRPr="00615D39" w:rsidRDefault="00615D39" w:rsidP="00615D39">
            <w:pPr>
              <w:rPr>
                <w:rFonts w:ascii="Arial" w:hAnsi="Arial" w:cs="Arial"/>
              </w:rPr>
            </w:pPr>
            <w:r w:rsidRPr="00615D39">
              <w:rPr>
                <w:rFonts w:ascii="Arial" w:hAnsi="Arial" w:cs="Arial"/>
              </w:rPr>
              <w:t>- Monitor employee adaptation</w:t>
            </w:r>
          </w:p>
          <w:p w14:paraId="020AFB61" w14:textId="2B84ABEE" w:rsidR="00615D39" w:rsidRDefault="00615D39" w:rsidP="00615D39">
            <w:pPr>
              <w:rPr>
                <w:rFonts w:ascii="Arial" w:hAnsi="Arial" w:cs="Arial"/>
              </w:rPr>
            </w:pPr>
            <w:r w:rsidRPr="00615D39">
              <w:rPr>
                <w:rFonts w:ascii="Arial" w:hAnsi="Arial" w:cs="Arial"/>
              </w:rPr>
              <w:t>- Provide continuous feedback</w:t>
            </w:r>
          </w:p>
        </w:tc>
        <w:tc>
          <w:tcPr>
            <w:tcW w:w="1804" w:type="dxa"/>
          </w:tcPr>
          <w:p w14:paraId="4DC601D0" w14:textId="77777777" w:rsidR="00615D39" w:rsidRPr="00615D39" w:rsidRDefault="00615D39" w:rsidP="00615D39">
            <w:pPr>
              <w:rPr>
                <w:rFonts w:ascii="Arial" w:hAnsi="Arial" w:cs="Arial"/>
              </w:rPr>
            </w:pPr>
            <w:r w:rsidRPr="00615D39">
              <w:rPr>
                <w:rFonts w:ascii="Arial" w:hAnsi="Arial" w:cs="Arial"/>
              </w:rPr>
              <w:t>- Improved efficiency</w:t>
            </w:r>
          </w:p>
          <w:p w14:paraId="40405597" w14:textId="77777777" w:rsidR="00615D39" w:rsidRPr="00615D39" w:rsidRDefault="00615D39" w:rsidP="00615D39">
            <w:pPr>
              <w:rPr>
                <w:rFonts w:ascii="Arial" w:hAnsi="Arial" w:cs="Arial"/>
              </w:rPr>
            </w:pPr>
            <w:r w:rsidRPr="00615D39">
              <w:rPr>
                <w:rFonts w:ascii="Arial" w:hAnsi="Arial" w:cs="Arial"/>
              </w:rPr>
              <w:t>- Increased employee competence</w:t>
            </w:r>
          </w:p>
          <w:p w14:paraId="7A5A72D4" w14:textId="7F205133" w:rsidR="00615D39" w:rsidRDefault="00615D39" w:rsidP="00615D39">
            <w:pPr>
              <w:rPr>
                <w:rFonts w:ascii="Arial" w:hAnsi="Arial" w:cs="Arial"/>
              </w:rPr>
            </w:pPr>
            <w:r w:rsidRPr="00615D39">
              <w:rPr>
                <w:rFonts w:ascii="Arial" w:hAnsi="Arial" w:cs="Arial"/>
              </w:rPr>
              <w:t>- Reduced resistance to change</w:t>
            </w:r>
          </w:p>
        </w:tc>
      </w:tr>
      <w:tr w:rsidR="00615D39" w14:paraId="05B98FB2" w14:textId="77777777" w:rsidTr="00615D39">
        <w:tc>
          <w:tcPr>
            <w:tcW w:w="1803" w:type="dxa"/>
          </w:tcPr>
          <w:p w14:paraId="05039D2D" w14:textId="42740DAB" w:rsidR="00615D39" w:rsidRDefault="00615D39" w:rsidP="00615D39">
            <w:pPr>
              <w:rPr>
                <w:rFonts w:ascii="Arial" w:hAnsi="Arial" w:cs="Arial"/>
              </w:rPr>
            </w:pPr>
            <w:r w:rsidRPr="00615D39">
              <w:rPr>
                <w:rFonts w:ascii="Arial" w:hAnsi="Arial" w:cs="Arial"/>
              </w:rPr>
              <w:t>Talent Acquisition &amp; Retention</w:t>
            </w:r>
          </w:p>
        </w:tc>
        <w:tc>
          <w:tcPr>
            <w:tcW w:w="1803" w:type="dxa"/>
          </w:tcPr>
          <w:p w14:paraId="1BF859B6" w14:textId="77777777" w:rsidR="00615D39" w:rsidRPr="00615D39" w:rsidRDefault="00615D39" w:rsidP="00615D39">
            <w:pPr>
              <w:rPr>
                <w:rFonts w:ascii="Arial" w:hAnsi="Arial" w:cs="Arial"/>
              </w:rPr>
            </w:pPr>
            <w:r w:rsidRPr="00615D39">
              <w:rPr>
                <w:rFonts w:ascii="Arial" w:hAnsi="Arial" w:cs="Arial"/>
              </w:rPr>
              <w:t>- High labour market competition</w:t>
            </w:r>
          </w:p>
          <w:p w14:paraId="219663CD" w14:textId="77777777" w:rsidR="00615D39" w:rsidRPr="00615D39" w:rsidRDefault="00615D39" w:rsidP="00615D39">
            <w:pPr>
              <w:rPr>
                <w:rFonts w:ascii="Arial" w:hAnsi="Arial" w:cs="Arial"/>
              </w:rPr>
            </w:pPr>
            <w:r w:rsidRPr="00615D39">
              <w:rPr>
                <w:rFonts w:ascii="Arial" w:hAnsi="Arial" w:cs="Arial"/>
              </w:rPr>
              <w:t>- Changing employee expectations</w:t>
            </w:r>
          </w:p>
          <w:p w14:paraId="217F6A4B" w14:textId="77777777" w:rsidR="00615D39" w:rsidRPr="00615D39" w:rsidRDefault="00615D39" w:rsidP="00615D39">
            <w:pPr>
              <w:rPr>
                <w:rFonts w:ascii="Arial" w:hAnsi="Arial" w:cs="Arial"/>
              </w:rPr>
            </w:pPr>
            <w:r w:rsidRPr="00615D39">
              <w:rPr>
                <w:rFonts w:ascii="Arial" w:hAnsi="Arial" w:cs="Arial"/>
              </w:rPr>
              <w:t>- Work-life balance demands</w:t>
            </w:r>
          </w:p>
          <w:p w14:paraId="76B189CE" w14:textId="301D8947" w:rsidR="00615D39" w:rsidRDefault="00615D39" w:rsidP="00615D39">
            <w:pPr>
              <w:rPr>
                <w:rFonts w:ascii="Arial" w:hAnsi="Arial" w:cs="Arial"/>
              </w:rPr>
            </w:pPr>
            <w:r w:rsidRPr="00615D39">
              <w:rPr>
                <w:rFonts w:ascii="Arial" w:hAnsi="Arial" w:cs="Arial"/>
              </w:rPr>
              <w:t>- High turnover in retail sector</w:t>
            </w:r>
          </w:p>
        </w:tc>
        <w:tc>
          <w:tcPr>
            <w:tcW w:w="1803" w:type="dxa"/>
          </w:tcPr>
          <w:p w14:paraId="1BAB3AFB" w14:textId="77777777" w:rsidR="00615D39" w:rsidRPr="00615D39" w:rsidRDefault="00615D39" w:rsidP="00615D39">
            <w:pPr>
              <w:rPr>
                <w:rFonts w:ascii="Arial" w:hAnsi="Arial" w:cs="Arial"/>
              </w:rPr>
            </w:pPr>
            <w:r w:rsidRPr="00615D39">
              <w:rPr>
                <w:rFonts w:ascii="Arial" w:hAnsi="Arial" w:cs="Arial"/>
              </w:rPr>
              <w:t>- Employer branding</w:t>
            </w:r>
          </w:p>
          <w:p w14:paraId="13027911" w14:textId="77777777" w:rsidR="00615D39" w:rsidRPr="00615D39" w:rsidRDefault="00615D39" w:rsidP="00615D39">
            <w:pPr>
              <w:rPr>
                <w:rFonts w:ascii="Arial" w:hAnsi="Arial" w:cs="Arial"/>
              </w:rPr>
            </w:pPr>
            <w:r w:rsidRPr="00615D39">
              <w:rPr>
                <w:rFonts w:ascii="Arial" w:hAnsi="Arial" w:cs="Arial"/>
              </w:rPr>
              <w:t>- Flexible working arrangements</w:t>
            </w:r>
          </w:p>
          <w:p w14:paraId="60EB3865" w14:textId="77777777" w:rsidR="00615D39" w:rsidRPr="00615D39" w:rsidRDefault="00615D39" w:rsidP="00615D39">
            <w:pPr>
              <w:rPr>
                <w:rFonts w:ascii="Arial" w:hAnsi="Arial" w:cs="Arial"/>
              </w:rPr>
            </w:pPr>
            <w:r w:rsidRPr="00615D39">
              <w:rPr>
                <w:rFonts w:ascii="Arial" w:hAnsi="Arial" w:cs="Arial"/>
              </w:rPr>
              <w:t>- Training and career development</w:t>
            </w:r>
          </w:p>
          <w:p w14:paraId="1400A876" w14:textId="3ADF75E0" w:rsidR="00615D39" w:rsidRDefault="00615D39" w:rsidP="00615D39">
            <w:pPr>
              <w:rPr>
                <w:rFonts w:ascii="Arial" w:hAnsi="Arial" w:cs="Arial"/>
              </w:rPr>
            </w:pPr>
            <w:r w:rsidRPr="00615D39">
              <w:rPr>
                <w:rFonts w:ascii="Arial" w:hAnsi="Arial" w:cs="Arial"/>
              </w:rPr>
              <w:t>- Performance management systems</w:t>
            </w:r>
          </w:p>
        </w:tc>
        <w:tc>
          <w:tcPr>
            <w:tcW w:w="1803" w:type="dxa"/>
          </w:tcPr>
          <w:p w14:paraId="49BF49E0" w14:textId="77777777" w:rsidR="00615D39" w:rsidRPr="00615D39" w:rsidRDefault="00615D39" w:rsidP="00615D39">
            <w:pPr>
              <w:rPr>
                <w:rFonts w:ascii="Arial" w:hAnsi="Arial" w:cs="Arial"/>
              </w:rPr>
            </w:pPr>
            <w:r w:rsidRPr="00615D39">
              <w:rPr>
                <w:rFonts w:ascii="Arial" w:hAnsi="Arial" w:cs="Arial"/>
              </w:rPr>
              <w:t>- Motivate and engage employees</w:t>
            </w:r>
          </w:p>
          <w:p w14:paraId="4A81F7B5" w14:textId="77777777" w:rsidR="00615D39" w:rsidRPr="00615D39" w:rsidRDefault="00615D39" w:rsidP="00615D39">
            <w:pPr>
              <w:rPr>
                <w:rFonts w:ascii="Arial" w:hAnsi="Arial" w:cs="Arial"/>
              </w:rPr>
            </w:pPr>
            <w:r w:rsidRPr="00615D39">
              <w:rPr>
                <w:rFonts w:ascii="Arial" w:hAnsi="Arial" w:cs="Arial"/>
              </w:rPr>
              <w:t>- Provide regular feedback</w:t>
            </w:r>
          </w:p>
          <w:p w14:paraId="7708B2B7" w14:textId="77777777" w:rsidR="00615D39" w:rsidRPr="00615D39" w:rsidRDefault="00615D39" w:rsidP="00615D39">
            <w:pPr>
              <w:rPr>
                <w:rFonts w:ascii="Arial" w:hAnsi="Arial" w:cs="Arial"/>
              </w:rPr>
            </w:pPr>
            <w:r w:rsidRPr="00615D39">
              <w:rPr>
                <w:rFonts w:ascii="Arial" w:hAnsi="Arial" w:cs="Arial"/>
              </w:rPr>
              <w:t>- Support career development</w:t>
            </w:r>
          </w:p>
          <w:p w14:paraId="784B7DD2" w14:textId="23BD2020" w:rsidR="00615D39" w:rsidRDefault="00615D39" w:rsidP="00615D39">
            <w:pPr>
              <w:rPr>
                <w:rFonts w:ascii="Arial" w:hAnsi="Arial" w:cs="Arial"/>
              </w:rPr>
            </w:pPr>
            <w:r w:rsidRPr="00615D39">
              <w:rPr>
                <w:rFonts w:ascii="Arial" w:hAnsi="Arial" w:cs="Arial"/>
              </w:rPr>
              <w:t>- Implement fair performance reviews</w:t>
            </w:r>
          </w:p>
        </w:tc>
        <w:tc>
          <w:tcPr>
            <w:tcW w:w="1804" w:type="dxa"/>
          </w:tcPr>
          <w:p w14:paraId="5D9A0976" w14:textId="77777777" w:rsidR="00615D39" w:rsidRPr="00615D39" w:rsidRDefault="00615D39" w:rsidP="00615D39">
            <w:pPr>
              <w:rPr>
                <w:rFonts w:ascii="Arial" w:hAnsi="Arial" w:cs="Arial"/>
              </w:rPr>
            </w:pPr>
            <w:r w:rsidRPr="00615D39">
              <w:rPr>
                <w:rFonts w:ascii="Arial" w:hAnsi="Arial" w:cs="Arial"/>
              </w:rPr>
              <w:t>- Higher retention rates</w:t>
            </w:r>
          </w:p>
          <w:p w14:paraId="7969D1F9" w14:textId="77777777" w:rsidR="00615D39" w:rsidRPr="00615D39" w:rsidRDefault="00615D39" w:rsidP="00615D39">
            <w:pPr>
              <w:rPr>
                <w:rFonts w:ascii="Arial" w:hAnsi="Arial" w:cs="Arial"/>
              </w:rPr>
            </w:pPr>
            <w:r w:rsidRPr="00615D39">
              <w:rPr>
                <w:rFonts w:ascii="Arial" w:hAnsi="Arial" w:cs="Arial"/>
              </w:rPr>
              <w:t>- Improved employee satisfaction</w:t>
            </w:r>
          </w:p>
          <w:p w14:paraId="0326E205" w14:textId="6BA9430D" w:rsidR="00615D39" w:rsidRDefault="00615D39" w:rsidP="00615D39">
            <w:pPr>
              <w:rPr>
                <w:rFonts w:ascii="Arial" w:hAnsi="Arial" w:cs="Arial"/>
              </w:rPr>
            </w:pPr>
            <w:r w:rsidRPr="00615D39">
              <w:rPr>
                <w:rFonts w:ascii="Arial" w:hAnsi="Arial" w:cs="Arial"/>
              </w:rPr>
              <w:t>- Stronger organisational performance</w:t>
            </w:r>
          </w:p>
        </w:tc>
      </w:tr>
      <w:tr w:rsidR="00615D39" w14:paraId="1B65C0B1" w14:textId="77777777" w:rsidTr="00615D39">
        <w:tc>
          <w:tcPr>
            <w:tcW w:w="1803" w:type="dxa"/>
          </w:tcPr>
          <w:p w14:paraId="5346BB1A" w14:textId="77777777" w:rsidR="00615D39" w:rsidRDefault="00615D39" w:rsidP="00615D39">
            <w:pPr>
              <w:rPr>
                <w:rFonts w:ascii="Arial" w:hAnsi="Arial" w:cs="Arial"/>
              </w:rPr>
            </w:pPr>
          </w:p>
          <w:p w14:paraId="3ACA43C8" w14:textId="7E8571B6" w:rsidR="00615D39" w:rsidRPr="00615D39" w:rsidRDefault="00615D39" w:rsidP="00615D39">
            <w:pPr>
              <w:rPr>
                <w:rFonts w:ascii="Arial" w:hAnsi="Arial" w:cs="Arial"/>
              </w:rPr>
            </w:pPr>
            <w:r w:rsidRPr="00615D39">
              <w:rPr>
                <w:rFonts w:ascii="Arial" w:hAnsi="Arial" w:cs="Arial"/>
              </w:rPr>
              <w:t>Diversity, Equity &amp; Inclusion (DEI)</w:t>
            </w:r>
          </w:p>
        </w:tc>
        <w:tc>
          <w:tcPr>
            <w:tcW w:w="1803" w:type="dxa"/>
          </w:tcPr>
          <w:p w14:paraId="03A1FDFE" w14:textId="77777777" w:rsidR="00615D39" w:rsidRPr="00615D39" w:rsidRDefault="00615D39" w:rsidP="00615D39">
            <w:pPr>
              <w:rPr>
                <w:rFonts w:ascii="Arial" w:hAnsi="Arial" w:cs="Arial"/>
              </w:rPr>
            </w:pPr>
            <w:r w:rsidRPr="00615D39">
              <w:rPr>
                <w:rFonts w:ascii="Arial" w:hAnsi="Arial" w:cs="Arial"/>
              </w:rPr>
              <w:t>- Legal compliance (Equality Act 2010)</w:t>
            </w:r>
          </w:p>
          <w:p w14:paraId="78999B36" w14:textId="77777777" w:rsidR="00615D39" w:rsidRPr="00615D39" w:rsidRDefault="00615D39" w:rsidP="00615D39">
            <w:pPr>
              <w:rPr>
                <w:rFonts w:ascii="Arial" w:hAnsi="Arial" w:cs="Arial"/>
              </w:rPr>
            </w:pPr>
            <w:r w:rsidRPr="00615D39">
              <w:rPr>
                <w:rFonts w:ascii="Arial" w:hAnsi="Arial" w:cs="Arial"/>
              </w:rPr>
              <w:t>- Diverse workforce</w:t>
            </w:r>
          </w:p>
          <w:p w14:paraId="37E471AF" w14:textId="77777777" w:rsidR="00615D39" w:rsidRPr="00615D39" w:rsidRDefault="00615D39" w:rsidP="00615D39">
            <w:pPr>
              <w:rPr>
                <w:rFonts w:ascii="Arial" w:hAnsi="Arial" w:cs="Arial"/>
              </w:rPr>
            </w:pPr>
            <w:r w:rsidRPr="00615D39">
              <w:rPr>
                <w:rFonts w:ascii="Arial" w:hAnsi="Arial" w:cs="Arial"/>
              </w:rPr>
              <w:t>- Need for inclusive culture</w:t>
            </w:r>
          </w:p>
          <w:p w14:paraId="7C972F41" w14:textId="51EA2535" w:rsidR="00615D39" w:rsidRDefault="00615D39" w:rsidP="00615D39">
            <w:pPr>
              <w:rPr>
                <w:rFonts w:ascii="Arial" w:hAnsi="Arial" w:cs="Arial"/>
              </w:rPr>
            </w:pPr>
            <w:r w:rsidRPr="00615D39">
              <w:rPr>
                <w:rFonts w:ascii="Arial" w:hAnsi="Arial" w:cs="Arial"/>
              </w:rPr>
              <w:t>- Risk of discrimination</w:t>
            </w:r>
          </w:p>
        </w:tc>
        <w:tc>
          <w:tcPr>
            <w:tcW w:w="1803" w:type="dxa"/>
          </w:tcPr>
          <w:p w14:paraId="36FFFCC5" w14:textId="77777777" w:rsidR="00615D39" w:rsidRPr="00615D39" w:rsidRDefault="00615D39" w:rsidP="00615D39">
            <w:pPr>
              <w:rPr>
                <w:rFonts w:ascii="Arial" w:hAnsi="Arial" w:cs="Arial"/>
              </w:rPr>
            </w:pPr>
            <w:r w:rsidRPr="00615D39">
              <w:rPr>
                <w:rFonts w:ascii="Arial" w:hAnsi="Arial" w:cs="Arial"/>
              </w:rPr>
              <w:t>- Inclusive recruitment practices</w:t>
            </w:r>
          </w:p>
          <w:p w14:paraId="1590F05B" w14:textId="77777777" w:rsidR="00615D39" w:rsidRPr="00615D39" w:rsidRDefault="00615D39" w:rsidP="00615D39">
            <w:pPr>
              <w:rPr>
                <w:rFonts w:ascii="Arial" w:hAnsi="Arial" w:cs="Arial"/>
              </w:rPr>
            </w:pPr>
            <w:r w:rsidRPr="00615D39">
              <w:rPr>
                <w:rFonts w:ascii="Arial" w:hAnsi="Arial" w:cs="Arial"/>
              </w:rPr>
              <w:t>- Diversity training programmes</w:t>
            </w:r>
          </w:p>
          <w:p w14:paraId="74617DEA" w14:textId="77777777" w:rsidR="00615D39" w:rsidRPr="00615D39" w:rsidRDefault="00615D39" w:rsidP="00615D39">
            <w:pPr>
              <w:rPr>
                <w:rFonts w:ascii="Arial" w:hAnsi="Arial" w:cs="Arial"/>
              </w:rPr>
            </w:pPr>
            <w:r w:rsidRPr="00615D39">
              <w:rPr>
                <w:rFonts w:ascii="Arial" w:hAnsi="Arial" w:cs="Arial"/>
              </w:rPr>
              <w:t>- Employee Resource Groups (ERGs)</w:t>
            </w:r>
          </w:p>
          <w:p w14:paraId="4EFCB8D7" w14:textId="5B287650" w:rsidR="00615D39" w:rsidRDefault="00615D39" w:rsidP="00615D39">
            <w:pPr>
              <w:rPr>
                <w:rFonts w:ascii="Arial" w:hAnsi="Arial" w:cs="Arial"/>
              </w:rPr>
            </w:pPr>
            <w:r w:rsidRPr="00615D39">
              <w:rPr>
                <w:rFonts w:ascii="Arial" w:hAnsi="Arial" w:cs="Arial"/>
              </w:rPr>
              <w:t>- Equal opportunity policies</w:t>
            </w:r>
          </w:p>
        </w:tc>
        <w:tc>
          <w:tcPr>
            <w:tcW w:w="1803" w:type="dxa"/>
          </w:tcPr>
          <w:p w14:paraId="1C53A576" w14:textId="77777777" w:rsidR="00615D39" w:rsidRPr="00615D39" w:rsidRDefault="00615D39" w:rsidP="00615D39">
            <w:pPr>
              <w:rPr>
                <w:rFonts w:ascii="Arial" w:hAnsi="Arial" w:cs="Arial"/>
              </w:rPr>
            </w:pPr>
            <w:r w:rsidRPr="00615D39">
              <w:rPr>
                <w:rFonts w:ascii="Arial" w:hAnsi="Arial" w:cs="Arial"/>
              </w:rPr>
              <w:t>- Promote inclusive behaviour</w:t>
            </w:r>
          </w:p>
          <w:p w14:paraId="4FFF4FE5" w14:textId="77777777" w:rsidR="00615D39" w:rsidRPr="00615D39" w:rsidRDefault="00615D39" w:rsidP="00615D39">
            <w:pPr>
              <w:rPr>
                <w:rFonts w:ascii="Arial" w:hAnsi="Arial" w:cs="Arial"/>
              </w:rPr>
            </w:pPr>
            <w:r w:rsidRPr="00615D39">
              <w:rPr>
                <w:rFonts w:ascii="Arial" w:hAnsi="Arial" w:cs="Arial"/>
              </w:rPr>
              <w:t>- Ensure fair treatment</w:t>
            </w:r>
          </w:p>
          <w:p w14:paraId="10A8EE98" w14:textId="77777777" w:rsidR="00615D39" w:rsidRPr="00615D39" w:rsidRDefault="00615D39" w:rsidP="00615D39">
            <w:pPr>
              <w:rPr>
                <w:rFonts w:ascii="Arial" w:hAnsi="Arial" w:cs="Arial"/>
              </w:rPr>
            </w:pPr>
            <w:r w:rsidRPr="00615D39">
              <w:rPr>
                <w:rFonts w:ascii="Arial" w:hAnsi="Arial" w:cs="Arial"/>
              </w:rPr>
              <w:t>- Address discrimination issues</w:t>
            </w:r>
          </w:p>
          <w:p w14:paraId="504BDD0E" w14:textId="3BD5EDFF" w:rsidR="00615D39" w:rsidRDefault="00615D39" w:rsidP="00615D39">
            <w:pPr>
              <w:rPr>
                <w:rFonts w:ascii="Arial" w:hAnsi="Arial" w:cs="Arial"/>
              </w:rPr>
            </w:pPr>
            <w:r w:rsidRPr="00615D39">
              <w:rPr>
                <w:rFonts w:ascii="Arial" w:hAnsi="Arial" w:cs="Arial"/>
              </w:rPr>
              <w:t>- Encourage team collaboration</w:t>
            </w:r>
          </w:p>
        </w:tc>
        <w:tc>
          <w:tcPr>
            <w:tcW w:w="1804" w:type="dxa"/>
          </w:tcPr>
          <w:p w14:paraId="7D3189B4" w14:textId="77777777" w:rsidR="00615D39" w:rsidRPr="00615D39" w:rsidRDefault="00615D39" w:rsidP="00615D39">
            <w:pPr>
              <w:rPr>
                <w:rFonts w:ascii="Arial" w:hAnsi="Arial" w:cs="Arial"/>
              </w:rPr>
            </w:pPr>
            <w:r w:rsidRPr="00615D39">
              <w:rPr>
                <w:rFonts w:ascii="Arial" w:hAnsi="Arial" w:cs="Arial"/>
              </w:rPr>
              <w:t>- Inclusive workplace culture</w:t>
            </w:r>
          </w:p>
          <w:p w14:paraId="707CB29A" w14:textId="77777777" w:rsidR="00615D39" w:rsidRPr="00615D39" w:rsidRDefault="00615D39" w:rsidP="00615D39">
            <w:pPr>
              <w:rPr>
                <w:rFonts w:ascii="Arial" w:hAnsi="Arial" w:cs="Arial"/>
              </w:rPr>
            </w:pPr>
            <w:r w:rsidRPr="00615D39">
              <w:rPr>
                <w:rFonts w:ascii="Arial" w:hAnsi="Arial" w:cs="Arial"/>
              </w:rPr>
              <w:t>- Increased employee engagement</w:t>
            </w:r>
          </w:p>
          <w:p w14:paraId="096C50D5" w14:textId="7ADCB3A8" w:rsidR="00615D39" w:rsidRDefault="00615D39" w:rsidP="00615D39">
            <w:pPr>
              <w:rPr>
                <w:rFonts w:ascii="Arial" w:hAnsi="Arial" w:cs="Arial"/>
              </w:rPr>
            </w:pPr>
            <w:r w:rsidRPr="00615D39">
              <w:rPr>
                <w:rFonts w:ascii="Arial" w:hAnsi="Arial" w:cs="Arial"/>
              </w:rPr>
              <w:t>- Better decision-making and innovation</w:t>
            </w:r>
          </w:p>
        </w:tc>
      </w:tr>
    </w:tbl>
    <w:p w14:paraId="7DC91598" w14:textId="77777777" w:rsidR="00615D39" w:rsidRPr="00615D39" w:rsidRDefault="00615D39" w:rsidP="00615D39">
      <w:pPr>
        <w:rPr>
          <w:rFonts w:ascii="Arial" w:hAnsi="Arial" w:cs="Arial"/>
        </w:rPr>
      </w:pPr>
    </w:p>
    <w:sectPr w:rsidR="00615D39" w:rsidRPr="00615D3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FE99A" w14:textId="77777777" w:rsidR="00FB088F" w:rsidRDefault="00FB088F" w:rsidP="00C82BD5">
      <w:pPr>
        <w:spacing w:after="0" w:line="240" w:lineRule="auto"/>
      </w:pPr>
      <w:r>
        <w:separator/>
      </w:r>
    </w:p>
  </w:endnote>
  <w:endnote w:type="continuationSeparator" w:id="0">
    <w:p w14:paraId="0B9E275A" w14:textId="77777777" w:rsidR="00FB088F" w:rsidRDefault="00FB088F" w:rsidP="00C82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1930472"/>
      <w:docPartObj>
        <w:docPartGallery w:val="Page Numbers (Bottom of Page)"/>
        <w:docPartUnique/>
      </w:docPartObj>
    </w:sdtPr>
    <w:sdtContent>
      <w:p w14:paraId="13449AA6" w14:textId="50ACCDF6" w:rsidR="00D94A44" w:rsidRDefault="00D94A44">
        <w:pPr>
          <w:pStyle w:val="Footer"/>
          <w:jc w:val="center"/>
        </w:pPr>
        <w:r>
          <w:fldChar w:fldCharType="begin"/>
        </w:r>
        <w:r>
          <w:instrText>PAGE   \* MERGEFORMAT</w:instrText>
        </w:r>
        <w:r>
          <w:fldChar w:fldCharType="separate"/>
        </w:r>
        <w:r>
          <w:t>2</w:t>
        </w:r>
        <w:r>
          <w:fldChar w:fldCharType="end"/>
        </w:r>
      </w:p>
    </w:sdtContent>
  </w:sdt>
  <w:p w14:paraId="09C3EE73" w14:textId="77777777" w:rsidR="00D94A44" w:rsidRDefault="00D94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78281" w14:textId="77777777" w:rsidR="00FB088F" w:rsidRDefault="00FB088F" w:rsidP="00C82BD5">
      <w:pPr>
        <w:spacing w:after="0" w:line="240" w:lineRule="auto"/>
      </w:pPr>
      <w:r>
        <w:separator/>
      </w:r>
    </w:p>
  </w:footnote>
  <w:footnote w:type="continuationSeparator" w:id="0">
    <w:p w14:paraId="2B5752DD" w14:textId="77777777" w:rsidR="00FB088F" w:rsidRDefault="00FB088F" w:rsidP="00C82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D807D9"/>
    <w:multiLevelType w:val="hybridMultilevel"/>
    <w:tmpl w:val="ED266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6433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EFB"/>
    <w:rsid w:val="00187286"/>
    <w:rsid w:val="005A6E2B"/>
    <w:rsid w:val="006066FE"/>
    <w:rsid w:val="00615D39"/>
    <w:rsid w:val="007015AB"/>
    <w:rsid w:val="00B31A9F"/>
    <w:rsid w:val="00B52546"/>
    <w:rsid w:val="00C82BD5"/>
    <w:rsid w:val="00D1124F"/>
    <w:rsid w:val="00D150A9"/>
    <w:rsid w:val="00D94A44"/>
    <w:rsid w:val="00E06EFB"/>
    <w:rsid w:val="00F62291"/>
    <w:rsid w:val="00FB0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43233"/>
  <w15:chartTrackingRefBased/>
  <w15:docId w15:val="{CC61780D-B246-473D-BA4F-F362EBF1E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E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6E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6E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6E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E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E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E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E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E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E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6E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6E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E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E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EFB"/>
    <w:rPr>
      <w:rFonts w:eastAsiaTheme="majorEastAsia" w:cstheme="majorBidi"/>
      <w:color w:val="272727" w:themeColor="text1" w:themeTint="D8"/>
    </w:rPr>
  </w:style>
  <w:style w:type="paragraph" w:styleId="Title">
    <w:name w:val="Title"/>
    <w:basedOn w:val="Normal"/>
    <w:next w:val="Normal"/>
    <w:link w:val="TitleChar"/>
    <w:uiPriority w:val="10"/>
    <w:qFormat/>
    <w:rsid w:val="00E06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E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EFB"/>
    <w:pPr>
      <w:spacing w:before="160"/>
      <w:jc w:val="center"/>
    </w:pPr>
    <w:rPr>
      <w:i/>
      <w:iCs/>
      <w:color w:val="404040" w:themeColor="text1" w:themeTint="BF"/>
    </w:rPr>
  </w:style>
  <w:style w:type="character" w:customStyle="1" w:styleId="QuoteChar">
    <w:name w:val="Quote Char"/>
    <w:basedOn w:val="DefaultParagraphFont"/>
    <w:link w:val="Quote"/>
    <w:uiPriority w:val="29"/>
    <w:rsid w:val="00E06EFB"/>
    <w:rPr>
      <w:i/>
      <w:iCs/>
      <w:color w:val="404040" w:themeColor="text1" w:themeTint="BF"/>
    </w:rPr>
  </w:style>
  <w:style w:type="paragraph" w:styleId="ListParagraph">
    <w:name w:val="List Paragraph"/>
    <w:basedOn w:val="Normal"/>
    <w:uiPriority w:val="34"/>
    <w:qFormat/>
    <w:rsid w:val="00E06EFB"/>
    <w:pPr>
      <w:ind w:left="720"/>
      <w:contextualSpacing/>
    </w:pPr>
  </w:style>
  <w:style w:type="character" w:styleId="IntenseEmphasis">
    <w:name w:val="Intense Emphasis"/>
    <w:basedOn w:val="DefaultParagraphFont"/>
    <w:uiPriority w:val="21"/>
    <w:qFormat/>
    <w:rsid w:val="00E06EFB"/>
    <w:rPr>
      <w:i/>
      <w:iCs/>
      <w:color w:val="0F4761" w:themeColor="accent1" w:themeShade="BF"/>
    </w:rPr>
  </w:style>
  <w:style w:type="paragraph" w:styleId="IntenseQuote">
    <w:name w:val="Intense Quote"/>
    <w:basedOn w:val="Normal"/>
    <w:next w:val="Normal"/>
    <w:link w:val="IntenseQuoteChar"/>
    <w:uiPriority w:val="30"/>
    <w:qFormat/>
    <w:rsid w:val="00E06E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EFB"/>
    <w:rPr>
      <w:i/>
      <w:iCs/>
      <w:color w:val="0F4761" w:themeColor="accent1" w:themeShade="BF"/>
    </w:rPr>
  </w:style>
  <w:style w:type="character" w:styleId="IntenseReference">
    <w:name w:val="Intense Reference"/>
    <w:basedOn w:val="DefaultParagraphFont"/>
    <w:uiPriority w:val="32"/>
    <w:qFormat/>
    <w:rsid w:val="00E06EFB"/>
    <w:rPr>
      <w:b/>
      <w:bCs/>
      <w:smallCaps/>
      <w:color w:val="0F4761" w:themeColor="accent1" w:themeShade="BF"/>
      <w:spacing w:val="5"/>
    </w:rPr>
  </w:style>
  <w:style w:type="paragraph" w:styleId="Header">
    <w:name w:val="header"/>
    <w:basedOn w:val="Normal"/>
    <w:link w:val="HeaderChar"/>
    <w:uiPriority w:val="99"/>
    <w:unhideWhenUsed/>
    <w:rsid w:val="00C82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BD5"/>
  </w:style>
  <w:style w:type="paragraph" w:styleId="Footer">
    <w:name w:val="footer"/>
    <w:basedOn w:val="Normal"/>
    <w:link w:val="FooterChar"/>
    <w:uiPriority w:val="99"/>
    <w:unhideWhenUsed/>
    <w:rsid w:val="00C82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BD5"/>
  </w:style>
  <w:style w:type="table" w:styleId="TableGrid">
    <w:name w:val="Table Grid"/>
    <w:basedOn w:val="TableNormal"/>
    <w:uiPriority w:val="39"/>
    <w:rsid w:val="00615D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94A4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94A44"/>
    <w:pPr>
      <w:spacing w:after="100"/>
    </w:pPr>
  </w:style>
  <w:style w:type="paragraph" w:styleId="TOC2">
    <w:name w:val="toc 2"/>
    <w:basedOn w:val="Normal"/>
    <w:next w:val="Normal"/>
    <w:autoRedefine/>
    <w:uiPriority w:val="39"/>
    <w:unhideWhenUsed/>
    <w:rsid w:val="00D94A44"/>
    <w:pPr>
      <w:spacing w:after="100"/>
      <w:ind w:left="220"/>
    </w:pPr>
  </w:style>
  <w:style w:type="character" w:styleId="Hyperlink">
    <w:name w:val="Hyperlink"/>
    <w:basedOn w:val="DefaultParagraphFont"/>
    <w:uiPriority w:val="99"/>
    <w:unhideWhenUsed/>
    <w:rsid w:val="00D94A4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938F6-91E8-4080-9081-3E3BAB080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2613</Words>
  <Characters>14897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 farcas</dc:creator>
  <cp:keywords/>
  <dc:description/>
  <cp:lastModifiedBy>andreia farcas</cp:lastModifiedBy>
  <cp:revision>2</cp:revision>
  <dcterms:created xsi:type="dcterms:W3CDTF">2026-03-28T00:45:00Z</dcterms:created>
  <dcterms:modified xsi:type="dcterms:W3CDTF">2026-03-28T00:45:00Z</dcterms:modified>
</cp:coreProperties>
</file>