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BE1574F">
      <w:pPr>
        <w:spacing w:before="240" w:after="240"/>
      </w:pPr>
      <w:r>
        <w:rPr>
          <w:lang w:val="en-IN" w:eastAsia="en-IN" w:bidi="ar-SA"/>
        </w:rPr>
        <w:drawing>
          <wp:inline distT="114300" distB="114300" distL="114300" distR="114300">
            <wp:extent cx="5943600" cy="14478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8" name="image2.png"/>
                    <pic:cNvPicPr preferRelativeResize="0"/>
                  </pic:nvPicPr>
                  <pic:blipFill>
                    <a:blip r:embed="rId8"/>
                    <a:srcRect/>
                    <a:stretch>
                      <a:fillRect/>
                    </a:stretch>
                  </pic:blipFill>
                  <pic:spPr>
                    <a:xfrm>
                      <a:off x="0" y="0"/>
                      <a:ext cx="5943600" cy="1447800"/>
                    </a:xfrm>
                    <a:prstGeom prst="rect">
                      <a:avLst/>
                    </a:prstGeom>
                  </pic:spPr>
                </pic:pic>
              </a:graphicData>
            </a:graphic>
          </wp:inline>
        </w:drawing>
      </w:r>
    </w:p>
    <w:p w14:paraId="397961B2">
      <w:pPr>
        <w:spacing w:before="240" w:after="240"/>
      </w:pPr>
    </w:p>
    <w:p w14:paraId="718487B5">
      <w:pPr>
        <w:spacing w:before="240" w:after="240"/>
        <w:ind w:left="1840"/>
        <w:rPr>
          <w:b/>
          <w:bCs/>
        </w:rPr>
      </w:pPr>
      <w:r>
        <w:rPr>
          <w:b/>
          <w:bCs/>
        </w:rPr>
        <w:t>Sefydliad Dysgu Canol Dinas /Institute of Inner City Learning</w:t>
      </w:r>
    </w:p>
    <w:p w14:paraId="120B2DC7">
      <w:pPr>
        <w:spacing w:before="240" w:after="240"/>
        <w:jc w:val="center"/>
        <w:rPr>
          <w:b/>
          <w:bCs/>
        </w:rPr>
        <w:sectPr>
          <w:headerReference r:id="rId5" w:type="default"/>
          <w:footerReference r:id="rId6"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sectPr>
      </w:pPr>
      <w:r>
        <w:rPr>
          <w:b/>
          <w:bCs/>
        </w:rPr>
        <w:t xml:space="preserve"> MSc Public Health and Social Care in Practice</w:t>
      </w:r>
    </w:p>
    <w:p w14:paraId="7AC89FB1">
      <w:pPr>
        <w:spacing w:before="240" w:after="240"/>
        <w:jc w:val="center"/>
        <w:rPr>
          <w:b/>
          <w:bCs/>
        </w:rPr>
      </w:pPr>
    </w:p>
    <w:p w14:paraId="047BEF09">
      <w:pPr>
        <w:spacing w:before="240" w:after="240"/>
        <w:jc w:val="center"/>
        <w:rPr>
          <w:b/>
          <w:bCs/>
        </w:rPr>
      </w:pPr>
    </w:p>
    <w:p w14:paraId="6C2265BE">
      <w:pPr>
        <w:spacing w:before="240" w:after="240"/>
        <w:jc w:val="center"/>
        <w:rPr>
          <w:b/>
          <w:bCs/>
        </w:rPr>
      </w:pPr>
    </w:p>
    <w:p w14:paraId="7BBD6B98">
      <w:pPr>
        <w:spacing w:before="240" w:after="240"/>
        <w:jc w:val="center"/>
        <w:rPr>
          <w:b/>
          <w:bCs/>
        </w:rPr>
      </w:pPr>
    </w:p>
    <w:p w14:paraId="38A5E058">
      <w:pPr>
        <w:spacing w:before="240" w:after="240"/>
        <w:jc w:val="center"/>
        <w:rPr>
          <w:b/>
          <w:bCs/>
        </w:rPr>
      </w:pPr>
      <w:r>
        <w:rPr>
          <w:b/>
          <w:bCs/>
        </w:rPr>
        <w:t>Title:  Postpartum Complications in Mothers Under 18 Years of Age: A Qualitative Secondary Data Analysis</w:t>
      </w:r>
    </w:p>
    <w:p w14:paraId="77AF1E71">
      <w:pPr>
        <w:spacing w:before="240" w:after="240"/>
        <w:jc w:val="center"/>
        <w:rPr>
          <w:b/>
          <w:bCs/>
          <w:sz w:val="28"/>
          <w:szCs w:val="28"/>
          <w:lang w:val="en-IN"/>
        </w:rPr>
      </w:pPr>
      <w:r>
        <w:rPr>
          <w:b/>
          <w:bCs/>
          <w:sz w:val="28"/>
          <w:szCs w:val="28"/>
        </w:rPr>
        <w:t>Student Name:</w:t>
      </w:r>
      <w:r>
        <w:rPr>
          <w:b/>
          <w:bCs/>
          <w:sz w:val="28"/>
          <w:szCs w:val="28"/>
          <w:lang w:val="en-IN"/>
        </w:rPr>
        <w:t xml:space="preserve"> Pati Asha</w:t>
      </w:r>
    </w:p>
    <w:p w14:paraId="712BAA10">
      <w:pPr>
        <w:spacing w:before="240" w:after="240"/>
        <w:jc w:val="center"/>
        <w:rPr>
          <w:b/>
          <w:bCs/>
          <w:sz w:val="28"/>
          <w:szCs w:val="28"/>
          <w:lang w:val="en-IN"/>
        </w:rPr>
      </w:pPr>
      <w:r>
        <w:rPr>
          <w:b/>
          <w:bCs/>
          <w:sz w:val="28"/>
          <w:szCs w:val="28"/>
        </w:rPr>
        <w:t xml:space="preserve"> Student Number:</w:t>
      </w:r>
      <w:r>
        <w:rPr>
          <w:b/>
          <w:bCs/>
          <w:sz w:val="28"/>
          <w:szCs w:val="28"/>
          <w:lang w:val="en-IN"/>
        </w:rPr>
        <w:t>2513192</w:t>
      </w:r>
    </w:p>
    <w:p w14:paraId="3FAA4F59">
      <w:pPr>
        <w:spacing w:before="240" w:after="240"/>
        <w:jc w:val="center"/>
        <w:rPr>
          <w:b/>
          <w:bCs/>
          <w:sz w:val="28"/>
          <w:szCs w:val="28"/>
          <w:lang w:val="en-IN"/>
        </w:rPr>
      </w:pPr>
      <w:r>
        <w:rPr>
          <w:b/>
          <w:bCs/>
          <w:i/>
          <w:iCs/>
          <w:sz w:val="28"/>
          <w:szCs w:val="28"/>
        </w:rPr>
        <w:t xml:space="preserve"> </w:t>
      </w:r>
      <w:r>
        <w:rPr>
          <w:b/>
          <w:bCs/>
          <w:sz w:val="28"/>
          <w:szCs w:val="28"/>
        </w:rPr>
        <w:t xml:space="preserve">Supervisor Name: </w:t>
      </w:r>
      <w:r>
        <w:rPr>
          <w:b/>
          <w:bCs/>
          <w:sz w:val="28"/>
          <w:szCs w:val="28"/>
          <w:lang w:val="en-IN"/>
        </w:rPr>
        <w:t>Philip Jones</w:t>
      </w:r>
    </w:p>
    <w:p w14:paraId="63AD017A">
      <w:pPr>
        <w:spacing w:before="240" w:after="240"/>
        <w:jc w:val="center"/>
        <w:rPr>
          <w:b/>
          <w:bCs/>
          <w:sz w:val="32"/>
          <w:szCs w:val="32"/>
        </w:rPr>
      </w:pPr>
      <w:r>
        <w:rPr>
          <w:b/>
          <w:bCs/>
          <w:sz w:val="32"/>
          <w:szCs w:val="32"/>
        </w:rPr>
        <w:t xml:space="preserve"> </w:t>
      </w:r>
    </w:p>
    <w:p w14:paraId="2BA2F65E">
      <w:pPr>
        <w:spacing w:before="240" w:after="240"/>
        <w:jc w:val="center"/>
        <w:rPr>
          <w:b/>
          <w:bCs/>
          <w:sz w:val="32"/>
          <w:szCs w:val="32"/>
        </w:rPr>
      </w:pPr>
    </w:p>
    <w:p w14:paraId="2967FDA8">
      <w:pPr>
        <w:spacing w:before="240" w:after="240"/>
        <w:jc w:val="center"/>
        <w:rPr>
          <w:b/>
          <w:bCs/>
        </w:rPr>
      </w:pPr>
      <w:r>
        <w:rPr>
          <w:b/>
          <w:bCs/>
        </w:rPr>
        <w:t>Dissertation submitted as part of the requirements for the award of MSc Public Health and Social Care in Practice Month/Year</w:t>
      </w:r>
    </w:p>
    <w:p w14:paraId="1D9EF935">
      <w:pPr>
        <w:spacing w:line="240" w:lineRule="auto"/>
        <w:jc w:val="left"/>
        <w:rPr>
          <w:b/>
          <w:bCs/>
        </w:rPr>
      </w:pPr>
      <w:r>
        <w:rPr>
          <w:b/>
          <w:bCs/>
        </w:rPr>
        <w:br w:type="page"/>
      </w:r>
    </w:p>
    <w:p w14:paraId="63A3795D">
      <w:pPr>
        <w:spacing w:line="240" w:lineRule="auto"/>
        <w:jc w:val="center"/>
        <w:rPr>
          <w:b/>
          <w:bCs/>
        </w:rPr>
      </w:pPr>
      <w:r>
        <w:rPr>
          <w:b/>
          <w:bCs/>
        </w:rPr>
        <w:t>Acknowledgement</w:t>
      </w:r>
    </w:p>
    <w:p w14:paraId="5E09B950">
      <w:pPr>
        <w:pStyle w:val="37"/>
        <w:jc w:val="both"/>
        <w:rPr>
          <w:rFonts w:ascii="Arial" w:hAnsi="Arial" w:cs="Arial"/>
        </w:rPr>
      </w:pPr>
      <w:r>
        <w:rPr>
          <w:rFonts w:ascii="Arial" w:hAnsi="Arial" w:cs="Arial"/>
        </w:rPr>
        <w:t xml:space="preserve">I would like to express my sincere gratitude to everyone who has supported and guided me throughout the completion of this dissertation, titled </w:t>
      </w:r>
      <w:r>
        <w:rPr>
          <w:rStyle w:val="10"/>
          <w:rFonts w:ascii="Arial" w:hAnsi="Arial" w:cs="Arial"/>
        </w:rPr>
        <w:t>“Postpartum Complications in Mothers Under 18 Years of Age: A Qualitative Secondary Data Analysis.”</w:t>
      </w:r>
    </w:p>
    <w:p w14:paraId="6F60FFEA">
      <w:pPr>
        <w:pStyle w:val="37"/>
        <w:jc w:val="both"/>
        <w:rPr>
          <w:rFonts w:ascii="Arial" w:hAnsi="Arial" w:cs="Arial"/>
        </w:rPr>
      </w:pPr>
      <w:r>
        <w:rPr>
          <w:rFonts w:ascii="Arial" w:hAnsi="Arial" w:cs="Arial"/>
        </w:rPr>
        <w:t xml:space="preserve">First and foremost, I would like to express my deepest appreciation to my supervisor, </w:t>
      </w:r>
      <w:r>
        <w:rPr>
          <w:rStyle w:val="13"/>
          <w:rFonts w:ascii="Arial" w:hAnsi="Arial" w:cs="Arial"/>
        </w:rPr>
        <w:t>Philip Jones</w:t>
      </w:r>
      <w:r>
        <w:rPr>
          <w:rFonts w:ascii="Arial" w:hAnsi="Arial" w:cs="Arial"/>
        </w:rPr>
        <w:t>, for his valuable guidance, constructive feedback, encouragement, and continuous support throughout the research process. His expertise and thoughtful suggestions have been instrumental in shaping this dissertation and improving my academic understanding.</w:t>
      </w:r>
    </w:p>
    <w:p w14:paraId="640066F8">
      <w:pPr>
        <w:pStyle w:val="37"/>
        <w:jc w:val="both"/>
        <w:rPr>
          <w:rFonts w:ascii="Arial" w:hAnsi="Arial" w:cs="Arial"/>
        </w:rPr>
      </w:pPr>
      <w:r>
        <w:rPr>
          <w:rFonts w:ascii="Arial" w:hAnsi="Arial" w:cs="Arial"/>
        </w:rPr>
        <w:t>I would also like to thank my academic tutors and the institution for providing the resources, knowledge, and learning environment necessary to undertake this research. I am grateful to all the researchers and organisations whose published work and secondary data contributed to this study.</w:t>
      </w:r>
    </w:p>
    <w:p w14:paraId="0F4B4DC3">
      <w:pPr>
        <w:pStyle w:val="37"/>
        <w:jc w:val="both"/>
        <w:rPr>
          <w:rFonts w:ascii="Arial" w:hAnsi="Arial" w:cs="Arial"/>
        </w:rPr>
      </w:pPr>
      <w:r>
        <w:rPr>
          <w:rFonts w:ascii="Arial" w:hAnsi="Arial" w:cs="Arial"/>
        </w:rPr>
        <w:t>Finally, I would like to extend my heartfelt thanks to my family, friends, and everyone who encouraged and supported me throughout my academic journey. Their patience, understanding, and motivation helped me remain focused and committed to completing this dissertation.</w:t>
      </w:r>
    </w:p>
    <w:p w14:paraId="07CC3B53">
      <w:pPr>
        <w:pStyle w:val="12"/>
        <w:jc w:val="both"/>
        <w:rPr>
          <w:rFonts w:ascii="Arial" w:hAnsi="Arial" w:cs="Arial"/>
        </w:rPr>
      </w:pPr>
      <w:r>
        <w:rPr>
          <w:rFonts w:ascii="Arial" w:hAnsi="Arial" w:cs="Arial"/>
        </w:rPr>
        <w:t>I am sincerely grateful to everyone who contributed, directly or indirectly, to the successful completion of this work.</w:t>
      </w:r>
    </w:p>
    <w:p w14:paraId="518C51CC">
      <w:pPr>
        <w:spacing w:line="240" w:lineRule="auto"/>
        <w:jc w:val="left"/>
        <w:rPr>
          <w:b/>
          <w:bCs/>
        </w:rPr>
      </w:pPr>
      <w:r>
        <w:rPr>
          <w:b/>
          <w:bCs/>
        </w:rPr>
        <w:br w:type="page"/>
      </w:r>
    </w:p>
    <w:p w14:paraId="5A558926">
      <w:pPr>
        <w:spacing w:line="240" w:lineRule="auto"/>
        <w:jc w:val="center"/>
        <w:rPr>
          <w:b/>
          <w:bCs/>
        </w:rPr>
      </w:pPr>
      <w:r>
        <w:rPr>
          <w:b/>
          <w:bCs/>
        </w:rPr>
        <w:t>Declaration</w:t>
      </w:r>
    </w:p>
    <w:p w14:paraId="34A03318">
      <w:pPr>
        <w:spacing w:line="240" w:lineRule="auto"/>
        <w:jc w:val="left"/>
      </w:pPr>
      <w:r>
        <w:t xml:space="preserve">I declare that this dissertation, titled </w:t>
      </w:r>
      <w:r>
        <w:rPr>
          <w:rStyle w:val="10"/>
        </w:rPr>
        <w:t>“Postpartum Complications in Mothers Under 18 Years of Age: A Qualitative Secondary Data Analysis,”</w:t>
      </w:r>
      <w:r>
        <w:t xml:space="preserve"> is my own original work and has been completed in accordance with the academic requirements of my programme. All sources of information and published materials used in this dissertation have been appropriately acknowledged and referenced. I confirm that this work has not been submitted previously, in whole or in part, for any other academic award.</w:t>
      </w:r>
    </w:p>
    <w:p w14:paraId="70EEBBB1">
      <w:pPr>
        <w:spacing w:line="240" w:lineRule="auto"/>
        <w:jc w:val="left"/>
      </w:pPr>
    </w:p>
    <w:p w14:paraId="5B17C486">
      <w:pPr>
        <w:spacing w:line="240" w:lineRule="auto"/>
        <w:jc w:val="left"/>
      </w:pPr>
    </w:p>
    <w:p w14:paraId="75B6893B">
      <w:pPr>
        <w:spacing w:line="240" w:lineRule="auto"/>
        <w:jc w:val="left"/>
        <w:rPr>
          <w:rFonts w:hint="default"/>
          <w:lang w:val="en-IN"/>
        </w:rPr>
      </w:pPr>
      <w:r>
        <w:t>Signature</w:t>
      </w:r>
      <w:r>
        <w:rPr>
          <w:rFonts w:hint="default"/>
          <w:lang w:val="en-IN"/>
        </w:rPr>
        <w:t>: P Asha</w:t>
      </w:r>
    </w:p>
    <w:p w14:paraId="56F79418">
      <w:pPr>
        <w:spacing w:line="240" w:lineRule="auto"/>
        <w:jc w:val="left"/>
        <w:rPr>
          <w:b/>
          <w:bCs/>
        </w:rPr>
      </w:pPr>
      <w:r>
        <w:t>Date: 28.08.2026</w:t>
      </w:r>
      <w:r>
        <w:rPr>
          <w:b/>
          <w:bCs/>
        </w:rPr>
        <w:br w:type="page"/>
      </w:r>
    </w:p>
    <w:p w14:paraId="2182A308">
      <w:pPr>
        <w:spacing w:line="240" w:lineRule="auto"/>
        <w:jc w:val="center"/>
        <w:rPr>
          <w:b/>
          <w:bCs/>
        </w:rPr>
      </w:pPr>
      <w:r>
        <w:rPr>
          <w:b/>
          <w:bCs/>
        </w:rPr>
        <w:t>Abstract</w:t>
      </w:r>
    </w:p>
    <w:p w14:paraId="4F5899B0">
      <w:pPr>
        <w:rPr>
          <w:b/>
          <w:bCs/>
        </w:rPr>
      </w:pPr>
      <w:r>
        <w:t xml:space="preserve">Adolescent pregnancy remains a significant public health concern, particularly because mothers under 18 years of age may face increased risks of postpartum complications. This dissertation, titled </w:t>
      </w:r>
      <w:r>
        <w:rPr>
          <w:rStyle w:val="10"/>
        </w:rPr>
        <w:t>Postpartum Complications in Mothers Under 18 Years of Age: A Qualitative Secondary Data Analysis</w:t>
      </w:r>
      <w:r>
        <w:t>, aims to explore and understand the experiences, patterns, and contributing factors associated with postpartum complications among adolescent mothers. The study will employ a qualitative secondary data analysis approach, using existing research reports, clinical records, published studies, and other relevant secondary sources. Thematic analysis will be used to identify recurring themes related to physical complications, psychological well-being, access to postpartum care, social and cultural influences, and barriers to healthcare services. By synthesising existing qualitative evidence, the study seeks to provide a deeper understanding of the challenges experienced by adolescent mothers during the postpartum period. The findings may contribute to improved awareness among healthcare professionals and inform the development of age-appropriate, accessible, and supportive postpartum healthcare interventions. Ultimately, the study aims to highlight areas requiring further research and strengthen strategies for improving maternal health outcomes among mothers under 18 years of age.</w:t>
      </w:r>
      <w:r>
        <w:rPr>
          <w:b/>
          <w:bCs/>
        </w:rPr>
        <w:t xml:space="preserve"> </w:t>
      </w:r>
      <w:r>
        <w:rPr>
          <w:b/>
          <w:bCs/>
        </w:rPr>
        <w:br w:type="page"/>
      </w:r>
    </w:p>
    <w:p w14:paraId="2A9283BD">
      <w:pPr>
        <w:spacing w:before="240" w:after="240"/>
        <w:jc w:val="center"/>
        <w:rPr>
          <w:b/>
          <w:bCs/>
        </w:rPr>
        <w:sectPr>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titlePg/>
        </w:sectPr>
      </w:pPr>
    </w:p>
    <w:p w14:paraId="3EAC5D7A">
      <w:pPr>
        <w:spacing w:before="240" w:after="240"/>
        <w:rPr>
          <w:b/>
          <w:bCs/>
        </w:rPr>
      </w:pPr>
    </w:p>
    <w:p w14:paraId="37F104C6">
      <w:pPr>
        <w:spacing w:before="240" w:after="240"/>
        <w:jc w:val="center"/>
        <w:rPr>
          <w:b/>
          <w:bCs/>
          <w:sz w:val="28"/>
          <w:szCs w:val="28"/>
        </w:rPr>
      </w:pPr>
      <w:r>
        <w:rPr>
          <w:b/>
          <w:bCs/>
          <w:sz w:val="28"/>
          <w:szCs w:val="28"/>
        </w:rPr>
        <w:t>TABLE OF CONTENTS</w:t>
      </w:r>
    </w:p>
    <w:p w14:paraId="17B2714F">
      <w:pPr>
        <w:keepNext/>
        <w:keepLines/>
        <w:spacing w:before="240"/>
        <w:jc w:val="left"/>
        <w:rPr>
          <w:color w:val="366091"/>
          <w:sz w:val="32"/>
          <w:szCs w:val="32"/>
        </w:rPr>
      </w:pPr>
    </w:p>
    <w:sdt>
      <w:sdtPr>
        <w:rPr>
          <w:rFonts w:cs="Arial"/>
          <w:szCs w:val="24"/>
        </w:rPr>
        <w:id w:val="1770043192"/>
        <w:docPartObj>
          <w:docPartGallery w:val="Table of Contents"/>
          <w:docPartUnique/>
        </w:docPartObj>
      </w:sdtPr>
      <w:sdtEndPr>
        <w:rPr>
          <w:rFonts w:cs="Arial"/>
          <w:szCs w:val="24"/>
        </w:rPr>
      </w:sdtEndPr>
      <w:sdtContent>
        <w:p w14:paraId="6A10F333">
          <w:pPr>
            <w:pStyle w:val="16"/>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TOC \h \u \z \t "Heading 1,1,Heading 2,2,Heading 3,3,"</w:instrText>
          </w:r>
          <w:r>
            <w:fldChar w:fldCharType="separate"/>
          </w:r>
          <w:r>
            <w:fldChar w:fldCharType="begin"/>
          </w:r>
          <w:r>
            <w:instrText xml:space="preserve"> HYPERLINK \l "_Toc238235661" </w:instrText>
          </w:r>
          <w:r>
            <w:fldChar w:fldCharType="separate"/>
          </w:r>
          <w:r>
            <w:rPr>
              <w:rStyle w:val="11"/>
            </w:rPr>
            <w:t>CHAPTER 1: INTRODUCTION AND BACKGROUND</w:t>
          </w:r>
          <w:r>
            <w:tab/>
          </w:r>
          <w:r>
            <w:fldChar w:fldCharType="begin"/>
          </w:r>
          <w:r>
            <w:instrText xml:space="preserve"> PAGEREF _Toc238235661 \h </w:instrText>
          </w:r>
          <w:r>
            <w:fldChar w:fldCharType="separate"/>
          </w:r>
          <w:r>
            <w:t>10</w:t>
          </w:r>
          <w:r>
            <w:fldChar w:fldCharType="end"/>
          </w:r>
          <w:r>
            <w:fldChar w:fldCharType="end"/>
          </w:r>
        </w:p>
        <w:p w14:paraId="3FFF3FE8">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"_Toc238235662" </w:instrText>
          </w:r>
          <w:r>
            <w:fldChar w:fldCharType="separate"/>
          </w:r>
          <w:r>
            <w:rPr>
              <w:rStyle w:val="11"/>
            </w:rPr>
            <w:t>1.1 Introduction to the topic</w:t>
          </w:r>
          <w:r>
            <w:tab/>
          </w:r>
          <w:r>
            <w:fldChar w:fldCharType="begin"/>
          </w:r>
          <w:r>
            <w:instrText xml:space="preserve"> PAGEREF _Toc238235662 \h </w:instrText>
          </w:r>
          <w:r>
            <w:fldChar w:fldCharType="separate"/>
          </w:r>
          <w:r>
            <w:t>10</w:t>
          </w:r>
          <w:r>
            <w:fldChar w:fldCharType="end"/>
          </w:r>
          <w:r>
            <w:fldChar w:fldCharType="end"/>
          </w:r>
        </w:p>
        <w:p w14:paraId="1C479FB7">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"_Toc238235663" </w:instrText>
          </w:r>
          <w:r>
            <w:fldChar w:fldCharType="separate"/>
          </w:r>
          <w:r>
            <w:rPr>
              <w:rStyle w:val="11"/>
            </w:rPr>
            <w:t>1.2 Background and Current Context</w:t>
          </w:r>
          <w:r>
            <w:tab/>
          </w:r>
          <w:r>
            <w:fldChar w:fldCharType="begin"/>
          </w:r>
          <w:r>
            <w:instrText xml:space="preserve"> PAGEREF _Toc238235663 \h </w:instrText>
          </w:r>
          <w:r>
            <w:fldChar w:fldCharType="separate"/>
          </w:r>
          <w:r>
            <w:t>10</w:t>
          </w:r>
          <w:r>
            <w:fldChar w:fldCharType="end"/>
          </w:r>
          <w:r>
            <w:fldChar w:fldCharType="end"/>
          </w:r>
        </w:p>
        <w:p w14:paraId="40BEEF1F">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"_Toc238235664" </w:instrText>
          </w:r>
          <w:r>
            <w:fldChar w:fldCharType="separate"/>
          </w:r>
          <w:r>
            <w:rPr>
              <w:rStyle w:val="11"/>
            </w:rPr>
            <w:t>1.3 Rationale for Research or Problem Statement</w:t>
          </w:r>
          <w:r>
            <w:tab/>
          </w:r>
          <w:r>
            <w:fldChar w:fldCharType="begin"/>
          </w:r>
          <w:r>
            <w:instrText xml:space="preserve"> PAGEREF _Toc238235664 \h </w:instrText>
          </w:r>
          <w:r>
            <w:fldChar w:fldCharType="separate"/>
          </w:r>
          <w:r>
            <w:t>17</w:t>
          </w:r>
          <w:r>
            <w:fldChar w:fldCharType="end"/>
          </w:r>
          <w:r>
            <w:fldChar w:fldCharType="end"/>
          </w:r>
        </w:p>
        <w:p w14:paraId="597E6C9E">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"_Toc238235665" </w:instrText>
          </w:r>
          <w:r>
            <w:fldChar w:fldCharType="separate"/>
          </w:r>
          <w:r>
            <w:rPr>
              <w:rStyle w:val="11"/>
            </w:rPr>
            <w:t>1.4 Research question</w:t>
          </w:r>
          <w:r>
            <w:tab/>
          </w:r>
          <w:r>
            <w:fldChar w:fldCharType="begin"/>
          </w:r>
          <w:r>
            <w:instrText xml:space="preserve"> PAGEREF _Toc238235665 \h </w:instrText>
          </w:r>
          <w:r>
            <w:fldChar w:fldCharType="separate"/>
          </w:r>
          <w:r>
            <w:t>17</w:t>
          </w:r>
          <w:r>
            <w:fldChar w:fldCharType="end"/>
          </w:r>
          <w:r>
            <w:fldChar w:fldCharType="end"/>
          </w:r>
        </w:p>
        <w:p w14:paraId="295AA1F0">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"_Toc238235666" </w:instrText>
          </w:r>
          <w:r>
            <w:fldChar w:fldCharType="separate"/>
          </w:r>
          <w:r>
            <w:rPr>
              <w:rStyle w:val="11"/>
            </w:rPr>
            <w:t>1.5 Research Aim</w:t>
          </w:r>
          <w:r>
            <w:tab/>
          </w:r>
          <w:r>
            <w:fldChar w:fldCharType="begin"/>
          </w:r>
          <w:r>
            <w:instrText xml:space="preserve"> PAGEREF _Toc238235666 \h </w:instrText>
          </w:r>
          <w:r>
            <w:fldChar w:fldCharType="separate"/>
          </w:r>
          <w:r>
            <w:t>18</w:t>
          </w:r>
          <w:r>
            <w:fldChar w:fldCharType="end"/>
          </w:r>
          <w:r>
            <w:fldChar w:fldCharType="end"/>
          </w:r>
        </w:p>
        <w:p w14:paraId="53045E2F">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"_Toc238235667" </w:instrText>
          </w:r>
          <w:r>
            <w:fldChar w:fldCharType="separate"/>
          </w:r>
          <w:r>
            <w:rPr>
              <w:rStyle w:val="11"/>
            </w:rPr>
            <w:t>1.6 Research Objectives</w:t>
          </w:r>
          <w:r>
            <w:tab/>
          </w:r>
          <w:r>
            <w:fldChar w:fldCharType="begin"/>
          </w:r>
          <w:r>
            <w:instrText xml:space="preserve"> PAGEREF _Toc238235667 \h </w:instrText>
          </w:r>
          <w:r>
            <w:fldChar w:fldCharType="separate"/>
          </w:r>
          <w:r>
            <w:t>18</w:t>
          </w:r>
          <w:r>
            <w:fldChar w:fldCharType="end"/>
          </w:r>
          <w:r>
            <w:fldChar w:fldCharType="end"/>
          </w:r>
        </w:p>
        <w:p w14:paraId="30077603">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"_Toc238235668" </w:instrText>
          </w:r>
          <w:r>
            <w:fldChar w:fldCharType="separate"/>
          </w:r>
          <w:r>
            <w:rPr>
              <w:rStyle w:val="11"/>
            </w:rPr>
            <w:t>1.7 Chapter summary</w:t>
          </w:r>
          <w:r>
            <w:tab/>
          </w:r>
          <w:r>
            <w:fldChar w:fldCharType="begin"/>
          </w:r>
          <w:r>
            <w:instrText xml:space="preserve"> PAGEREF _Toc238235668 \h </w:instrText>
          </w:r>
          <w:r>
            <w:fldChar w:fldCharType="separate"/>
          </w:r>
          <w:r>
            <w:t>18</w:t>
          </w:r>
          <w:r>
            <w:fldChar w:fldCharType="end"/>
          </w:r>
          <w:r>
            <w:fldChar w:fldCharType="end"/>
          </w:r>
        </w:p>
        <w:p w14:paraId="259F7E0A">
          <w:pPr>
            <w:pStyle w:val="16"/>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"_Toc238235669" </w:instrText>
          </w:r>
          <w:r>
            <w:fldChar w:fldCharType="separate"/>
          </w:r>
          <w:r>
            <w:rPr>
              <w:rStyle w:val="11"/>
            </w:rPr>
            <w:t>CHAPTER 2:  Literature Review</w:t>
          </w:r>
          <w:r>
            <w:tab/>
          </w:r>
          <w:r>
            <w:fldChar w:fldCharType="begin"/>
          </w:r>
          <w:r>
            <w:instrText xml:space="preserve"> PAGEREF _Toc238235669 \h </w:instrText>
          </w:r>
          <w:r>
            <w:fldChar w:fldCharType="separate"/>
          </w:r>
          <w:r>
            <w:t>19</w:t>
          </w:r>
          <w:r>
            <w:fldChar w:fldCharType="end"/>
          </w:r>
          <w:r>
            <w:fldChar w:fldCharType="end"/>
          </w:r>
        </w:p>
        <w:p w14:paraId="5E9C330B">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"_Toc238235670" </w:instrText>
          </w:r>
          <w:r>
            <w:fldChar w:fldCharType="separate"/>
          </w:r>
          <w:r>
            <w:rPr>
              <w:rStyle w:val="11"/>
            </w:rPr>
            <w:t>2.1 Introduction to Literature Review Chapter</w:t>
          </w:r>
          <w:r>
            <w:tab/>
          </w:r>
          <w:r>
            <w:fldChar w:fldCharType="begin"/>
          </w:r>
          <w:r>
            <w:instrText xml:space="preserve"> PAGEREF _Toc238235670 \h </w:instrText>
          </w:r>
          <w:r>
            <w:fldChar w:fldCharType="separate"/>
          </w:r>
          <w:r>
            <w:t>19</w:t>
          </w:r>
          <w:r>
            <w:fldChar w:fldCharType="end"/>
          </w:r>
          <w:r>
            <w:fldChar w:fldCharType="end"/>
          </w:r>
        </w:p>
        <w:p w14:paraId="2F539883">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"_Toc238235671" </w:instrText>
          </w:r>
          <w:r>
            <w:fldChar w:fldCharType="separate"/>
          </w:r>
          <w:r>
            <w:rPr>
              <w:rStyle w:val="11"/>
            </w:rPr>
            <w:t>2.2 Literature review</w:t>
          </w:r>
          <w:r>
            <w:tab/>
          </w:r>
          <w:r>
            <w:fldChar w:fldCharType="begin"/>
          </w:r>
          <w:r>
            <w:instrText xml:space="preserve"> PAGEREF _Toc238235671 \h </w:instrText>
          </w:r>
          <w:r>
            <w:fldChar w:fldCharType="separate"/>
          </w:r>
          <w:r>
            <w:t>19</w:t>
          </w:r>
          <w:r>
            <w:fldChar w:fldCharType="end"/>
          </w:r>
          <w:r>
            <w:fldChar w:fldCharType="end"/>
          </w:r>
        </w:p>
        <w:p w14:paraId="03701026">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"_Toc238235672" </w:instrText>
          </w:r>
          <w:r>
            <w:fldChar w:fldCharType="separate"/>
          </w:r>
          <w:r>
            <w:rPr>
              <w:rStyle w:val="11"/>
            </w:rPr>
            <w:t>2.2.1 Conceptualising Adolescent Motherhood and Postpartum Health</w:t>
          </w:r>
          <w:r>
            <w:tab/>
          </w:r>
          <w:r>
            <w:fldChar w:fldCharType="begin"/>
          </w:r>
          <w:r>
            <w:instrText xml:space="preserve"> PAGEREF _Toc238235672 \h </w:instrText>
          </w:r>
          <w:r>
            <w:fldChar w:fldCharType="separate"/>
          </w:r>
          <w:r>
            <w:t>19</w:t>
          </w:r>
          <w:r>
            <w:fldChar w:fldCharType="end"/>
          </w:r>
          <w:r>
            <w:fldChar w:fldCharType="end"/>
          </w:r>
        </w:p>
        <w:p w14:paraId="4375E078">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"_Toc238235673" </w:instrText>
          </w:r>
          <w:r>
            <w:fldChar w:fldCharType="separate"/>
          </w:r>
          <w:r>
            <w:rPr>
              <w:rStyle w:val="11"/>
            </w:rPr>
            <w:t>2.2.2 Clinical and Physical Postpartum Complications Among Adolescent Mothers</w:t>
          </w:r>
          <w:r>
            <w:tab/>
          </w:r>
          <w:r>
            <w:fldChar w:fldCharType="begin"/>
          </w:r>
          <w:r>
            <w:instrText xml:space="preserve"> PAGEREF _Toc238235673 \h </w:instrText>
          </w:r>
          <w:r>
            <w:fldChar w:fldCharType="separate"/>
          </w:r>
          <w:r>
            <w:t>22</w:t>
          </w:r>
          <w:r>
            <w:fldChar w:fldCharType="end"/>
          </w:r>
          <w:r>
            <w:fldChar w:fldCharType="end"/>
          </w:r>
        </w:p>
        <w:p w14:paraId="66463824">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"_Toc238235674" </w:instrText>
          </w:r>
          <w:r>
            <w:fldChar w:fldCharType="separate"/>
          </w:r>
          <w:r>
            <w:rPr>
              <w:rStyle w:val="11"/>
            </w:rPr>
            <w:t>2.2.3 Mental Health Outcomes and Psychological Challenges in the Postpartum Period</w:t>
          </w:r>
          <w:r>
            <w:tab/>
          </w:r>
          <w:r>
            <w:fldChar w:fldCharType="begin"/>
          </w:r>
          <w:r>
            <w:instrText xml:space="preserve"> PAGEREF _Toc238235674 \h </w:instrText>
          </w:r>
          <w:r>
            <w:fldChar w:fldCharType="separate"/>
          </w:r>
          <w:r>
            <w:t>23</w:t>
          </w:r>
          <w:r>
            <w:fldChar w:fldCharType="end"/>
          </w:r>
          <w:r>
            <w:fldChar w:fldCharType="end"/>
          </w:r>
        </w:p>
        <w:p w14:paraId="7BD7FEF5">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"_Toc238235675" </w:instrText>
          </w:r>
          <w:r>
            <w:fldChar w:fldCharType="separate"/>
          </w:r>
          <w:r>
            <w:rPr>
              <w:rStyle w:val="11"/>
            </w:rPr>
            <w:t>2.2.4 Social Determinants Influencing Postpartum Experience</w:t>
          </w:r>
          <w:r>
            <w:tab/>
          </w:r>
          <w:r>
            <w:fldChar w:fldCharType="begin"/>
          </w:r>
          <w:r>
            <w:instrText xml:space="preserve"> PAGEREF _Toc238235675 \h </w:instrText>
          </w:r>
          <w:r>
            <w:fldChar w:fldCharType="separate"/>
          </w:r>
          <w:r>
            <w:t>24</w:t>
          </w:r>
          <w:r>
            <w:fldChar w:fldCharType="end"/>
          </w:r>
          <w:r>
            <w:fldChar w:fldCharType="end"/>
          </w:r>
        </w:p>
        <w:p w14:paraId="7F0B9C68">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"_Toc238235676" </w:instrText>
          </w:r>
          <w:r>
            <w:fldChar w:fldCharType="separate"/>
          </w:r>
          <w:r>
            <w:rPr>
              <w:rStyle w:val="11"/>
            </w:rPr>
            <w:t>2.2.5 Structural Barriers and Access to Postnatal Healthcare Services</w:t>
          </w:r>
          <w:r>
            <w:tab/>
          </w:r>
          <w:r>
            <w:fldChar w:fldCharType="begin"/>
          </w:r>
          <w:r>
            <w:instrText xml:space="preserve"> PAGEREF _Toc238235676 \h </w:instrText>
          </w:r>
          <w:r>
            <w:fldChar w:fldCharType="separate"/>
          </w:r>
          <w:r>
            <w:t>27</w:t>
          </w:r>
          <w:r>
            <w:fldChar w:fldCharType="end"/>
          </w:r>
          <w:r>
            <w:fldChar w:fldCharType="end"/>
          </w:r>
        </w:p>
        <w:p w14:paraId="0C4E4F1E">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"_Toc238235677" </w:instrText>
          </w:r>
          <w:r>
            <w:fldChar w:fldCharType="separate"/>
          </w:r>
          <w:r>
            <w:rPr>
              <w:rStyle w:val="11"/>
            </w:rPr>
            <w:t>2.2.6 Health Inequalities and Maternity Care Experiences in the UK Context</w:t>
          </w:r>
          <w:r>
            <w:tab/>
          </w:r>
          <w:r>
            <w:fldChar w:fldCharType="begin"/>
          </w:r>
          <w:r>
            <w:instrText xml:space="preserve"> PAGEREF _Toc238235677 \h </w:instrText>
          </w:r>
          <w:r>
            <w:fldChar w:fldCharType="separate"/>
          </w:r>
          <w:r>
            <w:t>28</w:t>
          </w:r>
          <w:r>
            <w:fldChar w:fldCharType="end"/>
          </w:r>
          <w:r>
            <w:fldChar w:fldCharType="end"/>
          </w:r>
        </w:p>
        <w:p w14:paraId="72358C75">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"_Toc238235678" </w:instrText>
          </w:r>
          <w:r>
            <w:fldChar w:fldCharType="separate"/>
          </w:r>
          <w:r>
            <w:rPr>
              <w:rStyle w:val="11"/>
            </w:rPr>
            <w:t>2.2.7 Synthesis of Literature and Research Gap</w:t>
          </w:r>
          <w:r>
            <w:tab/>
          </w:r>
          <w:r>
            <w:fldChar w:fldCharType="begin"/>
          </w:r>
          <w:r>
            <w:instrText xml:space="preserve"> PAGEREF _Toc238235678 \h </w:instrText>
          </w:r>
          <w:r>
            <w:fldChar w:fldCharType="separate"/>
          </w:r>
          <w:r>
            <w:t>29</w:t>
          </w:r>
          <w:r>
            <w:fldChar w:fldCharType="end"/>
          </w:r>
          <w:r>
            <w:fldChar w:fldCharType="end"/>
          </w:r>
        </w:p>
        <w:p w14:paraId="322F98CB">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"_Toc238235679" </w:instrText>
          </w:r>
          <w:r>
            <w:fldChar w:fldCharType="separate"/>
          </w:r>
          <w:r>
            <w:rPr>
              <w:rStyle w:val="11"/>
            </w:rPr>
            <w:t>2.3 Chapter summary</w:t>
          </w:r>
          <w:r>
            <w:tab/>
          </w:r>
          <w:r>
            <w:fldChar w:fldCharType="begin"/>
          </w:r>
          <w:r>
            <w:instrText xml:space="preserve"> PAGEREF _Toc238235679 \h </w:instrText>
          </w:r>
          <w:r>
            <w:fldChar w:fldCharType="separate"/>
          </w:r>
          <w:r>
            <w:t>30</w:t>
          </w:r>
          <w:r>
            <w:fldChar w:fldCharType="end"/>
          </w:r>
          <w:r>
            <w:fldChar w:fldCharType="end"/>
          </w:r>
        </w:p>
        <w:p w14:paraId="688D1103">
          <w:pPr>
            <w:pStyle w:val="16"/>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"_Toc238235680" </w:instrText>
          </w:r>
          <w:r>
            <w:fldChar w:fldCharType="separate"/>
          </w:r>
          <w:r>
            <w:rPr>
              <w:rStyle w:val="11"/>
            </w:rPr>
            <w:t>CHAPTER 3: METHODOLOGY</w:t>
          </w:r>
          <w:r>
            <w:tab/>
          </w:r>
          <w:r>
            <w:fldChar w:fldCharType="begin"/>
          </w:r>
          <w:r>
            <w:instrText xml:space="preserve"> PAGEREF _Toc238235680 \h </w:instrText>
          </w:r>
          <w:r>
            <w:fldChar w:fldCharType="separate"/>
          </w:r>
          <w:r>
            <w:t>31</w:t>
          </w:r>
          <w:r>
            <w:fldChar w:fldCharType="end"/>
          </w:r>
          <w:r>
            <w:fldChar w:fldCharType="end"/>
          </w:r>
        </w:p>
        <w:p w14:paraId="4ED30399">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"_Toc238235681" </w:instrText>
          </w:r>
          <w:r>
            <w:fldChar w:fldCharType="separate"/>
          </w:r>
          <w:r>
            <w:rPr>
              <w:rStyle w:val="11"/>
            </w:rPr>
            <w:t>3.1 - Introduction to Chapter</w:t>
          </w:r>
          <w:r>
            <w:tab/>
          </w:r>
          <w:r>
            <w:fldChar w:fldCharType="begin"/>
          </w:r>
          <w:r>
            <w:instrText xml:space="preserve"> PAGEREF _Toc238235681 \h </w:instrText>
          </w:r>
          <w:r>
            <w:fldChar w:fldCharType="separate"/>
          </w:r>
          <w:r>
            <w:t>31</w:t>
          </w:r>
          <w:r>
            <w:fldChar w:fldCharType="end"/>
          </w:r>
          <w:r>
            <w:fldChar w:fldCharType="end"/>
          </w:r>
        </w:p>
        <w:p w14:paraId="12B93262">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"_Toc238235682" </w:instrText>
          </w:r>
          <w:r>
            <w:fldChar w:fldCharType="separate"/>
          </w:r>
          <w:r>
            <w:rPr>
              <w:rStyle w:val="11"/>
            </w:rPr>
            <w:t>3.2 Systematic Literature Review (SLR)</w:t>
          </w:r>
          <w:r>
            <w:tab/>
          </w:r>
          <w:r>
            <w:fldChar w:fldCharType="begin"/>
          </w:r>
          <w:r>
            <w:instrText xml:space="preserve"> PAGEREF _Toc238235682 \h </w:instrText>
          </w:r>
          <w:r>
            <w:fldChar w:fldCharType="separate"/>
          </w:r>
          <w:r>
            <w:t>31</w:t>
          </w:r>
          <w:r>
            <w:fldChar w:fldCharType="end"/>
          </w:r>
          <w:r>
            <w:fldChar w:fldCharType="end"/>
          </w:r>
        </w:p>
        <w:p w14:paraId="345295BD">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"_Toc238235683" </w:instrText>
          </w:r>
          <w:r>
            <w:fldChar w:fldCharType="separate"/>
          </w:r>
          <w:r>
            <w:rPr>
              <w:rStyle w:val="11"/>
            </w:rPr>
            <w:t>3.3 Search Strategy</w:t>
          </w:r>
          <w:r>
            <w:tab/>
          </w:r>
          <w:r>
            <w:fldChar w:fldCharType="begin"/>
          </w:r>
          <w:r>
            <w:instrText xml:space="preserve"> PAGEREF _Toc238235683 \h </w:instrText>
          </w:r>
          <w:r>
            <w:fldChar w:fldCharType="separate"/>
          </w:r>
          <w:r>
            <w:t>31</w:t>
          </w:r>
          <w:r>
            <w:fldChar w:fldCharType="end"/>
          </w:r>
          <w:r>
            <w:fldChar w:fldCharType="end"/>
          </w:r>
        </w:p>
        <w:p w14:paraId="3385C6AD">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"_Toc238235684" </w:instrText>
          </w:r>
          <w:r>
            <w:fldChar w:fldCharType="separate"/>
          </w:r>
          <w:r>
            <w:rPr>
              <w:rStyle w:val="11"/>
            </w:rPr>
            <w:t>3.4 Search terms</w:t>
          </w:r>
          <w:r>
            <w:tab/>
          </w:r>
          <w:r>
            <w:fldChar w:fldCharType="begin"/>
          </w:r>
          <w:r>
            <w:instrText xml:space="preserve"> PAGEREF _Toc238235684 \h </w:instrText>
          </w:r>
          <w:r>
            <w:fldChar w:fldCharType="separate"/>
          </w:r>
          <w:r>
            <w:t>32</w:t>
          </w:r>
          <w:r>
            <w:fldChar w:fldCharType="end"/>
          </w:r>
          <w:r>
            <w:fldChar w:fldCharType="end"/>
          </w:r>
        </w:p>
        <w:p w14:paraId="179E952C">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"_Toc238235685" </w:instrText>
          </w:r>
          <w:r>
            <w:fldChar w:fldCharType="separate"/>
          </w:r>
          <w:r>
            <w:rPr>
              <w:rStyle w:val="11"/>
            </w:rPr>
            <w:t>3.6 Databases</w:t>
          </w:r>
          <w:r>
            <w:tab/>
          </w:r>
          <w:r>
            <w:fldChar w:fldCharType="begin"/>
          </w:r>
          <w:r>
            <w:instrText xml:space="preserve"> PAGEREF _Toc238235685 \h </w:instrText>
          </w:r>
          <w:r>
            <w:fldChar w:fldCharType="separate"/>
          </w:r>
          <w:r>
            <w:t>34</w:t>
          </w:r>
          <w:r>
            <w:fldChar w:fldCharType="end"/>
          </w:r>
          <w:r>
            <w:fldChar w:fldCharType="end"/>
          </w:r>
        </w:p>
        <w:p w14:paraId="4805E16B">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"_Toc238235686" </w:instrText>
          </w:r>
          <w:r>
            <w:fldChar w:fldCharType="separate"/>
          </w:r>
          <w:r>
            <w:rPr>
              <w:rStyle w:val="11"/>
            </w:rPr>
            <w:t>3.7 Inclusion/Exclusion Criteria</w:t>
          </w:r>
          <w:r>
            <w:tab/>
          </w:r>
          <w:r>
            <w:fldChar w:fldCharType="begin"/>
          </w:r>
          <w:r>
            <w:instrText xml:space="preserve"> PAGEREF _Toc238235686 \h </w:instrText>
          </w:r>
          <w:r>
            <w:fldChar w:fldCharType="separate"/>
          </w:r>
          <w:r>
            <w:t>35</w:t>
          </w:r>
          <w:r>
            <w:fldChar w:fldCharType="end"/>
          </w:r>
          <w:r>
            <w:fldChar w:fldCharType="end"/>
          </w:r>
        </w:p>
        <w:p w14:paraId="02313809">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"_Toc238235687" </w:instrText>
          </w:r>
          <w:r>
            <w:fldChar w:fldCharType="separate"/>
          </w:r>
          <w:r>
            <w:rPr>
              <w:rStyle w:val="11"/>
            </w:rPr>
            <w:t>3.8 Search Results</w:t>
          </w:r>
          <w:r>
            <w:tab/>
          </w:r>
          <w:r>
            <w:fldChar w:fldCharType="begin"/>
          </w:r>
          <w:r>
            <w:instrText xml:space="preserve"> PAGEREF _Toc238235687 \h </w:instrText>
          </w:r>
          <w:r>
            <w:fldChar w:fldCharType="separate"/>
          </w:r>
          <w:r>
            <w:t>36</w:t>
          </w:r>
          <w:r>
            <w:fldChar w:fldCharType="end"/>
          </w:r>
          <w:r>
            <w:fldChar w:fldCharType="end"/>
          </w:r>
        </w:p>
        <w:p w14:paraId="39C2CC6A">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"_Toc238235688" </w:instrText>
          </w:r>
          <w:r>
            <w:fldChar w:fldCharType="separate"/>
          </w:r>
          <w:r>
            <w:rPr>
              <w:rStyle w:val="11"/>
            </w:rPr>
            <w:t>3.9 Ethical Considerations</w:t>
          </w:r>
          <w:r>
            <w:tab/>
          </w:r>
          <w:r>
            <w:fldChar w:fldCharType="begin"/>
          </w:r>
          <w:r>
            <w:instrText xml:space="preserve"> PAGEREF _Toc238235688 \h </w:instrText>
          </w:r>
          <w:r>
            <w:fldChar w:fldCharType="separate"/>
          </w:r>
          <w:r>
            <w:t>38</w:t>
          </w:r>
          <w:r>
            <w:fldChar w:fldCharType="end"/>
          </w:r>
          <w:r>
            <w:fldChar w:fldCharType="end"/>
          </w:r>
        </w:p>
        <w:p w14:paraId="6CE66659">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"_Toc238235689" </w:instrText>
          </w:r>
          <w:r>
            <w:fldChar w:fldCharType="separate"/>
          </w:r>
          <w:r>
            <w:rPr>
              <w:rStyle w:val="11"/>
            </w:rPr>
            <w:t>3.10 Chapter Summary</w:t>
          </w:r>
          <w:r>
            <w:tab/>
          </w:r>
          <w:r>
            <w:fldChar w:fldCharType="begin"/>
          </w:r>
          <w:r>
            <w:instrText xml:space="preserve"> PAGEREF _Toc238235689 \h </w:instrText>
          </w:r>
          <w:r>
            <w:fldChar w:fldCharType="separate"/>
          </w:r>
          <w:r>
            <w:t>38</w:t>
          </w:r>
          <w:r>
            <w:fldChar w:fldCharType="end"/>
          </w:r>
          <w:r>
            <w:fldChar w:fldCharType="end"/>
          </w:r>
        </w:p>
        <w:p w14:paraId="36C2F2AF">
          <w:pPr>
            <w:pStyle w:val="16"/>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"_Toc238235690" </w:instrText>
          </w:r>
          <w:r>
            <w:fldChar w:fldCharType="separate"/>
          </w:r>
          <w:r>
            <w:rPr>
              <w:rStyle w:val="11"/>
            </w:rPr>
            <w:t>CHAPTER 4: DATA EXTRACTION AND EVALUATION</w:t>
          </w:r>
          <w:r>
            <w:tab/>
          </w:r>
          <w:r>
            <w:fldChar w:fldCharType="begin"/>
          </w:r>
          <w:r>
            <w:instrText xml:space="preserve"> PAGEREF _Toc238235690 \h </w:instrText>
          </w:r>
          <w:r>
            <w:fldChar w:fldCharType="separate"/>
          </w:r>
          <w:r>
            <w:t>39</w:t>
          </w:r>
          <w:r>
            <w:fldChar w:fldCharType="end"/>
          </w:r>
          <w:r>
            <w:fldChar w:fldCharType="end"/>
          </w:r>
        </w:p>
        <w:p w14:paraId="7BA63583">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"_Toc238235691" </w:instrText>
          </w:r>
          <w:r>
            <w:fldChar w:fldCharType="separate"/>
          </w:r>
          <w:r>
            <w:rPr>
              <w:rStyle w:val="11"/>
            </w:rPr>
            <w:t>4.1 Introduction to Chapter</w:t>
          </w:r>
          <w:r>
            <w:tab/>
          </w:r>
          <w:r>
            <w:fldChar w:fldCharType="begin"/>
          </w:r>
          <w:r>
            <w:instrText xml:space="preserve"> PAGEREF _Toc238235691 \h </w:instrText>
          </w:r>
          <w:r>
            <w:fldChar w:fldCharType="separate"/>
          </w:r>
          <w:r>
            <w:t>39</w:t>
          </w:r>
          <w:r>
            <w:fldChar w:fldCharType="end"/>
          </w:r>
          <w:r>
            <w:fldChar w:fldCharType="end"/>
          </w:r>
        </w:p>
        <w:p w14:paraId="086EED02">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"_Toc238235692" </w:instrText>
          </w:r>
          <w:r>
            <w:fldChar w:fldCharType="separate"/>
          </w:r>
          <w:r>
            <w:rPr>
              <w:rStyle w:val="11"/>
            </w:rPr>
            <w:t>4.2 Data Extraction</w:t>
          </w:r>
          <w:r>
            <w:tab/>
          </w:r>
          <w:r>
            <w:fldChar w:fldCharType="begin"/>
          </w:r>
          <w:r>
            <w:instrText xml:space="preserve"> PAGEREF _Toc238235692 \h </w:instrText>
          </w:r>
          <w:r>
            <w:fldChar w:fldCharType="separate"/>
          </w:r>
          <w:r>
            <w:t>41</w:t>
          </w:r>
          <w:r>
            <w:fldChar w:fldCharType="end"/>
          </w:r>
          <w:r>
            <w:fldChar w:fldCharType="end"/>
          </w:r>
        </w:p>
        <w:p w14:paraId="6B8D82BC">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"_Toc238235693" </w:instrText>
          </w:r>
          <w:r>
            <w:fldChar w:fldCharType="separate"/>
          </w:r>
          <w:r>
            <w:rPr>
              <w:rStyle w:val="11"/>
            </w:rPr>
            <w:t>4.3 Brief introduction to critical appraisal and paper quality assessment</w:t>
          </w:r>
          <w:r>
            <w:tab/>
          </w:r>
          <w:r>
            <w:fldChar w:fldCharType="begin"/>
          </w:r>
          <w:r>
            <w:instrText xml:space="preserve"> PAGEREF _Toc238235693 \h </w:instrText>
          </w:r>
          <w:r>
            <w:fldChar w:fldCharType="separate"/>
          </w:r>
          <w:r>
            <w:t>41</w:t>
          </w:r>
          <w:r>
            <w:fldChar w:fldCharType="end"/>
          </w:r>
          <w:r>
            <w:fldChar w:fldCharType="end"/>
          </w:r>
        </w:p>
        <w:p w14:paraId="4BDDF2E3">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"_Toc238235694" </w:instrText>
          </w:r>
          <w:r>
            <w:fldChar w:fldCharType="separate"/>
          </w:r>
          <w:r>
            <w:rPr>
              <w:rStyle w:val="11"/>
            </w:rPr>
            <w:t>4.4 Critical Appraisal Tools</w:t>
          </w:r>
          <w:r>
            <w:tab/>
          </w:r>
          <w:r>
            <w:fldChar w:fldCharType="begin"/>
          </w:r>
          <w:r>
            <w:instrText xml:space="preserve"> PAGEREF _Toc238235694 \h </w:instrText>
          </w:r>
          <w:r>
            <w:fldChar w:fldCharType="separate"/>
          </w:r>
          <w:r>
            <w:t>42</w:t>
          </w:r>
          <w:r>
            <w:fldChar w:fldCharType="end"/>
          </w:r>
          <w:r>
            <w:fldChar w:fldCharType="end"/>
          </w:r>
        </w:p>
        <w:p w14:paraId="50C92943">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"_Toc238235695" </w:instrText>
          </w:r>
          <w:r>
            <w:fldChar w:fldCharType="separate"/>
          </w:r>
          <w:r>
            <w:rPr>
              <w:rStyle w:val="11"/>
            </w:rPr>
            <w:t>4.5 Evaluation of Qualitative Studies using any appropriate tool</w:t>
          </w:r>
          <w:r>
            <w:tab/>
          </w:r>
          <w:r>
            <w:fldChar w:fldCharType="begin"/>
          </w:r>
          <w:r>
            <w:instrText xml:space="preserve"> PAGEREF _Toc238235695 \h </w:instrText>
          </w:r>
          <w:r>
            <w:fldChar w:fldCharType="separate"/>
          </w:r>
          <w:r>
            <w:t>43</w:t>
          </w:r>
          <w:r>
            <w:fldChar w:fldCharType="end"/>
          </w:r>
          <w:r>
            <w:fldChar w:fldCharType="end"/>
          </w:r>
        </w:p>
        <w:p w14:paraId="181886AC">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"_Toc238235696" </w:instrText>
          </w:r>
          <w:r>
            <w:fldChar w:fldCharType="separate"/>
          </w:r>
          <w:r>
            <w:rPr>
              <w:rStyle w:val="11"/>
            </w:rPr>
            <w:t>4.6 Evaluation of Quantitative Studies using an appropriate tool</w:t>
          </w:r>
          <w:r>
            <w:tab/>
          </w:r>
          <w:r>
            <w:fldChar w:fldCharType="begin"/>
          </w:r>
          <w:r>
            <w:instrText xml:space="preserve"> PAGEREF _Toc238235696 \h </w:instrText>
          </w:r>
          <w:r>
            <w:fldChar w:fldCharType="separate"/>
          </w:r>
          <w:r>
            <w:t>44</w:t>
          </w:r>
          <w:r>
            <w:fldChar w:fldCharType="end"/>
          </w:r>
          <w:r>
            <w:fldChar w:fldCharType="end"/>
          </w:r>
        </w:p>
        <w:p w14:paraId="2EE06F97">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"_Toc238235697" </w:instrText>
          </w:r>
          <w:r>
            <w:fldChar w:fldCharType="separate"/>
          </w:r>
          <w:r>
            <w:rPr>
              <w:rStyle w:val="11"/>
            </w:rPr>
            <w:t>4.6.1 Selection of the Quantitative Appraisal Tool</w:t>
          </w:r>
          <w:r>
            <w:tab/>
          </w:r>
          <w:r>
            <w:fldChar w:fldCharType="begin"/>
          </w:r>
          <w:r>
            <w:instrText xml:space="preserve"> PAGEREF _Toc238235697 \h </w:instrText>
          </w:r>
          <w:r>
            <w:fldChar w:fldCharType="separate"/>
          </w:r>
          <w:r>
            <w:t>44</w:t>
          </w:r>
          <w:r>
            <w:fldChar w:fldCharType="end"/>
          </w:r>
          <w:r>
            <w:fldChar w:fldCharType="end"/>
          </w:r>
        </w:p>
        <w:p w14:paraId="19C35B21">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"_Toc238235698" </w:instrText>
          </w:r>
          <w:r>
            <w:fldChar w:fldCharType="separate"/>
          </w:r>
          <w:r>
            <w:rPr>
              <w:rStyle w:val="11"/>
            </w:rPr>
            <w:t>4.6.2 Characteristics of the Quantitative Studies</w:t>
          </w:r>
          <w:r>
            <w:tab/>
          </w:r>
          <w:r>
            <w:fldChar w:fldCharType="begin"/>
          </w:r>
          <w:r>
            <w:instrText xml:space="preserve"> PAGEREF _Toc238235698 \h </w:instrText>
          </w:r>
          <w:r>
            <w:fldChar w:fldCharType="separate"/>
          </w:r>
          <w:r>
            <w:t>44</w:t>
          </w:r>
          <w:r>
            <w:fldChar w:fldCharType="end"/>
          </w:r>
          <w:r>
            <w:fldChar w:fldCharType="end"/>
          </w:r>
        </w:p>
        <w:p w14:paraId="099047D5">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"_Toc238235699" </w:instrText>
          </w:r>
          <w:r>
            <w:fldChar w:fldCharType="separate"/>
          </w:r>
          <w:r>
            <w:rPr>
              <w:rStyle w:val="11"/>
            </w:rPr>
            <w:t>4.6.3 Evaluation of Systematic Reviews and Meta-Analyses</w:t>
          </w:r>
          <w:r>
            <w:tab/>
          </w:r>
          <w:r>
            <w:fldChar w:fldCharType="begin"/>
          </w:r>
          <w:r>
            <w:instrText xml:space="preserve"> PAGEREF _Toc238235699 \h </w:instrText>
          </w:r>
          <w:r>
            <w:fldChar w:fldCharType="separate"/>
          </w:r>
          <w:r>
            <w:t>45</w:t>
          </w:r>
          <w:r>
            <w:fldChar w:fldCharType="end"/>
          </w:r>
          <w:r>
            <w:fldChar w:fldCharType="end"/>
          </w:r>
        </w:p>
        <w:p w14:paraId="1D764A8F">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"_Toc238235700" </w:instrText>
          </w:r>
          <w:r>
            <w:fldChar w:fldCharType="separate"/>
          </w:r>
          <w:r>
            <w:rPr>
              <w:rStyle w:val="11"/>
            </w:rPr>
            <w:t>4.6.4 Evaluation of National Evidence Reports</w:t>
          </w:r>
          <w:r>
            <w:tab/>
          </w:r>
          <w:r>
            <w:fldChar w:fldCharType="begin"/>
          </w:r>
          <w:r>
            <w:instrText xml:space="preserve"> PAGEREF _Toc238235700 \h </w:instrText>
          </w:r>
          <w:r>
            <w:fldChar w:fldCharType="separate"/>
          </w:r>
          <w:r>
            <w:t>46</w:t>
          </w:r>
          <w:r>
            <w:fldChar w:fldCharType="end"/>
          </w:r>
          <w:r>
            <w:fldChar w:fldCharType="end"/>
          </w:r>
        </w:p>
        <w:p w14:paraId="4790DBED">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"_Toc238235701" </w:instrText>
          </w:r>
          <w:r>
            <w:fldChar w:fldCharType="separate"/>
          </w:r>
          <w:r>
            <w:rPr>
              <w:rStyle w:val="11"/>
            </w:rPr>
            <w:t>4.6.5 Overall Critical Appraisal Findings</w:t>
          </w:r>
          <w:r>
            <w:tab/>
          </w:r>
          <w:r>
            <w:fldChar w:fldCharType="begin"/>
          </w:r>
          <w:r>
            <w:instrText xml:space="preserve"> PAGEREF _Toc238235701 \h </w:instrText>
          </w:r>
          <w:r>
            <w:fldChar w:fldCharType="separate"/>
          </w:r>
          <w:r>
            <w:t>46</w:t>
          </w:r>
          <w:r>
            <w:fldChar w:fldCharType="end"/>
          </w:r>
          <w:r>
            <w:fldChar w:fldCharType="end"/>
          </w:r>
        </w:p>
        <w:p w14:paraId="355183DA">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"_Toc238235702" </w:instrText>
          </w:r>
          <w:r>
            <w:fldChar w:fldCharType="separate"/>
          </w:r>
          <w:r>
            <w:rPr>
              <w:rStyle w:val="11"/>
            </w:rPr>
            <w:t>4.7 Evaluation of Mixed Methods Studies using any appropriate</w:t>
          </w:r>
          <w:r>
            <w:tab/>
          </w:r>
          <w:r>
            <w:fldChar w:fldCharType="begin"/>
          </w:r>
          <w:r>
            <w:instrText xml:space="preserve"> PAGEREF _Toc238235702 \h </w:instrText>
          </w:r>
          <w:r>
            <w:fldChar w:fldCharType="separate"/>
          </w:r>
          <w:r>
            <w:t>47</w:t>
          </w:r>
          <w:r>
            <w:fldChar w:fldCharType="end"/>
          </w:r>
          <w:r>
            <w:fldChar w:fldCharType="end"/>
          </w:r>
        </w:p>
        <w:p w14:paraId="602F19B6">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"_Toc238235703" </w:instrText>
          </w:r>
          <w:r>
            <w:fldChar w:fldCharType="separate"/>
          </w:r>
          <w:r>
            <w:rPr>
              <w:rStyle w:val="11"/>
            </w:rPr>
            <w:t>4.8 Methodological Triangulation</w:t>
          </w:r>
          <w:r>
            <w:tab/>
          </w:r>
          <w:r>
            <w:fldChar w:fldCharType="begin"/>
          </w:r>
          <w:r>
            <w:instrText xml:space="preserve"> PAGEREF _Toc238235703 \h </w:instrText>
          </w:r>
          <w:r>
            <w:fldChar w:fldCharType="separate"/>
          </w:r>
          <w:r>
            <w:t>48</w:t>
          </w:r>
          <w:r>
            <w:fldChar w:fldCharType="end"/>
          </w:r>
          <w:r>
            <w:fldChar w:fldCharType="end"/>
          </w:r>
        </w:p>
        <w:p w14:paraId="424EA0F5">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"_Toc238235704" </w:instrText>
          </w:r>
          <w:r>
            <w:fldChar w:fldCharType="separate"/>
          </w:r>
          <w:r>
            <w:rPr>
              <w:rStyle w:val="11"/>
            </w:rPr>
            <w:t>4.9 Chapter Summary</w:t>
          </w:r>
          <w:r>
            <w:tab/>
          </w:r>
          <w:r>
            <w:fldChar w:fldCharType="begin"/>
          </w:r>
          <w:r>
            <w:instrText xml:space="preserve"> PAGEREF _Toc238235704 \h </w:instrText>
          </w:r>
          <w:r>
            <w:fldChar w:fldCharType="separate"/>
          </w:r>
          <w:r>
            <w:t>49</w:t>
          </w:r>
          <w:r>
            <w:fldChar w:fldCharType="end"/>
          </w:r>
          <w:r>
            <w:fldChar w:fldCharType="end"/>
          </w:r>
        </w:p>
        <w:p w14:paraId="347BBFC5">
          <w:pPr>
            <w:pStyle w:val="16"/>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"_Toc238235705" </w:instrText>
          </w:r>
          <w:r>
            <w:fldChar w:fldCharType="separate"/>
          </w:r>
          <w:r>
            <w:rPr>
              <w:rStyle w:val="11"/>
            </w:rPr>
            <w:t>CHAPTER 5: DATA ANALYSIS AND SYNTHESIS</w:t>
          </w:r>
          <w:r>
            <w:tab/>
          </w:r>
          <w:r>
            <w:fldChar w:fldCharType="begin"/>
          </w:r>
          <w:r>
            <w:instrText xml:space="preserve"> PAGEREF _Toc238235705 \h </w:instrText>
          </w:r>
          <w:r>
            <w:fldChar w:fldCharType="separate"/>
          </w:r>
          <w:r>
            <w:t>50</w:t>
          </w:r>
          <w:r>
            <w:fldChar w:fldCharType="end"/>
          </w:r>
          <w:r>
            <w:fldChar w:fldCharType="end"/>
          </w:r>
        </w:p>
        <w:p w14:paraId="6A165CBA">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"_Toc238235706" </w:instrText>
          </w:r>
          <w:r>
            <w:fldChar w:fldCharType="separate"/>
          </w:r>
          <w:r>
            <w:rPr>
              <w:rStyle w:val="11"/>
            </w:rPr>
            <w:t>5.1 Introduction to Chapter</w:t>
          </w:r>
          <w:r>
            <w:tab/>
          </w:r>
          <w:r>
            <w:fldChar w:fldCharType="begin"/>
          </w:r>
          <w:r>
            <w:instrText xml:space="preserve"> PAGEREF _Toc238235706 \h </w:instrText>
          </w:r>
          <w:r>
            <w:fldChar w:fldCharType="separate"/>
          </w:r>
          <w:r>
            <w:t>50</w:t>
          </w:r>
          <w:r>
            <w:fldChar w:fldCharType="end"/>
          </w:r>
          <w:r>
            <w:fldChar w:fldCharType="end"/>
          </w:r>
        </w:p>
        <w:p w14:paraId="2EFD243E">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"_Toc238235707" </w:instrText>
          </w:r>
          <w:r>
            <w:fldChar w:fldCharType="separate"/>
          </w:r>
          <w:r>
            <w:rPr>
              <w:rStyle w:val="11"/>
            </w:rPr>
            <w:t>5.2 Thematic Analysis</w:t>
          </w:r>
          <w:r>
            <w:tab/>
          </w:r>
          <w:r>
            <w:fldChar w:fldCharType="begin"/>
          </w:r>
          <w:r>
            <w:instrText xml:space="preserve"> PAGEREF _Toc238235707 \h </w:instrText>
          </w:r>
          <w:r>
            <w:fldChar w:fldCharType="separate"/>
          </w:r>
          <w:r>
            <w:t>50</w:t>
          </w:r>
          <w:r>
            <w:fldChar w:fldCharType="end"/>
          </w:r>
          <w:r>
            <w:fldChar w:fldCharType="end"/>
          </w:r>
        </w:p>
        <w:p w14:paraId="6A7F6DF1">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"_Toc238235708" </w:instrText>
          </w:r>
          <w:r>
            <w:fldChar w:fldCharType="separate"/>
          </w:r>
          <w:r>
            <w:rPr>
              <w:rStyle w:val="11"/>
            </w:rPr>
            <w:t>5.3 Data analysis tool</w:t>
          </w:r>
          <w:r>
            <w:tab/>
          </w:r>
          <w:r>
            <w:fldChar w:fldCharType="begin"/>
          </w:r>
          <w:r>
            <w:instrText xml:space="preserve"> PAGEREF _Toc238235708 \h </w:instrText>
          </w:r>
          <w:r>
            <w:fldChar w:fldCharType="separate"/>
          </w:r>
          <w:r>
            <w:t>50</w:t>
          </w:r>
          <w:r>
            <w:fldChar w:fldCharType="end"/>
          </w:r>
          <w:r>
            <w:fldChar w:fldCharType="end"/>
          </w:r>
        </w:p>
        <w:p w14:paraId="63EB7258">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"_Toc238235709" </w:instrText>
          </w:r>
          <w:r>
            <w:fldChar w:fldCharType="separate"/>
          </w:r>
          <w:r>
            <w:rPr>
              <w:rStyle w:val="11"/>
            </w:rPr>
            <w:t>5.4 Characteristics of the identified studies</w:t>
          </w:r>
          <w:r>
            <w:tab/>
          </w:r>
          <w:r>
            <w:fldChar w:fldCharType="begin"/>
          </w:r>
          <w:r>
            <w:instrText xml:space="preserve"> PAGEREF _Toc238235709 \h </w:instrText>
          </w:r>
          <w:r>
            <w:fldChar w:fldCharType="separate"/>
          </w:r>
          <w:r>
            <w:t>51</w:t>
          </w:r>
          <w:r>
            <w:fldChar w:fldCharType="end"/>
          </w:r>
          <w:r>
            <w:fldChar w:fldCharType="end"/>
          </w:r>
        </w:p>
        <w:p w14:paraId="1B311E03">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"_Toc238235710" </w:instrText>
          </w:r>
          <w:r>
            <w:fldChar w:fldCharType="separate"/>
          </w:r>
          <w:r>
            <w:rPr>
              <w:rStyle w:val="11"/>
            </w:rPr>
            <w:t>5.5 Emerging Themes from included studies</w:t>
          </w:r>
          <w:r>
            <w:tab/>
          </w:r>
          <w:r>
            <w:fldChar w:fldCharType="begin"/>
          </w:r>
          <w:r>
            <w:instrText xml:space="preserve"> PAGEREF _Toc238235710 \h </w:instrText>
          </w:r>
          <w:r>
            <w:fldChar w:fldCharType="separate"/>
          </w:r>
          <w:r>
            <w:t>51</w:t>
          </w:r>
          <w:r>
            <w:fldChar w:fldCharType="end"/>
          </w:r>
          <w:r>
            <w:fldChar w:fldCharType="end"/>
          </w:r>
        </w:p>
        <w:p w14:paraId="6EE9E3F4">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"_Toc238235711" </w:instrText>
          </w:r>
          <w:r>
            <w:fldChar w:fldCharType="separate"/>
          </w:r>
          <w:r>
            <w:rPr>
              <w:rStyle w:val="11"/>
            </w:rPr>
            <w:t>Theme 1: Clinical and Physical Postpartum Complications</w:t>
          </w:r>
          <w:r>
            <w:tab/>
          </w:r>
          <w:r>
            <w:fldChar w:fldCharType="begin"/>
          </w:r>
          <w:r>
            <w:instrText xml:space="preserve"> PAGEREF _Toc238235711 \h </w:instrText>
          </w:r>
          <w:r>
            <w:fldChar w:fldCharType="separate"/>
          </w:r>
          <w:r>
            <w:t>53</w:t>
          </w:r>
          <w:r>
            <w:fldChar w:fldCharType="end"/>
          </w:r>
          <w:r>
            <w:fldChar w:fldCharType="end"/>
          </w:r>
        </w:p>
        <w:p w14:paraId="70D135D5">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"_Toc238235712" </w:instrText>
          </w:r>
          <w:r>
            <w:fldChar w:fldCharType="separate"/>
          </w:r>
          <w:r>
            <w:rPr>
              <w:rStyle w:val="11"/>
            </w:rPr>
            <w:t>Theme 2: Mental Health and Psychological Wellbeing</w:t>
          </w:r>
          <w:r>
            <w:tab/>
          </w:r>
          <w:r>
            <w:fldChar w:fldCharType="begin"/>
          </w:r>
          <w:r>
            <w:instrText xml:space="preserve"> PAGEREF _Toc238235712 \h </w:instrText>
          </w:r>
          <w:r>
            <w:fldChar w:fldCharType="separate"/>
          </w:r>
          <w:r>
            <w:t>54</w:t>
          </w:r>
          <w:r>
            <w:fldChar w:fldCharType="end"/>
          </w:r>
          <w:r>
            <w:fldChar w:fldCharType="end"/>
          </w:r>
        </w:p>
        <w:p w14:paraId="5439D2F0">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"_Toc238235713" </w:instrText>
          </w:r>
          <w:r>
            <w:fldChar w:fldCharType="separate"/>
          </w:r>
          <w:r>
            <w:rPr>
              <w:rStyle w:val="11"/>
            </w:rPr>
            <w:t>Theme 3: Social Determinants of Postpartum Health</w:t>
          </w:r>
          <w:r>
            <w:tab/>
          </w:r>
          <w:r>
            <w:fldChar w:fldCharType="begin"/>
          </w:r>
          <w:r>
            <w:instrText xml:space="preserve"> PAGEREF _Toc238235713 \h </w:instrText>
          </w:r>
          <w:r>
            <w:fldChar w:fldCharType="separate"/>
          </w:r>
          <w:r>
            <w:t>55</w:t>
          </w:r>
          <w:r>
            <w:fldChar w:fldCharType="end"/>
          </w:r>
          <w:r>
            <w:fldChar w:fldCharType="end"/>
          </w:r>
        </w:p>
        <w:p w14:paraId="2726027A">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"_Toc238235714" </w:instrText>
          </w:r>
          <w:r>
            <w:fldChar w:fldCharType="separate"/>
          </w:r>
          <w:r>
            <w:rPr>
              <w:rStyle w:val="11"/>
            </w:rPr>
            <w:t>Theme 4: Structural Barriers and Access to Postnatal Healthcare</w:t>
          </w:r>
          <w:r>
            <w:tab/>
          </w:r>
          <w:r>
            <w:fldChar w:fldCharType="begin"/>
          </w:r>
          <w:r>
            <w:instrText xml:space="preserve"> PAGEREF _Toc238235714 \h </w:instrText>
          </w:r>
          <w:r>
            <w:fldChar w:fldCharType="separate"/>
          </w:r>
          <w:r>
            <w:t>56</w:t>
          </w:r>
          <w:r>
            <w:fldChar w:fldCharType="end"/>
          </w:r>
          <w:r>
            <w:fldChar w:fldCharType="end"/>
          </w:r>
        </w:p>
        <w:p w14:paraId="63994C0E">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"_Toc238235715" </w:instrText>
          </w:r>
          <w:r>
            <w:fldChar w:fldCharType="separate"/>
          </w:r>
          <w:r>
            <w:rPr>
              <w:rStyle w:val="11"/>
            </w:rPr>
            <w:t>Theme 5: Health Inequalities and Maternity Care Experiences</w:t>
          </w:r>
          <w:r>
            <w:tab/>
          </w:r>
          <w:r>
            <w:fldChar w:fldCharType="begin"/>
          </w:r>
          <w:r>
            <w:instrText xml:space="preserve"> PAGEREF _Toc238235715 \h </w:instrText>
          </w:r>
          <w:r>
            <w:fldChar w:fldCharType="separate"/>
          </w:r>
          <w:r>
            <w:t>57</w:t>
          </w:r>
          <w:r>
            <w:fldChar w:fldCharType="end"/>
          </w:r>
          <w:r>
            <w:fldChar w:fldCharType="end"/>
          </w:r>
        </w:p>
        <w:p w14:paraId="517AA70E">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"_Toc238235716" </w:instrText>
          </w:r>
          <w:r>
            <w:fldChar w:fldCharType="separate"/>
          </w:r>
          <w:r>
            <w:rPr>
              <w:rStyle w:val="11"/>
            </w:rPr>
            <w:t>Integration Across Themes</w:t>
          </w:r>
          <w:r>
            <w:tab/>
          </w:r>
          <w:r>
            <w:fldChar w:fldCharType="begin"/>
          </w:r>
          <w:r>
            <w:instrText xml:space="preserve"> PAGEREF _Toc238235716 \h </w:instrText>
          </w:r>
          <w:r>
            <w:fldChar w:fldCharType="separate"/>
          </w:r>
          <w:r>
            <w:t>58</w:t>
          </w:r>
          <w:r>
            <w:fldChar w:fldCharType="end"/>
          </w:r>
          <w:r>
            <w:fldChar w:fldCharType="end"/>
          </w:r>
        </w:p>
        <w:p w14:paraId="04D81F32">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"_Toc238235717" </w:instrText>
          </w:r>
          <w:r>
            <w:fldChar w:fldCharType="separate"/>
          </w:r>
          <w:r>
            <w:rPr>
              <w:rStyle w:val="11"/>
            </w:rPr>
            <w:t>5.6 Chapter Summary</w:t>
          </w:r>
          <w:r>
            <w:tab/>
          </w:r>
          <w:r>
            <w:fldChar w:fldCharType="begin"/>
          </w:r>
          <w:r>
            <w:instrText xml:space="preserve"> PAGEREF _Toc238235717 \h </w:instrText>
          </w:r>
          <w:r>
            <w:fldChar w:fldCharType="separate"/>
          </w:r>
          <w:r>
            <w:t>59</w:t>
          </w:r>
          <w:r>
            <w:fldChar w:fldCharType="end"/>
          </w:r>
          <w:r>
            <w:fldChar w:fldCharType="end"/>
          </w:r>
        </w:p>
        <w:p w14:paraId="18F03376">
          <w:pPr>
            <w:pStyle w:val="16"/>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"_Toc238235718" </w:instrText>
          </w:r>
          <w:r>
            <w:fldChar w:fldCharType="separate"/>
          </w:r>
          <w:r>
            <w:rPr>
              <w:rStyle w:val="11"/>
            </w:rPr>
            <w:t>CHAPTER 6: DISCUSSION</w:t>
          </w:r>
          <w:r>
            <w:tab/>
          </w:r>
          <w:r>
            <w:fldChar w:fldCharType="begin"/>
          </w:r>
          <w:r>
            <w:instrText xml:space="preserve"> PAGEREF _Toc238235718 \h </w:instrText>
          </w:r>
          <w:r>
            <w:fldChar w:fldCharType="separate"/>
          </w:r>
          <w:r>
            <w:t>60</w:t>
          </w:r>
          <w:r>
            <w:fldChar w:fldCharType="end"/>
          </w:r>
          <w:r>
            <w:fldChar w:fldCharType="end"/>
          </w:r>
        </w:p>
        <w:p w14:paraId="742CFF92">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"_Toc238235719" </w:instrText>
          </w:r>
          <w:r>
            <w:fldChar w:fldCharType="separate"/>
          </w:r>
          <w:r>
            <w:rPr>
              <w:rStyle w:val="11"/>
            </w:rPr>
            <w:t>6.1 Introduction to Chapter</w:t>
          </w:r>
          <w:r>
            <w:tab/>
          </w:r>
          <w:r>
            <w:fldChar w:fldCharType="begin"/>
          </w:r>
          <w:r>
            <w:instrText xml:space="preserve"> PAGEREF _Toc238235719 \h </w:instrText>
          </w:r>
          <w:r>
            <w:fldChar w:fldCharType="separate"/>
          </w:r>
          <w:r>
            <w:t>60</w:t>
          </w:r>
          <w:r>
            <w:fldChar w:fldCharType="end"/>
          </w:r>
          <w:r>
            <w:fldChar w:fldCharType="end"/>
          </w:r>
        </w:p>
        <w:p w14:paraId="11EFF16E">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"_Toc238235720" </w:instrText>
          </w:r>
          <w:r>
            <w:fldChar w:fldCharType="separate"/>
          </w:r>
          <w:r>
            <w:rPr>
              <w:rStyle w:val="11"/>
            </w:rPr>
            <w:t>6.2 Discussion of Key findings</w:t>
          </w:r>
          <w:r>
            <w:tab/>
          </w:r>
          <w:r>
            <w:fldChar w:fldCharType="begin"/>
          </w:r>
          <w:r>
            <w:instrText xml:space="preserve"> PAGEREF _Toc238235720 \h </w:instrText>
          </w:r>
          <w:r>
            <w:fldChar w:fldCharType="separate"/>
          </w:r>
          <w:r>
            <w:t>60</w:t>
          </w:r>
          <w:r>
            <w:fldChar w:fldCharType="end"/>
          </w:r>
          <w:r>
            <w:fldChar w:fldCharType="end"/>
          </w:r>
        </w:p>
        <w:p w14:paraId="281E0D2A">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"_Toc238235721" </w:instrText>
          </w:r>
          <w:r>
            <w:fldChar w:fldCharType="separate"/>
          </w:r>
          <w:r>
            <w:rPr>
              <w:rStyle w:val="11"/>
            </w:rPr>
            <w:t>6.2.1 Clinical and Physical Complications of childbirth.</w:t>
          </w:r>
          <w:r>
            <w:tab/>
          </w:r>
          <w:r>
            <w:fldChar w:fldCharType="begin"/>
          </w:r>
          <w:r>
            <w:instrText xml:space="preserve"> PAGEREF _Toc238235721 \h </w:instrText>
          </w:r>
          <w:r>
            <w:fldChar w:fldCharType="separate"/>
          </w:r>
          <w:r>
            <w:t>60</w:t>
          </w:r>
          <w:r>
            <w:fldChar w:fldCharType="end"/>
          </w:r>
          <w:r>
            <w:fldChar w:fldCharType="end"/>
          </w:r>
        </w:p>
        <w:p w14:paraId="6A02D547">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"_Toc238235722" </w:instrText>
          </w:r>
          <w:r>
            <w:fldChar w:fldCharType="separate"/>
          </w:r>
          <w:r>
            <w:rPr>
              <w:rStyle w:val="11"/>
            </w:rPr>
            <w:t>6.2.2 Mental Well-being and Mental Health</w:t>
          </w:r>
          <w:r>
            <w:tab/>
          </w:r>
          <w:r>
            <w:fldChar w:fldCharType="begin"/>
          </w:r>
          <w:r>
            <w:instrText xml:space="preserve"> PAGEREF _Toc238235722 \h </w:instrText>
          </w:r>
          <w:r>
            <w:fldChar w:fldCharType="separate"/>
          </w:r>
          <w:r>
            <w:t>61</w:t>
          </w:r>
          <w:r>
            <w:fldChar w:fldCharType="end"/>
          </w:r>
          <w:r>
            <w:fldChar w:fldCharType="end"/>
          </w:r>
        </w:p>
        <w:p w14:paraId="5F8F0386">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"_Toc238235723" </w:instrText>
          </w:r>
          <w:r>
            <w:fldChar w:fldCharType="separate"/>
          </w:r>
          <w:r>
            <w:rPr>
              <w:rStyle w:val="11"/>
            </w:rPr>
            <w:t>6.2.3 Social Determinants of Postpartum Health.</w:t>
          </w:r>
          <w:r>
            <w:tab/>
          </w:r>
          <w:r>
            <w:fldChar w:fldCharType="begin"/>
          </w:r>
          <w:r>
            <w:instrText xml:space="preserve"> PAGEREF _Toc238235723 \h </w:instrText>
          </w:r>
          <w:r>
            <w:fldChar w:fldCharType="separate"/>
          </w:r>
          <w:r>
            <w:t>62</w:t>
          </w:r>
          <w:r>
            <w:fldChar w:fldCharType="end"/>
          </w:r>
          <w:r>
            <w:fldChar w:fldCharType="end"/>
          </w:r>
        </w:p>
        <w:p w14:paraId="2DBDF159">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"_Toc238235724" </w:instrText>
          </w:r>
          <w:r>
            <w:fldChar w:fldCharType="separate"/>
          </w:r>
          <w:r>
            <w:rPr>
              <w:rStyle w:val="11"/>
            </w:rPr>
            <w:t>6.2.4 Barriers to postnatal health care and Structure.</w:t>
          </w:r>
          <w:r>
            <w:tab/>
          </w:r>
          <w:r>
            <w:fldChar w:fldCharType="begin"/>
          </w:r>
          <w:r>
            <w:instrText xml:space="preserve"> PAGEREF _Toc238235724 \h </w:instrText>
          </w:r>
          <w:r>
            <w:fldChar w:fldCharType="separate"/>
          </w:r>
          <w:r>
            <w:t>63</w:t>
          </w:r>
          <w:r>
            <w:fldChar w:fldCharType="end"/>
          </w:r>
          <w:r>
            <w:fldChar w:fldCharType="end"/>
          </w:r>
        </w:p>
        <w:p w14:paraId="2AF3A7A5">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"_Toc238235725" </w:instrText>
          </w:r>
          <w:r>
            <w:fldChar w:fldCharType="separate"/>
          </w:r>
          <w:r>
            <w:rPr>
              <w:rStyle w:val="11"/>
            </w:rPr>
            <w:t>6.2.5 Inequality in Health and Maternity Care Experiences.</w:t>
          </w:r>
          <w:r>
            <w:tab/>
          </w:r>
          <w:r>
            <w:fldChar w:fldCharType="begin"/>
          </w:r>
          <w:r>
            <w:instrText xml:space="preserve"> PAGEREF _Toc238235725 \h </w:instrText>
          </w:r>
          <w:r>
            <w:fldChar w:fldCharType="separate"/>
          </w:r>
          <w:r>
            <w:t>63</w:t>
          </w:r>
          <w:r>
            <w:fldChar w:fldCharType="end"/>
          </w:r>
          <w:r>
            <w:fldChar w:fldCharType="end"/>
          </w:r>
        </w:p>
        <w:p w14:paraId="4CCF0E01">
          <w:pPr>
            <w:pStyle w:val="18"/>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"_Toc238235726" </w:instrText>
          </w:r>
          <w:r>
            <w:fldChar w:fldCharType="separate"/>
          </w:r>
          <w:r>
            <w:rPr>
              <w:rStyle w:val="11"/>
            </w:rPr>
            <w:t>6.2.6 Critical Discussion of the General Results.</w:t>
          </w:r>
          <w:r>
            <w:tab/>
          </w:r>
          <w:r>
            <w:fldChar w:fldCharType="begin"/>
          </w:r>
          <w:r>
            <w:instrText xml:space="preserve"> PAGEREF _Toc238235726 \h </w:instrText>
          </w:r>
          <w:r>
            <w:fldChar w:fldCharType="separate"/>
          </w:r>
          <w:r>
            <w:t>64</w:t>
          </w:r>
          <w:r>
            <w:fldChar w:fldCharType="end"/>
          </w:r>
          <w:r>
            <w:fldChar w:fldCharType="end"/>
          </w:r>
        </w:p>
        <w:p w14:paraId="4FF37A63">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"_Toc238235727" </w:instrText>
          </w:r>
          <w:r>
            <w:fldChar w:fldCharType="separate"/>
          </w:r>
          <w:r>
            <w:rPr>
              <w:rStyle w:val="11"/>
            </w:rPr>
            <w:t>6.3 Strengths and Limitations</w:t>
          </w:r>
          <w:r>
            <w:tab/>
          </w:r>
          <w:r>
            <w:fldChar w:fldCharType="begin"/>
          </w:r>
          <w:r>
            <w:instrText xml:space="preserve"> PAGEREF _Toc238235727 \h </w:instrText>
          </w:r>
          <w:r>
            <w:fldChar w:fldCharType="separate"/>
          </w:r>
          <w:r>
            <w:t>65</w:t>
          </w:r>
          <w:r>
            <w:fldChar w:fldCharType="end"/>
          </w:r>
          <w:r>
            <w:fldChar w:fldCharType="end"/>
          </w:r>
        </w:p>
        <w:p w14:paraId="16292D20">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"_Toc238235728" </w:instrText>
          </w:r>
          <w:r>
            <w:fldChar w:fldCharType="separate"/>
          </w:r>
          <w:r>
            <w:rPr>
              <w:rStyle w:val="11"/>
            </w:rPr>
            <w:t>6.4 Chapter Summary</w:t>
          </w:r>
          <w:r>
            <w:tab/>
          </w:r>
          <w:r>
            <w:fldChar w:fldCharType="begin"/>
          </w:r>
          <w:r>
            <w:instrText xml:space="preserve"> PAGEREF _Toc238235728 \h </w:instrText>
          </w:r>
          <w:r>
            <w:fldChar w:fldCharType="separate"/>
          </w:r>
          <w:r>
            <w:t>65</w:t>
          </w:r>
          <w:r>
            <w:fldChar w:fldCharType="end"/>
          </w:r>
          <w:r>
            <w:fldChar w:fldCharType="end"/>
          </w:r>
        </w:p>
        <w:p w14:paraId="57A7E450">
          <w:pPr>
            <w:pStyle w:val="16"/>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"_Toc238235729" </w:instrText>
          </w:r>
          <w:r>
            <w:fldChar w:fldCharType="separate"/>
          </w:r>
          <w:r>
            <w:rPr>
              <w:rStyle w:val="11"/>
            </w:rPr>
            <w:t>CHAPTER 7: RECOMMENDATIONS AND CONCLUSION</w:t>
          </w:r>
          <w:r>
            <w:tab/>
          </w:r>
          <w:r>
            <w:fldChar w:fldCharType="begin"/>
          </w:r>
          <w:r>
            <w:instrText xml:space="preserve"> PAGEREF _Toc238235729 \h </w:instrText>
          </w:r>
          <w:r>
            <w:fldChar w:fldCharType="separate"/>
          </w:r>
          <w:r>
            <w:t>67</w:t>
          </w:r>
          <w:r>
            <w:fldChar w:fldCharType="end"/>
          </w:r>
          <w:r>
            <w:fldChar w:fldCharType="end"/>
          </w:r>
        </w:p>
        <w:p w14:paraId="0D79836F">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"_Toc238235730" </w:instrText>
          </w:r>
          <w:r>
            <w:fldChar w:fldCharType="separate"/>
          </w:r>
          <w:r>
            <w:rPr>
              <w:rStyle w:val="11"/>
            </w:rPr>
            <w:t>7.1 Introduction to Chapter</w:t>
          </w:r>
          <w:r>
            <w:tab/>
          </w:r>
          <w:r>
            <w:fldChar w:fldCharType="begin"/>
          </w:r>
          <w:r>
            <w:instrText xml:space="preserve"> PAGEREF _Toc238235730 \h </w:instrText>
          </w:r>
          <w:r>
            <w:fldChar w:fldCharType="separate"/>
          </w:r>
          <w:r>
            <w:t>67</w:t>
          </w:r>
          <w:r>
            <w:fldChar w:fldCharType="end"/>
          </w:r>
          <w:r>
            <w:fldChar w:fldCharType="end"/>
          </w:r>
        </w:p>
        <w:p w14:paraId="340DF379">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"_Toc238235731" </w:instrText>
          </w:r>
          <w:r>
            <w:fldChar w:fldCharType="separate"/>
          </w:r>
          <w:r>
            <w:rPr>
              <w:rStyle w:val="11"/>
            </w:rPr>
            <w:t>7.2 Implications of Findings</w:t>
          </w:r>
          <w:r>
            <w:tab/>
          </w:r>
          <w:r>
            <w:fldChar w:fldCharType="begin"/>
          </w:r>
          <w:r>
            <w:instrText xml:space="preserve"> PAGEREF _Toc238235731 \h </w:instrText>
          </w:r>
          <w:r>
            <w:fldChar w:fldCharType="separate"/>
          </w:r>
          <w:r>
            <w:t>67</w:t>
          </w:r>
          <w:r>
            <w:fldChar w:fldCharType="end"/>
          </w:r>
          <w:r>
            <w:fldChar w:fldCharType="end"/>
          </w:r>
        </w:p>
        <w:p w14:paraId="0CC2E5BB">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"_Toc238235732" </w:instrText>
          </w:r>
          <w:r>
            <w:fldChar w:fldCharType="separate"/>
          </w:r>
          <w:r>
            <w:rPr>
              <w:rStyle w:val="11"/>
            </w:rPr>
            <w:t>7.3 Recommendations for Practice</w:t>
          </w:r>
          <w:r>
            <w:tab/>
          </w:r>
          <w:r>
            <w:fldChar w:fldCharType="begin"/>
          </w:r>
          <w:r>
            <w:instrText xml:space="preserve"> PAGEREF _Toc238235732 \h </w:instrText>
          </w:r>
          <w:r>
            <w:fldChar w:fldCharType="separate"/>
          </w:r>
          <w:r>
            <w:t>67</w:t>
          </w:r>
          <w:r>
            <w:fldChar w:fldCharType="end"/>
          </w:r>
          <w:r>
            <w:fldChar w:fldCharType="end"/>
          </w:r>
        </w:p>
        <w:p w14:paraId="03D688EA">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"_Toc238235733" </w:instrText>
          </w:r>
          <w:r>
            <w:fldChar w:fldCharType="separate"/>
          </w:r>
          <w:r>
            <w:rPr>
              <w:rStyle w:val="11"/>
            </w:rPr>
            <w:t>7.4 Recommendations for Future Research</w:t>
          </w:r>
          <w:r>
            <w:tab/>
          </w:r>
          <w:r>
            <w:fldChar w:fldCharType="begin"/>
          </w:r>
          <w:r>
            <w:instrText xml:space="preserve"> PAGEREF _Toc238235733 \h </w:instrText>
          </w:r>
          <w:r>
            <w:fldChar w:fldCharType="separate"/>
          </w:r>
          <w:r>
            <w:t>68</w:t>
          </w:r>
          <w:r>
            <w:fldChar w:fldCharType="end"/>
          </w:r>
          <w:r>
            <w:fldChar w:fldCharType="end"/>
          </w:r>
        </w:p>
        <w:p w14:paraId="6D2D8274">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"_Toc238235734" </w:instrText>
          </w:r>
          <w:r>
            <w:fldChar w:fldCharType="separate"/>
          </w:r>
          <w:r>
            <w:rPr>
              <w:rStyle w:val="11"/>
            </w:rPr>
            <w:t>7.5 Conclusion</w:t>
          </w:r>
          <w:r>
            <w:tab/>
          </w:r>
          <w:r>
            <w:fldChar w:fldCharType="begin"/>
          </w:r>
          <w:r>
            <w:instrText xml:space="preserve"> PAGEREF _Toc238235734 \h </w:instrText>
          </w:r>
          <w:r>
            <w:fldChar w:fldCharType="separate"/>
          </w:r>
          <w:r>
            <w:t>68</w:t>
          </w:r>
          <w:r>
            <w:fldChar w:fldCharType="end"/>
          </w:r>
          <w:r>
            <w:fldChar w:fldCharType="end"/>
          </w:r>
        </w:p>
        <w:p w14:paraId="37B715D9">
          <w:pPr>
            <w:pStyle w:val="16"/>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"_Toc238235735" </w:instrText>
          </w:r>
          <w:r>
            <w:fldChar w:fldCharType="separate"/>
          </w:r>
          <w:r>
            <w:rPr>
              <w:rStyle w:val="11"/>
            </w:rPr>
            <w:t>References</w:t>
          </w:r>
          <w:r>
            <w:tab/>
          </w:r>
          <w:r>
            <w:fldChar w:fldCharType="begin"/>
          </w:r>
          <w:r>
            <w:instrText xml:space="preserve"> PAGEREF _Toc238235735 \h </w:instrText>
          </w:r>
          <w:r>
            <w:fldChar w:fldCharType="separate"/>
          </w:r>
          <w:r>
            <w:t>70</w:t>
          </w:r>
          <w:r>
            <w:fldChar w:fldCharType="end"/>
          </w:r>
          <w:r>
            <w:fldChar w:fldCharType="end"/>
          </w:r>
        </w:p>
        <w:p w14:paraId="52EDFE3D">
          <w:pPr>
            <w:pStyle w:val="16"/>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"_Toc238235736" </w:instrText>
          </w:r>
          <w:r>
            <w:fldChar w:fldCharType="separate"/>
          </w:r>
          <w:r>
            <w:rPr>
              <w:rStyle w:val="11"/>
            </w:rPr>
            <w:t>Appendix</w:t>
          </w:r>
          <w:r>
            <w:tab/>
          </w:r>
          <w:r>
            <w:fldChar w:fldCharType="begin"/>
          </w:r>
          <w:r>
            <w:instrText xml:space="preserve"> PAGEREF _Toc238235736 \h </w:instrText>
          </w:r>
          <w:r>
            <w:fldChar w:fldCharType="separate"/>
          </w:r>
          <w:r>
            <w:t>78</w:t>
          </w:r>
          <w:r>
            <w:fldChar w:fldCharType="end"/>
          </w:r>
          <w:r>
            <w:fldChar w:fldCharType="end"/>
          </w:r>
        </w:p>
        <w:p w14:paraId="06555821">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"_Toc238235737" </w:instrText>
          </w:r>
          <w:r>
            <w:fldChar w:fldCharType="separate"/>
          </w:r>
          <w:r>
            <w:rPr>
              <w:rStyle w:val="11"/>
            </w:rPr>
            <w:t>Appendix A: Critical Appraisal of Included Studies (CASP)</w:t>
          </w:r>
          <w:r>
            <w:tab/>
          </w:r>
          <w:r>
            <w:fldChar w:fldCharType="begin"/>
          </w:r>
          <w:r>
            <w:instrText xml:space="preserve"> PAGEREF _Toc238235737 \h </w:instrText>
          </w:r>
          <w:r>
            <w:fldChar w:fldCharType="separate"/>
          </w:r>
          <w:r>
            <w:t>78</w:t>
          </w:r>
          <w:r>
            <w:fldChar w:fldCharType="end"/>
          </w:r>
          <w:r>
            <w:fldChar w:fldCharType="end"/>
          </w:r>
        </w:p>
        <w:p w14:paraId="338B161E">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"_Toc238235738" </w:instrText>
          </w:r>
          <w:r>
            <w:fldChar w:fldCharType="separate"/>
          </w:r>
          <w:r>
            <w:rPr>
              <w:rStyle w:val="11"/>
            </w:rPr>
            <w:t>Appendix B: Critical Appraisal Outcomes of Included Studies (CASP Qualitative Checklist)</w:t>
          </w:r>
          <w:r>
            <w:tab/>
          </w:r>
          <w:r>
            <w:fldChar w:fldCharType="begin"/>
          </w:r>
          <w:r>
            <w:instrText xml:space="preserve"> PAGEREF _Toc238235738 \h </w:instrText>
          </w:r>
          <w:r>
            <w:fldChar w:fldCharType="separate"/>
          </w:r>
          <w:r>
            <w:t>87</w:t>
          </w:r>
          <w:r>
            <w:fldChar w:fldCharType="end"/>
          </w:r>
          <w:r>
            <w:fldChar w:fldCharType="end"/>
          </w:r>
        </w:p>
        <w:p w14:paraId="0B2037B3">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"_Toc238235739" </w:instrText>
          </w:r>
          <w:r>
            <w:fldChar w:fldCharType="separate"/>
          </w:r>
          <w:r>
            <w:rPr>
              <w:rStyle w:val="11"/>
            </w:rPr>
            <w:t>Appendix C: JBI Critical Appraisal of Quantitative Studies</w:t>
          </w:r>
          <w:r>
            <w:tab/>
          </w:r>
          <w:r>
            <w:fldChar w:fldCharType="begin"/>
          </w:r>
          <w:r>
            <w:instrText xml:space="preserve"> PAGEREF _Toc238235739 \h </w:instrText>
          </w:r>
          <w:r>
            <w:fldChar w:fldCharType="separate"/>
          </w:r>
          <w:r>
            <w:t>91</w:t>
          </w:r>
          <w:r>
            <w:fldChar w:fldCharType="end"/>
          </w:r>
          <w:r>
            <w:fldChar w:fldCharType="end"/>
          </w:r>
        </w:p>
        <w:p w14:paraId="54A981AB">
          <w:pPr>
            <w:pStyle w:val="17"/>
            <w:tabs>
              <w:tab w:val="right" w:leader="dot" w:pos="9350"/>
            </w:tabs>
            <w:rPr>
              <w:rFonts w:asciiTheme="minorHAnsi" w:hAnsiTheme="minorHAnsi" w:eastAsiaTheme="minorEastAsia" w:cstheme="minorBidi"/>
              <w:kern w:val="2"/>
              <w:lang w:val="en-GB"/>
              <w14:ligatures w14:val="standardContextual"/>
            </w:rPr>
          </w:pPr>
          <w:r>
            <w:fldChar w:fldCharType="begin"/>
          </w:r>
          <w:r>
            <w:instrText xml:space="preserve"> HYPERLINK \l "_Toc238235740" </w:instrText>
          </w:r>
          <w:r>
            <w:fldChar w:fldCharType="separate"/>
          </w:r>
          <w:r>
            <w:rPr>
              <w:rStyle w:val="11"/>
            </w:rPr>
            <w:t>Appendix D: Mixed Methods Appraisal Tool (MMAT) Assessment</w:t>
          </w:r>
          <w:r>
            <w:tab/>
          </w:r>
          <w:r>
            <w:fldChar w:fldCharType="begin"/>
          </w:r>
          <w:r>
            <w:instrText xml:space="preserve"> PAGEREF _Toc238235740 \h </w:instrText>
          </w:r>
          <w:r>
            <w:fldChar w:fldCharType="separate"/>
          </w:r>
          <w:r>
            <w:t>95</w:t>
          </w:r>
          <w:r>
            <w:fldChar w:fldCharType="end"/>
          </w:r>
          <w:r>
            <w:fldChar w:fldCharType="end"/>
          </w:r>
        </w:p>
        <w:p w14:paraId="1D1251BD">
          <w:pPr>
            <w:widowControl w:val="0"/>
            <w:tabs>
              <w:tab w:val="right" w:pos="12000"/>
            </w:tabs>
            <w:spacing w:before="60"/>
            <w:ind w:left="360"/>
            <w:jc w:val="left"/>
            <w:rPr>
              <w:color w:val="000000"/>
              <w:sz w:val="22"/>
              <w:szCs w:val="22"/>
            </w:rPr>
          </w:pPr>
          <w:r>
            <w:fldChar w:fldCharType="end"/>
          </w:r>
        </w:p>
      </w:sdtContent>
    </w:sdt>
    <w:p w14:paraId="307EB5B7">
      <w:pPr>
        <w:sectPr>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sectPr>
      </w:pPr>
    </w:p>
    <w:p w14:paraId="3F45C08D">
      <w:pPr>
        <w:pStyle w:val="2"/>
        <w:keepNext w:val="0"/>
        <w:keepLines w:val="0"/>
        <w:spacing w:before="240" w:after="240"/>
      </w:pPr>
      <w:bookmarkStart w:id="0" w:name="_Toc238235661"/>
      <w:r>
        <w:t>CHAPTER 1: INTRODUCTION AND BACKGROUND</w:t>
      </w:r>
      <w:bookmarkEnd w:id="0"/>
    </w:p>
    <w:p w14:paraId="18E56991">
      <w:pPr>
        <w:pStyle w:val="3"/>
        <w:keepNext w:val="0"/>
        <w:keepLines w:val="0"/>
        <w:spacing w:before="240" w:after="240"/>
      </w:pPr>
      <w:bookmarkStart w:id="1" w:name="_Toc238235662"/>
      <w:r>
        <w:t>1.1 Introduction to the topic</w:t>
      </w:r>
      <w:bookmarkEnd w:id="1"/>
    </w:p>
    <w:p w14:paraId="05156979">
      <w:pPr>
        <w:spacing w:before="240" w:after="240"/>
      </w:pPr>
      <w:r>
        <w:t>Although the teenage birth rates have drastically decreased in most nations, adolescent pregnancy is still a major health concern in society. According to the World Health Organisation, adolescent pregnancy can be defined as pregnancy in girls between the ages of 10 and 19 years and emphasises that pregnancy-related and childbirth-related complications are among the major causes of death among this age group in the world (WHO, 2024). Postpartum complications are described as physical, psychological and social issues occurring following the birth of the child.</w:t>
      </w:r>
    </w:p>
    <w:p w14:paraId="087E3876">
      <w:pPr>
        <w:spacing w:before="240" w:after="240"/>
      </w:pPr>
      <w:r>
        <w:t xml:space="preserve">This dissertation is about postpartum complications in mothers who are below the age of 18. Despite the extensive research done on teenage pregnancy, less focus has been on the postpartum period and how these factors affect the postpartum recovery. Young mothers tend to face numerous issues that can be related to their age, socioeconomic status, and access to healthcare. </w:t>
      </w:r>
    </w:p>
    <w:p w14:paraId="6DED9B54">
      <w:pPr>
        <w:spacing w:before="240" w:after="240"/>
      </w:pPr>
      <w:r>
        <w:t>The research paper employs a qualitative secondary data analysis method to investigate the impact of clinical, social, and structural factors on the postpartum experiences of teenage mothers. Investigating the qualitative literature available, policy, and health reports, the study helps to fill in the gaps in existing knowledge about maternal health disparities and offers evidence which can be used to justify better public health practices and postnatal care.</w:t>
      </w:r>
    </w:p>
    <w:p w14:paraId="647D5182">
      <w:pPr>
        <w:pStyle w:val="3"/>
        <w:spacing w:before="240" w:after="240"/>
      </w:pPr>
      <w:bookmarkStart w:id="2" w:name="_Toc238235663"/>
      <w:r>
        <w:t>1.2 Background and Current Context</w:t>
      </w:r>
      <w:bookmarkEnd w:id="2"/>
    </w:p>
    <w:p w14:paraId="28B73BF3">
      <w:pPr>
        <w:spacing w:before="240" w:after="240"/>
      </w:pPr>
      <w:r>
        <w:t>Millions of young women all over the world are still being impacted by adolescent pregnancy (WHO, 2023). Although the reproductive health services and education have improved, in most areas, the rates remain high. According to the World Health Organisation, in the low- and middle-income countries, the number of girls who become pregnant at the age of 15-19 years is estimated to be about 21 million annually, which leads to an estimated 12 million births annually (WHO, 2024).</w:t>
      </w:r>
    </w:p>
    <w:p w14:paraId="72ED3FFF">
      <w:pPr>
        <w:spacing w:before="240" w:after="240"/>
        <w:jc w:val="center"/>
      </w:pPr>
      <w:r>
        <w:rPr>
          <w:lang w:val="en-IN" w:eastAsia="en-IN" w:bidi="ar-SA"/>
        </w:rPr>
        <w:drawing>
          <wp:inline distT="114300" distB="114300" distL="114300" distR="114300">
            <wp:extent cx="5943600" cy="4457700"/>
            <wp:effectExtent l="25400" t="25400" r="25400" b="25400"/>
            <wp:docPr id="10" name="image4.png"/>
            <wp:cNvGraphicFramePr/>
            <a:graphic xmlns:a="http://schemas.openxmlformats.org/drawingml/2006/main">
              <a:graphicData uri="http://schemas.openxmlformats.org/drawingml/2006/picture">
                <pic:pic xmlns:pic="http://schemas.openxmlformats.org/drawingml/2006/picture">
                  <pic:nvPicPr>
                    <pic:cNvPr id="10" name="image4.png"/>
                    <pic:cNvPicPr preferRelativeResize="0"/>
                  </pic:nvPicPr>
                  <pic:blipFill>
                    <a:blip r:embed="rId9"/>
                    <a:srcRect/>
                    <a:stretch>
                      <a:fillRect/>
                    </a:stretch>
                  </pic:blipFill>
                  <pic:spPr>
                    <a:xfrm>
                      <a:off x="0" y="0"/>
                      <a:ext cx="5943600" cy="4457700"/>
                    </a:xfrm>
                    <a:prstGeom prst="rect">
                      <a:avLst/>
                    </a:prstGeom>
                    <a:ln w="25400">
                      <a:solidFill>
                        <a:srgbClr val="000000"/>
                      </a:solidFill>
                      <a:prstDash val="solid"/>
                    </a:ln>
                  </pic:spPr>
                </pic:pic>
              </a:graphicData>
            </a:graphic>
          </wp:inline>
        </w:drawing>
      </w:r>
    </w:p>
    <w:p w14:paraId="2A60173E">
      <w:pPr>
        <w:spacing w:before="240" w:after="240"/>
        <w:jc w:val="center"/>
        <w:rPr>
          <w:b/>
          <w:bCs/>
        </w:rPr>
      </w:pPr>
      <w:r>
        <w:rPr>
          <w:b/>
          <w:bCs/>
        </w:rPr>
        <w:t>Figure 1: Teen pregnancy rates among the developed countries</w:t>
      </w:r>
    </w:p>
    <w:p w14:paraId="06E4B114">
      <w:pPr>
        <w:spacing w:before="240" w:after="240"/>
        <w:jc w:val="center"/>
        <w:rPr>
          <w:b/>
          <w:bCs/>
        </w:rPr>
      </w:pPr>
      <w:r>
        <w:rPr>
          <w:b/>
          <w:bCs/>
        </w:rPr>
        <w:t>(Source: World of Billion, 2026)</w:t>
      </w:r>
    </w:p>
    <w:p w14:paraId="2AE6F2CB">
      <w:pPr>
        <w:spacing w:before="240" w:after="240"/>
      </w:pPr>
      <w:r>
        <w:t>The health outcomes of maternal health of teen mothers tend to be poorer than those of older women. Biological immaturity and lack of access to quality healthcare services put young mothers at a higher risk of developing complications such as eclampsia, postpartum infections and obstetric complications (WHO, 2024). Such risks are not only limited to childbirth and may impact the postnatal physical and psychological well-being.</w:t>
      </w:r>
    </w:p>
    <w:p w14:paraId="40BD3B09">
      <w:pPr>
        <w:spacing w:before="240" w:after="240"/>
      </w:pPr>
      <w:r>
        <w:t xml:space="preserve">Mothers' deaths are a significant health issue in the world. According to global estimates, a total of around 287,000 women succumbed to pregnancy and childbirth-related diseases in 2020, which proves that maternal healthcare and access to the necessary services remain unequal (WHO, 2023). </w:t>
      </w:r>
    </w:p>
    <w:p w14:paraId="1DD7B933">
      <w:pPr>
        <w:spacing w:before="240" w:after="240"/>
      </w:pPr>
      <w:r>
        <w:t>Social factors that determine health play a major role in influencing pregnancy and post-partum in adolescents. Poverty, low levels of education, gender disparity and lack of access to medical services are some of the factors that have led to poor maternal outcomes among young mothers (UNFPA, 2026). These determinants tend to interact and introduce other barriers that impact recovery and well-being after childbirth.</w:t>
      </w:r>
    </w:p>
    <w:p w14:paraId="45E8F68A">
      <w:pPr>
        <w:spacing w:before="240" w:after="240"/>
      </w:pPr>
      <w:r>
        <w:rPr>
          <w:b/>
          <w:bCs/>
        </w:rPr>
        <w:t>Table 1.1: Adolescent Birth Rates Across Selected Countries and Regions</w:t>
      </w:r>
    </w:p>
    <w:tbl>
      <w:tblPr>
        <w:tblStyle w:val="28"/>
        <w:tblW w:w="9344" w:type="dxa"/>
        <w:tblInd w:w="0" w:type="dxa"/>
        <w:tblLayout w:type="fixed"/>
        <w:tblCellMar>
          <w:top w:w="15" w:type="dxa"/>
          <w:left w:w="15" w:type="dxa"/>
          <w:bottom w:w="15" w:type="dxa"/>
          <w:right w:w="15" w:type="dxa"/>
        </w:tblCellMar>
      </w:tblPr>
      <w:tblGrid>
        <w:gridCol w:w="2060"/>
        <w:gridCol w:w="2673"/>
        <w:gridCol w:w="4611"/>
      </w:tblGrid>
      <w:tr w14:paraId="75E485F5">
        <w:tblPrEx>
          <w:tblCellMar>
            <w:top w:w="15" w:type="dxa"/>
            <w:left w:w="15" w:type="dxa"/>
            <w:bottom w:w="15" w:type="dxa"/>
            <w:right w:w="15" w:type="dxa"/>
          </w:tblCellMar>
        </w:tblPrEx>
        <w:trPr>
          <w:trHeight w:val="1070" w:hRule="atLeast"/>
        </w:trPr>
        <w:tc>
          <w:tcPr>
            <w:tcW w:w="206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90EF01E">
            <w:pPr>
              <w:spacing w:before="240" w:after="240"/>
            </w:pPr>
            <w:r>
              <w:rPr>
                <w:b/>
                <w:bCs/>
              </w:rPr>
              <w:t>Country/Region</w:t>
            </w:r>
          </w:p>
        </w:tc>
        <w:tc>
          <w:tcPr>
            <w:tcW w:w="267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3668E46">
            <w:pPr>
              <w:spacing w:before="240" w:after="240"/>
            </w:pPr>
            <w:r>
              <w:rPr>
                <w:b/>
                <w:bCs/>
              </w:rPr>
              <w:t>Adolescent Birth Rate (Births per 1,000 girls aged 15–19 years)</w:t>
            </w:r>
          </w:p>
        </w:tc>
        <w:tc>
          <w:tcPr>
            <w:tcW w:w="4611"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B08DF6A">
            <w:pPr>
              <w:spacing w:before="240" w:after="240"/>
            </w:pPr>
            <w:r>
              <w:rPr>
                <w:b/>
                <w:bCs/>
              </w:rPr>
              <w:t>Key Observation</w:t>
            </w:r>
          </w:p>
        </w:tc>
      </w:tr>
      <w:tr w14:paraId="1768909E">
        <w:tblPrEx>
          <w:tblCellMar>
            <w:top w:w="15" w:type="dxa"/>
            <w:left w:w="15" w:type="dxa"/>
            <w:bottom w:w="15" w:type="dxa"/>
            <w:right w:w="15" w:type="dxa"/>
          </w:tblCellMar>
        </w:tblPrEx>
        <w:trPr>
          <w:trHeight w:val="1070" w:hRule="atLeast"/>
        </w:trPr>
        <w:tc>
          <w:tcPr>
            <w:tcW w:w="206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52063F8">
            <w:pPr>
              <w:spacing w:before="240" w:after="240"/>
            </w:pPr>
            <w:r>
              <w:t>India</w:t>
            </w:r>
          </w:p>
        </w:tc>
        <w:tc>
          <w:tcPr>
            <w:tcW w:w="267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2CE7B50">
            <w:pPr>
              <w:spacing w:before="240" w:after="240"/>
            </w:pPr>
            <w:r>
              <w:rPr>
                <w:b/>
                <w:bCs/>
              </w:rPr>
              <w:t>16</w:t>
            </w:r>
          </w:p>
        </w:tc>
        <w:tc>
          <w:tcPr>
            <w:tcW w:w="4611"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EB4A4FA">
            <w:pPr>
              <w:spacing w:before="240" w:after="240"/>
            </w:pPr>
            <w:r>
              <w:t>Considerable decline due to improved education, delayed marriage and national reproductive health programmes.</w:t>
            </w:r>
          </w:p>
        </w:tc>
      </w:tr>
      <w:tr w14:paraId="41090715">
        <w:tblPrEx>
          <w:tblCellMar>
            <w:top w:w="15" w:type="dxa"/>
            <w:left w:w="15" w:type="dxa"/>
            <w:bottom w:w="15" w:type="dxa"/>
            <w:right w:w="15" w:type="dxa"/>
          </w:tblCellMar>
        </w:tblPrEx>
        <w:trPr>
          <w:trHeight w:val="1355" w:hRule="atLeast"/>
        </w:trPr>
        <w:tc>
          <w:tcPr>
            <w:tcW w:w="206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20B8DE7">
            <w:pPr>
              <w:spacing w:before="240" w:after="240"/>
            </w:pPr>
            <w:r>
              <w:t>Bangladesh</w:t>
            </w:r>
          </w:p>
        </w:tc>
        <w:tc>
          <w:tcPr>
            <w:tcW w:w="267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CF62579">
            <w:pPr>
              <w:spacing w:before="240" w:after="240"/>
            </w:pPr>
            <w:r>
              <w:rPr>
                <w:b/>
                <w:bCs/>
              </w:rPr>
              <w:t>83</w:t>
            </w:r>
          </w:p>
        </w:tc>
        <w:tc>
          <w:tcPr>
            <w:tcW w:w="4611"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596C650">
            <w:pPr>
              <w:spacing w:before="240" w:after="240"/>
            </w:pPr>
            <w:r>
              <w:t>One of the highest adolescent birth rates in South Asia, largely associated with early marriage and limited reproductive healthcare access.</w:t>
            </w:r>
          </w:p>
        </w:tc>
      </w:tr>
      <w:tr w14:paraId="0602033E">
        <w:tblPrEx>
          <w:tblCellMar>
            <w:top w:w="15" w:type="dxa"/>
            <w:left w:w="15" w:type="dxa"/>
            <w:bottom w:w="15" w:type="dxa"/>
            <w:right w:w="15" w:type="dxa"/>
          </w:tblCellMar>
        </w:tblPrEx>
        <w:trPr>
          <w:trHeight w:val="1070" w:hRule="atLeast"/>
        </w:trPr>
        <w:tc>
          <w:tcPr>
            <w:tcW w:w="206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81215FD">
            <w:pPr>
              <w:spacing w:before="240" w:after="240"/>
            </w:pPr>
            <w:r>
              <w:t>Morocco</w:t>
            </w:r>
          </w:p>
        </w:tc>
        <w:tc>
          <w:tcPr>
            <w:tcW w:w="267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13243BF">
            <w:pPr>
              <w:spacing w:before="240" w:after="240"/>
            </w:pPr>
            <w:r>
              <w:rPr>
                <w:b/>
                <w:bCs/>
              </w:rPr>
              <w:t>27</w:t>
            </w:r>
          </w:p>
        </w:tc>
        <w:tc>
          <w:tcPr>
            <w:tcW w:w="4611"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077CE9A">
            <w:pPr>
              <w:spacing w:before="240" w:after="240"/>
            </w:pPr>
            <w:r>
              <w:t>Lower adolescent fertility than many LMICs, reflecting improvements in female education and maternal healthcare services.</w:t>
            </w:r>
          </w:p>
        </w:tc>
      </w:tr>
      <w:tr w14:paraId="249B98BB">
        <w:tblPrEx>
          <w:tblCellMar>
            <w:top w:w="15" w:type="dxa"/>
            <w:left w:w="15" w:type="dxa"/>
            <w:bottom w:w="15" w:type="dxa"/>
            <w:right w:w="15" w:type="dxa"/>
          </w:tblCellMar>
        </w:tblPrEx>
        <w:trPr>
          <w:trHeight w:val="1355" w:hRule="atLeast"/>
        </w:trPr>
        <w:tc>
          <w:tcPr>
            <w:tcW w:w="206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30D6558">
            <w:pPr>
              <w:spacing w:before="240" w:after="240"/>
            </w:pPr>
            <w:r>
              <w:t>Sub-Saharan Africa</w:t>
            </w:r>
          </w:p>
        </w:tc>
        <w:tc>
          <w:tcPr>
            <w:tcW w:w="267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4C7CBCA">
            <w:pPr>
              <w:spacing w:before="240" w:after="240"/>
            </w:pPr>
            <w:r>
              <w:rPr>
                <w:b/>
                <w:bCs/>
              </w:rPr>
              <w:t>95–100+</w:t>
            </w:r>
          </w:p>
        </w:tc>
        <w:tc>
          <w:tcPr>
            <w:tcW w:w="4611"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40658FD">
            <w:pPr>
              <w:spacing w:before="240" w:after="240"/>
            </w:pPr>
            <w:r>
              <w:t>Highest regional adolescent birth rates globally because of persistent poverty, child marriage, gender inequality and restricted access to contraception.</w:t>
            </w:r>
          </w:p>
        </w:tc>
      </w:tr>
      <w:tr w14:paraId="23E833D2">
        <w:tblPrEx>
          <w:tblCellMar>
            <w:top w:w="15" w:type="dxa"/>
            <w:left w:w="15" w:type="dxa"/>
            <w:bottom w:w="15" w:type="dxa"/>
            <w:right w:w="15" w:type="dxa"/>
          </w:tblCellMar>
        </w:tblPrEx>
        <w:trPr>
          <w:trHeight w:val="1070" w:hRule="atLeast"/>
        </w:trPr>
        <w:tc>
          <w:tcPr>
            <w:tcW w:w="206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A398EBF">
            <w:pPr>
              <w:spacing w:before="240" w:after="240"/>
            </w:pPr>
            <w:r>
              <w:t>Global Average</w:t>
            </w:r>
          </w:p>
        </w:tc>
        <w:tc>
          <w:tcPr>
            <w:tcW w:w="267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BB24EE4">
            <w:pPr>
              <w:spacing w:before="240" w:after="240"/>
            </w:pPr>
            <w:r>
              <w:rPr>
                <w:b/>
                <w:bCs/>
              </w:rPr>
              <w:t>41</w:t>
            </w:r>
          </w:p>
        </w:tc>
        <w:tc>
          <w:tcPr>
            <w:tcW w:w="4611"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AE94E11">
            <w:pPr>
              <w:spacing w:before="240" w:after="240"/>
            </w:pPr>
            <w:r>
              <w:t>Although global adolescent fertility has declined over recent decades, substantial inequalities remain between regions.</w:t>
            </w:r>
          </w:p>
        </w:tc>
      </w:tr>
    </w:tbl>
    <w:p w14:paraId="6781E4CF">
      <w:pPr>
        <w:spacing w:before="240" w:after="240"/>
      </w:pPr>
      <w:r>
        <w:t xml:space="preserve">Table 1.1 indicates that there is a significant geographical disparity of adolescent fertility, although there is a general global decrease. Through increased access to education and national maternal health programs, India has lowered its birth rate among adolescents to about 16 births per 1,000 girls aged 15-19 years, compared to high rates of about 83 births per 1,000 in Bangladesh due to ongoing child marriage and unequal access to education and health services (World Bank, 2024; UNFPA, 2024). </w:t>
      </w:r>
    </w:p>
    <w:p w14:paraId="75DE28B7">
      <w:pPr>
        <w:spacing w:before="240" w:after="240"/>
      </w:pPr>
      <w:r>
        <w:t>Likewise, in Morocco, significant gains have been made by enhancing female education and reproductive health, and numerous nations in Sub-Saharan Africa are still recording an extremely high adolescent birth rate of over 95 births per 1,000 due to structural poverty, lack of access to contraception and other reproductive healthcare services (WHO, 2024; UNICEF, 2024). Based on these regional inequities, it is evident that the issue of adolescent pregnancy is still highly affected by the larger social determinants, but not biological ones.</w:t>
      </w:r>
    </w:p>
    <w:p w14:paraId="3EE37120">
      <w:pPr>
        <w:spacing w:before="240" w:after="240"/>
      </w:pPr>
      <w:r>
        <w:t xml:space="preserve">Premature birth is often linked to school dropouts, low chances of being employed and being disadvantaged in the long term (Bora, 2025). The young mothers might also have problems with obtaining their education and financial self-sufficiency, becoming even more susceptible to social isolation and worse health conditions (UNICEF, 2024). </w:t>
      </w:r>
    </w:p>
    <w:p w14:paraId="7C561A48">
      <w:pPr>
        <w:spacing w:before="240" w:after="240"/>
      </w:pPr>
      <w:r>
        <w:t xml:space="preserve">The postpartum phase is known to be a critical phase in the healthcare of mothers. Physical complications, emotional adjustment and alteration of social circumstances are some of the complications that women might undergo during this period (Saharoy, </w:t>
      </w:r>
      <w:r>
        <w:rPr>
          <w:i/>
          <w:iCs/>
        </w:rPr>
        <w:t>et al.,</w:t>
      </w:r>
      <w:r>
        <w:t xml:space="preserve"> 2023). In a qualitative meta-synthesis, it was found that teenage mothers commonly experienced feelings of fear and uncertainty, stigma and lack of support (both prenatal and postnatal) (Tenaw </w:t>
      </w:r>
      <w:r>
        <w:rPr>
          <w:i/>
          <w:iCs/>
        </w:rPr>
        <w:t>et al.,</w:t>
      </w:r>
      <w:r>
        <w:t xml:space="preserve"> 2024).</w:t>
      </w:r>
    </w:p>
    <w:p w14:paraId="3EFFD792">
      <w:pPr>
        <w:spacing w:before="240" w:after="240"/>
      </w:pPr>
      <w:r>
        <w:t xml:space="preserve">One of the issues is especially significant during the postpartum period, which is mental health. The studies have shown that adolescent mothers are more prone to depression, anxiety and emotional distress than adult mothers. A systematic review found significant evidence of poor mental health outcomes after the immediate period of postpartum in adolescent motherhood (Abdul Rahim </w:t>
      </w:r>
      <w:r>
        <w:rPr>
          <w:i/>
          <w:iCs/>
        </w:rPr>
        <w:t>et al.,</w:t>
      </w:r>
      <w:r>
        <w:t xml:space="preserve"> 2024). Nonetheless, there are numerous obstacles that many teen mothers face in trying to gain access to healthcare services. One qualitative evidence synthesis discovered that difficulties in transportation, a lack of information, financial issues and fear of being judged by healthcare professionals often discourage adolescents from using postnatal services (Javadi </w:t>
      </w:r>
      <w:r>
        <w:rPr>
          <w:i/>
          <w:iCs/>
        </w:rPr>
        <w:t>et al.,</w:t>
      </w:r>
      <w:r>
        <w:t xml:space="preserve"> 2023).</w:t>
      </w:r>
    </w:p>
    <w:p w14:paraId="4F78BC14">
      <w:pPr>
        <w:spacing w:before="240" w:after="240"/>
      </w:pPr>
      <w:r>
        <w:t>The studies that are held in low- and middle-income countries also shed more light on the complicated experiences of adolescent mothers. A meta-analysis of the qualitative research indicated that most young mothers feel stigmatised in society, lack the power to make decisions and do not obtain proper support not only from healthcare systems but also from the communities (Crooks</w:t>
      </w:r>
      <w:r>
        <w:rPr>
          <w:i/>
          <w:iCs/>
        </w:rPr>
        <w:t xml:space="preserve"> et al.,</w:t>
      </w:r>
      <w:r>
        <w:t xml:space="preserve"> 2022). </w:t>
      </w:r>
    </w:p>
    <w:p w14:paraId="6419B914">
      <w:pPr>
        <w:spacing w:before="240" w:after="240"/>
      </w:pPr>
      <w:r>
        <w:t xml:space="preserve">Lived experiences of adolescent mothers are vital in helping to determine the unmet health and social care needs. Teenage mothers in their first trimester in Uganda who had not received adequate care and support in the immediate postpartum phase reported a need to receive more emotional support, practical guidance and healthcare information (Namutebi </w:t>
      </w:r>
      <w:r>
        <w:rPr>
          <w:i/>
          <w:iCs/>
        </w:rPr>
        <w:t>et al.,</w:t>
      </w:r>
      <w:r>
        <w:t xml:space="preserve"> 2022). </w:t>
      </w:r>
    </w:p>
    <w:p w14:paraId="6D90A091">
      <w:pPr>
        <w:spacing w:before="240" w:after="240"/>
      </w:pPr>
      <w:r>
        <w:t xml:space="preserve">The UK has seen a significant reduction in the rate of teenage pregnancy in the past ten years. According to official statistics, the number of women conceived below 18 years has decreased considerably, which is a positive change due to the educational process, birth control and awareness campaigns (ONS, 2021). Most recent birth statistics have shown that there are still hundreds of thousands of births occurring each year in England and Wales, and this supports the need to ensure that effective maternity and postnatal services are provided to all mothers, even to those who are younger in age (ONS, 2025). </w:t>
      </w:r>
    </w:p>
    <w:p w14:paraId="479207AE">
      <w:pPr>
        <w:spacing w:before="240" w:after="240"/>
        <w:jc w:val="center"/>
      </w:pPr>
      <w:r>
        <w:rPr>
          <w:lang w:val="en-IN" w:eastAsia="en-IN" w:bidi="ar-SA"/>
        </w:rPr>
        <w:drawing>
          <wp:inline distT="114300" distB="114300" distL="114300" distR="114300">
            <wp:extent cx="2356485" cy="6029325"/>
            <wp:effectExtent l="25400" t="25400" r="31115" b="28575"/>
            <wp:docPr id="9" name="image6.png"/>
            <wp:cNvGraphicFramePr/>
            <a:graphic xmlns:a="http://schemas.openxmlformats.org/drawingml/2006/main">
              <a:graphicData uri="http://schemas.openxmlformats.org/drawingml/2006/picture">
                <pic:pic xmlns:pic="http://schemas.openxmlformats.org/drawingml/2006/picture">
                  <pic:nvPicPr>
                    <pic:cNvPr id="9" name="image6.png"/>
                    <pic:cNvPicPr preferRelativeResize="0"/>
                  </pic:nvPicPr>
                  <pic:blipFill>
                    <a:blip r:embed="rId10"/>
                    <a:srcRect/>
                    <a:stretch>
                      <a:fillRect/>
                    </a:stretch>
                  </pic:blipFill>
                  <pic:spPr>
                    <a:xfrm>
                      <a:off x="0" y="0"/>
                      <a:ext cx="2356873" cy="6029325"/>
                    </a:xfrm>
                    <a:prstGeom prst="rect">
                      <a:avLst/>
                    </a:prstGeom>
                    <a:ln w="25400">
                      <a:solidFill>
                        <a:srgbClr val="000000"/>
                      </a:solidFill>
                      <a:prstDash val="solid"/>
                    </a:ln>
                  </pic:spPr>
                </pic:pic>
              </a:graphicData>
            </a:graphic>
          </wp:inline>
        </w:drawing>
      </w:r>
    </w:p>
    <w:p w14:paraId="7B4F63E0">
      <w:pPr>
        <w:spacing w:before="240" w:after="240"/>
        <w:jc w:val="center"/>
        <w:rPr>
          <w:b/>
          <w:bCs/>
        </w:rPr>
      </w:pPr>
      <w:r>
        <w:rPr>
          <w:b/>
          <w:bCs/>
        </w:rPr>
        <w:t>Figure 2: One of the major issues with teenage pregnancy</w:t>
      </w:r>
    </w:p>
    <w:p w14:paraId="3BFA6E0F">
      <w:pPr>
        <w:spacing w:before="240" w:after="240"/>
        <w:jc w:val="center"/>
        <w:rPr>
          <w:b/>
          <w:bCs/>
        </w:rPr>
      </w:pPr>
      <w:r>
        <w:rPr>
          <w:b/>
          <w:bCs/>
        </w:rPr>
        <w:t>(Source: World Bank, 2026)</w:t>
      </w:r>
    </w:p>
    <w:p w14:paraId="681EED23">
      <w:pPr>
        <w:spacing w:before="240" w:after="240"/>
      </w:pPr>
      <w:r>
        <w:t>The NHS has attempted to enhance maternity care by initiatives like the Maternity Transformation Programme, which will focus on promoting safety, continuity of care to women and providing personalised support during pregnancy and the postnatal period (NHS England Digital, 2026). Digital monitoring and performance measurement too have come to the fore in maternity services. NHS Maternity Services Digital Dashboard can facilitate the tracking of the quality and results of the provided services and help healthcare organisations to see the aspects that need to be improved and spread evidence-based practice (NHS England Digital, 2026).</w:t>
      </w:r>
    </w:p>
    <w:p w14:paraId="54FC2B5E">
      <w:pPr>
        <w:spacing w:before="240" w:after="240"/>
      </w:pPr>
      <w:r>
        <w:t>The issue of health inequalities is still significant in maternity services in the UK. Such groups as women belonging to minority ethnic groups and socially disadvantaged communities often have worse experiences and outcomes than the rest of the population. Access to care and maternal well-being remain affected by structural inequalities (Crowe, 2022).</w:t>
      </w:r>
    </w:p>
    <w:p w14:paraId="7DF11662">
      <w:pPr>
        <w:spacing w:before="240" w:after="240"/>
      </w:pPr>
      <w:r>
        <w:t>Likewise, qualitative data indicate that Black, Asian and minority ethnic women tend to encounter communication challenges, discrimination and obstacles to receiving maternity care, showing how social inequalities impacted by a wider society influence the process of maternal care (MacLellan</w:t>
      </w:r>
      <w:r>
        <w:rPr>
          <w:i/>
          <w:iCs/>
        </w:rPr>
        <w:t xml:space="preserve"> et al.,</w:t>
      </w:r>
      <w:r>
        <w:t xml:space="preserve"> 2022). </w:t>
      </w:r>
    </w:p>
    <w:p w14:paraId="6E474B7E">
      <w:pPr>
        <w:spacing w:before="240" w:after="240"/>
        <w:rPr>
          <w:b/>
          <w:bCs/>
          <w:i/>
          <w:iCs/>
        </w:rPr>
      </w:pPr>
      <w:r>
        <w:t>In general, available evidence indicates that the causes of postpartum complications in mothers aged below 18 years are a complex of clinical, psychological, social and structural factors. This research paper thus aims at synthesising the present evidence and ensuring that a comprehensive picture of the experiences and challenges adolescent mothers go through after giving birth is given.</w:t>
      </w:r>
      <w:r>
        <w:rPr>
          <w:b/>
          <w:bCs/>
          <w:i/>
          <w:iCs/>
        </w:rPr>
        <w:t xml:space="preserve"> </w:t>
      </w:r>
    </w:p>
    <w:p w14:paraId="486980E7">
      <w:r>
        <w:t xml:space="preserve">Several independent reviews have also indicated the existence of maternity inequalities in the United Kingdom. The Ockenden Review (2022), which examined the issues with the maternity services at the Shrewsbury and Telford Hospital NHS Trust, revealed recurrent failures in the identification of maternal risk, communication deficiencies between the healthcare staff and families, lack of continuity of care and organisational learning after adverse events (Norman </w:t>
      </w:r>
      <w:r>
        <w:rPr>
          <w:i/>
          <w:iCs/>
        </w:rPr>
        <w:t>et al.,</w:t>
      </w:r>
      <w:r>
        <w:t xml:space="preserve"> 2022). The review found that younger mothers and people with socially disadvantaged backgrounds were vulnerable women who were disproportionately impacted by these systemic failures (Ockenden, 2022). In the same vein, the Nottingham Maternity Review, which was one of the biggest independent inquiries into NHS maternity services, revealed recurrent issues about late diagnosis, lack of effectiveness in communication, not listening to concerns of women and inability to offer safe and personalised maternity care. The review also indicated that structural barriers, health disparities and unequal access to high-quality maternity services are also likely to affect poorer maternal outcomes of vulnerable populations (Foley </w:t>
      </w:r>
      <w:r>
        <w:rPr>
          <w:i/>
          <w:iCs/>
        </w:rPr>
        <w:t>et al.</w:t>
      </w:r>
      <w:r>
        <w:t>, 2025). Taken together, these reports reveal that to achieve better postpartum outcomes, clinical care must be of high quality, and the broader organisational, social and structural inequalities in access to safe maternity care need to be tackled.</w:t>
      </w:r>
    </w:p>
    <w:p w14:paraId="5A4445F7">
      <w:pPr>
        <w:pStyle w:val="3"/>
        <w:spacing w:before="240" w:after="240"/>
      </w:pPr>
      <w:bookmarkStart w:id="3" w:name="_Toc238235664"/>
      <w:r>
        <w:t>1.3 Rationale for Research or Problem Statement</w:t>
      </w:r>
      <w:bookmarkEnd w:id="3"/>
    </w:p>
    <w:p w14:paraId="5D7AFD7D">
      <w:pPr>
        <w:spacing w:before="240" w:after="240"/>
      </w:pPr>
      <w:r>
        <w:t>Although the levels of teenage pregnancy have decreased, teenage mothers still have disproportionately bad postpartum results. The available sources show that the young mothers are at high risk of developing physical complications, having mental difficulties and social disadvantage. The existing evidence is, however, mainly on pregnancy and childbirth and not the postpartum period. This means that very little is known about the effect of clinical, social and structural determinants on the postpartum recovery and well-being.</w:t>
      </w:r>
    </w:p>
    <w:p w14:paraId="59E3CAFE">
      <w:pPr>
        <w:spacing w:before="240" w:after="240"/>
        <w:rPr>
          <w:b/>
          <w:bCs/>
        </w:rPr>
      </w:pPr>
      <w:r>
        <w:t>This study was chosen because adolescent mothers are a vulnerable group whose experiences are frequently ignored in maternal health research. This gap is aimed to be addressed in the study with the help of qualitative secondary data analysis of the current evidence that has been published since 2020. The study is restricted to literature in terms of qualitative research, policy reports and statistical data on mothers below the age of 18 years and no primary data were used.</w:t>
      </w:r>
      <w:r>
        <w:rPr>
          <w:b/>
          <w:bCs/>
        </w:rPr>
        <w:t xml:space="preserve"> </w:t>
      </w:r>
    </w:p>
    <w:p w14:paraId="17F8B8BC">
      <w:pPr>
        <w:pStyle w:val="3"/>
        <w:spacing w:before="240" w:after="240"/>
      </w:pPr>
      <w:bookmarkStart w:id="4" w:name="_Toc238235665"/>
      <w:r>
        <w:t>1.4 Research question</w:t>
      </w:r>
      <w:bookmarkEnd w:id="4"/>
    </w:p>
    <w:p w14:paraId="52AF4F57">
      <w:pPr>
        <w:spacing w:before="240" w:after="240"/>
        <w:rPr>
          <w:b/>
          <w:bCs/>
        </w:rPr>
      </w:pPr>
      <w:r>
        <w:t>What impact do clinical, social and structural factors have on the postpartum complications and postnatal experiences of mothers below the age of 18?</w:t>
      </w:r>
      <w:r>
        <w:rPr>
          <w:b/>
          <w:bCs/>
        </w:rPr>
        <w:t xml:space="preserve"> </w:t>
      </w:r>
    </w:p>
    <w:p w14:paraId="281CEE4C">
      <w:pPr>
        <w:pStyle w:val="3"/>
        <w:spacing w:before="240" w:after="240"/>
      </w:pPr>
      <w:bookmarkStart w:id="5" w:name="_Toc238235666"/>
      <w:r>
        <w:t>1.5 Research Aim</w:t>
      </w:r>
      <w:bookmarkEnd w:id="5"/>
    </w:p>
    <w:p w14:paraId="10A9FAA0">
      <w:pPr>
        <w:spacing w:before="240" w:after="240"/>
        <w:rPr>
          <w:b/>
          <w:bCs/>
        </w:rPr>
      </w:pPr>
      <w:r>
        <w:t>To investigate the clinical, social and structural factors that impact postpartum complications in mothers below 18 years of age.</w:t>
      </w:r>
    </w:p>
    <w:p w14:paraId="002B3F08">
      <w:pPr>
        <w:pStyle w:val="3"/>
        <w:spacing w:before="240" w:after="240"/>
      </w:pPr>
      <w:bookmarkStart w:id="6" w:name="_Toc238235667"/>
      <w:r>
        <w:t>1.6 Research Objectives</w:t>
      </w:r>
      <w:bookmarkEnd w:id="6"/>
    </w:p>
    <w:p w14:paraId="05E31ED8">
      <w:pPr>
        <w:numPr>
          <w:ilvl w:val="0"/>
          <w:numId w:val="1"/>
        </w:numPr>
        <w:spacing w:before="240" w:after="240"/>
      </w:pPr>
      <w:r>
        <w:t>To determine typical postpartum complications that adolescent mothers face.</w:t>
      </w:r>
    </w:p>
    <w:p w14:paraId="6BD31976">
      <w:pPr>
        <w:numPr>
          <w:ilvl w:val="0"/>
          <w:numId w:val="1"/>
        </w:numPr>
        <w:spacing w:before="240" w:after="240"/>
      </w:pPr>
      <w:r>
        <w:t>To investigate social and structural determinants of postpartum.</w:t>
      </w:r>
    </w:p>
    <w:p w14:paraId="50B85AFA">
      <w:pPr>
        <w:numPr>
          <w:ilvl w:val="0"/>
          <w:numId w:val="1"/>
        </w:numPr>
        <w:spacing w:before="240" w:after="240"/>
      </w:pPr>
      <w:r>
        <w:t>To study obstacles to access to postnatal healthcare services.</w:t>
      </w:r>
    </w:p>
    <w:p w14:paraId="3C87BBCE">
      <w:pPr>
        <w:numPr>
          <w:ilvl w:val="0"/>
          <w:numId w:val="1"/>
        </w:numPr>
        <w:spacing w:before="240" w:after="240"/>
      </w:pPr>
      <w:r>
        <w:t>To distinguish implications for the general health care policy and practice of maternity care.</w:t>
      </w:r>
      <w:r>
        <w:rPr>
          <w:b/>
          <w:bCs/>
          <w:i/>
          <w:iCs/>
        </w:rPr>
        <w:t xml:space="preserve"> </w:t>
      </w:r>
    </w:p>
    <w:p w14:paraId="7954E8D9">
      <w:pPr>
        <w:pStyle w:val="3"/>
        <w:spacing w:before="240" w:after="240"/>
      </w:pPr>
      <w:bookmarkStart w:id="7" w:name="_Toc238235668"/>
      <w:r>
        <w:t>1.7 Chapter summary</w:t>
      </w:r>
      <w:bookmarkEnd w:id="7"/>
    </w:p>
    <w:p w14:paraId="4CCD6381">
      <w:pPr>
        <w:spacing w:before="240" w:after="240"/>
        <w:sectPr>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sectPr>
      </w:pPr>
      <w:r>
        <w:t>This chapter presented the problem of postpartum complications in mothers who are under 18 years old and shed light on the global and UK situation of teenage pregnancy. The chapter emphasised the clinical, psychological, social and structural variables that affect the outcomes of postpartum and explained the necessity of further research. A research question, aim and objectives were introduced. Chapter Two will be a critical review of the literature that has been written with respect to adolescent motherhood, postpartum complications, health inequities and postnatal care experiences.</w:t>
      </w:r>
    </w:p>
    <w:p w14:paraId="0CA3588F">
      <w:pPr>
        <w:pStyle w:val="2"/>
        <w:keepNext w:val="0"/>
        <w:keepLines w:val="0"/>
      </w:pPr>
      <w:bookmarkStart w:id="8" w:name="_Toc238235669"/>
      <w:r>
        <w:t>CHAPTER 2:  Literature Review</w:t>
      </w:r>
      <w:bookmarkEnd w:id="8"/>
    </w:p>
    <w:p w14:paraId="07BAA494">
      <w:pPr>
        <w:rPr>
          <w:b/>
          <w:bCs/>
        </w:rPr>
      </w:pPr>
      <w:r>
        <w:rPr>
          <w:b/>
          <w:bCs/>
        </w:rPr>
        <w:t xml:space="preserve"> </w:t>
      </w:r>
    </w:p>
    <w:p w14:paraId="345812B4">
      <w:pPr>
        <w:pStyle w:val="3"/>
      </w:pPr>
      <w:bookmarkStart w:id="9" w:name="_Toc238235670"/>
      <w:r>
        <w:t>2.1 Introduction to Literature Review Chapter</w:t>
      </w:r>
      <w:bookmarkEnd w:id="9"/>
    </w:p>
    <w:p w14:paraId="4FB65CD0">
      <w:r>
        <w:t xml:space="preserve">The chapter is a critical review of the available literature in relation to postpartum complications in mothers who are below the age of 18. Adolescent motherhood has been a serious national health issue because it is associated with a complicated physical, psychological, social and structural problems that occur in the postnatal period. Past studies have raised awareness of the fact that teenage mothers usually face some challenges related to childbirth recovery, psychological well-being, social stigma, and lack of access to healthcare services (Tenaw </w:t>
      </w:r>
      <w:r>
        <w:rPr>
          <w:i/>
          <w:iCs/>
        </w:rPr>
        <w:t>et al.,</w:t>
      </w:r>
      <w:r>
        <w:t xml:space="preserve"> 2024). Thus, this chapter reviews important themes such as postpartum complications (clinical), mental health outcomes, social determinants of health, barriers to postnatal care and health inequalities. It also pinpoints the gaps in the current literature that support the current study.</w:t>
      </w:r>
    </w:p>
    <w:p w14:paraId="7F06B370">
      <w:r>
        <w:t xml:space="preserve"> </w:t>
      </w:r>
    </w:p>
    <w:p w14:paraId="6D280BE4">
      <w:pPr>
        <w:pStyle w:val="3"/>
      </w:pPr>
      <w:bookmarkStart w:id="10" w:name="_Toc238235671"/>
      <w:r>
        <w:t>2.2 Literature review</w:t>
      </w:r>
      <w:bookmarkEnd w:id="10"/>
    </w:p>
    <w:p w14:paraId="123D56C0">
      <w:pPr>
        <w:pStyle w:val="4"/>
        <w:keepNext w:val="0"/>
        <w:keepLines w:val="0"/>
        <w:spacing w:before="360"/>
        <w:rPr>
          <w:color w:val="000000"/>
        </w:rPr>
      </w:pPr>
      <w:bookmarkStart w:id="11" w:name="_Toc238235672"/>
      <w:r>
        <w:rPr>
          <w:color w:val="000000"/>
        </w:rPr>
        <w:t>2.2.1 Conceptualising Adolescent Motherhood and Postpartum Health</w:t>
      </w:r>
      <w:bookmarkEnd w:id="11"/>
    </w:p>
    <w:p w14:paraId="03306153">
      <w:r>
        <w:t xml:space="preserve">Adolescent motherhood is a major global health issue despite the progressive reduction in the levels of teenage pregnancy, which is still evident in most countries over the last 20 years (WHO, 2024). Adolescence is defined as the age group of 10-19 years, and a pregnancy among girls under 18 years is one of the leading causes of maternal morbidity and poor neonatal outcomes (WHO, 2024). The postpartum period is also known as the first six weeks after childbirth, which is a crucial time when mothers undergo physiological restoration, as well as psychological and social adaptation (WHO, 2022). Williams Obstetrics suggests that this is the time when significant hormonal, cardiovascular and reproductive changes occur that need proper clinical care and attention (Cunningham </w:t>
      </w:r>
      <w:r>
        <w:rPr>
          <w:i/>
          <w:iCs/>
        </w:rPr>
        <w:t>et al.,</w:t>
      </w:r>
      <w:r>
        <w:t xml:space="preserve"> 2022). Young mothers (under 18 years) are especially susceptible since biological immaturity, disrupted education and lack of social support are some of the factors that endanger the development of adverse postpartum outcomes (Cunningham </w:t>
      </w:r>
      <w:r>
        <w:rPr>
          <w:i/>
          <w:iCs/>
        </w:rPr>
        <w:t>et al.,</w:t>
      </w:r>
      <w:r>
        <w:t xml:space="preserve"> 2022). In the same manner, the World Health Organisation (2024) believes that adolescent mothers face a higher risk of complications due to the disparities in access to healthcare, education, and socioeconomic resources. Adolescent mothers, therefore, demand developed and age-sensitive maternity care that is holistic and not only focused on clinical recovery but also on psychosocial needs.</w:t>
      </w:r>
    </w:p>
    <w:p w14:paraId="738783C5">
      <w:pPr>
        <w:jc w:val="center"/>
        <w:rPr>
          <w:color w:val="EE0000"/>
        </w:rPr>
      </w:pPr>
      <w:r>
        <w:rPr>
          <w:color w:val="EE0000"/>
          <w:lang w:val="en-IN" w:eastAsia="en-IN" w:bidi="ar-SA"/>
        </w:rPr>
        <w:drawing>
          <wp:inline distT="114300" distB="114300" distL="114300" distR="114300">
            <wp:extent cx="4381500" cy="4133850"/>
            <wp:effectExtent l="25400" t="25400" r="25400" b="25400"/>
            <wp:docPr id="12" name="image1.png"/>
            <wp:cNvGraphicFramePr/>
            <a:graphic xmlns:a="http://schemas.openxmlformats.org/drawingml/2006/main">
              <a:graphicData uri="http://schemas.openxmlformats.org/drawingml/2006/picture">
                <pic:pic xmlns:pic="http://schemas.openxmlformats.org/drawingml/2006/picture">
                  <pic:nvPicPr>
                    <pic:cNvPr id="12" name="image1.png"/>
                    <pic:cNvPicPr preferRelativeResize="0"/>
                  </pic:nvPicPr>
                  <pic:blipFill>
                    <a:blip r:embed="rId11"/>
                    <a:srcRect/>
                    <a:stretch>
                      <a:fillRect/>
                    </a:stretch>
                  </pic:blipFill>
                  <pic:spPr>
                    <a:xfrm>
                      <a:off x="0" y="0"/>
                      <a:ext cx="4381500" cy="4133850"/>
                    </a:xfrm>
                    <a:prstGeom prst="rect">
                      <a:avLst/>
                    </a:prstGeom>
                    <a:ln w="25400">
                      <a:solidFill>
                        <a:srgbClr val="000000"/>
                      </a:solidFill>
                      <a:prstDash val="solid"/>
                    </a:ln>
                  </pic:spPr>
                </pic:pic>
              </a:graphicData>
            </a:graphic>
          </wp:inline>
        </w:drawing>
      </w:r>
    </w:p>
    <w:p w14:paraId="5030FEED">
      <w:pPr>
        <w:jc w:val="center"/>
        <w:rPr>
          <w:b/>
          <w:bCs/>
        </w:rPr>
      </w:pPr>
      <w:r>
        <w:rPr>
          <w:b/>
          <w:bCs/>
        </w:rPr>
        <w:t>Figure 1: Interrelation between Adolescent Motherhood and Postpartum Health</w:t>
      </w:r>
    </w:p>
    <w:p w14:paraId="55B0CACF">
      <w:pPr>
        <w:jc w:val="center"/>
        <w:rPr>
          <w:b/>
          <w:bCs/>
        </w:rPr>
      </w:pPr>
      <w:r>
        <w:rPr>
          <w:b/>
          <w:bCs/>
        </w:rPr>
        <w:t>(Source: Author)</w:t>
      </w:r>
    </w:p>
    <w:p w14:paraId="6C19A0C9">
      <w:r>
        <w:t>Yakubu and Salisu (2018) pointed out poverty, early marriage, low levels of education and insufficient reproductive health education as the key causes of adolescent pregnancy in Sub-Saharan Africa. Their review offers a valuable description of why adolescent pregnancy is prevalent in most low-income environments, but the research largely examines pregnancy determinants as opposed to postpartum recovery. Consequently, even though the causes of adolescent pregnancy have been explained in the review, there is very little evidence about the physical and psychological challenges that may be faced after giving birth to a child. This exclusion is significant since postpartum recovery is one of the most fragile periods of maternal health (WHO, 2022).</w:t>
      </w:r>
    </w:p>
    <w:p w14:paraId="12354DB5"/>
    <w:p w14:paraId="5FB87989">
      <w:r>
        <w:t xml:space="preserve">Crooks </w:t>
      </w:r>
      <w:r>
        <w:rPr>
          <w:i/>
          <w:iCs/>
        </w:rPr>
        <w:t>et al.</w:t>
      </w:r>
      <w:r>
        <w:t xml:space="preserve"> (2022) turned their focus to the lived experience of adolescent mothers by performing a qualitative meta-synthesis between various low- and middle-income countries. The review discovered that adolescent mothers have often encountered social stigma, less autonomy and reliance on family members, which hurt their well-being. Conversely, Alex-Ojei </w:t>
      </w:r>
      <w:r>
        <w:rPr>
          <w:i/>
          <w:iCs/>
        </w:rPr>
        <w:t>et a</w:t>
      </w:r>
      <w:r>
        <w:t xml:space="preserve">l. (2023) studied teen mothers in Nigeria, and they indicated that financial insecurity, family support and poor access to health care services were the key factors impacting maternal experiences. Even though both articles have found that social and structural determinants have a tremendous effect on maternal wellbeing, Crooks </w:t>
      </w:r>
      <w:r>
        <w:rPr>
          <w:i/>
          <w:iCs/>
        </w:rPr>
        <w:t>et al.</w:t>
      </w:r>
      <w:r>
        <w:t xml:space="preserve"> (2022) summarised results across different countries, which enhances transferability, whereas Alex-Ojei </w:t>
      </w:r>
      <w:r>
        <w:rPr>
          <w:i/>
          <w:iCs/>
        </w:rPr>
        <w:t>et al.</w:t>
      </w:r>
      <w:r>
        <w:t xml:space="preserve"> (2023) offered more contextual insight but less overall generalisability. Moreover, the two studies primarily focused on pregnancy and health care usage as opposed to what happens in the postpartum stage, which posed a significant gap in knowledge of how mothers recover after giving birth.</w:t>
      </w:r>
    </w:p>
    <w:p w14:paraId="023BD77B">
      <w:r>
        <w:t xml:space="preserve">In their study, Tenaw </w:t>
      </w:r>
      <w:r>
        <w:rPr>
          <w:i/>
          <w:iCs/>
        </w:rPr>
        <w:t>et al.</w:t>
      </w:r>
      <w:r>
        <w:t xml:space="preserve"> (2024) specifically examined the experiences of adolescent mothers during childbirth and postpartum in the qualitative meta-synthesis. The review revealed some common themes of fear, uncertainty, emotional exhaustion, social isolation and insufficient practical support following delivery. These results are an extension of those by Crooks </w:t>
      </w:r>
      <w:r>
        <w:rPr>
          <w:i/>
          <w:iCs/>
        </w:rPr>
        <w:t>et al.</w:t>
      </w:r>
      <w:r>
        <w:t xml:space="preserve"> (2022), who have shown that a significant number of social disadvantages in pregnancy are also present in the postnatal phase. However, Tenaw </w:t>
      </w:r>
      <w:r>
        <w:rPr>
          <w:i/>
          <w:iCs/>
        </w:rPr>
        <w:t>et al.</w:t>
      </w:r>
      <w:r>
        <w:t xml:space="preserve"> (2024) admitted that there was a significant methodological heterogeneity among the studies involved, and it would be hard to directly compare these healthcare systems. In the same vein, Javadi </w:t>
      </w:r>
      <w:r>
        <w:rPr>
          <w:i/>
          <w:iCs/>
        </w:rPr>
        <w:t>et al.</w:t>
      </w:r>
      <w:r>
        <w:t xml:space="preserve"> (2023) emphasised that the literature regarding the experiences of adolescent mothers in the postnatal period is still limited, especially in the context of high-income countries where the healthcare system is not similar to that in low- and middle-income environments.</w:t>
      </w:r>
    </w:p>
    <w:p w14:paraId="4434F1EB">
      <w:r>
        <w:t xml:space="preserve">On the whole, the literature reveals that adolescent motherhood must be viewed as the interplay of biological, psychological, social and structural factors and not as a biological phenomenon per se (WHO, 2024). Even though the knowledge on adolescent pregnancy has significantly increased, there is little evidence that specifically focuses on postpartum recovery of mothers who are below the age of 18 years (Tenaw </w:t>
      </w:r>
      <w:r>
        <w:rPr>
          <w:i/>
          <w:iCs/>
        </w:rPr>
        <w:t>et al.,</w:t>
      </w:r>
      <w:r>
        <w:t xml:space="preserve"> 2024). In addition, recent reviews have suggested more qualitative studies to investigate the postpartum experiences of adolescent mothers in various healthcare environments, especially in high-income countries, including the United Kingdom (Javadi </w:t>
      </w:r>
      <w:r>
        <w:rPr>
          <w:i/>
          <w:iCs/>
        </w:rPr>
        <w:t>et al.,</w:t>
      </w:r>
      <w:r>
        <w:t xml:space="preserve"> 2023). Thus, the current study fills this gap by studying the problem of postpartum complications in adolescent mothers using qualitative secondary data analysis.</w:t>
      </w:r>
    </w:p>
    <w:p w14:paraId="0C2A1C6F">
      <w:pPr>
        <w:pStyle w:val="4"/>
        <w:keepNext w:val="0"/>
        <w:keepLines w:val="0"/>
        <w:spacing w:before="360"/>
      </w:pPr>
      <w:bookmarkStart w:id="12" w:name="_Toc238235673"/>
      <w:r>
        <w:t>2.2.2 Clinical and Physical Postpartum Complications Among Adolescent Mothers</w:t>
      </w:r>
      <w:bookmarkEnd w:id="12"/>
    </w:p>
    <w:p w14:paraId="36494938">
      <w:r>
        <w:t>Clinical and physical postpartum complications pose a major challenge to adolescent mothers since they are more vulnerable, biologically and usually lack access to proper healthcare services. The postpartum phase is characterised by a great deal of physiological recovery after childbirth, and any complications of the postpartum period may have an adverse influence on the health of mothers and their future. The literature indicates that the maternal age under 18 years is more prone to adverse postpartum outcomes than the mature age due to physical immaturity, nutritional deficiency and poor health care utilisation.</w:t>
      </w:r>
    </w:p>
    <w:p w14:paraId="359022C5">
      <w:r>
        <w:t xml:space="preserve">Studies have also found that some typical postpartum complications affect adolescent mothers, such as postpartum bleeding, infections, anaemia, breastfeeding problems and sluggish physical healing. Tenaw </w:t>
      </w:r>
      <w:r>
        <w:rPr>
          <w:i/>
          <w:iCs/>
        </w:rPr>
        <w:t>et al.</w:t>
      </w:r>
      <w:r>
        <w:t xml:space="preserve"> (2024) also claim that teenage mothers often mentioned experiencing physical exhaustion, pain and challenges in managing the demands of childcare right after childbirth. The qualitative meta-synthesis has shown that numerous young mothers could not find a way to reconcile between physical recovery and maternal duties of a newborn, with the consequence of extra stress and poor health. One of the strengths of the current study is that it concentrated on the lived experiences of adolescent mothers and offered specific details about the impact of physical complications on daily life. Nevertheless, the results are not able to prove the prevalence of certain complications, as it is a synthesis of qualitative studies.</w:t>
      </w:r>
    </w:p>
    <w:p w14:paraId="037150EA">
      <w:r>
        <w:t xml:space="preserve">In the same way, Namutebi </w:t>
      </w:r>
      <w:r>
        <w:rPr>
          <w:i/>
          <w:iCs/>
        </w:rPr>
        <w:t>et al.</w:t>
      </w:r>
      <w:r>
        <w:t xml:space="preserve"> (2022) explored the healthcare requirements of adolescent first-time mothers in Uganda and discovered that the participants often reported their worries about postnatal recovery, pain management and healthcare support availability. Information on postpartum self-care and infant care was also a significant source of anxiety and uncertainty in many respondents due to a lack of sufficient information. The research contains good contextual evidence based on a low-income environment, but its results might not be completely applicable to other healthcare systems because of cultural and structural variations.</w:t>
      </w:r>
    </w:p>
    <w:p w14:paraId="2FC3E614">
      <w:r>
        <w:t>Additional evidence provided by Scroggins (2023) emphasises the intricacy of postpartum symptom experiences in the case of birthing people. The clusters of symptoms determined in the study were fatigue, sleeping disturbances, physical discomfort and functional limitations that tend to occur following childbirth. Although the study was not specifically conducted among adolescent mothers, their results indicate that young mothers can be prone to such symptoms due to a lack of sufficient social support and increased socioeconomic disadvantage. However, the fact that a wider range of mothers is considered does not allow for a conclusion on the specifics of adolescence.</w:t>
      </w:r>
    </w:p>
    <w:p w14:paraId="6B1CAC80">
      <w:r>
        <w:t>In general, the reviewed literature indicates that adolescent mothers experience a variety of physical and clinical problems during the postpartum period. Even though common complications and healthcare requirements have been found, most of the evidence results are based on low- and middle-income countries, or the general maternal population. Therefore, the current knowledge on the impact of clinical complications on postpartum experiences in mothers below the age of 18 years in various healthcare settings is still limited. Such a gap demonstrates the necessity to conduct additional research on postpartum health outcomes of adolescents.</w:t>
      </w:r>
    </w:p>
    <w:p w14:paraId="7C9B3346">
      <w:pPr>
        <w:pStyle w:val="4"/>
        <w:keepNext w:val="0"/>
        <w:keepLines w:val="0"/>
        <w:spacing w:before="360"/>
      </w:pPr>
      <w:bookmarkStart w:id="13" w:name="_Toc238235674"/>
      <w:r>
        <w:t>2.2.3 Mental Health Outcomes and Psychological Challenges in the Postpartum Period</w:t>
      </w:r>
      <w:bookmarkEnd w:id="13"/>
    </w:p>
    <w:p w14:paraId="46811A95">
      <w:r>
        <w:t>One of the most notable issues that adolescent mothers go through during the postpartum period is mental health. Studies have shown that teen mothers are predisposed to get postpartum depression, anxiety, emotional distress and parenting stress more than adult mothers owing to their stage of development and social vulnerability. All these shifts to motherhood are usually accompanied by educational obligations, shifting family dynamics and financial stress, which create a complicated atmosphere which adversely impacts mental health.</w:t>
      </w:r>
    </w:p>
    <w:p w14:paraId="513FD1C9">
      <w:r>
        <w:t xml:space="preserve">A systematic review and meta-analysis by Abdul Rahim </w:t>
      </w:r>
      <w:r>
        <w:rPr>
          <w:i/>
          <w:iCs/>
        </w:rPr>
        <w:t>et al.</w:t>
      </w:r>
      <w:r>
        <w:t xml:space="preserve"> (2024) to explore the mental health outcomes of adolescent mothers discovered significant evidence of the prevalence of depression, anxiety and continuous emotional complications beyond the immediate postpartum years among adolescent mothers. The review demonstrated that psychological difficulties could persist well into the postpartum period and could affect the quality of life and parenting behaviours. The work is especially useful due to its high methodological rigour and the use of evidence from various countries. The majority of the studies that were incorporated, though, were based on quantitative data, which restricted the insight into the perception and experience of mental health problems by young mothers in their lives.</w:t>
      </w:r>
    </w:p>
    <w:p w14:paraId="58C1C79A">
      <w:r>
        <w:t xml:space="preserve">The qualitative evidence will give a better understanding of these experiences. Tenaw </w:t>
      </w:r>
      <w:r>
        <w:rPr>
          <w:i/>
          <w:iCs/>
        </w:rPr>
        <w:t>et al.</w:t>
      </w:r>
      <w:r>
        <w:t xml:space="preserve"> (2024) discovered that teen mothers often experienced fear, loneliness, uncertainty and emotional exhaustion after giving birth. Respondents claimed that they had a hard time trying to adapt to their new roles as mothers dealing with social demands and parenting roles. Likewise, Namutebi </w:t>
      </w:r>
      <w:r>
        <w:rPr>
          <w:i/>
          <w:iCs/>
        </w:rPr>
        <w:t>et al.</w:t>
      </w:r>
      <w:r>
        <w:t xml:space="preserve"> (2022) have found that adolescent mothers usually have anxiety over the care of infants and a loss of confidence in their parental skills. Numerous respondents indicated that they required more emotional support and directions of healthcare services and relatives in the postpartum stage.</w:t>
      </w:r>
    </w:p>
    <w:p w14:paraId="6A82C89E">
      <w:r>
        <w:t>Although the importance of maternal mental health during adolescence has become more widespread, there are still some gaps. The literature is mostly silent on the issue of cultural variations in psychological experiences, and a paucity of evidence has been found that specifically addresses the case of adolescent mothers in the UK. Moreover, there is a lack of qualitative studies of how adolescent mothers perceive mental health services and support. More knowledge about these experiences is needed to direct person-centred interventions and enhance the provision of mental health to young mothers in the postnatal period.</w:t>
      </w:r>
    </w:p>
    <w:p w14:paraId="4712052D">
      <w:bookmarkStart w:id="88" w:name="_GoBack"/>
      <w:bookmarkEnd w:id="88"/>
    </w:p>
    <w:p w14:paraId="7B22EF03">
      <w:pPr>
        <w:pStyle w:val="4"/>
        <w:keepNext w:val="0"/>
        <w:keepLines w:val="0"/>
        <w:spacing w:before="360"/>
        <w:rPr>
          <w:color w:val="000000"/>
        </w:rPr>
      </w:pPr>
      <w:bookmarkStart w:id="14" w:name="_Toc238235675"/>
      <w:r>
        <w:rPr>
          <w:color w:val="000000"/>
        </w:rPr>
        <w:t>2.2.4 Social Determinants Influencing Postpartum Experience</w:t>
      </w:r>
      <w:bookmarkEnd w:id="14"/>
    </w:p>
    <w:p w14:paraId="2FFD42F2">
      <w:r>
        <w:t>According to the Hertzman and Siddiqui Social Determinants of Health Framework, health outcomes are influenced by the interplay of social, economic and environmental factors that an individual goes through in the course of his or her life (Hertzman and Siddiqui, 2010). The framework proposes that education, income, employment, housing, family relationships and access to healthcare are all factors that determine the physical and mental well-being (Hertzman and Siddique, 2010). Conversely, the Dahlgren and Whitehead model uses the health determinants as various layers that surround the individual, and they include lifestyle, community networks and the broad socioeconomic conditions (Dahlgren and Whitehead, 1991). Despite the fact that both frameworks address the issue of health inequalities, the Hertzman and Siddiqi framework is more suitable in this study, as it uses the life-course perspective, which shows how the cumulative social disadvantage affects health over a period of time (Hertzman and Siddiqi, 2010). Because the adolescent mothers are frequently interrupted in their education, face financial difficulties and lack social support during and after childbirth, this framework offers more solid theoretical foundations for comprehending postpartum experiences.</w:t>
      </w:r>
    </w:p>
    <w:p w14:paraId="602B91BB">
      <w:r>
        <w:t>Women of childbearing age (i.e. adolescent mothers) are particularly vulnerable to poverty and socioeconomic disadvantage, which adversely impact postpartum recovery. According to UNICEF (2024), early childbearing often disrupts formal education, decreasing the chances of getting a job and exposing people to lifelong poverty. Lower educational levels, in turn, restrict financial autonomy and access to resources to rehabilitate the mother and take care of the infant (UNICEF, 2024). On the same note, UNFPA (2024) asserts that, in most cases, adolescent mothers are faced with the cumulative disadvantages such as financial instability, gender inequality and limited access to health services. Such social inequalities raise the propensity of worse physical healing and mental distress in the postpartum period (WHO, 2024). Hence, biological factors are not the only determinants of postpartum outcomes of adolescent mothers, but more broadly, socioeconomic inequalities are.</w:t>
      </w:r>
    </w:p>
    <w:p w14:paraId="1F825A77">
      <w:pPr>
        <w:jc w:val="center"/>
        <w:rPr>
          <w:b/>
          <w:bCs/>
          <w:i/>
          <w:iCs/>
        </w:rPr>
      </w:pPr>
      <w:r>
        <w:rPr>
          <w:lang w:val="en-IN" w:eastAsia="en-IN" w:bidi="ar-SA"/>
        </w:rPr>
        <w:drawing>
          <wp:inline distT="114300" distB="114300" distL="114300" distR="114300">
            <wp:extent cx="4800600" cy="3911600"/>
            <wp:effectExtent l="25400" t="25400" r="25400" b="25400"/>
            <wp:docPr id="11" name="image5.png"/>
            <wp:cNvGraphicFramePr/>
            <a:graphic xmlns:a="http://schemas.openxmlformats.org/drawingml/2006/main">
              <a:graphicData uri="http://schemas.openxmlformats.org/drawingml/2006/picture">
                <pic:pic xmlns:pic="http://schemas.openxmlformats.org/drawingml/2006/picture">
                  <pic:nvPicPr>
                    <pic:cNvPr id="11" name="image5.png"/>
                    <pic:cNvPicPr preferRelativeResize="0"/>
                  </pic:nvPicPr>
                  <pic:blipFill>
                    <a:blip r:embed="rId12"/>
                    <a:srcRect/>
                    <a:stretch>
                      <a:fillRect/>
                    </a:stretch>
                  </pic:blipFill>
                  <pic:spPr>
                    <a:xfrm>
                      <a:off x="0" y="0"/>
                      <a:ext cx="4800600" cy="3911600"/>
                    </a:xfrm>
                    <a:prstGeom prst="rect">
                      <a:avLst/>
                    </a:prstGeom>
                    <a:ln w="25400">
                      <a:solidFill>
                        <a:srgbClr val="000000"/>
                      </a:solidFill>
                      <a:prstDash val="solid"/>
                    </a:ln>
                  </pic:spPr>
                </pic:pic>
              </a:graphicData>
            </a:graphic>
          </wp:inline>
        </w:drawing>
      </w:r>
    </w:p>
    <w:p w14:paraId="0912898E">
      <w:pPr>
        <w:jc w:val="center"/>
        <w:rPr>
          <w:b/>
          <w:bCs/>
        </w:rPr>
      </w:pPr>
      <w:r>
        <w:rPr>
          <w:b/>
          <w:bCs/>
        </w:rPr>
        <w:t>Figure 2: Social Determinants of Health</w:t>
      </w:r>
    </w:p>
    <w:p w14:paraId="2546BEE0">
      <w:pPr>
        <w:jc w:val="center"/>
        <w:rPr>
          <w:b/>
          <w:bCs/>
        </w:rPr>
      </w:pPr>
      <w:r>
        <w:rPr>
          <w:b/>
          <w:bCs/>
        </w:rPr>
        <w:t xml:space="preserve">(Source: </w:t>
      </w:r>
      <w:r>
        <w:rPr>
          <w:b/>
          <w:bCs/>
          <w:highlight w:val="white"/>
        </w:rPr>
        <w:t>Herzberg and Smyser, 2024)</w:t>
      </w:r>
    </w:p>
    <w:p w14:paraId="5E036D66">
      <w:r>
        <w:t xml:space="preserve">In a qualitative meta-synthesis study, Crooks </w:t>
      </w:r>
      <w:r>
        <w:rPr>
          <w:i/>
          <w:iCs/>
        </w:rPr>
        <w:t>et al.</w:t>
      </w:r>
      <w:r>
        <w:t xml:space="preserve"> (2022) examined the experiences of adolescent mothers in various countries with low and middle income and discovered that social stigma, reliance on family members and lack of autonomy were prevalent. A good number of respondents indicated their feeling judged by their community, which lowered their confidence and deterred them from seeking healthcare services (Crooks </w:t>
      </w:r>
      <w:r>
        <w:rPr>
          <w:i/>
          <w:iCs/>
        </w:rPr>
        <w:t>et al.,</w:t>
      </w:r>
      <w:r>
        <w:t xml:space="preserve"> 2022). Similarly, Alex-Ojei </w:t>
      </w:r>
      <w:r>
        <w:rPr>
          <w:i/>
          <w:iCs/>
        </w:rPr>
        <w:t>et al.</w:t>
      </w:r>
      <w:r>
        <w:t xml:space="preserve"> (2023) have reported financial hardship, lack of family support and healthcare accessibility to be significant barriers in Nigeria that impact adolescent mothers. Although both articles prove that social determinants are important, Crooks </w:t>
      </w:r>
      <w:r>
        <w:rPr>
          <w:i/>
          <w:iCs/>
        </w:rPr>
        <w:t>et al.</w:t>
      </w:r>
      <w:r>
        <w:t xml:space="preserve"> (2022) conducted a synthesis of the results in relation to various countries, which contributes to the increased transferability of the results to other contexts. Conversely, Alex-Ojei </w:t>
      </w:r>
      <w:r>
        <w:rPr>
          <w:i/>
          <w:iCs/>
        </w:rPr>
        <w:t>et al.</w:t>
      </w:r>
      <w:r>
        <w:t xml:space="preserve"> (2023) presented more evidence in the context of one country and with less extensive generalisability. Moreover, the two studies did not study long-term postpartum recovery but pregnancy and healthcare utilisation, which is also an evidence gap.</w:t>
      </w:r>
    </w:p>
    <w:p w14:paraId="04A59182"/>
    <w:p w14:paraId="738064B5">
      <w:r>
        <w:t xml:space="preserve">The study by Tenaw </w:t>
      </w:r>
      <w:r>
        <w:rPr>
          <w:i/>
          <w:iCs/>
        </w:rPr>
        <w:t>et al.</w:t>
      </w:r>
      <w:r>
        <w:t xml:space="preserve"> (2024) built upon prior studies by explicitly studying the experiences of adolescent mothers undergoing the postpartum phase by conducting a qualitative meta-synthesis. The researchers discovered that poverty, social isolation and lack of emotional support persisted to influence young mothers even after giving birth, and thus, the transition to motherhood was especially difficult (Tenaw </w:t>
      </w:r>
      <w:r>
        <w:rPr>
          <w:i/>
          <w:iCs/>
        </w:rPr>
        <w:t>et al.,</w:t>
      </w:r>
      <w:r>
        <w:t xml:space="preserve"> 2024). The participants reported experiencing loneliness, being uncertain and struggling to balance the needs of childcare with education and family demands (Tenaw </w:t>
      </w:r>
      <w:r>
        <w:rPr>
          <w:i/>
          <w:iCs/>
        </w:rPr>
        <w:t>et al.,</w:t>
      </w:r>
      <w:r>
        <w:t xml:space="preserve"> 2024). These results can be used to endorse the Hertzman and Siddiqi framework since they indicate that cumulative social disadvantage has a lasting impact on maternal well-being even after pregnancy. Yet, as admitted by Tenaw </w:t>
      </w:r>
      <w:r>
        <w:rPr>
          <w:i/>
          <w:iCs/>
        </w:rPr>
        <w:t>et al.</w:t>
      </w:r>
      <w:r>
        <w:t xml:space="preserve"> (2024), there was a substantial range of healthcare systems and cultural contexts of the included studies, which did not allow for direct comparison of countries. Furthermore, a significant part of the existing data is supplied by the low- and middle-income nations, which implies that comparatively little is known about the impact of similar social determinants on adolescent mothers in the developed healthcare systems, such as the United Kingdom (Javadi </w:t>
      </w:r>
      <w:r>
        <w:rPr>
          <w:i/>
          <w:iCs/>
        </w:rPr>
        <w:t>et al.,</w:t>
      </w:r>
      <w:r>
        <w:t xml:space="preserve"> 2023).</w:t>
      </w:r>
    </w:p>
    <w:p w14:paraId="1C310F09">
      <w:r>
        <w:t xml:space="preserve">Generally, the literature shows that poverty, education derailment, financial insecurity, social stigma and inappropriate family support are core predictors of postpartum health amongst adolescent mothers (WHO, 2024). However, data, particularly looking at how these social determinants interplay to affect postpartum recovery among mothers under 18 years in high-income countries, are scarce (Javadi </w:t>
      </w:r>
      <w:r>
        <w:rPr>
          <w:i/>
          <w:iCs/>
        </w:rPr>
        <w:t>et al.,</w:t>
      </w:r>
      <w:r>
        <w:t xml:space="preserve"> 2023). Such a knowledge gap is the reason to conduct more qualitative studies to better understand the postpartum experiences of adolescent mothers and to help in designing more equitable and person-centred maternity services (Tenaw </w:t>
      </w:r>
      <w:r>
        <w:rPr>
          <w:i/>
          <w:iCs/>
        </w:rPr>
        <w:t>et al.,</w:t>
      </w:r>
      <w:r>
        <w:t xml:space="preserve"> 2024).</w:t>
      </w:r>
    </w:p>
    <w:p w14:paraId="7FD81D4F">
      <w:pPr>
        <w:pStyle w:val="4"/>
        <w:keepNext w:val="0"/>
        <w:keepLines w:val="0"/>
        <w:spacing w:before="360"/>
      </w:pPr>
      <w:bookmarkStart w:id="15" w:name="_Toc238235676"/>
      <w:r>
        <w:t>2.2.5 Structural Barriers and Access to Postnatal Healthcare Services</w:t>
      </w:r>
      <w:bookmarkEnd w:id="15"/>
    </w:p>
    <w:p w14:paraId="79726859">
      <w:r>
        <w:t>Availability of healthcare services is a crucial determinant in the postpartum outcomes among teenage mothers. Young mothers can be denied access to vital postnatal support due to structural barriers such as transportation challenges, financial limitations, lack of information on healthcare and adverse experiences with healthcare providers. These obstacles tend to increase the preexisting health disparities and lead to worse maternal outcomes.</w:t>
      </w:r>
    </w:p>
    <w:p w14:paraId="20398292">
      <w:r>
        <w:t xml:space="preserve">This qualitative evidence synthesis study by Javadi </w:t>
      </w:r>
      <w:r>
        <w:rPr>
          <w:i/>
          <w:iCs/>
        </w:rPr>
        <w:t>et al.</w:t>
      </w:r>
      <w:r>
        <w:t xml:space="preserve"> (2023) explored the factors that affected the uptake of postnatal care in adolescent girls. The review uncovered transportation issues, insufficient financial means, limited knowledge about the available services and fear of reproach on the part of healthcare professionals to be the key obstacles to healthcare use. Most teen mothers have complained that they feel embarrassed using services because of the fear of stigma and discrimination. These results show the impact that structural factors may have on deterring access to healthcare systems at a time when it is especially needed.</w:t>
      </w:r>
    </w:p>
    <w:p w14:paraId="7531F63A">
      <w:r>
        <w:t xml:space="preserve">These findings are further supported by Tolossa </w:t>
      </w:r>
      <w:r>
        <w:rPr>
          <w:i/>
          <w:iCs/>
        </w:rPr>
        <w:t>et al.</w:t>
      </w:r>
      <w:r>
        <w:t xml:space="preserve"> (2024), who show that in Sub-Saharan Africa, access to healthcare among adolescent mothers is limited by systemic factors such as poverty, geographical distance and inadequate healthcare infrastructure. In a similar study, Alex-Ojei </w:t>
      </w:r>
      <w:r>
        <w:rPr>
          <w:i/>
          <w:iCs/>
        </w:rPr>
        <w:t>et al.</w:t>
      </w:r>
      <w:r>
        <w:t xml:space="preserve"> (2023) established that maternal healthcare utilisation was adversely impacted by financial constraints and the lack of availability of healthcare among teenage mothers in Nigeria. All these studies tend to indicate that structural barriers not only exist in the behaviour of individuals, but in most cases, they are entrenched in the larger social and health care systems.</w:t>
      </w:r>
    </w:p>
    <w:p w14:paraId="1C5BD2F1">
      <w:r>
        <w:t>Whereas current studies identify major impediments in access to postnatal services, a considerable part of the evidence is derived from low-resource environments. Very little is known about the way structural barriers can be active in developed healthcare systems, especially among adolescent mothers in the UK. More studies are thus needed to understand how the healthcare systems can be more accommodating of vulnerable young mothers in the postpartum stage.</w:t>
      </w:r>
    </w:p>
    <w:p w14:paraId="2A4ACA0F">
      <w:pPr>
        <w:pStyle w:val="4"/>
        <w:keepNext w:val="0"/>
        <w:keepLines w:val="0"/>
        <w:spacing w:before="360"/>
        <w:rPr>
          <w:color w:val="000000"/>
        </w:rPr>
      </w:pPr>
      <w:bookmarkStart w:id="16" w:name="_Toc238235677"/>
      <w:r>
        <w:rPr>
          <w:color w:val="000000"/>
        </w:rPr>
        <w:t>2.2.6 Health Inequalities and Maternity Care Experiences in the UK Context</w:t>
      </w:r>
      <w:bookmarkEnd w:id="16"/>
    </w:p>
    <w:p w14:paraId="24BDAA3C">
      <w:r>
        <w:t>Health inequalities are still a major challenge in UK maternity services, even though there have been continuous policy measures to enhance maternal outcomes. There is some evidence to suggest that poorer maternity outcomes and less satisfactory healthcare experience among women with socially disadvantaged backgrounds and minor ethnic groups are a common occurrence.</w:t>
      </w:r>
    </w:p>
    <w:p w14:paraId="1EA3F773">
      <w:r>
        <w:t>Crowe (2022) outlined a number of elements leading to maternal health disparities among women belonging to ethnic minority groups in the UK, such as communication, discrimination, and unequal access to healthcare facilities. Likewise, MacLellan et al. (2022) carried out a qualitative synthesis of the evidence and discovered that Black, Asian and minority ethnic women often experience a sense of not being heard, understood and supported during maternity care. These were associated with lower trust towards healthcare providers and worse access to maternity services.</w:t>
      </w:r>
    </w:p>
    <w:p w14:paraId="570CFB09">
      <w:r>
        <w:t>The NHS Maternity Transformation Programme has aimed to enhance the quality and access to maternity services via continuity of care and individualised support methods (NHS England, 2018). In more recent times, digital innovations have been brought out to enhance access to services. Pierce</w:t>
      </w:r>
      <w:r>
        <w:rPr>
          <w:i/>
          <w:iCs/>
        </w:rPr>
        <w:t xml:space="preserve"> et al.</w:t>
      </w:r>
      <w:r>
        <w:t xml:space="preserve"> (2023) discovered that the use of digital healthcare applications has the potential to improve communication and support of vulnerable pregnant women, yet there are still difficulties associated with digital exclusion.</w:t>
      </w:r>
    </w:p>
    <w:p w14:paraId="697E72AA">
      <w:r>
        <w:t>Although these have been improved, there is little research that specifically looks at adolescent mothers in the context of the UK maternity system. The majority of the studies in the UK are based on ethnicity or socioeconomic disparities as opposed to age-related vulnerabilities. As a result, limited knowledge exists on how teen mothers receive maternity and postnatal care in the modern healthcare services in the UK.</w:t>
      </w:r>
    </w:p>
    <w:p w14:paraId="4971C7F1">
      <w:pPr>
        <w:pStyle w:val="4"/>
        <w:keepNext w:val="0"/>
        <w:keepLines w:val="0"/>
        <w:spacing w:before="360"/>
        <w:rPr>
          <w:color w:val="000000"/>
        </w:rPr>
      </w:pPr>
      <w:bookmarkStart w:id="17" w:name="_Toc238235678"/>
      <w:r>
        <w:rPr>
          <w:color w:val="000000"/>
        </w:rPr>
        <w:t>2.2.7 Synthesis of Literature and Research Gap</w:t>
      </w:r>
      <w:bookmarkEnd w:id="17"/>
    </w:p>
    <w:p w14:paraId="08A054B8">
      <w:r>
        <w:t>The literature review has shown that the experiences of postpartum among teen mothers are a complex interplay of clinical, psychological, social and structural factors. Studies invariably determine high chances of physical complications, mental health problems, social disadvantage and inaccessibility to healthcare among young mothers. Although there is a considerable amount of evidence on adolescent pregnancy, not as many studies concentrate on the postpartum experiences and recovery. Moreover, a large part of the available research comes out of low- and middle-income nations, making it difficult to apply in the context of the developed healthcare setting, like the UK. Qualitative studies of the opinions of adolescent mothers on healthcare support and post-partum recovery are also lacking. Thus, the research attempts to fill these gaps by qualitative analysis of secondary data, which offers a more in-depth picture of the impact of clinical, social and structural determinants on postpartum complications among mothers below the age of 18.</w:t>
      </w:r>
    </w:p>
    <w:p w14:paraId="0DA83D62">
      <w:pPr>
        <w:pStyle w:val="3"/>
        <w:rPr>
          <w:b w:val="0"/>
          <w:bCs w:val="0"/>
          <w:sz w:val="24"/>
          <w:szCs w:val="24"/>
        </w:rPr>
      </w:pPr>
      <w:bookmarkStart w:id="18" w:name="_Toc238235679"/>
      <w:r>
        <w:t>2.3 Chapter summary</w:t>
      </w:r>
      <w:bookmarkEnd w:id="18"/>
    </w:p>
    <w:p w14:paraId="38C8CF1B">
      <w:pPr>
        <w:sectPr>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sectPr>
      </w:pPr>
      <w:r>
        <w:t xml:space="preserve">This chapter has critically evaluated what literature there is on postpartum complications in mothers under the age of 18 years, by analysing the clinical, psychological, social and structural determinants of maternal health in the postpartum period. The review showed that adolescent mothers face higher risks of postpartum complications due to biological immaturity, inaccessibility to healthcare, and socioeconomic disadvantage (WHO, 2024). It was also proven that physical complications and post-partum haemorrhage, anaemia and delayed recovery are often exacerbated by the lack of healthcare assistance and unfavourable living conditions (Tenaw </w:t>
      </w:r>
      <w:r>
        <w:rPr>
          <w:i/>
          <w:iCs/>
        </w:rPr>
        <w:t>et al.,</w:t>
      </w:r>
      <w:r>
        <w:t xml:space="preserve"> 2024). Moreover, teen mothers tend to develop postpartum depression, anxiety, emotional distress and social isolation, which have adverse impacts on maternal health and infant care (Abdul Rahim </w:t>
      </w:r>
      <w:r>
        <w:rPr>
          <w:i/>
          <w:iCs/>
        </w:rPr>
        <w:t>et al.,</w:t>
      </w:r>
      <w:r>
        <w:t xml:space="preserve"> 2024). The literature also emphasised that key social factors that influence the postpartum experiences include poverty, disruption of education, stigma and low family support (Crooks </w:t>
      </w:r>
      <w:r>
        <w:rPr>
          <w:i/>
          <w:iCs/>
        </w:rPr>
        <w:t>et al.,</w:t>
      </w:r>
      <w:r>
        <w:t xml:space="preserve"> 2022). Structural demands, such as financial limitations, transportation challenges and unequal access to postnatal services, remain obstacles to healthcare use among the vulnerable young mothers (Javadi </w:t>
      </w:r>
      <w:r>
        <w:rPr>
          <w:i/>
          <w:iCs/>
        </w:rPr>
        <w:t>et al.,</w:t>
      </w:r>
      <w:r>
        <w:t xml:space="preserve"> 2023). Despite the useful information found in the existing literature, most of the evidence comes from low- and middle-income nations, and the qualitative research on the postpartum experiences of adolescents in the United Kingdom remains relatively limited (MacLellan </w:t>
      </w:r>
      <w:r>
        <w:rPr>
          <w:i/>
          <w:iCs/>
        </w:rPr>
        <w:t>et al.,</w:t>
      </w:r>
      <w:r>
        <w:t xml:space="preserve"> 2022). Thus, the specified gap in evidence is the rationale for the current work, whereas Chapter Three presents the research methodology that will be used to examine these concerns with the help of the qualitative analysis of secondary data.</w:t>
      </w:r>
    </w:p>
    <w:p w14:paraId="12160AA5">
      <w:pPr>
        <w:pStyle w:val="2"/>
      </w:pPr>
      <w:bookmarkStart w:id="19" w:name="_Toc238235680"/>
      <w:r>
        <w:t>CHAPTER 3: METHODOLOGY</w:t>
      </w:r>
      <w:bookmarkEnd w:id="19"/>
    </w:p>
    <w:p w14:paraId="7A2C2EFB">
      <w:pPr>
        <w:pStyle w:val="3"/>
      </w:pPr>
      <w:bookmarkStart w:id="20" w:name="_Toc238235681"/>
      <w:r>
        <w:t>3.1 - Introduction to Chapter</w:t>
      </w:r>
      <w:bookmarkEnd w:id="20"/>
    </w:p>
    <w:p w14:paraId="3B488064">
      <w:r>
        <w:t xml:space="preserve">This chapter outlines the approach to be followed in conducting a study of postpartum complications among mothers under the age of 18 years, using a qualitative secondary data analysis methodology. The chapter provides details on the systematic review, such as the search strategy, search terms, search keys, databases searched, inclusion and exclusion criteria, and how PRISMA was used to record study selection. It also discusses the ethical considerations associated with secondary research and how methodological rigour was ensured during the review (Booth </w:t>
      </w:r>
      <w:r>
        <w:rPr>
          <w:i/>
          <w:iCs/>
        </w:rPr>
        <w:t xml:space="preserve">et al., </w:t>
      </w:r>
      <w:r>
        <w:t>2022).</w:t>
      </w:r>
    </w:p>
    <w:p w14:paraId="72680447">
      <w:pPr>
        <w:pStyle w:val="3"/>
      </w:pPr>
      <w:bookmarkStart w:id="21" w:name="_Toc238235682"/>
      <w:r>
        <w:t>3.2 Systematic Literature Review (SLR)</w:t>
      </w:r>
      <w:bookmarkEnd w:id="21"/>
    </w:p>
    <w:p w14:paraId="2C492A35">
      <w:r>
        <w:t xml:space="preserve">A </w:t>
      </w:r>
      <w:r>
        <w:rPr>
          <w:b/>
          <w:bCs/>
        </w:rPr>
        <w:t>systematic literature review (SLR)</w:t>
      </w:r>
      <w:r>
        <w:t xml:space="preserve"> is a systematic and transparent research technique that is employed to find, critically evaluate and synthesise any existing evidence concerning a particular research question. Compared to conventional narrative reviews, an SLR involves predetermined steps to reduce selection bias and enhance the reliability and reproducibility of the findings (Gough, Thomas and Oliver, 2025). </w:t>
      </w:r>
    </w:p>
    <w:p w14:paraId="4CF24D39">
      <w:r>
        <w:t xml:space="preserve">The major aim of an </w:t>
      </w:r>
      <w:r>
        <w:rPr>
          <w:b/>
          <w:bCs/>
        </w:rPr>
        <w:t>SLR</w:t>
      </w:r>
      <w:r>
        <w:t xml:space="preserve"> is to give a broad perspective of the evidence available and to establish the gaps in knowledge and inform the decision-making process based on evidence. In this case, the SLR was suitable since it would allow the inclusion of qualitative research that would examine the clinical, social and structural issues that can affect postpartum complications among mothers who are below the age of 18 years. </w:t>
      </w:r>
    </w:p>
    <w:p w14:paraId="1F497DEF">
      <w:r>
        <w:t xml:space="preserve">The review adhered to identified steps, such as the creation of the research question, the development of the search strategy, the identification of the relevant literature, the screening of the included research in terms of meeting the predefined eligibility criteria, the quality assessment of the included literature, and the data extraction and thematic analysis. The systematic stages were applied, ensuring a high level of methodological consistency and enhancing the validity of the review results (Aromataris </w:t>
      </w:r>
      <w:r>
        <w:rPr>
          <w:i/>
          <w:iCs/>
        </w:rPr>
        <w:t>et al.,</w:t>
      </w:r>
      <w:r>
        <w:t xml:space="preserve"> 2022).</w:t>
      </w:r>
    </w:p>
    <w:p w14:paraId="0F0FB068">
      <w:pPr>
        <w:pStyle w:val="3"/>
      </w:pPr>
      <w:bookmarkStart w:id="22" w:name="_Toc238235683"/>
      <w:r>
        <w:t>3.3 Search Strategy</w:t>
      </w:r>
      <w:bookmarkEnd w:id="22"/>
      <w:r>
        <w:t xml:space="preserve"> </w:t>
      </w:r>
    </w:p>
    <w:p w14:paraId="66CA7C89">
      <w:r>
        <w:t xml:space="preserve">A search strategy is a methodical means of finding the literature of interest by applying well-thought-out search steps using proper databases, keywords and Boolean operators. A search strategy that is effective contributes to transparency, reproducibility and comprehensiveness since all the evidence that can answer the research question is taken into consideration (Kabir </w:t>
      </w:r>
      <w:r>
        <w:rPr>
          <w:i/>
          <w:iCs/>
        </w:rPr>
        <w:t xml:space="preserve">et al., </w:t>
      </w:r>
      <w:r>
        <w:t xml:space="preserve">2023). </w:t>
      </w:r>
    </w:p>
    <w:p w14:paraId="16C0E739">
      <w:r>
        <w:t>To conduct this review, an extensive electronic search was performed in specific healthcare and multidisciplinary databases based on the studies published between January 2020 and June 2026 to ensure that the evidence was up-to-date and represented the recent research and healthcare practice. Since the study focused on experiences and not interventions, the</w:t>
      </w:r>
      <w:r>
        <w:rPr>
          <w:b/>
          <w:bCs/>
        </w:rPr>
        <w:t xml:space="preserve"> PEO (Population–Exposure–Outcome) framework was used instead of PICO</w:t>
      </w:r>
      <w:r>
        <w:t>. The PEO framework is believed to be suitable for qualitative evidence synthesis as it organises the search around the population under study, exposure or problem of interest and results or experiences under investigation (Evans, 2022). The target population in this review was mothers younger than 18 years, exposure was the clinical, social and structural factors affecting postpartum health, and the outcome was the postpartum complications and postnatal experiences. This framework also ensured that the search was quite narrow, but one that was able to capture qualitative evidence that applied to the objectives of the research.</w:t>
      </w:r>
    </w:p>
    <w:p w14:paraId="47D1827C">
      <w:r>
        <w:t>The population in this review was mothers under 18 years of age, exposure was related to clinical, social and structural issues that influence postpartum health, and the outcome was postpartum complications and postnatal experiences. This model was used to create search terms and stayed focused to make the literature search systematic and directly related to the research objective (Evans, 2022).</w:t>
      </w:r>
    </w:p>
    <w:p w14:paraId="2B3B5D36">
      <w:pPr>
        <w:pStyle w:val="3"/>
      </w:pPr>
      <w:bookmarkStart w:id="23" w:name="_Toc238235684"/>
      <w:r>
        <w:t>3.4 Search terms</w:t>
      </w:r>
      <w:bookmarkEnd w:id="23"/>
    </w:p>
    <w:p w14:paraId="366FCEBF">
      <w:r>
        <w:t xml:space="preserve">The words and phrases, which are used to locate pertinent literature in electronic databases, are known as search terms. They are the basis of systematic literature review since they identify the sensitivity and accuracy of the search process. Well-chosen search terms can assist researchers in obtaining studies that will directly answer the research question and minimise the chances of missing appropriate evidence. Creation of detailed search terms thus enhances transparency, consistency and repeatability of the review procedure (Booth </w:t>
      </w:r>
      <w:r>
        <w:rPr>
          <w:i/>
          <w:iCs/>
        </w:rPr>
        <w:t>et al.,</w:t>
      </w:r>
      <w:r>
        <w:t xml:space="preserve"> 2022).</w:t>
      </w:r>
    </w:p>
    <w:p w14:paraId="0573BE09">
      <w:r>
        <w:t>Synonyms would also be important since various authors and databases have different terminologies that they may use to refer to the same thing. As an example, teenage mothers can also be termed as adolescent mothers, young mothers or mothers under the age of 18. Similarly, postpartum complications can be manifested as postnatal complications, puerperal complications or maternal morbidity. The use of synonyms expands the search and lowers retrieval bias in publications because it makes sure that any relevant studies that are written using different terminology are found (Lim, Kumar and Ali, 2022). These search terms were then systematically combined using binary operators. The operator OR increased search by connecting synonymous words in each concept, and AND reduced search by uniting the individual PEA concepts to extract studies that were specific to the research question.</w:t>
      </w:r>
    </w:p>
    <w:p w14:paraId="1862A2C2">
      <w:r>
        <w:t xml:space="preserve">Since this study focused on experiences and affecting factors, instead of assessing an intervention, the </w:t>
      </w:r>
      <w:r>
        <w:rPr>
          <w:b/>
          <w:bCs/>
        </w:rPr>
        <w:t>PEO (Population-Exposure-Outcome) framework</w:t>
      </w:r>
      <w:r>
        <w:t xml:space="preserve"> was chosen over the PICO framework. </w:t>
      </w:r>
    </w:p>
    <w:p w14:paraId="59371487">
      <w:r>
        <w:t xml:space="preserve">The </w:t>
      </w:r>
      <w:r>
        <w:rPr>
          <w:b/>
          <w:bCs/>
        </w:rPr>
        <w:t xml:space="preserve">PEO-based </w:t>
      </w:r>
      <w:r>
        <w:t>search question was:</w:t>
      </w:r>
    </w:p>
    <w:p w14:paraId="7B1326A6">
      <w:pPr>
        <w:spacing w:before="240" w:after="40"/>
        <w:rPr>
          <w:b/>
          <w:bCs/>
        </w:rPr>
      </w:pPr>
      <w:r>
        <w:rPr>
          <w:b/>
          <w:bCs/>
        </w:rPr>
        <w:t>Table 3.1: PEO Framework Used for the Literature Search</w:t>
      </w:r>
    </w:p>
    <w:tbl>
      <w:tblPr>
        <w:tblStyle w:val="29"/>
        <w:tblW w:w="917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1835"/>
        <w:gridCol w:w="7340"/>
      </w:tblGrid>
      <w:tr w14:paraId="2CD899F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83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C3EC3A0">
            <w:pPr>
              <w:jc w:val="center"/>
            </w:pPr>
            <w:r>
              <w:rPr>
                <w:b/>
                <w:bCs/>
                <w:sz w:val="22"/>
                <w:szCs w:val="22"/>
              </w:rPr>
              <w:t>PEO Component</w:t>
            </w:r>
          </w:p>
        </w:tc>
        <w:tc>
          <w:tcPr>
            <w:tcW w:w="734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123BE20">
            <w:pPr>
              <w:jc w:val="center"/>
            </w:pPr>
            <w:r>
              <w:rPr>
                <w:b/>
                <w:bCs/>
              </w:rPr>
              <w:t>Application to this Study</w:t>
            </w:r>
          </w:p>
        </w:tc>
      </w:tr>
      <w:tr w14:paraId="1C2B910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83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0422B32">
            <w:r>
              <w:rPr>
                <w:b/>
                <w:bCs/>
              </w:rPr>
              <w:t>Population (P)</w:t>
            </w:r>
          </w:p>
        </w:tc>
        <w:tc>
          <w:tcPr>
            <w:tcW w:w="734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776C610">
            <w:r>
              <w:t>Mothers below 18 years, adolescent mothers, teenage mothers, young mothers</w:t>
            </w:r>
          </w:p>
        </w:tc>
      </w:tr>
      <w:tr w14:paraId="6A2BF72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83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CC888DE">
            <w:r>
              <w:rPr>
                <w:b/>
                <w:bCs/>
              </w:rPr>
              <w:t>Exposure (E)</w:t>
            </w:r>
          </w:p>
        </w:tc>
        <w:tc>
          <w:tcPr>
            <w:tcW w:w="734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E4EACCD">
            <w:r>
              <w:t>Clinical factors, social determinants, structural barriers, postnatal healthcare access</w:t>
            </w:r>
          </w:p>
        </w:tc>
      </w:tr>
      <w:tr w14:paraId="3319B8B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83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C0DB1A3">
            <w:r>
              <w:rPr>
                <w:b/>
                <w:bCs/>
              </w:rPr>
              <w:t>Outcome (O)</w:t>
            </w:r>
          </w:p>
        </w:tc>
        <w:tc>
          <w:tcPr>
            <w:tcW w:w="734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06467CD">
            <w:r>
              <w:t>Postpartum complications, postnatal experiences, maternal recovery, maternal health outcomes</w:t>
            </w:r>
          </w:p>
        </w:tc>
      </w:tr>
    </w:tbl>
    <w:p w14:paraId="34995A8F">
      <w:pPr>
        <w:rPr>
          <w:i/>
          <w:iCs/>
        </w:rPr>
      </w:pPr>
      <w:r>
        <w:rPr>
          <w:b/>
          <w:bCs/>
        </w:rPr>
        <w:t xml:space="preserve">RQ 1: </w:t>
      </w:r>
      <w:r>
        <w:rPr>
          <w:i/>
          <w:iCs/>
        </w:rPr>
        <w:t>How do clinical, social and structural factors affect postpartum complications and postnatal experiences among mothers less than 18 years old?</w:t>
      </w:r>
    </w:p>
    <w:p w14:paraId="05B3CB70"/>
    <w:p w14:paraId="4D1E05F6">
      <w:r>
        <w:t xml:space="preserve">Searching of the databases was done with a combination of keywords and Boolean operators. First, all the synonyms that were available on the Population component were entered with the help of OR. The Exposure and Outcome elements were then subjected to the same, and the concepts were connected with the help of AND so as to give narrow search results (Page </w:t>
      </w:r>
      <w:r>
        <w:rPr>
          <w:i/>
          <w:iCs/>
        </w:rPr>
        <w:t>et al.,</w:t>
      </w:r>
      <w:r>
        <w:t xml:space="preserve"> 2022).</w:t>
      </w:r>
    </w:p>
    <w:p w14:paraId="42CA578B">
      <w:pPr>
        <w:rPr>
          <w:b/>
          <w:bCs/>
        </w:rPr>
      </w:pPr>
      <w:r>
        <w:rPr>
          <w:b/>
          <w:bCs/>
        </w:rPr>
        <w:t>Search 1 (Population):</w:t>
      </w:r>
    </w:p>
    <w:p w14:paraId="4DAD8C2C">
      <w:r>
        <w:t>And (adolescent mother" OR teenage mother" OR young mother" OR mother under 18")</w:t>
      </w:r>
    </w:p>
    <w:p w14:paraId="54C4ED36">
      <w:pPr>
        <w:rPr>
          <w:b/>
          <w:bCs/>
        </w:rPr>
      </w:pPr>
      <w:r>
        <w:rPr>
          <w:b/>
          <w:bCs/>
        </w:rPr>
        <w:t>Search 2 (Exposure):</w:t>
      </w:r>
    </w:p>
    <w:p w14:paraId="4EB2338B">
      <w:r>
        <w:t>And, clinical factor" OR "social determinant" OR "structural barrier" OR "healthcare access" OR "postnatal care).</w:t>
      </w:r>
    </w:p>
    <w:p w14:paraId="4F74BE53">
      <w:pPr>
        <w:rPr>
          <w:b/>
          <w:bCs/>
        </w:rPr>
      </w:pPr>
      <w:r>
        <w:rPr>
          <w:b/>
          <w:bCs/>
        </w:rPr>
        <w:t>Search 3 (Outcome):</w:t>
      </w:r>
    </w:p>
    <w:p w14:paraId="075BDBAF">
      <w:r>
        <w:t>And: postpartum complication (OR postnatal complication) (OR maternal morbidity) (OR postpartum recovery) (OR postnatal experience).</w:t>
      </w:r>
    </w:p>
    <w:p w14:paraId="40D49009">
      <w:pPr>
        <w:rPr>
          <w:b/>
          <w:bCs/>
        </w:rPr>
      </w:pPr>
      <w:r>
        <w:rPr>
          <w:b/>
          <w:bCs/>
        </w:rPr>
        <w:t>Final database search:</w:t>
      </w:r>
    </w:p>
    <w:p w14:paraId="684DCC66">
      <w:r>
        <w:t>Search 1: (Search 2) AND (Search 3)</w:t>
      </w:r>
    </w:p>
    <w:p w14:paraId="228E0450">
      <w:r>
        <w:t xml:space="preserve">The same systematic method was consistently used in all the chosen databases to provide a thorough, transparent and reproducible search strategy and to select those studies that directly fulfilled the aims of the research (Mancin </w:t>
      </w:r>
      <w:r>
        <w:rPr>
          <w:i/>
          <w:iCs/>
        </w:rPr>
        <w:t>et al.,</w:t>
      </w:r>
      <w:r>
        <w:t xml:space="preserve"> 2024).</w:t>
      </w:r>
    </w:p>
    <w:p w14:paraId="1784A068">
      <w:r>
        <w:rPr>
          <w:color w:val="0E101A"/>
        </w:rPr>
        <w:t xml:space="preserve">Keywords are the major words that symbolise the major ideas of a research topic and help to retrieve the related studies within electronic databases. The accuracy, sensitivity and efficiency of search within any database can be enhanced by using a combination of suitable keywords to make sure that evidence directly pertinent to the research question is found (Kabir </w:t>
      </w:r>
      <w:r>
        <w:rPr>
          <w:i/>
          <w:iCs/>
          <w:color w:val="0E101A"/>
        </w:rPr>
        <w:t xml:space="preserve">et al., </w:t>
      </w:r>
      <w:r>
        <w:rPr>
          <w:color w:val="0E101A"/>
        </w:rPr>
        <w:t>2023). Adolescent mothers, teenage mothers, postpartum complications, postnatal care, maternal health, social determinants, structural barriers, and postpartum experiences were the main keywords employed in this review.</w:t>
      </w:r>
      <w:r>
        <w:t xml:space="preserve"> </w:t>
      </w:r>
    </w:p>
    <w:p w14:paraId="4D034B58">
      <w:pPr>
        <w:pStyle w:val="3"/>
      </w:pPr>
      <w:bookmarkStart w:id="24" w:name="_Toc238235685"/>
      <w:r>
        <w:t>3.6 Databases</w:t>
      </w:r>
      <w:bookmarkEnd w:id="24"/>
    </w:p>
    <w:p w14:paraId="59EC88B1">
      <w:r>
        <w:t xml:space="preserve">The systematic search of the recognised healthcare and multidisciplinary electronic databases was used to identify relevant literature. </w:t>
      </w:r>
    </w:p>
    <w:p w14:paraId="25C707CB">
      <w:r>
        <w:t xml:space="preserve">Searching databases is an essential aspect of a systematic review as it helps scientists to access peer-reviewed and evidence-based research published in reputable academic journals. It is advisable to search several databases to reduce the risk of publication bias and maximise the evidence coverage since not all the relevant research is indexed in one database (Booth </w:t>
      </w:r>
      <w:r>
        <w:rPr>
          <w:i/>
          <w:iCs/>
        </w:rPr>
        <w:t>et al.</w:t>
      </w:r>
      <w:r>
        <w:t xml:space="preserve">, 2022). In the same way, the Joanna Briggs Institute also suggests multiple databases to enhance the level of transparency and completeness of evidence synthesis by including studies published in various fields and publishers (Aromataris </w:t>
      </w:r>
      <w:r>
        <w:rPr>
          <w:i/>
          <w:iCs/>
        </w:rPr>
        <w:t>et al.,</w:t>
      </w:r>
      <w:r>
        <w:t xml:space="preserve"> 2022). </w:t>
      </w:r>
    </w:p>
    <w:p w14:paraId="51B23BF1">
      <w:r>
        <w:t>Based on this, this review used PubMed, CINAHL, Scopus, ScienceDirect, MEDLINE and Google Scholar. PubMed and MEDLINE were chosen on the basis of biomedical and public health publications, CINAHL on the basis of nursing and allied health research publications, Scopus on the basis of multidisciplinary peer-reviewed publications, ScienceDirect on the basis of health and social science publications and Google Scholar to search further grey literature and citation tracking. The use of such complementary databases enhanced the scope, quality and reliability of the evidence used in the review.</w:t>
      </w:r>
    </w:p>
    <w:p w14:paraId="21E0CFA5">
      <w:r>
        <w:t xml:space="preserve"> </w:t>
      </w:r>
    </w:p>
    <w:p w14:paraId="394D5F46">
      <w:pPr>
        <w:pStyle w:val="3"/>
      </w:pPr>
      <w:bookmarkStart w:id="25" w:name="_Toc238235686"/>
      <w:r>
        <w:t>3.7 Inclusion/Exclusion Criteria</w:t>
      </w:r>
      <w:bookmarkEnd w:id="25"/>
    </w:p>
    <w:p w14:paraId="35FA577A">
      <w:pPr>
        <w:rPr>
          <w:b/>
          <w:bCs/>
        </w:rPr>
      </w:pPr>
      <w:r>
        <w:rPr>
          <w:b/>
          <w:bCs/>
        </w:rPr>
        <w:t>Table 3.7 Inclusion and Exclusion Criteria</w:t>
      </w:r>
    </w:p>
    <w:tbl>
      <w:tblPr>
        <w:tblStyle w:val="30"/>
        <w:tblW w:w="933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1655"/>
        <w:gridCol w:w="4070"/>
        <w:gridCol w:w="3605"/>
      </w:tblGrid>
      <w:tr w14:paraId="3DC8EF9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15" w:hRule="atLeast"/>
        </w:trPr>
        <w:tc>
          <w:tcPr>
            <w:tcW w:w="16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3146E40">
            <w:pPr>
              <w:jc w:val="center"/>
            </w:pPr>
            <w:r>
              <w:rPr>
                <w:b/>
                <w:bCs/>
              </w:rPr>
              <w:t>Criterion</w:t>
            </w:r>
          </w:p>
        </w:tc>
        <w:tc>
          <w:tcPr>
            <w:tcW w:w="4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4F02192">
            <w:pPr>
              <w:jc w:val="center"/>
            </w:pPr>
            <w:r>
              <w:rPr>
                <w:b/>
                <w:bCs/>
              </w:rPr>
              <w:t>Inclusion</w:t>
            </w:r>
          </w:p>
        </w:tc>
        <w:tc>
          <w:tcPr>
            <w:tcW w:w="360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E49B2C5">
            <w:pPr>
              <w:jc w:val="center"/>
            </w:pPr>
            <w:r>
              <w:rPr>
                <w:b/>
                <w:bCs/>
              </w:rPr>
              <w:t>Exclusion</w:t>
            </w:r>
          </w:p>
        </w:tc>
      </w:tr>
      <w:tr w14:paraId="1F501DD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15" w:hRule="atLeast"/>
        </w:trPr>
        <w:tc>
          <w:tcPr>
            <w:tcW w:w="16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D9C4895">
            <w:pPr>
              <w:rPr>
                <w:b/>
                <w:bCs/>
                <w:i/>
                <w:iCs/>
              </w:rPr>
            </w:pPr>
            <w:r>
              <w:rPr>
                <w:b/>
                <w:bCs/>
                <w:i/>
                <w:iCs/>
              </w:rPr>
              <w:t>Population</w:t>
            </w:r>
          </w:p>
        </w:tc>
        <w:tc>
          <w:tcPr>
            <w:tcW w:w="4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CEA72DD">
            <w:r>
              <w:t>Mothers under 18 years</w:t>
            </w:r>
          </w:p>
        </w:tc>
        <w:tc>
          <w:tcPr>
            <w:tcW w:w="360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A621D61">
            <w:r>
              <w:t>Mothers aged 18 years or above</w:t>
            </w:r>
          </w:p>
        </w:tc>
      </w:tr>
      <w:tr w14:paraId="7C2386D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6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6D57191">
            <w:pPr>
              <w:rPr>
                <w:b/>
                <w:bCs/>
                <w:i/>
                <w:iCs/>
              </w:rPr>
            </w:pPr>
            <w:r>
              <w:rPr>
                <w:b/>
                <w:bCs/>
                <w:i/>
                <w:iCs/>
              </w:rPr>
              <w:t>Topic</w:t>
            </w:r>
          </w:p>
        </w:tc>
        <w:tc>
          <w:tcPr>
            <w:tcW w:w="4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423F73D">
            <w:r>
              <w:t>Postpartum complications and postnatal experiences</w:t>
            </w:r>
          </w:p>
        </w:tc>
        <w:tc>
          <w:tcPr>
            <w:tcW w:w="360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5DC18CF">
            <w:r>
              <w:t>Pregnancy-only outcomes unrelated to postpartum period</w:t>
            </w:r>
          </w:p>
        </w:tc>
      </w:tr>
      <w:tr w14:paraId="3EAE13F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6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A8CE621">
            <w:pPr>
              <w:rPr>
                <w:b/>
                <w:bCs/>
                <w:i/>
                <w:iCs/>
              </w:rPr>
            </w:pPr>
            <w:r>
              <w:rPr>
                <w:b/>
                <w:bCs/>
                <w:i/>
                <w:iCs/>
              </w:rPr>
              <w:t>Evidence</w:t>
            </w:r>
          </w:p>
        </w:tc>
        <w:tc>
          <w:tcPr>
            <w:tcW w:w="4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2AAE3BD">
            <w:r>
              <w:t>Peer-reviewed empirical studies</w:t>
            </w:r>
          </w:p>
        </w:tc>
        <w:tc>
          <w:tcPr>
            <w:tcW w:w="360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D6EE171">
            <w:r>
              <w:t>Editorials, commentaries and non-empirical publications</w:t>
            </w:r>
          </w:p>
        </w:tc>
      </w:tr>
      <w:tr w14:paraId="47BCCE9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6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43F1E9B">
            <w:pPr>
              <w:rPr>
                <w:b/>
                <w:bCs/>
                <w:i/>
                <w:iCs/>
              </w:rPr>
            </w:pPr>
            <w:r>
              <w:rPr>
                <w:b/>
                <w:bCs/>
                <w:i/>
                <w:iCs/>
              </w:rPr>
              <w:t>Publication period</w:t>
            </w:r>
          </w:p>
        </w:tc>
        <w:tc>
          <w:tcPr>
            <w:tcW w:w="4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69131A3">
            <w:r>
              <w:t>January 2020–June 2026</w:t>
            </w:r>
          </w:p>
        </w:tc>
        <w:tc>
          <w:tcPr>
            <w:tcW w:w="360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47ACB0B">
            <w:r>
              <w:t>Published before January 2020</w:t>
            </w:r>
          </w:p>
        </w:tc>
      </w:tr>
      <w:tr w14:paraId="3B72CED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15" w:hRule="atLeast"/>
        </w:trPr>
        <w:tc>
          <w:tcPr>
            <w:tcW w:w="16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03F0A1E">
            <w:pPr>
              <w:rPr>
                <w:b/>
                <w:bCs/>
                <w:i/>
                <w:iCs/>
              </w:rPr>
            </w:pPr>
            <w:r>
              <w:rPr>
                <w:b/>
                <w:bCs/>
                <w:i/>
                <w:iCs/>
              </w:rPr>
              <w:t>Language</w:t>
            </w:r>
          </w:p>
        </w:tc>
        <w:tc>
          <w:tcPr>
            <w:tcW w:w="4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3F1D6E0">
            <w:r>
              <w:t>English</w:t>
            </w:r>
          </w:p>
        </w:tc>
        <w:tc>
          <w:tcPr>
            <w:tcW w:w="360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C281D28">
            <w:r>
              <w:t>Non-English publications</w:t>
            </w:r>
          </w:p>
        </w:tc>
      </w:tr>
      <w:tr w14:paraId="28BE87D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970" w:hRule="atLeast"/>
        </w:trPr>
        <w:tc>
          <w:tcPr>
            <w:tcW w:w="16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E3C5835">
            <w:pPr>
              <w:rPr>
                <w:b/>
                <w:bCs/>
                <w:i/>
                <w:iCs/>
              </w:rPr>
            </w:pPr>
            <w:r>
              <w:rPr>
                <w:b/>
                <w:bCs/>
                <w:i/>
                <w:iCs/>
              </w:rPr>
              <w:t>Geography</w:t>
            </w:r>
          </w:p>
        </w:tc>
        <w:tc>
          <w:tcPr>
            <w:tcW w:w="4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EAD3079">
            <w:r>
              <w:t>UK-focused evidence</w:t>
            </w:r>
          </w:p>
        </w:tc>
        <w:tc>
          <w:tcPr>
            <w:tcW w:w="360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DC8B4F7">
            <w:r>
              <w:t>Evidence with no relevance to the UK context</w:t>
            </w:r>
          </w:p>
        </w:tc>
      </w:tr>
      <w:tr w14:paraId="6E6D350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65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5A734FE">
            <w:pPr>
              <w:rPr>
                <w:b/>
                <w:bCs/>
                <w:i/>
                <w:iCs/>
              </w:rPr>
            </w:pPr>
            <w:r>
              <w:rPr>
                <w:b/>
                <w:bCs/>
                <w:i/>
                <w:iCs/>
              </w:rPr>
              <w:t>Study design</w:t>
            </w:r>
          </w:p>
        </w:tc>
        <w:tc>
          <w:tcPr>
            <w:tcW w:w="4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E663239">
            <w:r>
              <w:t>Qualitative, quantitative and mixed-methods studies where relevant</w:t>
            </w:r>
          </w:p>
        </w:tc>
        <w:tc>
          <w:tcPr>
            <w:tcW w:w="360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FB9A05F">
            <w:r>
              <w:t>Studies without relevant empirical data</w:t>
            </w:r>
          </w:p>
        </w:tc>
      </w:tr>
    </w:tbl>
    <w:p w14:paraId="1E78BB0D">
      <w:r>
        <w:t xml:space="preserve"> </w:t>
      </w:r>
    </w:p>
    <w:p w14:paraId="35A156A8">
      <w:pPr>
        <w:pStyle w:val="3"/>
      </w:pPr>
      <w:bookmarkStart w:id="26" w:name="_Toc238235687"/>
      <w:r>
        <w:t>3.8 Search Results</w:t>
      </w:r>
      <w:bookmarkEnd w:id="26"/>
    </w:p>
    <w:p w14:paraId="4A5CCF79">
      <w:r>
        <w:t xml:space="preserve">The literature search was done systematically by applying the search strategy, keywords and eligibility criteria which had been pre-defined. The searches in PubMed, MEDLINE, CINAHL, Scopus, ScienceDirect and Google Scholar initially yielded 1,248 records. Therefore, 20 studies passed all the eligibility criteria and were incorporated in the final qualitative synthesis. The PRISMA 2020 reporting guideline was used in the study selection process; this gives a clear-cut guideline on how to write the study identification, screening, eligibility assessment and inclusion. PRISMA increased the transparency, reproducibility and methodological rigour of the review by ensuring that the process of the systematic identification, screening and selection of the included studies is well-illustrated (Page </w:t>
      </w:r>
      <w:r>
        <w:rPr>
          <w:i/>
          <w:iCs/>
        </w:rPr>
        <w:t>et al.,</w:t>
      </w:r>
      <w:r>
        <w:t xml:space="preserve"> 2022).</w:t>
      </w:r>
    </w:p>
    <w:p w14:paraId="4340391B">
      <w:pPr>
        <w:jc w:val="center"/>
        <w:rPr>
          <w:color w:val="0E101A"/>
        </w:rPr>
      </w:pPr>
      <w:r>
        <w:rPr>
          <w:color w:val="0E101A"/>
          <w:lang w:val="en-IN" w:eastAsia="en-IN" w:bidi="ar-SA"/>
        </w:rPr>
        <w:drawing>
          <wp:inline distT="114300" distB="114300" distL="114300" distR="114300">
            <wp:extent cx="5943600" cy="6197600"/>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referRelativeResize="0"/>
                  </pic:nvPicPr>
                  <pic:blipFill>
                    <a:blip r:embed="rId13"/>
                    <a:srcRect/>
                    <a:stretch>
                      <a:fillRect/>
                    </a:stretch>
                  </pic:blipFill>
                  <pic:spPr>
                    <a:xfrm>
                      <a:off x="0" y="0"/>
                      <a:ext cx="5943600" cy="6197600"/>
                    </a:xfrm>
                    <a:prstGeom prst="rect">
                      <a:avLst/>
                    </a:prstGeom>
                    <a:ln w="25400">
                      <a:solidFill>
                        <a:srgbClr val="000000"/>
                      </a:solidFill>
                      <a:prstDash val="solid"/>
                    </a:ln>
                  </pic:spPr>
                </pic:pic>
              </a:graphicData>
            </a:graphic>
          </wp:inline>
        </w:drawing>
      </w:r>
    </w:p>
    <w:p w14:paraId="6DA1755E">
      <w:pPr>
        <w:jc w:val="center"/>
        <w:rPr>
          <w:b/>
          <w:bCs/>
          <w:color w:val="0E101A"/>
        </w:rPr>
      </w:pPr>
      <w:r>
        <w:rPr>
          <w:b/>
          <w:bCs/>
          <w:color w:val="0E101A"/>
        </w:rPr>
        <w:t>Figure 1: PRISMA flow Diagram</w:t>
      </w:r>
    </w:p>
    <w:p w14:paraId="71F3AFE2">
      <w:pPr>
        <w:jc w:val="center"/>
        <w:rPr>
          <w:b/>
          <w:bCs/>
          <w:color w:val="0E101A"/>
        </w:rPr>
      </w:pPr>
      <w:r>
        <w:rPr>
          <w:b/>
          <w:bCs/>
          <w:color w:val="0E101A"/>
        </w:rPr>
        <w:t>(Self-Created)</w:t>
      </w:r>
    </w:p>
    <w:p w14:paraId="346E5C5D">
      <w:pPr>
        <w:rPr>
          <w:color w:val="0E101A"/>
        </w:rPr>
      </w:pPr>
    </w:p>
    <w:p w14:paraId="0D1B17C3"/>
    <w:p w14:paraId="40E7EEC9">
      <w:r>
        <w:t xml:space="preserve"> </w:t>
      </w:r>
    </w:p>
    <w:p w14:paraId="5B21D332">
      <w:r>
        <w:t xml:space="preserve"> </w:t>
      </w:r>
    </w:p>
    <w:p w14:paraId="5C105FFA">
      <w:r>
        <w:t xml:space="preserve"> </w:t>
      </w:r>
    </w:p>
    <w:p w14:paraId="2DB8CD1B">
      <w:pPr>
        <w:pStyle w:val="3"/>
      </w:pPr>
      <w:bookmarkStart w:id="27" w:name="_Toc238235688"/>
      <w:r>
        <w:t>3.9 Ethical Considerations</w:t>
      </w:r>
      <w:bookmarkEnd w:id="27"/>
    </w:p>
    <w:p w14:paraId="460EADA5">
      <w:r>
        <w:t>Research ethics are principles that guide research in a way that allows honest, transparent and responsible conduct that safeguards the integrity of the evidence and addresses the rights of the research participants. Since this paper was based on the secondary analysis of data, there was no primary data gathered, and no formal institutional ethical approval was needed. However, ethical considerations were considered during the review process, so only peer-reviewed studies, official policy documents and published reports, which had their ethical approval in place before publication, were included. The correct citation techniques were adhered to, to provide credit to all original authors and prevent plagiarism, and the studies were carefully assessed based on the accepted quality appraisal criteria to provide credibility and reliability of the evidence (Evans, 2022).</w:t>
      </w:r>
    </w:p>
    <w:p w14:paraId="46D44867">
      <w:pPr>
        <w:pStyle w:val="3"/>
      </w:pPr>
      <w:bookmarkStart w:id="28" w:name="_Toc238235689"/>
      <w:r>
        <w:t>3.10 Chapter Summary</w:t>
      </w:r>
      <w:bookmarkEnd w:id="28"/>
    </w:p>
    <w:p w14:paraId="2F3F3816">
      <w:pPr>
        <w:sectPr>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sectPr>
      </w:pPr>
      <w:r>
        <w:t>This chapter outlined the approach that will be used to explore postpartum complications in mothers under the age of 18 years using a qualitative systematic literature review. It described the method of systematic review, search strategy, search terms, keywords, databases searched, eligibility criteria, process of search selection and ethical issues. By employing the PRISMA framework and CASP quality appraisal, the transparency and methodological rigour of the review were enhanced, and only the high-quality evidence was used to inform the study. With the methodological approach established, Chapter Four shows the results of the qualitative synthesis as the included studies were analysed based on the most significant themes identified based on the evidence.</w:t>
      </w:r>
    </w:p>
    <w:p w14:paraId="2DB5D6BF">
      <w:pPr>
        <w:pStyle w:val="2"/>
      </w:pPr>
      <w:bookmarkStart w:id="29" w:name="_Toc238235690"/>
      <w:r>
        <w:t>CHAPTER 4: DATA EXTRACTION AND EVALUATION</w:t>
      </w:r>
      <w:bookmarkEnd w:id="29"/>
    </w:p>
    <w:p w14:paraId="3E1F5213">
      <w:pPr>
        <w:pStyle w:val="3"/>
      </w:pPr>
      <w:bookmarkStart w:id="30" w:name="_Toc238235691"/>
      <w:r>
        <w:t>4.1 Introduction to Chapter</w:t>
      </w:r>
      <w:bookmarkEnd w:id="30"/>
    </w:p>
    <w:p w14:paraId="1B1F619C">
      <w:pPr>
        <w:rPr>
          <w:b/>
          <w:bCs/>
        </w:rPr>
      </w:pPr>
      <w:r>
        <w:t>This chapter discusses the data extraction and quality assessment of the 20 studies that were involved in the systematic literature review. After the systematic search and selection procedure outlined in Chapter 3, the included studies were analysed to determine their methodological features, research objectives, research designs, populations, settings and key findings. It was done using a structured data extraction form to provide consistency and transparency of the review process. The quality of the methodological approach of each study was then evaluated with the help of a proper critical appraisal tool to assess the credibility and reliability of the evidence. The data that was extracted and the results of the critical appraisal are detailed in Appendix A and Appendix B, respectively.</w:t>
      </w:r>
    </w:p>
    <w:p w14:paraId="47A62F03">
      <w:pPr>
        <w:rPr>
          <w:sz w:val="26"/>
          <w:szCs w:val="26"/>
        </w:rPr>
      </w:pPr>
      <w:r>
        <w:rPr>
          <w:b/>
          <w:bCs/>
        </w:rPr>
        <w:t xml:space="preserve">Table 4.1: Characteristics of Included Studies </w:t>
      </w:r>
    </w:p>
    <w:tbl>
      <w:tblPr>
        <w:tblStyle w:val="31"/>
        <w:tblW w:w="936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1971"/>
        <w:gridCol w:w="1689"/>
        <w:gridCol w:w="2236"/>
        <w:gridCol w:w="3464"/>
      </w:tblGrid>
      <w:tr w14:paraId="3C1F3F6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1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3197F92">
            <w:pPr>
              <w:jc w:val="center"/>
            </w:pPr>
            <w:r>
              <w:rPr>
                <w:b/>
                <w:bCs/>
              </w:rPr>
              <w:t>Study</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E1791E2">
            <w:pPr>
              <w:jc w:val="center"/>
            </w:pPr>
            <w:r>
              <w:rPr>
                <w:b/>
                <w:bCs/>
              </w:rPr>
              <w:t>Setting</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D2C3462">
            <w:pPr>
              <w:jc w:val="center"/>
            </w:pPr>
            <w:r>
              <w:rPr>
                <w:b/>
                <w:bCs/>
              </w:rPr>
              <w:t>Design</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B1F1918">
            <w:pPr>
              <w:jc w:val="center"/>
            </w:pPr>
            <w:r>
              <w:rPr>
                <w:b/>
                <w:bCs/>
              </w:rPr>
              <w:t>Main focus</w:t>
            </w:r>
          </w:p>
        </w:tc>
      </w:tr>
      <w:tr w14:paraId="4CFAA5F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EBD996F">
            <w:r>
              <w:t>Abdul Rahim et al. (2024)</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340EB39">
            <w:r>
              <w:t>International</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C7EE1B6">
            <w:r>
              <w:t>Systematic review and meta-analysis</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D42B087">
            <w:r>
              <w:t>Mental health outcomes among adolescent mothers</w:t>
            </w:r>
          </w:p>
        </w:tc>
      </w:tr>
      <w:tr w14:paraId="313D6EC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199369A">
            <w:r>
              <w:t>Ahadi-Yulghunlu et al. (2026)</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3E5EE04">
            <w:r>
              <w:t>International</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0D3CEBA">
            <w:r>
              <w:t>Systematic review and meta-analysis</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18C1D06">
            <w:r>
              <w:t>Postpartum psychological outcomes</w:t>
            </w:r>
          </w:p>
        </w:tc>
      </w:tr>
      <w:tr w14:paraId="2A7D791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A9E835A">
            <w:r>
              <w:t>Alex-Ojei et al. (2023)</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38CEB97">
            <w:r>
              <w:t>Nigeria</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22C4776">
            <w:r>
              <w:t>Qualitative</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2FFA6B0">
            <w:r>
              <w:t>Maternal healthcare experiences among adolescent mothers</w:t>
            </w:r>
          </w:p>
        </w:tc>
      </w:tr>
      <w:tr w14:paraId="4C072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37B77E0">
            <w:r>
              <w:t>Clarke et al. (2024)</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2D15D82">
            <w:r>
              <w:t>International</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EF1350B">
            <w:r>
              <w:t>Systematic review</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B9FB3D7">
            <w:r>
              <w:t>Digital mental health screening during pregnancy and postpartum</w:t>
            </w:r>
          </w:p>
        </w:tc>
      </w:tr>
      <w:tr w14:paraId="32D5BA8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17A5150">
            <w:r>
              <w:t>Crooks et al. (2022)</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0BE7D82">
            <w:r>
              <w:t>LMICs</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3A67C3D">
            <w:r>
              <w:t>Qualitative meta-synthesis</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1093C7E">
            <w:r>
              <w:t>Adolescent pregnancy experiences</w:t>
            </w:r>
          </w:p>
        </w:tc>
      </w:tr>
      <w:tr w14:paraId="41CE583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3BB8E78">
            <w:r>
              <w:t>Flaherty and Sadler (2022)</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E53727E">
            <w:r>
              <w:t>International</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B7E3B06">
            <w:r>
              <w:t>Integrative literature review</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D99B440">
            <w:r>
              <w:t>Parenting stress among adolescent mothers</w:t>
            </w:r>
          </w:p>
        </w:tc>
      </w:tr>
      <w:tr w14:paraId="10AE70F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D5F0C9C">
            <w:r>
              <w:t>Javadi et al. (2023)</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A59834F">
            <w:r>
              <w:t>International</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EE4015E">
            <w:r>
              <w:t>Qualitative evidence synthesis</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CDA5E0E">
            <w:r>
              <w:t>Uptake of postnatal care among adolescent girls</w:t>
            </w:r>
          </w:p>
        </w:tc>
      </w:tr>
      <w:tr w14:paraId="1E80316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2CCEC11">
            <w:r>
              <w:t>MacLellan et al. (2022)</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E6B83A4">
            <w:r>
              <w:t>UK</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D5812A4">
            <w:r>
              <w:t>Qualitative evidence synthesis</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AAA8D1E">
            <w:r>
              <w:t>Maternity service experiences</w:t>
            </w:r>
          </w:p>
        </w:tc>
      </w:tr>
      <w:tr w14:paraId="3ED6C92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99E28DC">
            <w:r>
              <w:t>Namutebi et al. (2022)</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1633413">
            <w:r>
              <w:t>Uganda</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289D612">
            <w:r>
              <w:t>Qualitative</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7F3CF90">
            <w:r>
              <w:t>Postpartum healthcare needs of teenage mothers</w:t>
            </w:r>
          </w:p>
        </w:tc>
      </w:tr>
      <w:tr w14:paraId="556DE1D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D7D2570">
            <w:r>
              <w:t>Scroggins (2023)</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70B7615">
            <w:r>
              <w:t>USA</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453A180">
            <w:r>
              <w:t>Mixed methods</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A43E6B4">
            <w:r>
              <w:t>Postpartum physical and mental health symptoms</w:t>
            </w:r>
          </w:p>
        </w:tc>
      </w:tr>
      <w:tr w14:paraId="085CEEA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24C0E34">
            <w:r>
              <w:t>Tenaw et al. (2024)</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6775372">
            <w:r>
              <w:t>International</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0684690">
            <w:r>
              <w:t>Qualitative meta-synthesis</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0DD84CF">
            <w:r>
              <w:t>Childbirth experiences and postnatal challenges</w:t>
            </w:r>
          </w:p>
        </w:tc>
      </w:tr>
      <w:tr w14:paraId="1F96D35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E96D4BB">
            <w:r>
              <w:t>Tolossa et al. (2024)</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968239E">
            <w:r>
              <w:t>Sub-Saharan Africa</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B23073B">
            <w:r>
              <w:t>Systematic review and meta-analysis</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E3DB4E1">
            <w:r>
              <w:t>Adolescent maternal health service utilisation and barriers</w:t>
            </w:r>
          </w:p>
        </w:tc>
      </w:tr>
      <w:tr w14:paraId="0BFDAB9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1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E791894">
            <w:r>
              <w:t>WHO (2024)</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B25AF0B">
            <w:r>
              <w:t>International</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19DFA5B">
            <w:r>
              <w:t>Evidence report</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E388E05">
            <w:r>
              <w:t>Maternal and adolescent health</w:t>
            </w:r>
          </w:p>
        </w:tc>
      </w:tr>
      <w:tr w14:paraId="38682E3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19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5277D77">
            <w:r>
              <w:t>NHS England Digital (2026)</w:t>
            </w:r>
          </w:p>
        </w:tc>
        <w:tc>
          <w:tcPr>
            <w:tcW w:w="168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9A49E53">
            <w:r>
              <w:t>UK</w:t>
            </w:r>
          </w:p>
        </w:tc>
        <w:tc>
          <w:tcPr>
            <w:tcW w:w="223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8A6F1AB">
            <w:r>
              <w:t>National evidence report</w:t>
            </w:r>
          </w:p>
        </w:tc>
        <w:tc>
          <w:tcPr>
            <w:tcW w:w="34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D145F10">
            <w:r>
              <w:t>Maternity and postnatal healthcare data</w:t>
            </w:r>
          </w:p>
        </w:tc>
      </w:tr>
    </w:tbl>
    <w:p w14:paraId="0F71D535">
      <w:r>
        <w:t>The characteristics of the studies included are outlined in Table 4.1, such as their geographical setting, methodological design, data sources and main focus. The table illustrates the methodological diversity of the evidence base and allows for an easy overview of the studies before critical appraisal and synthesis of the evidence to give a complete picture.</w:t>
      </w:r>
    </w:p>
    <w:p w14:paraId="35685E4D">
      <w:pPr>
        <w:pStyle w:val="4"/>
        <w:keepNext w:val="0"/>
        <w:keepLines w:val="0"/>
        <w:rPr>
          <w:i w:val="0"/>
          <w:iCs w:val="0"/>
          <w:sz w:val="26"/>
          <w:szCs w:val="26"/>
        </w:rPr>
      </w:pPr>
      <w:bookmarkStart w:id="31" w:name="_heading=h.lsjz7sd0yiyh" w:colFirst="0" w:colLast="0"/>
      <w:bookmarkEnd w:id="31"/>
    </w:p>
    <w:p w14:paraId="7BE5C977"/>
    <w:p w14:paraId="40AAEBE3">
      <w:pPr>
        <w:pStyle w:val="3"/>
      </w:pPr>
      <w:bookmarkStart w:id="32" w:name="_Toc238235692"/>
      <w:r>
        <w:t>4.2 Data Extraction</w:t>
      </w:r>
      <w:bookmarkEnd w:id="32"/>
    </w:p>
    <w:p w14:paraId="2C95E8C7">
      <w:pPr>
        <w:rPr>
          <w:b/>
          <w:bCs/>
        </w:rPr>
      </w:pPr>
      <w:r>
        <w:t xml:space="preserve">Data extraction The data extraction process is the procedure of finding the appropriate information in the chosen studies with the help of a specific and standardised template to be consistent, reduce bias and enable the comparison of the included evidence (Booth </w:t>
      </w:r>
      <w:r>
        <w:rPr>
          <w:i/>
          <w:iCs/>
        </w:rPr>
        <w:t xml:space="preserve">et al., </w:t>
      </w:r>
      <w:r>
        <w:t xml:space="preserve">2022). After making the final selection of 20 eligible studies, data were extracted using a structured data extraction form that was specifically designed to do so in this review. The features which were extracted were the author and the year of publication, country of the research, research objective, study design, characteristics of the population, sample size, data collection methods, method of analysis and the key results about the mental health experiences of adolescent mothers in the postpartum period. By recording these attributes, it was possible to identify similarities and differences across studies and have a clear evidence base on which the thematic synthesis, described in the next chapter, could be based. The final data extraction table can be found in </w:t>
      </w:r>
      <w:r>
        <w:rPr>
          <w:b/>
          <w:bCs/>
        </w:rPr>
        <w:t xml:space="preserve">Appendix A. </w:t>
      </w:r>
    </w:p>
    <w:p w14:paraId="1D6E5216">
      <w:pPr>
        <w:pStyle w:val="3"/>
      </w:pPr>
      <w:bookmarkStart w:id="33" w:name="_Toc238235693"/>
      <w:r>
        <w:t>4.3 Brief introduction to critical appraisal and paper quality assessment</w:t>
      </w:r>
      <w:bookmarkEnd w:id="33"/>
    </w:p>
    <w:p w14:paraId="29CDB667">
      <w:r>
        <w:t xml:space="preserve">The critical appraisal is defined as a process of methodically assessing research studies to evaluate their methodological quality, credibility, relevance and a possible risk of bias before their inclusion in the synthesis of evidence (Haile, 2022). A critical appraisal is a crucial step in a systematic literature review since it guarantees that conclusions are made based on strong and credible evidence, and not studies with severe methodological shortcomings (Humayoun </w:t>
      </w:r>
      <w:r>
        <w:rPr>
          <w:i/>
          <w:iCs/>
        </w:rPr>
        <w:t>et al.,</w:t>
      </w:r>
      <w:r>
        <w:t xml:space="preserve"> 2024). As the literature included was qualitative research, qualitative evidence syntheses, systematic reviews, meta-syntheses and mixed-methods research, the Critical Appraisal Skills Programme (CASP) Qualitative Checklist (2024) was chosen as the main appraisal guide since it offers systematic criteria to evaluate the research aims, methodological suitability, recruitment approaches, data collection, ethical implications, analytical rigour and the value of research.</w:t>
      </w:r>
    </w:p>
    <w:p w14:paraId="06CA93DD">
      <w:r>
        <w:t>Appraisal has been conducted through the use of design-appropriate tools, as the included evidence has different research designs. For qualitative studies, the CASP Qualitative Checklist, quantitative evidence, the JBI tools, and national evidence reports were used; for the mixed-methods study, the MMAT was used. This helped to maintain uniformity and suitable evaluation of methodological quality.</w:t>
      </w:r>
    </w:p>
    <w:p w14:paraId="1E08AE3C">
      <w:r>
        <w:t>In the case of systematic reviews, appraisal was based on transparency of methods and quality of evidence as per the recommended evidence-based review principles. The overall quality evaluation showed that most of the 20 studies included in the study were of moderate to high methodological quality, which helped to justify the validity of the evidence synthesised in this dissertation. The results of detailed appraisals are provided in</w:t>
      </w:r>
      <w:r>
        <w:rPr>
          <w:b/>
          <w:bCs/>
        </w:rPr>
        <w:t xml:space="preserve"> Appendix B. </w:t>
      </w:r>
      <w:r>
        <w:t xml:space="preserve">Critical appraisal was conducted to determine the authenticity, methodological quality and possible limitations of evidence included. Appraisal criteria were not applied to all studies, but rather to the type of study. Supervision reports for individual children and young people are provided in </w:t>
      </w:r>
      <w:r>
        <w:rPr>
          <w:b/>
          <w:bCs/>
        </w:rPr>
        <w:t>Appendix A-D</w:t>
      </w:r>
      <w:r>
        <w:t>, and the key methodological conclusions are provided in this chapter.</w:t>
      </w:r>
    </w:p>
    <w:p w14:paraId="03A55FC4">
      <w:pPr>
        <w:pStyle w:val="3"/>
      </w:pPr>
      <w:bookmarkStart w:id="34" w:name="_Toc238235694"/>
      <w:r>
        <w:t>4.4 Critical Appraisal Tools</w:t>
      </w:r>
      <w:bookmarkEnd w:id="34"/>
    </w:p>
    <w:p w14:paraId="3F3D88C4">
      <w:pPr>
        <w:rPr>
          <w:color w:val="0E101A"/>
        </w:rPr>
      </w:pPr>
      <w:r>
        <w:rPr>
          <w:color w:val="0E101A"/>
        </w:rPr>
        <w:t xml:space="preserve">Critical appraisal tools are designed as a structured system to assess the methodological quality, credibility, trustworthiness and risk of bias of research studies before being considered in a synthesis of evidence (Haile, 2022). Such tools offer standardised evaluation criteria, and researchers can know whether a study has been done rigorously and whether its results are reliable enough to support the research. It is very important to choose the right appraisal tool since various research designs have varying evaluation criteria. Using an inappropriate tool can either ignore methodological flaws or implement a poor evaluation of evidence and thus decrease the validity of the systematic review (Barker </w:t>
      </w:r>
      <w:r>
        <w:rPr>
          <w:i/>
          <w:iCs/>
          <w:color w:val="0E101A"/>
        </w:rPr>
        <w:t>et al.,</w:t>
      </w:r>
      <w:r>
        <w:rPr>
          <w:color w:val="0E101A"/>
        </w:rPr>
        <w:t xml:space="preserve"> 2023).</w:t>
      </w:r>
    </w:p>
    <w:p w14:paraId="5B59EDD2">
      <w:pPr>
        <w:rPr>
          <w:b/>
          <w:bCs/>
        </w:rPr>
      </w:pPr>
      <w:r>
        <w:rPr>
          <w:color w:val="0E101A"/>
        </w:rPr>
        <w:t xml:space="preserve">Critical appraisal instruments evaluate various important facets of research, such as the research question, the suitability of the research methodology, the sampling design, the methods used to collect data, ethical issues, data analysis, and presentation of the findings and the overall contribution of the study to the existing knowledge (Humayoun </w:t>
      </w:r>
      <w:r>
        <w:rPr>
          <w:i/>
          <w:iCs/>
          <w:color w:val="0E101A"/>
        </w:rPr>
        <w:t>et al.,</w:t>
      </w:r>
      <w:r>
        <w:rPr>
          <w:color w:val="0E101A"/>
        </w:rPr>
        <w:t xml:space="preserve"> 2024). As the current review covered both qualitative studies and qualitative evidence syntheses and systematic reviews, the Critical Appraisal Skills Programme (CASP) Qualitative Checklist (2024) was chosen as the main appraisal tool. The checklist allowed the systematic review of each study against established quality standards, enhancing the degree of transparency, consistency and credibility of the evidence synthesis. All the included studies have their detailed appraisal results in </w:t>
      </w:r>
      <w:r>
        <w:rPr>
          <w:b/>
          <w:bCs/>
          <w:color w:val="0E101A"/>
        </w:rPr>
        <w:t>Appendix B.</w:t>
      </w:r>
      <w:r>
        <w:rPr>
          <w:b/>
          <w:bCs/>
        </w:rPr>
        <w:t xml:space="preserve"> </w:t>
      </w:r>
    </w:p>
    <w:p w14:paraId="34050775">
      <w:pPr>
        <w:pStyle w:val="3"/>
      </w:pPr>
      <w:bookmarkStart w:id="35" w:name="_Toc238235695"/>
      <w:r>
        <w:t>4.5 Evaluation of Qualitative Studies using any appropriate tool</w:t>
      </w:r>
      <w:bookmarkEnd w:id="35"/>
    </w:p>
    <w:p w14:paraId="500E6B7C">
      <w:r>
        <w:t>To assess the quality of the methodological evidence of the qualitative data that were found in this systematic literature review, the Critical Appraisal Skills Programme (CASP) Qualitative Checklist (2024) was chosen. One of the most common appraisal frameworks in health and social care research is CASP, as it offers researchers a systematic methodology on which to evaluate the credibility, relevance and methodological rigour of qualitative studies. The checklist will include ten questions that will focus on the research aims, methodological appropriateness, research design, recruitment strategy, data collection, researcher reflexivity, ethical considerations, data analysis, presentation of findings and the overall value of the research (CASP, 2024). These inclusion criteria fit into the aims of the current review, which aimed to synthesise evidence on the experiences of adolescent mothers in postpartum mental health.</w:t>
      </w:r>
    </w:p>
    <w:p w14:paraId="4370E255">
      <w:r>
        <w:t xml:space="preserve">The main advantage of CASP is that it is simple and systematic and can be used to assess studies with other qualitative designs, as well as ensure transparency in the process of synthesising evidence (Haile, 2022). In contrast to more general appraisal frameworks, the CASP concerns itself with the quality of methods, and not merely the standards of reporting, and is thus especially appropriate to qualitative health research. Despite the availability of other appraisal tools, including the Joanna Briggs Institute (JBI) Critical Appraisal Checklist, which provides a detailed appraisal of various study designs, CASP was deemed to be the most suitable tool since most of the studies included in the sample of the study utilised qualitative methods or qualitative evidence synthesis (Barker </w:t>
      </w:r>
      <w:r>
        <w:rPr>
          <w:i/>
          <w:iCs/>
        </w:rPr>
        <w:t>et al.,</w:t>
      </w:r>
      <w:r>
        <w:t xml:space="preserve"> 2026). However, CASP has certain limitations. The checklist lacks numerical quality scores and partly depends on the reviewer's judgement, which can lead to subjectivity in the interpretation of the methodological quality (Humayoun </w:t>
      </w:r>
      <w:r>
        <w:rPr>
          <w:i/>
          <w:iCs/>
        </w:rPr>
        <w:t>et al.,</w:t>
      </w:r>
      <w:r>
        <w:t xml:space="preserve"> 2024). In spite of this shortcoming, CASP is among the most popular appraisal models of qualitative systematic reviews.</w:t>
      </w:r>
    </w:p>
    <w:p w14:paraId="73D1F8F7">
      <w:r>
        <w:t xml:space="preserve">Four out of 20 studies were primary qualitative studies: Alex-Ojei et al. (2023), Foley et al. (2025), Namutebi et al. (2022) and the qualitative aspect of Scroggins (2023). The appraisal of these studies was based on the CASP Qualitative Checklist, which evaluates the methodological suitability, recruitment, data collection, reflexivity, ethics, analysis and credibility. </w:t>
      </w:r>
    </w:p>
    <w:p w14:paraId="0874EAF9">
      <w:pPr>
        <w:rPr>
          <w:b/>
          <w:bCs/>
        </w:rPr>
      </w:pPr>
      <w:r>
        <w:t xml:space="preserve">Four of the 20 included studies were primary qualitative studies, such as Alex-Ojei </w:t>
      </w:r>
      <w:r>
        <w:rPr>
          <w:i/>
          <w:iCs/>
        </w:rPr>
        <w:t>et al.</w:t>
      </w:r>
      <w:r>
        <w:t xml:space="preserve"> (2023), Foley </w:t>
      </w:r>
      <w:r>
        <w:rPr>
          <w:i/>
          <w:iCs/>
        </w:rPr>
        <w:t>et al.</w:t>
      </w:r>
      <w:r>
        <w:t xml:space="preserve"> (2025), Namutebi </w:t>
      </w:r>
      <w:r>
        <w:rPr>
          <w:i/>
          <w:iCs/>
        </w:rPr>
        <w:t>et al.</w:t>
      </w:r>
      <w:r>
        <w:t xml:space="preserve"> (2022) and qualitative elements of Scroggins (2023). Four other studies were evidence syntheses or meta-syntheses of qualitative evidence, that is, Crooks </w:t>
      </w:r>
      <w:r>
        <w:rPr>
          <w:i/>
          <w:iCs/>
        </w:rPr>
        <w:t>et al.</w:t>
      </w:r>
      <w:r>
        <w:t xml:space="preserve"> (2022), Javadi </w:t>
      </w:r>
      <w:r>
        <w:rPr>
          <w:i/>
          <w:iCs/>
        </w:rPr>
        <w:t>et al.</w:t>
      </w:r>
      <w:r>
        <w:t xml:space="preserve"> (2023), MacLellan </w:t>
      </w:r>
      <w:r>
        <w:rPr>
          <w:i/>
          <w:iCs/>
        </w:rPr>
        <w:t>et al.</w:t>
      </w:r>
      <w:r>
        <w:t xml:space="preserve"> (2022) and Tenaw </w:t>
      </w:r>
      <w:r>
        <w:rPr>
          <w:i/>
          <w:iCs/>
        </w:rPr>
        <w:t xml:space="preserve">et al. </w:t>
      </w:r>
      <w:r>
        <w:t xml:space="preserve">(2024). All exhibited well-defined research objectives, suitable qualitative research designs, effective participant recruitment, intensive data gathering and thorough thematic analysis. The ethics approval and informed consent processes were always reported where appropriate, and study results were well presented and justified with quotes of the participants or synthesised themes. All in all, the majority of the qualitative studies were considered to be of high methodological quality and the limitations in terms of researcher reflexivity and transferability were minor in very few studies. These results suggest that the qualitative data used in this review are a valid basis for the thematic synthesis of Chapter 5. The appraisal results are outlined in great detail in </w:t>
      </w:r>
      <w:r>
        <w:rPr>
          <w:b/>
          <w:bCs/>
        </w:rPr>
        <w:t>Appendix B.</w:t>
      </w:r>
    </w:p>
    <w:p w14:paraId="4068503D">
      <w:pPr>
        <w:pStyle w:val="3"/>
      </w:pPr>
      <w:bookmarkStart w:id="36" w:name="_Toc238235696"/>
      <w:r>
        <w:t>4.6 Evaluation of Quantitative Studies using an appropriate tool</w:t>
      </w:r>
      <w:bookmarkEnd w:id="36"/>
    </w:p>
    <w:p w14:paraId="3021A95E">
      <w:pPr>
        <w:pStyle w:val="4"/>
      </w:pPr>
      <w:bookmarkStart w:id="37" w:name="_Toc238235697"/>
      <w:r>
        <w:t>4.6.1 Selection of the Quantitative Appraisal Tool</w:t>
      </w:r>
      <w:bookmarkEnd w:id="37"/>
      <w:r>
        <w:t xml:space="preserve"> </w:t>
      </w:r>
    </w:p>
    <w:p w14:paraId="68BCA373">
      <w:pPr>
        <w:rPr>
          <w:b/>
          <w:bCs/>
        </w:rPr>
      </w:pPr>
      <w:r>
        <w:t xml:space="preserve">Though only a few quantitative studies and quantitative systematic reviews were found to fit the inclusion criteria, the current systematic literature review mainly found qualitative studies and qualitative evidence syntheses. To achieve consistency and methodological rigour, these quantitative studies were critically appraised with the Joanna Briggs Institute (JBI) Critical Appraisal Tools that are explicitly created to measure the methodological quality and risk of bias of the various quantitative research designs (Barker </w:t>
      </w:r>
      <w:r>
        <w:rPr>
          <w:i/>
          <w:iCs/>
        </w:rPr>
        <w:t>et al.,</w:t>
      </w:r>
      <w:r>
        <w:t xml:space="preserve"> 2023). The updated JBI appraisal tools offer a systematic set of criteria to assess the validity of the study, selection of participants, measurement reliability, confounding variables, statistical evaluation and general validity of the results (Barker </w:t>
      </w:r>
      <w:r>
        <w:rPr>
          <w:i/>
          <w:iCs/>
        </w:rPr>
        <w:t>et al.,</w:t>
      </w:r>
      <w:r>
        <w:t xml:space="preserve"> 2026). Choosing an appraisal tool that suits the research design enhances the strength of evidence synthesis as it ensures that evidence is based on strong and credible quantitative evidence. All quantitative studies have detailed appraisal outcomes, which are shown in </w:t>
      </w:r>
      <w:r>
        <w:rPr>
          <w:b/>
          <w:bCs/>
        </w:rPr>
        <w:t>Appendix C.</w:t>
      </w:r>
    </w:p>
    <w:p w14:paraId="31B21C20">
      <w:pPr>
        <w:pStyle w:val="4"/>
        <w:keepNext w:val="0"/>
        <w:keepLines w:val="0"/>
      </w:pPr>
      <w:bookmarkStart w:id="38" w:name="_Toc238235698"/>
      <w:r>
        <w:t>4.6.2 Characteristics of the Quantitative Studies</w:t>
      </w:r>
      <w:bookmarkEnd w:id="38"/>
    </w:p>
    <w:p w14:paraId="0CA5EA75"/>
    <w:p w14:paraId="25543FEF">
      <w:r>
        <w:t xml:space="preserve">In the last sample that comprised twenty studies, six of the studies had large amounts of quantitative evidence, and thus, they were critically evaluated through the relevant JBI checklist. They included Abdul Rahim </w:t>
      </w:r>
      <w:r>
        <w:rPr>
          <w:i/>
          <w:iCs/>
        </w:rPr>
        <w:t>et al.</w:t>
      </w:r>
      <w:r>
        <w:t xml:space="preserve"> (2024), Ahadi-Yulghunlu </w:t>
      </w:r>
      <w:r>
        <w:rPr>
          <w:i/>
          <w:iCs/>
        </w:rPr>
        <w:t xml:space="preserve">et al. </w:t>
      </w:r>
      <w:r>
        <w:t>(2026), Clarke</w:t>
      </w:r>
      <w:r>
        <w:rPr>
          <w:i/>
          <w:iCs/>
        </w:rPr>
        <w:t xml:space="preserve"> et al. (</w:t>
      </w:r>
      <w:r>
        <w:t xml:space="preserve">2024), Tolossa </w:t>
      </w:r>
      <w:r>
        <w:rPr>
          <w:i/>
          <w:iCs/>
        </w:rPr>
        <w:t>et al.</w:t>
      </w:r>
      <w:r>
        <w:t xml:space="preserve"> (2024), World Health Organisation (2024) and NHS England Digital (2026). Four studies were systematic reviews or meta-analyses that synthesised quantitative results of several primary studies, and two were national evidence reports that included large-scale epidemiological and healthcare utilisation data.</w:t>
      </w:r>
    </w:p>
    <w:p w14:paraId="11FF73E2">
      <w:r>
        <w:t>Quantitative research is significant to the healthcare research field as it quantifies the prevalence, distribution and associations between variables using numerical data and statistical analysis (Evans, 2022). In the framework of adolescent maternal mental health, quantitative data provide estimates of postpartum depression, anxiety, psychological distress, healthcare utilisation and their risk factors in various populations. This kind of evidence can be added to the qualitative results and prove the magnitude of the problems identified, and provide evidence-based suggestions.</w:t>
      </w:r>
    </w:p>
    <w:p w14:paraId="50A6FA68">
      <w:pPr>
        <w:pStyle w:val="4"/>
      </w:pPr>
      <w:bookmarkStart w:id="39" w:name="_Toc238235699"/>
      <w:r>
        <w:t>4.6.3 Evaluation of Systematic Reviews and Meta-Analyses</w:t>
      </w:r>
      <w:bookmarkEnd w:id="39"/>
      <w:r>
        <w:t xml:space="preserve"> </w:t>
      </w:r>
    </w:p>
    <w:p w14:paraId="1A5EDD64">
      <w:r>
        <w:t>The main aim of the quantitative studies was to find out the prevalence rate of the adverse postpartum mental health outcomes among the adolescent mothers and to investigate the factors that were linked to psychological well-being, healthcare utilisation and maternal support after childbirth. Together, these papers examined postpartum depression, anxiety, stress, access to maternity services and barriers to postnatal care with large samples of participants and combined statistical tests.</w:t>
      </w:r>
    </w:p>
    <w:p w14:paraId="48AC1B3C">
      <w:r>
        <w:t xml:space="preserve">Three of the six quantitative studies had a meta-analysis design that constituted a systematic review (Abdul Rahim </w:t>
      </w:r>
      <w:r>
        <w:rPr>
          <w:i/>
          <w:iCs/>
        </w:rPr>
        <w:t>et al.,</w:t>
      </w:r>
      <w:r>
        <w:t xml:space="preserve"> 2024; Ahadi-Yulghunlu </w:t>
      </w:r>
      <w:r>
        <w:rPr>
          <w:i/>
          <w:iCs/>
        </w:rPr>
        <w:t>et al.,</w:t>
      </w:r>
      <w:r>
        <w:t xml:space="preserve"> 2026; Tolossa</w:t>
      </w:r>
      <w:r>
        <w:rPr>
          <w:i/>
          <w:iCs/>
        </w:rPr>
        <w:t xml:space="preserve"> et al.,</w:t>
      </w:r>
      <w:r>
        <w:t xml:space="preserve"> 2024). These studies were based on the combined results of many primary research works, which aimed to derive the pooled prevalence estimates and estimate the factors that relate to health outcomes of adolescent mothers. Meta-analysis enhanced the level of statistical accuracy, as it boosted sample size and minimised random error. Each of the three reviews proved to have thorough search strategies, clear inclusion criteria, duplicate screening processes and clear statistical approaches. The heterogeneity of the studies was appropriately evaluated with the help of recognised statistical methods, and sensitivity analysis helped to increase the levels of confidence in the results reported. As a result, such studies were considered to be of high-quality methodology.</w:t>
      </w:r>
    </w:p>
    <w:p w14:paraId="471155BA">
      <w:r>
        <w:t xml:space="preserve">Clarke </w:t>
      </w:r>
      <w:r>
        <w:rPr>
          <w:i/>
          <w:iCs/>
        </w:rPr>
        <w:t>et al.</w:t>
      </w:r>
      <w:r>
        <w:t xml:space="preserve"> (2024) reviewed the academic sources that assessed digital mental health screening in the prenatal period and postpartum. The review involved qualitative findings, but the main synthesis was based on quantitative findings of observational and intervention studies. The systematic quality assessment and thorough database searching in the review were backed up by transparent eligibility criteria, which justify its classification as a high-quality quantitative review.</w:t>
      </w:r>
    </w:p>
    <w:p w14:paraId="0AB1464C">
      <w:pPr>
        <w:pStyle w:val="4"/>
      </w:pPr>
      <w:bookmarkStart w:id="40" w:name="_Toc238235700"/>
      <w:r>
        <w:t>4.6.4 Evaluation of National Evidence Reports</w:t>
      </w:r>
      <w:bookmarkEnd w:id="40"/>
      <w:r>
        <w:t xml:space="preserve"> </w:t>
      </w:r>
    </w:p>
    <w:p w14:paraId="48B5A35A">
      <w:r>
        <w:t>The rest of the quantitative data were the policy report of the World Health Organisation (2024) and the report of maternity services by NHS England Digital (2026). These publications made use of the regularly gathered national and international data to track the maternal health indicators and usage of the services. Standardised data collection procedures, a large representative population and transparent methods of analysis were utilised in both reports. Nevertheless, since they were surveillance reports, but not primary research studies, some of the JBI criteria about participant recruitment and control of confounding variables could not be directly applied. However, the reports had good data completeness and methodological transparency, and they can be regarded as credible sources of contextual quantitative data.</w:t>
      </w:r>
    </w:p>
    <w:p w14:paraId="2F7B9471">
      <w:pPr>
        <w:pStyle w:val="4"/>
      </w:pPr>
      <w:bookmarkStart w:id="41" w:name="_Toc238235701"/>
      <w:r>
        <w:t>4.6.5 Overall Critical Appraisal Findings</w:t>
      </w:r>
      <w:bookmarkEnd w:id="41"/>
      <w:r>
        <w:t xml:space="preserve"> </w:t>
      </w:r>
    </w:p>
    <w:p w14:paraId="5A47E551">
      <w:r>
        <w:t>The JBI appraisal also included whether the procedures used to select the participants reduced the selection bias, whether the outcome measures were valid and reliable, whether the confounding factors were identified and managed and whether the statistical analyses were suitable for each study design. In the six quantitative studies, the sampling methods were, in most cases, appropriate, the measurement instruments used were validated, and the statistical analysis was congruent with the research objectives given. The confidence intervals, measures of heterogeneity and pooled effect estimates were properly reported in the meta-analytic studies, raising the level of confidence in the conclusions made. There were no significant methodological weaknesses found that would affect the plausibility of the evidence.</w:t>
      </w:r>
    </w:p>
    <w:p w14:paraId="46046274">
      <w:r>
        <w:t>A few constraints were, however, found. There was a great heterogeneity in some of the systematic reviews due to variation in the countries, healthcare sites, outcome measures, and participant characteristics. This variability decreased the comparability of studies directly, even after statistical adjustment methods were employed. Moreover, observational evidence that was part of multiple systematic reviews constrained causal interpretation since the associations between risk factors and mental health outcomes cannot be used to determine causation. The WHO and NHS evidence reports were also limited by using routinely collected administrative datasets, which could be compromised by either incomplete reporting or national recording practices.</w:t>
      </w:r>
    </w:p>
    <w:p w14:paraId="77DB5AB1">
      <w:pPr>
        <w:rPr>
          <w:b/>
          <w:bCs/>
        </w:rPr>
      </w:pPr>
      <w:r>
        <w:t xml:space="preserve">In general, the quality of methodology used in all six studies was moderate to high since each of them met most of the JBI appraisal criteria. Their stringent study designs, clear reporting, validated outcome measures and proper statistical analyses give them a good quantitative evidence base that is complementary to the qualitative findings synthesised in this dissertation. The quantitative evidence, therefore, has an important role in the realisation of the prevalence, determinants, and healthcare implications of postpartum mental health among adolescent mothers as it enhances the overall credibility of the systematic literature review. All the quantitative appraisal checklists and individual study assessments are shown in </w:t>
      </w:r>
      <w:r>
        <w:rPr>
          <w:b/>
          <w:bCs/>
        </w:rPr>
        <w:t>Appendix C.</w:t>
      </w:r>
    </w:p>
    <w:p w14:paraId="04BBE041">
      <w:pPr>
        <w:pStyle w:val="3"/>
      </w:pPr>
      <w:bookmarkStart w:id="42" w:name="_Toc238235702"/>
      <w:r>
        <w:t>4.7 Evaluation of Mixed Methods Studies using any appropriate</w:t>
      </w:r>
      <w:bookmarkEnd w:id="42"/>
    </w:p>
    <w:p w14:paraId="58A13CD2">
      <w:r>
        <w:t>Out of the twenty studies (included in this systematic literature review), there was one study that used a mixed-methods design and thus was rated separately using the Mixed Methods Appraisal Tool (MMAT) 2018. The MMAT is an established appraisal model that was designed to assess research studies that combine both qualitative and quantitative research in one study. The MMAT is especially applicable to mixed-methods research, as it also assesses the quality of both qualitative and quantitative elements, as well as findings integration, unlike appraisal tools that are developed to apply to only one research methodology (Haile, 2022).</w:t>
      </w:r>
    </w:p>
    <w:p w14:paraId="72C225FB">
      <w:r>
        <w:t>The MMAT was chosen due to the ability to offer a systematic evaluation of the quality of the methods in five major areas, such as suitability of the mixed-methods design, sufficiency of data collection processes, quality of qualitative and quantitative elements, synthesis of results and interpretation of combined evidence. Applying an appraisal tool specifically created to conduct a mixed-methods research project will assist in making sure that the two strands of methodology will be rated equally and not just one of the study aspects. Therefore, the MMAT enhances the validity of the evidence synthesis in which different methodological strategies are utilised.</w:t>
      </w:r>
    </w:p>
    <w:p w14:paraId="43C1BB50">
      <w:r>
        <w:t>The mixed-methods study was only found in Scroggins (2023), which examined the postpartum symptom clusters in birthing people through quantitative measurement of the symptoms and qualitative examination of the postpartum experiences of the participants. The quantitative component was used to determine the patterns of symptoms using validated measurement tools, and the qualitative component sought to understand the experience of women to give contextual insight into physical and psychological recovery after childbirth. By combining the two types of evidence, it was possible to have a more in-depth picture of postpartum wellbeing than would have been possible with one methodological approach.</w:t>
      </w:r>
    </w:p>
    <w:p w14:paraId="7D23C745">
      <w:r>
        <w:t>Critical appraisal of the MMAT showed that the study had a clear research question, that the design was mixed and that the data collection procedures were appropriate to both the quantitative and qualitative aspects of the research. The combination of qualitative and quantitative results was clearly outlined and justified the overall research purposes. Each methodological strand employed appropriate analytical methods, after which the findings were synthesised to come up with comprehensive conclusions. Minor drawbacks are connected to the overall reliability of results since the research population sample was chosen out of a small geographical area. However, these shortcomings did not have a significant impact on the overall quality of the methodology of the study.</w:t>
      </w:r>
    </w:p>
    <w:p w14:paraId="04937DC3">
      <w:pPr>
        <w:rPr>
          <w:b/>
          <w:bCs/>
        </w:rPr>
      </w:pPr>
      <w:r>
        <w:t xml:space="preserve">On the whole, the mixed-methods study was rated as of high methodological quality due to the right combination of qualitative and quantitative evidence and contribution to the knowledge about the experiences of postpartum health. The checklist on MMAT appraisal and assessment results is done in detail and is provided in </w:t>
      </w:r>
      <w:r>
        <w:rPr>
          <w:b/>
          <w:bCs/>
        </w:rPr>
        <w:t>Appendix D.</w:t>
      </w:r>
    </w:p>
    <w:p w14:paraId="755098CC">
      <w:pPr>
        <w:pStyle w:val="3"/>
      </w:pPr>
      <w:bookmarkStart w:id="43" w:name="_Toc238235703"/>
      <w:r>
        <w:t>4.8 Methodological Triangulation</w:t>
      </w:r>
      <w:bookmarkEnd w:id="43"/>
    </w:p>
    <w:p w14:paraId="6A96B01F">
      <w:r>
        <w:t>Triangulation of methods was done through comparing qualitative and quantitative evidence in the review. The qualitative studies offered more in-depth information on the experience, perception, and barriers to postnatal care among mothers, whereas the quantitative evidence offered patterns, prevalence, and association of postpartum outcomes. In areas where there was an overlap, the evidence offered a supplementary account for interpreting postpartum challenges. On the contrary, the discrepancies between the results highlighted the multifaceted nature of the experiences of adolescent mothers and showed that the numerical results could not be sufficient to understand the social or healthcare determinants at all. The evidence from the mixed-methods also contributed to the triangulation of the studies; the qualitative experiences were integrated and combined with quantitative measures of postpartum symptoms. This analogy reinforced the scope and contextual knowledge of the evidence in general.</w:t>
      </w:r>
    </w:p>
    <w:p w14:paraId="64FE2466">
      <w:r>
        <w:t>A methodological triangulation approach facilitated the comparison of the findings that were drawn from qualitative, quantitative and mixed methods evidence. Both qualitative studies and quantitative studies gave insights into the experiences of adolescent mothers and gave indications of prevalence and associations. The overlaps increased confidence in the results, while the differences brought attention to contextual and methodological differences, favouring a more complex interpretation of postpartum mental health.</w:t>
      </w:r>
    </w:p>
    <w:p w14:paraId="3F36826B">
      <w:pPr>
        <w:pStyle w:val="3"/>
      </w:pPr>
      <w:bookmarkStart w:id="44" w:name="_Toc238235704"/>
      <w:r>
        <w:t>4.9 Chapter Summary</w:t>
      </w:r>
      <w:bookmarkEnd w:id="44"/>
    </w:p>
    <w:p w14:paraId="5C5C9BC0">
      <w:r>
        <w:t>The systematic extraction and critical analysis of the evidence contained in this review are provided in this chapter. The characteristics of the twenty selected studies were recorded using a structured data extraction form that ensured consistency and transparency of the review process. Qualitative studies were evaluated in terms of their methodological quality with the help of the CASP Qualitative Checklist, quantitative with the Joanna Briggs Institute (JBI) Critical Appraisal Tool, and single mixed-methods with the help of the Mixed Methods Appraisal Tool (MMAT). In general, the studies included had moderate-to-high-quality methodology, which means that the evidence synthesised in this dissertation is credible and reliable. The following chapter provides the thematic synthesis of the results, which determined the major themes and patterns of the postpartum mental health experiences of adolescent mothers and the factors affecting their well-being.</w:t>
      </w:r>
    </w:p>
    <w:p w14:paraId="264DFDDD">
      <w:r>
        <w:br w:type="page"/>
      </w:r>
    </w:p>
    <w:p w14:paraId="770EB266">
      <w:pPr>
        <w:pStyle w:val="2"/>
      </w:pPr>
      <w:bookmarkStart w:id="45" w:name="_Toc238235705"/>
      <w:r>
        <w:t>CHAPTER 5: DATA ANALYSIS AND SYNTHESIS</w:t>
      </w:r>
      <w:bookmarkEnd w:id="45"/>
    </w:p>
    <w:p w14:paraId="2CDAFBE1">
      <w:pPr>
        <w:pStyle w:val="3"/>
      </w:pPr>
      <w:bookmarkStart w:id="46" w:name="_Toc238235706"/>
      <w:r>
        <w:t>5.1 Introduction to Chapter</w:t>
      </w:r>
      <w:bookmarkEnd w:id="46"/>
    </w:p>
    <w:p w14:paraId="7CF7162E">
      <w:r>
        <w:t>This chapter includes the analysis and synthesis of evidence that was found during the systematic literature review of postpartum complications in mothers under the age of 18 years. The chapter takes the next step over the methodological appraisal in Chapter 4 to find patterns, relationships and differences between the evidence provided. The discussion revolves around clinical and physical complications, mental health and psychological wellbeing, social determinants, structural barriers to postnatal healthcare and inequality in maternity care. The qualitative findings will be synthesised, and the findings will be presented with the appropriate quantitative and mixed methods evidence to have a deeper understanding of the postpartum experiences. The chapter begins by describing the method of thematic analysis and the analytical framework, and then with the nature of the studies which are included. It proceeds to outline the overall themes and sub-themes that come out as a result of the synthesis and finally wraps up with the main findings.</w:t>
      </w:r>
    </w:p>
    <w:p w14:paraId="078B765C">
      <w:pPr>
        <w:pStyle w:val="3"/>
      </w:pPr>
      <w:bookmarkStart w:id="47" w:name="_Toc238235707"/>
      <w:r>
        <w:t>5.2 Thematic Analysis</w:t>
      </w:r>
      <w:bookmarkEnd w:id="47"/>
    </w:p>
    <w:p w14:paraId="67A5B284">
      <w:r>
        <w:t>Thematic analysis is a methodology of qualitative and systematic data identification, organisation and interpretation of repetitive patterns or themes in qualitative data. It is widely applied to comprehend experiences, perceptions and meanings in a body of evidence. When used on secondary qualitative data as part of an SLR, it is often termed as thematic synthesis, since the results of the extant literature are systematically coded, clustered and analysed. It can also be applied to quantitative evidence where the numeric results are translated into descriptive concepts and combined with qualitative results to determine the general trends.</w:t>
      </w:r>
    </w:p>
    <w:p w14:paraId="5E7B6A6A">
      <w:pPr>
        <w:pStyle w:val="3"/>
      </w:pPr>
      <w:bookmarkStart w:id="48" w:name="_Toc238235708"/>
      <w:r>
        <w:t>5.3 Data analysis tool</w:t>
      </w:r>
      <w:bookmarkEnd w:id="48"/>
      <w:r>
        <w:t xml:space="preserve"> </w:t>
      </w:r>
    </w:p>
    <w:p w14:paraId="0EF44191">
      <w:r>
        <w:t>The six-phase thematic analysis framework developed by Braun and Clarke (2006), which included familiarisation with the data, first codes generation, theme search, theme review, theme definition and naming, as well as final report production, was used to guide the analysis. The framework will offer a clear mechanism for progressing an individual study's results to higher-order patterns. It was especially helpful to plan the various pieces of evidence in the clinical, psychological, social and structural aspects of health in the postpartum.</w:t>
      </w:r>
    </w:p>
    <w:p w14:paraId="2D9A2B00">
      <w:pPr>
        <w:pStyle w:val="3"/>
      </w:pPr>
      <w:bookmarkStart w:id="49" w:name="_Toc238235709"/>
      <w:r>
        <w:t>5.4 Characteristics of the identified studies</w:t>
      </w:r>
      <w:bookmarkEnd w:id="49"/>
    </w:p>
    <w:p w14:paraId="548AD0E0">
      <w:r>
        <w:t>The evidence base among the 20 included studies was a diverse collection across geographical boundaries. The articles contained the evidence of the United Kingdom, Nigeria, Uganda, the USA, Sub-Saharan Africa and the international/global environment. Evidence in the UK was Foley et al. (2025), MacLellan et al. (2022), Norman, Stock and Harmer (2022), Pierce, Whitten and Hillman (2023), Crowe (2022) and NHS England Digital (2026). Alex-Ojei et al. (2023) presented evidence from Nigeria, and Namutebi et al. (2022) presented evidence from Uganda. The study by Scroggins (2023) was carried out in the USA. The synthesis of evidence was done by Crooks et al. (2022), Javadi et al. (2023) and Tenaw et al. (2024) in various countries, especially in low and middle-income environments. Tolossa et al. (2024) were interested in Sub-Saharan Africa, whereas WHO (2024) presented evidence worldwide. The rest of the literature consisted of international literature on postpartum mental health, digital screening and maternal outcomes. The data extraction tables in the appendices provide detailed data about the characteristics, designs, populations, settings and findings of the studies.</w:t>
      </w:r>
    </w:p>
    <w:p w14:paraId="73772EBF">
      <w:pPr>
        <w:pStyle w:val="3"/>
      </w:pPr>
      <w:bookmarkStart w:id="50" w:name="_Toc238235710"/>
      <w:r>
        <w:t>5.5 Emerging Themes from included studies</w:t>
      </w:r>
      <w:bookmarkEnd w:id="50"/>
    </w:p>
    <w:p w14:paraId="10E0A0EE">
      <w:r>
        <w:t>The synthesis and analysis of the studies included have found five themes and sub-themes in general. These themes demonstrate the correlation of physical health, psychological well-being, social conditions, access to healthcare and other maternity inequalities in general.</w:t>
      </w:r>
    </w:p>
    <w:p w14:paraId="1C3CDC3F">
      <w:pPr>
        <w:spacing w:before="280"/>
        <w:rPr>
          <w:b/>
          <w:bCs/>
        </w:rPr>
      </w:pPr>
    </w:p>
    <w:p w14:paraId="04A3CEE1">
      <w:pPr>
        <w:spacing w:before="280"/>
        <w:rPr>
          <w:b/>
          <w:bCs/>
        </w:rPr>
      </w:pPr>
    </w:p>
    <w:p w14:paraId="319DADD2">
      <w:pPr>
        <w:spacing w:before="280"/>
        <w:rPr>
          <w:b/>
          <w:bCs/>
        </w:rPr>
      </w:pPr>
    </w:p>
    <w:p w14:paraId="0CCEC360">
      <w:pPr>
        <w:spacing w:before="280"/>
        <w:rPr>
          <w:b/>
          <w:bCs/>
        </w:rPr>
      </w:pPr>
    </w:p>
    <w:p w14:paraId="49B73968">
      <w:pPr>
        <w:spacing w:before="280"/>
        <w:rPr>
          <w:b/>
          <w:bCs/>
        </w:rPr>
      </w:pPr>
    </w:p>
    <w:p w14:paraId="408950C4">
      <w:pPr>
        <w:spacing w:before="280"/>
        <w:rPr>
          <w:b/>
          <w:bCs/>
        </w:rPr>
      </w:pPr>
      <w:r>
        <w:rPr>
          <w:b/>
          <w:bCs/>
        </w:rPr>
        <w:t>Table 5.5: Themes and Sub-theme Emerging from the Analysis</w:t>
      </w:r>
    </w:p>
    <w:tbl>
      <w:tblPr>
        <w:tblStyle w:val="32"/>
        <w:tblW w:w="933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2510"/>
        <w:gridCol w:w="4070"/>
        <w:gridCol w:w="2750"/>
      </w:tblGrid>
      <w:tr w14:paraId="65C398D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070" w:hRule="atLeast"/>
        </w:trPr>
        <w:tc>
          <w:tcPr>
            <w:tcW w:w="251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694E24E">
            <w:pPr>
              <w:jc w:val="center"/>
            </w:pPr>
            <w:r>
              <w:rPr>
                <w:b/>
                <w:bCs/>
              </w:rPr>
              <w:t>Overarching theme</w:t>
            </w:r>
          </w:p>
        </w:tc>
        <w:tc>
          <w:tcPr>
            <w:tcW w:w="4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E56A43D">
            <w:pPr>
              <w:jc w:val="center"/>
            </w:pPr>
            <w:r>
              <w:rPr>
                <w:b/>
                <w:bCs/>
              </w:rPr>
              <w:t>Sub-themes</w:t>
            </w:r>
          </w:p>
        </w:tc>
        <w:tc>
          <w:tcPr>
            <w:tcW w:w="275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654F58C">
            <w:pPr>
              <w:jc w:val="center"/>
            </w:pPr>
            <w:r>
              <w:rPr>
                <w:b/>
                <w:bCs/>
              </w:rPr>
              <w:t>Key studies contributing to the theme</w:t>
            </w:r>
          </w:p>
        </w:tc>
      </w:tr>
      <w:tr w14:paraId="23E538A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625" w:hRule="atLeast"/>
        </w:trPr>
        <w:tc>
          <w:tcPr>
            <w:tcW w:w="251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E91D561">
            <w:r>
              <w:rPr>
                <w:b/>
                <w:bCs/>
              </w:rPr>
              <w:t>Theme 1: Clinical and physical postpartum complications</w:t>
            </w:r>
          </w:p>
        </w:tc>
        <w:tc>
          <w:tcPr>
            <w:tcW w:w="4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65BE7B9">
            <w:r>
              <w:t>Physical pain and exhaustion; postpartum bleeding and anaemia; breastfeeding and recovery difficulties; postpartum symptoms and functional limitations</w:t>
            </w:r>
          </w:p>
        </w:tc>
        <w:tc>
          <w:tcPr>
            <w:tcW w:w="275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2AC768D">
            <w:r>
              <w:t>Tenaw et al. (2024); Namutebi et al. (2022); Scroggins (2023)</w:t>
            </w:r>
          </w:p>
        </w:tc>
      </w:tr>
      <w:tr w14:paraId="241C324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355" w:hRule="atLeast"/>
        </w:trPr>
        <w:tc>
          <w:tcPr>
            <w:tcW w:w="251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92D1258">
            <w:r>
              <w:rPr>
                <w:b/>
                <w:bCs/>
              </w:rPr>
              <w:t>Theme 2: Mental health and psychological wellbeing</w:t>
            </w:r>
          </w:p>
        </w:tc>
        <w:tc>
          <w:tcPr>
            <w:tcW w:w="4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F13F77D">
            <w:r>
              <w:t>Depression and anxiety; fear and uncertainty; emotional exhaustion; parenting stress; loss of confidence</w:t>
            </w:r>
          </w:p>
        </w:tc>
        <w:tc>
          <w:tcPr>
            <w:tcW w:w="275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23D305C">
            <w:r>
              <w:t>Abdul Rahim et al. (2024); Tenaw et al. (2024); Namutebi et al. (2022); Scroggins (2023)</w:t>
            </w:r>
          </w:p>
        </w:tc>
      </w:tr>
      <w:tr w14:paraId="2109D80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355" w:hRule="atLeast"/>
        </w:trPr>
        <w:tc>
          <w:tcPr>
            <w:tcW w:w="251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40A2FEA">
            <w:r>
              <w:rPr>
                <w:b/>
                <w:bCs/>
              </w:rPr>
              <w:t>Theme 3: Social determinants of postpartum health</w:t>
            </w:r>
          </w:p>
        </w:tc>
        <w:tc>
          <w:tcPr>
            <w:tcW w:w="4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3849B6C">
            <w:r>
              <w:t>Poverty and financial insecurity; disrupted education; family support; stigma; social isolation and autonomy</w:t>
            </w:r>
          </w:p>
        </w:tc>
        <w:tc>
          <w:tcPr>
            <w:tcW w:w="275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4E41E38">
            <w:r>
              <w:t>Crooks et al. (2022); Alex-Ojei et al. (2023); Tenaw et al. (2024); WHO (2024)</w:t>
            </w:r>
          </w:p>
        </w:tc>
      </w:tr>
      <w:tr w14:paraId="091E9B0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355" w:hRule="atLeast"/>
        </w:trPr>
        <w:tc>
          <w:tcPr>
            <w:tcW w:w="251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61F65C6">
            <w:r>
              <w:rPr>
                <w:b/>
                <w:bCs/>
              </w:rPr>
              <w:t>Theme 4: Structural barriers and access to postnatal healthcare</w:t>
            </w:r>
          </w:p>
        </w:tc>
        <w:tc>
          <w:tcPr>
            <w:tcW w:w="4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E52A1FC">
            <w:r>
              <w:t>Transport and geographical barriers; affordability; information gaps; healthcare availability; fear of judgement</w:t>
            </w:r>
          </w:p>
        </w:tc>
        <w:tc>
          <w:tcPr>
            <w:tcW w:w="275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6231447">
            <w:r>
              <w:t>Javadi et al. (2023); Tolossa et al. (2024); Alex-Ojei et al. (2023)</w:t>
            </w:r>
          </w:p>
        </w:tc>
      </w:tr>
      <w:tr w14:paraId="3EB28AB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355" w:hRule="atLeast"/>
        </w:trPr>
        <w:tc>
          <w:tcPr>
            <w:tcW w:w="251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DFDC868">
            <w:r>
              <w:rPr>
                <w:b/>
                <w:bCs/>
              </w:rPr>
              <w:t>Theme 5: Health inequalities and maternity care experiences</w:t>
            </w:r>
          </w:p>
        </w:tc>
        <w:tc>
          <w:tcPr>
            <w:tcW w:w="4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00972AF">
            <w:r>
              <w:t>Communication; discrimination; lack of trust; unequal access; digital exclusion; need for individualised care</w:t>
            </w:r>
          </w:p>
        </w:tc>
        <w:tc>
          <w:tcPr>
            <w:tcW w:w="275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A18987C">
            <w:r>
              <w:t>Crowe (2022); MacLellan et al. (2022); Pierce et al. (2023); NHS England Digital (2026)</w:t>
            </w:r>
          </w:p>
        </w:tc>
      </w:tr>
    </w:tbl>
    <w:p w14:paraId="2C164F0C">
      <w:pPr>
        <w:pStyle w:val="4"/>
        <w:keepNext w:val="0"/>
        <w:keepLines w:val="0"/>
      </w:pPr>
      <w:bookmarkStart w:id="51" w:name="_Toc238235711"/>
      <w:r>
        <w:t>Theme 1: Clinical and Physical Postpartum Complications</w:t>
      </w:r>
      <w:bookmarkEnd w:id="51"/>
    </w:p>
    <w:p w14:paraId="6600539F">
      <w:r>
        <w:t>The initial theme is related to physical and clinical difficulties of postpartum recovery. Throughout the evidence, adolescent mothers were related to various physical challenges, such as pain, fatigue, physical exhaustion, breastfeeding challenges, delayed recovery and functional restriction. Tenaw</w:t>
      </w:r>
      <w:r>
        <w:rPr>
          <w:i/>
          <w:iCs/>
        </w:rPr>
        <w:t xml:space="preserve"> et al.</w:t>
      </w:r>
      <w:r>
        <w:t xml:space="preserve"> (2024) present especially in-depth qualitative data, showing that adolescent mothers felt physically exhausted and had problems with setting their recovery and the needs of a newborn baby against each other. Equally, Namuteb</w:t>
      </w:r>
      <w:r>
        <w:rPr>
          <w:i/>
          <w:iCs/>
        </w:rPr>
        <w:t>i et al.</w:t>
      </w:r>
      <w:r>
        <w:t xml:space="preserve"> (2022) discovered issues pertaining to the postnatal recovery, the handling of pain and the accessibility of healthcare services. These results suggest that postpartum recovery is not an experience that is as biological as it is a time when physical manifestations are in interaction with the practicality of early motherhood.</w:t>
      </w:r>
    </w:p>
    <w:p w14:paraId="1164AAF1">
      <w:r>
        <w:t>In line with this, Scroggins (2023) revealed the following clusters of postpartum symptoms: fatigue, sleep disturbance, physical discomfort and functional limitations. Though the study was not narrowed down to adolescent mothers, the results are complementary evidence with respect to the broader physical experience of the postpartum recovery. The latter is crucial as the direct evidence that would relate to adolescent mothers is relatively scanty.</w:t>
      </w:r>
    </w:p>
    <w:p w14:paraId="2EE36821">
      <w:r>
        <w:t xml:space="preserve">The qualitative evidence thus gives richness with regard to the impacts of physical complications on daily life, though not the prevalence, like quantitative evidence. The quantitative studies help to overcome this limitation since they present more extensive evidence on the outcomes of postpartum and the factors that determine these outcomes. Abdul Rahim </w:t>
      </w:r>
      <w:r>
        <w:rPr>
          <w:i/>
          <w:iCs/>
        </w:rPr>
        <w:t>et al.</w:t>
      </w:r>
      <w:r>
        <w:t xml:space="preserve"> (2024) studied the quantitative mental health outcomes of postpartum, for instance, in various groups, and the overall evidence base points to the fact that physical and psychological outcomes often coincide. </w:t>
      </w:r>
    </w:p>
    <w:p w14:paraId="725BBD39">
      <w:r>
        <w:t xml:space="preserve">One of the major trends that the synthesis reveals is that physical recovery and responsibilities of a mother may strengthen each other. Infant care may be more challenging due to pain, fatigue and physical inability to carry out more than limited activities, and the infant care responsibilities may decrease the possibility of having rest and recovery. This connection is especially depicted by Tenaw </w:t>
      </w:r>
      <w:r>
        <w:rPr>
          <w:i/>
          <w:iCs/>
        </w:rPr>
        <w:t>et al.</w:t>
      </w:r>
      <w:r>
        <w:t xml:space="preserve"> (2024) by stories of teen mothers who are trying to balance their physical recovery with taking care of their children. </w:t>
      </w:r>
    </w:p>
    <w:p w14:paraId="290C4DAB">
      <w:pPr>
        <w:pStyle w:val="4"/>
        <w:keepNext w:val="0"/>
        <w:keepLines w:val="0"/>
      </w:pPr>
      <w:bookmarkStart w:id="52" w:name="_Toc238235712"/>
      <w:r>
        <w:t>Theme 2: Mental Health and Psychological Wellbeing</w:t>
      </w:r>
      <w:bookmarkEnd w:id="52"/>
    </w:p>
    <w:p w14:paraId="3F75A045">
      <w:r>
        <w:t xml:space="preserve">The second theme is about the mental implications of teenage motherhood in the postpartum period. Depression, anxiety, emotional distress, fear, loneliness, uncertainty and parenting-related stress have always been found to be significant issues of postpartum wellbeing. Abdul Rahim </w:t>
      </w:r>
      <w:r>
        <w:rPr>
          <w:i/>
          <w:iCs/>
        </w:rPr>
        <w:t>et al.</w:t>
      </w:r>
      <w:r>
        <w:t xml:space="preserve"> (2024) offer quantitative evidence that the psychological challenges of adolescent mothers cannot be limited to the immediate postpartum period. </w:t>
      </w:r>
    </w:p>
    <w:p w14:paraId="576A5CE0">
      <w:r>
        <w:t xml:space="preserve">The qualitative results are the complements of the quantitative results. Tenaw </w:t>
      </w:r>
      <w:r>
        <w:rPr>
          <w:i/>
          <w:iCs/>
        </w:rPr>
        <w:t>et al.</w:t>
      </w:r>
      <w:r>
        <w:t xml:space="preserve"> (2024) discovered that adolescent mothers felt fear, loneliness, uncertainty and emotional fatigue in the process of adjusting to motherhood. In a parallel manner, Namutebi </w:t>
      </w:r>
      <w:r>
        <w:rPr>
          <w:i/>
          <w:iCs/>
        </w:rPr>
        <w:t>et al.</w:t>
      </w:r>
      <w:r>
        <w:t xml:space="preserve"> (2022) found the anxiety related to infant care and the lack of confidence in parenting skills. The participants also stated that they needed emotional support and well-defined guidance from healthcare workers and family members. </w:t>
      </w:r>
    </w:p>
    <w:p w14:paraId="11D8E33B">
      <w:r>
        <w:t>Convergence in methodology thus exists between the two types of evidence. Both also show that teenage motherhood can result in significant psychological vulnerability, albeit in different ways. Quantitative research defines measurable results, and qualitative research entails emotional connotation and experiences. These two types of evidence should therefore be viewed as supplementary as opposed to being competitors. This helps in the methodological triangulation, which was determined in Chapter 4.</w:t>
      </w:r>
    </w:p>
    <w:p w14:paraId="175C8DA2">
      <w:r>
        <w:t xml:space="preserve">The synthesis also suggests that the psychological well-being is directly related to the social conditions of adolescent mothers. The interaction is illustrated by Tenaw </w:t>
      </w:r>
      <w:r>
        <w:rPr>
          <w:i/>
          <w:iCs/>
        </w:rPr>
        <w:t>et al.</w:t>
      </w:r>
      <w:r>
        <w:t xml:space="preserve"> (2024) in the form of stories of adolescent mothers trying to balance childcare with their family and school demands. On the same note, Namutebi </w:t>
      </w:r>
      <w:r>
        <w:rPr>
          <w:i/>
          <w:iCs/>
        </w:rPr>
        <w:t xml:space="preserve">et al. </w:t>
      </w:r>
      <w:r>
        <w:t>(2022) point to the anxiety related to the lack of information related to maternal and infant care.</w:t>
      </w:r>
    </w:p>
    <w:p w14:paraId="31167058">
      <w:r>
        <w:t xml:space="preserve">A significant discovery is thus that mental health needs to be seen as a product of the interplay of vulnerabilities and not a clinical phenomenon in itself. In cases where adolescent mothers do not support or feel confident, issues with access to services can become even more important. </w:t>
      </w:r>
    </w:p>
    <w:p w14:paraId="60811AE7">
      <w:pPr>
        <w:pStyle w:val="4"/>
        <w:keepNext w:val="0"/>
        <w:keepLines w:val="0"/>
      </w:pPr>
      <w:bookmarkStart w:id="53" w:name="_Toc238235713"/>
    </w:p>
    <w:p w14:paraId="618FD896">
      <w:pPr>
        <w:pStyle w:val="4"/>
        <w:keepNext w:val="0"/>
        <w:keepLines w:val="0"/>
      </w:pPr>
    </w:p>
    <w:p w14:paraId="005A60F3">
      <w:pPr>
        <w:pStyle w:val="4"/>
        <w:keepNext w:val="0"/>
        <w:keepLines w:val="0"/>
      </w:pPr>
      <w:r>
        <w:t>Theme 3: Social Determinants of Postpartum Health</w:t>
      </w:r>
      <w:bookmarkEnd w:id="53"/>
    </w:p>
    <w:p w14:paraId="1855C5DB">
      <w:r>
        <w:t>The third theme illustrates that the socioeconomic and relational factors are very strong determinants of postpartum health. The evidence recognises poverty and financial insecurity, disrupted education, social stigma, lack of autonomy and family support and social isolation as key determinants. The results are in line with the Hertzman and Siddiqui Social Determinants of Health approach applied in the dissertation, which focuses on the life-long accumulation of the impacts of social disadvantage.</w:t>
      </w:r>
    </w:p>
    <w:p w14:paraId="695ABF8D">
      <w:r>
        <w:t xml:space="preserve">Crooks </w:t>
      </w:r>
      <w:r>
        <w:rPr>
          <w:i/>
          <w:iCs/>
        </w:rPr>
        <w:t xml:space="preserve">et al. </w:t>
      </w:r>
      <w:r>
        <w:t xml:space="preserve">(2022) have discovered that stigmatisation, reliance on other relatives and loss of individuality are common occurrences among adolescent mothers. These experiences may undermine trust and deter involvement with healthcare. In the same way, Alex-Ojei </w:t>
      </w:r>
      <w:r>
        <w:rPr>
          <w:i/>
          <w:iCs/>
        </w:rPr>
        <w:t>et al.</w:t>
      </w:r>
      <w:r>
        <w:t xml:space="preserve"> (2023) found financial deprivation, lack of family support and accessibility to medical facilities to be some of the issues affecting adolescent mothers in Nigeria. Even though both studies reveal the importance of the social determinants, the area of their geographical focus varies. The evidence synthesised by Crooks</w:t>
      </w:r>
      <w:r>
        <w:rPr>
          <w:i/>
          <w:iCs/>
        </w:rPr>
        <w:t xml:space="preserve"> et al.</w:t>
      </w:r>
      <w:r>
        <w:t xml:space="preserve"> (2022) is based on multiple countries, thus enhancing the transferability of the results, but Alex-Ojei </w:t>
      </w:r>
      <w:r>
        <w:rPr>
          <w:i/>
          <w:iCs/>
        </w:rPr>
        <w:t xml:space="preserve">et al. </w:t>
      </w:r>
      <w:r>
        <w:t>(2023) provide more information about Nigeria.</w:t>
      </w:r>
    </w:p>
    <w:p w14:paraId="2B0502AE">
      <w:r>
        <w:t xml:space="preserve">This fact is reinforced by Tenaw </w:t>
      </w:r>
      <w:r>
        <w:rPr>
          <w:i/>
          <w:iCs/>
        </w:rPr>
        <w:t>et al.</w:t>
      </w:r>
      <w:r>
        <w:t xml:space="preserve"> (2024), as the article specifically targets the postpartum period. Poverty, social isolation and lack of emotional support were also found to be the same issues faced after giving birth. Loneliness, feeling uncertain and struggling to balance childcare with education and family life were reported by adolescent mothers. These data indicate that the disadvantages related to being an adolescent mother do not go away once they deliver. </w:t>
      </w:r>
    </w:p>
    <w:p w14:paraId="26D7D8D8">
      <w:r>
        <w:t xml:space="preserve">In this theme, education is crucial. When mothers get pregnant at a young age, it can interfere with their education, which in turn can limit their chances of getting a job and being financially independent. This economic vulnerability could lead to increased inability to access transport, receive services or get access to adequate resources to take care of a mother and a baby. </w:t>
      </w:r>
    </w:p>
    <w:p w14:paraId="1215976D">
      <w:r>
        <w:t xml:space="preserve">The family support was also found to be a significant protective factor or risk factor. In the presence of emotional and practical support from family members, adolescent mothers can cope better with the management of infant care and recovery. On the other hand, family support may be weak, and this may enhance isolation and stress. This observation aligns with that of Tenaw </w:t>
      </w:r>
      <w:r>
        <w:rPr>
          <w:i/>
          <w:iCs/>
        </w:rPr>
        <w:t xml:space="preserve">et al. </w:t>
      </w:r>
      <w:r>
        <w:t>(2024), who found that a lack of emotional and practical support led to challenging transitions into motherhood.</w:t>
      </w:r>
    </w:p>
    <w:p w14:paraId="08CC3C2F">
      <w:r>
        <w:t xml:space="preserve">Another factor that keeps recurring is the stigma. According to Crooks </w:t>
      </w:r>
      <w:r>
        <w:rPr>
          <w:i/>
          <w:iCs/>
        </w:rPr>
        <w:t>et al.</w:t>
      </w:r>
      <w:r>
        <w:t xml:space="preserve"> (2022), teenage mothers may feel suspicion from their communities, and confidence decreases, discouraging the use of healthcare. Thus, material poverty is not the only type of social disadvantage. It also covers relational and cultural experiences that determine the acceptance, support and seeking assistance of the young mothers.</w:t>
      </w:r>
    </w:p>
    <w:p w14:paraId="6E3A748E">
      <w:r>
        <w:t>The synthesis, in general, shows that biological age cannot explain postpartum complications. Rather, the conditions of adolescent motherhood, such as poverty, education, social support and stigma, can influence the exposure to risk and recovery ability.</w:t>
      </w:r>
    </w:p>
    <w:p w14:paraId="5E62D216">
      <w:pPr>
        <w:pStyle w:val="4"/>
        <w:keepNext w:val="0"/>
        <w:keepLines w:val="0"/>
      </w:pPr>
      <w:bookmarkStart w:id="54" w:name="_Toc238235714"/>
      <w:r>
        <w:t>Theme 4: Structural Barriers and Access to Postnatal Healthcare</w:t>
      </w:r>
      <w:bookmarkEnd w:id="54"/>
    </w:p>
    <w:p w14:paraId="41C2DF10">
      <w:r>
        <w:t xml:space="preserve">The fourth theme is related to structural barriers that influence access to postnatal healthcare. Javadi </w:t>
      </w:r>
      <w:r>
        <w:rPr>
          <w:i/>
          <w:iCs/>
        </w:rPr>
        <w:t>et al.</w:t>
      </w:r>
      <w:r>
        <w:t xml:space="preserve"> (2023) found transportation challenges, financial barriers, lack of awareness in the type of services offered and fear of being judged by the healthcare professionals as key obstacles to postnatal care among adolescent girls. These results prove that not only do personal preferences impact the healthcare utilisation, but also the availability and accessibility of services.</w:t>
      </w:r>
    </w:p>
    <w:p w14:paraId="059515C3">
      <w:r>
        <w:t xml:space="preserve">Equally, Tolossa </w:t>
      </w:r>
      <w:r>
        <w:rPr>
          <w:i/>
          <w:iCs/>
        </w:rPr>
        <w:t>et al.</w:t>
      </w:r>
      <w:r>
        <w:t xml:space="preserve"> (2024) found out poverty, geographical distance and lack of proper healthcare facilities to be obstacles to healthcare use among teen mothers in Sub-Saharan Africa. Similar results were obtained by Alex-Ojei </w:t>
      </w:r>
      <w:r>
        <w:rPr>
          <w:i/>
          <w:iCs/>
        </w:rPr>
        <w:t>et al.</w:t>
      </w:r>
      <w:r>
        <w:t xml:space="preserve"> (2023), who reported that in Nigeria, maternal healthcare utilisation was impacted by financial constraints and low access to healthcare. In line with this, these studies have shown that structural barriers are at many levels, and these include the household-level, geographical accessibility, and capacity of the health system.</w:t>
      </w:r>
    </w:p>
    <w:p w14:paraId="5D3202A5">
      <w:r>
        <w:t xml:space="preserve">These studies indicate a general consistency that indicates that obstacles to postnatal care are not purely behavioural. The young mother might be aware of the value of the postnatal care, yet will be unable to visit due to the cost of transport, distance, lack of sufficient information or fear of adverse treatment. </w:t>
      </w:r>
    </w:p>
    <w:p w14:paraId="3399DF2E">
      <w:r>
        <w:t>Another significant limitation in the evidence is the geographical one. To a large extent, the research on structural barriers is based on low- and middle-income contexts. The findings are valuable evidence on the mechanisms of exclusion, but cannot necessarily be extrapolated to the UK since health care infrastructure, systems of maternity provision and social support are different.</w:t>
      </w:r>
    </w:p>
    <w:p w14:paraId="04D67816">
      <w:r>
        <w:t xml:space="preserve">The synthesis, however, proposes structural barriers and social determinants to being in a relationship. Poverty can cause problems with transport; low education levels can diminish understanding of services available; stigma can deter use of services, and poor service delivery may contribute to pre-existing inequalities. </w:t>
      </w:r>
    </w:p>
    <w:p w14:paraId="0BC7D464">
      <w:pPr>
        <w:pStyle w:val="4"/>
        <w:keepNext w:val="0"/>
        <w:keepLines w:val="0"/>
      </w:pPr>
      <w:bookmarkStart w:id="55" w:name="_Toc238235715"/>
      <w:r>
        <w:t>Theme 5: Health Inequalities and Maternity Care Experiences</w:t>
      </w:r>
      <w:bookmarkEnd w:id="55"/>
    </w:p>
    <w:p w14:paraId="4D69801D">
      <w:r>
        <w:t xml:space="preserve">The fifth theme dwells upon broader health disparities and maternity care experience, especially in the UK. Crowe (2022) cited communication challenges, discrimination and disparity in accessing healthcare as among the causes of maternity disparity. In the same way, MacLellan </w:t>
      </w:r>
      <w:r>
        <w:rPr>
          <w:i/>
          <w:iCs/>
        </w:rPr>
        <w:t xml:space="preserve">et al. </w:t>
      </w:r>
      <w:r>
        <w:t>(2022) have discovered that Black, Asian and minority ethnic women often felt unheard, misunderstood and unsupported in the maternity services. These experiences were linked to the lack of trust in healthcare professionals and reduced access to services.</w:t>
      </w:r>
    </w:p>
    <w:p w14:paraId="683A6A13">
      <w:r>
        <w:t>Even though these studies are not specifically on mothers below the age of 18, they do apply since adolescent mothers are likely to be vulnerable in many ways. Maternity experiences can be intersected and determined by age, socioeconomic disadvantage, ethnicity and limited autonomy. What has been indicated then is that maternity inequalities cannot be perceived based on one characteristic. Rather, teen mothers might need services that acknowledge their concomitant social and developmental needs.</w:t>
      </w:r>
    </w:p>
    <w:p w14:paraId="24C9B39E">
      <w:r>
        <w:t>Pierce</w:t>
      </w:r>
      <w:r>
        <w:rPr>
          <w:i/>
          <w:iCs/>
        </w:rPr>
        <w:t xml:space="preserve"> et al.</w:t>
      </w:r>
      <w:r>
        <w:t xml:space="preserve"> (2023) offer another point of view that takes into account digital healthcare. Digital applications have the potential to enhance vulnerable maternity service users and communication, although digital exclusion is an issue. This shows that technological innovation has the potential to reduce some of the barriers and, in the process, establish new opportunities for individuals with low digital access or skills.</w:t>
      </w:r>
    </w:p>
    <w:p w14:paraId="3FCA1DAC">
      <w:r>
        <w:t>The UK evidence thus does point to a conflict between policy desires and experience. Efforts to enhance continuity, individualised support and maternity outcomes can offer an avenue to enhanced services, but disparities in the communication, trust and access persist. The fact that there is little evidence which specifically deals with adolescent mothers in the UK is therefore significant. In the current research (UK), ethnicity or socioeconomic disadvantage is often studied instead of the combination of the two and their impact on adolescent motherhood.</w:t>
      </w:r>
    </w:p>
    <w:p w14:paraId="32A93E85">
      <w:pPr>
        <w:pStyle w:val="4"/>
        <w:keepNext w:val="0"/>
        <w:keepLines w:val="0"/>
      </w:pPr>
      <w:bookmarkStart w:id="56" w:name="_Toc238235716"/>
      <w:r>
        <w:t>Integration Across Themes</w:t>
      </w:r>
      <w:bookmarkEnd w:id="56"/>
    </w:p>
    <w:p w14:paraId="6F0161A8">
      <w:r>
        <w:t xml:space="preserve">The five themes are not to be considered as categories. A strong interrelationship exists between clinical, psychological, social and structural factors as evidenced by the synthesis. As an example, the lack of financial security can decrease access to healthcare, which can make it more likely that physical or psychological problems will not get assistance. </w:t>
      </w:r>
    </w:p>
    <w:p w14:paraId="768B729A">
      <w:r>
        <w:t>The fact thus upholds a multidimensional perspective of adolescent postpartum health. Clinical complications are the direct health issues, but their outcomes can be influenced by the psychological health, social resources and access to healthcare services. Quantitative evidence provides information on how common and how these outcomes occur, and qualitative evidence provides an explanation of how these outcomes are perceived and experienced by adolescent mothers. The mixed-methods evidence is further integrative due to the incorporation of the measurable postpartum symptoms with contextual experiences.</w:t>
      </w:r>
    </w:p>
    <w:p w14:paraId="4A3DFD3F">
      <w:r>
        <w:t xml:space="preserve">Another trend is related to the low transferability of evidence on an international basis to the UK. Nigeria, Uganda and Sub-Saharan Africa have a few studies that bring in valuable evidence; however, due to the varying healthcare systems, socioeconomic status, and cultural backgrounds, direct comparison is not possible. An example, Tenaw </w:t>
      </w:r>
      <w:r>
        <w:rPr>
          <w:i/>
          <w:iCs/>
        </w:rPr>
        <w:t xml:space="preserve">et al. </w:t>
      </w:r>
      <w:r>
        <w:t xml:space="preserve">(2024), admits a large amount of heterogeneity among the healthcare systems that is reflected in its synthesis. </w:t>
      </w:r>
    </w:p>
    <w:p w14:paraId="71CF338F">
      <w:r>
        <w:t>However, there is a substantial overlap in the results of various contexts. Regardless of the differences in the context, common problems are a lack of support, poverty, stigma, problems with healthcare accessibility, emotional distress and struggling with the transition to motherhood. This implies that certain processes that have an influence on the well-being of adolescent postpartum might be common across the board, although their manifestation might be different based on the situation.</w:t>
      </w:r>
    </w:p>
    <w:p w14:paraId="6B06E02B">
      <w:r>
        <w:t>The general synthesis thus has a more complete insight as compared to the individual studies. The results suggest that the age-sensitive and person-centred maternity care in the context of postpartum complications in mothers under 18 should be integrated. This care should focus on physical recovery but must take into account mental health and family support, socioeconomic disadvantage, accessibility and experiences of stigma or discrimination.</w:t>
      </w:r>
    </w:p>
    <w:p w14:paraId="43BF99E0">
      <w:pPr>
        <w:pStyle w:val="3"/>
      </w:pPr>
      <w:bookmarkStart w:id="57" w:name="_Toc238235717"/>
      <w:r>
        <w:t>5.6 Chapter Summary</w:t>
      </w:r>
      <w:bookmarkEnd w:id="57"/>
    </w:p>
    <w:p w14:paraId="26A17E98">
      <w:r>
        <w:t>The evidence presented in 20 included studies was analysed and synthesised in this chapter with the help of the thematic analysis based on the framework by Braun and Clarke (2006). They identified five overall themes, which included clinical and physical complications, mental health and psychological wellbeing, social determinants, structural barriers to healthcare, and maternity health inequalities. In general, the evidence shows that the interacting clinical, psychological, social and structural vulnerabilities influence the adolescent postpartum health. The results also shed light on the lack of evidence that is UK-specific and the necessity of equitable, accessible and person-centred postnatal care to mothers below 18.</w:t>
      </w:r>
      <w:r>
        <w:br w:type="page"/>
      </w:r>
    </w:p>
    <w:p w14:paraId="3C0804CD">
      <w:pPr>
        <w:pStyle w:val="2"/>
      </w:pPr>
      <w:bookmarkStart w:id="58" w:name="_Toc238235718"/>
      <w:r>
        <w:t>CHAPTER 6: DISCUSSION</w:t>
      </w:r>
      <w:bookmarkEnd w:id="58"/>
    </w:p>
    <w:p w14:paraId="1570ADAF">
      <w:pPr>
        <w:pStyle w:val="3"/>
      </w:pPr>
      <w:bookmarkStart w:id="59" w:name="_Toc238235719"/>
      <w:r>
        <w:t>6.1 Introduction to Chapter</w:t>
      </w:r>
      <w:bookmarkEnd w:id="59"/>
    </w:p>
    <w:p w14:paraId="1C560BC0">
      <w:r>
        <w:t>The findings of the systematic literature review, which reveal the existing evidence on postpartum complications and experiences in mothers under 18 years of age, are discussed in this chapter. The five themes identified with the help of thematic synthesis (clinical and physical complications, mental health and psychological wellbeing, social determinants, structural barriers to postnatal healthcare, and maternity health inequalities) will be discussed. The results are compared to the literature reviewed in Chapter 2 to determine where the results converge, deviate and gaps in the existing knowledge. The implications of the findings, the role of methodological triangulation, as well as the strengths and weaknesses of the utilisation of secondary evidence in the form of a systematic literature review are also taken into account in the chapter.</w:t>
      </w:r>
    </w:p>
    <w:p w14:paraId="5EB362F4">
      <w:pPr>
        <w:pStyle w:val="3"/>
      </w:pPr>
      <w:bookmarkStart w:id="60" w:name="_Toc238235720"/>
      <w:r>
        <w:t>6.2 Discussion of Key findings</w:t>
      </w:r>
      <w:bookmarkEnd w:id="60"/>
    </w:p>
    <w:p w14:paraId="1A9BC7D7">
      <w:pPr>
        <w:pStyle w:val="4"/>
      </w:pPr>
      <w:bookmarkStart w:id="61" w:name="_Toc238235721"/>
      <w:r>
        <w:t>6.2.1 Clinical and Physical Complications of childbirth.</w:t>
      </w:r>
      <w:bookmarkEnd w:id="61"/>
    </w:p>
    <w:p w14:paraId="61ECCE74">
      <w:r>
        <w:t xml:space="preserve">The results show that adolescent mothers are faced with various physical problems that occur during the postpartum phase, such as pain, fatigue, exhaustion, breastfeeding problems and delayed recovery. These results align with the results of Tenaw </w:t>
      </w:r>
      <w:r>
        <w:rPr>
          <w:i/>
          <w:iCs/>
        </w:rPr>
        <w:t xml:space="preserve">et al. </w:t>
      </w:r>
      <w:r>
        <w:t xml:space="preserve">(2024), who found physical exhaustion and lack of coping with the responsibility of taking care of infants to be a problem among adolescent mothers. Namutebi </w:t>
      </w:r>
      <w:r>
        <w:rPr>
          <w:i/>
          <w:iCs/>
        </w:rPr>
        <w:t xml:space="preserve">et al. </w:t>
      </w:r>
      <w:r>
        <w:t xml:space="preserve">(2022) also mentioned the issues related to postnatal recovery and the necessity to receive proper healthcare assistance. </w:t>
      </w:r>
    </w:p>
    <w:p w14:paraId="2AA33630">
      <w:r>
        <w:t>The synthesis, however, offers a valuable generalised meaning in that it shows that the physical complications cannot be viewed in isolation from the social context that adolescent motherhood is in. This implies that clinical factors alone may not be sufficient to determine the severity and effects of postpartum hardships, but also the resources offered to mothers in the rehabilitation process.</w:t>
      </w:r>
    </w:p>
    <w:p w14:paraId="2CAA32B4">
      <w:r>
        <w:t xml:space="preserve">The approach employed by Scroggins (2023) is complementary as it is based on the mixed-method report and the author has identified the following postpartum symptoms: fatigue, sleep disturbance and physical limitations. The quantitative element gives evidence of quantifiable symptoms, whereas the qualitative results aid in the explanation of the way the said symptoms influence the normal maternal functioning. </w:t>
      </w:r>
    </w:p>
    <w:p w14:paraId="52DF2745">
      <w:r>
        <w:t xml:space="preserve">The results, hence, substantiate the idea of a multidimensional understanding of physical postpartum health. Instead of considering complications as biological implications of young maternal age, the evidence shows that recovery is determined by the interaction between physical symptoms, maternal responsibilities and healthcare support and broader socioeconomic conditions. </w:t>
      </w:r>
    </w:p>
    <w:p w14:paraId="4AEB3D92">
      <w:pPr>
        <w:pStyle w:val="4"/>
      </w:pPr>
      <w:bookmarkStart w:id="62" w:name="_Toc238235722"/>
      <w:r>
        <w:t>6.2.2 Mental Well-being and Mental Health</w:t>
      </w:r>
      <w:bookmarkEnd w:id="62"/>
    </w:p>
    <w:p w14:paraId="1D24B778">
      <w:r>
        <w:t>Mental well-being was found to be a key aspect of postpartum well-being. The results revealed all the following to be common experiences: depression, anxiety, fear, loneliness, emotional exhaustion, uncertainty and lack of confidence. Abdul Rahim</w:t>
      </w:r>
      <w:r>
        <w:rPr>
          <w:i/>
          <w:iCs/>
        </w:rPr>
        <w:t xml:space="preserve"> et al. </w:t>
      </w:r>
      <w:r>
        <w:t>(2024) give quantitative evidence of the existence and continued existence of postpartum mental health challenges in adolescent mothers. This adds to the qualitative results of Tenaw</w:t>
      </w:r>
      <w:r>
        <w:rPr>
          <w:i/>
          <w:iCs/>
        </w:rPr>
        <w:t xml:space="preserve"> et al.</w:t>
      </w:r>
      <w:r>
        <w:t xml:space="preserve"> (2024) who reported emotional exhaustion, loneliness and uncertainty among the adolescent mothers in their transition to motherhood.</w:t>
      </w:r>
    </w:p>
    <w:p w14:paraId="78D66CC9">
      <w:r>
        <w:t>Of special interest is the intersection of both quantitative and qualitative evidence. Quantitative research is able to determine the prevalence or distribution of psychological symptoms (and hence the prevalence of psychological disorders), but qualitative research can offer an understanding of how the symptoms are experienced. The results, hence, show the importance of triangulation of methodologies.</w:t>
      </w:r>
    </w:p>
    <w:p w14:paraId="054FFC9F">
      <w:r>
        <w:t xml:space="preserve">The results are also in harmony with the Social Determinants of Health perspective that was discussed in Chapter 2. Psychological challenges seem to be dependent on factors like poverty, lack of family support, social isolation, disruption and uncertainty in education, as well as uncertainty in relation to healthcare. An example is Tenaw </w:t>
      </w:r>
      <w:r>
        <w:rPr>
          <w:i/>
          <w:iCs/>
        </w:rPr>
        <w:t xml:space="preserve">et al. </w:t>
      </w:r>
      <w:r>
        <w:t>(2024), which shows how mothers who have children during their adolescence may feel lonely and have problems managing childcare, family and education. This implies that psychological problems with mental health may be entrenched in the broader social conditions instead of in individuals with psychological issues.</w:t>
      </w:r>
    </w:p>
    <w:p w14:paraId="36B628E0">
      <w:r>
        <w:t>A key implication is that postnatal mental health support must be incorporated with a wider maternity and social support. Depression or anxiety screening alone can indicate the symptoms, but can do nothing about the situations causing the symptoms. Practical advice, emotional support, available health care and help in social or educational issues may be needed by young mothers.</w:t>
      </w:r>
    </w:p>
    <w:p w14:paraId="0FC78822">
      <w:pPr>
        <w:pStyle w:val="4"/>
      </w:pPr>
      <w:bookmarkStart w:id="63" w:name="_Toc238235723"/>
      <w:r>
        <w:t>6.2.3 Social Determinants of Postpartum Health.</w:t>
      </w:r>
      <w:bookmarkEnd w:id="63"/>
    </w:p>
    <w:p w14:paraId="6B5607F6">
      <w:r>
        <w:t xml:space="preserve">The results are quite clear to argue that there is a role played by social determinants in postpartum health. The evidence was repeatedly found to be poverty as well as financial insecurity, disrupted education, stigma, social isolation and poor family support. Stigma, reliance on family and lack of autonomy were found to be common experiences by Crooks </w:t>
      </w:r>
      <w:r>
        <w:rPr>
          <w:i/>
          <w:iCs/>
        </w:rPr>
        <w:t>et al.</w:t>
      </w:r>
      <w:r>
        <w:t xml:space="preserve"> (2022), whereas Alex-Ojei </w:t>
      </w:r>
      <w:r>
        <w:rPr>
          <w:i/>
          <w:iCs/>
        </w:rPr>
        <w:t>et al.</w:t>
      </w:r>
      <w:r>
        <w:t xml:space="preserve"> (2023) deemed financial hardship, insufficient support and access to healthcare.</w:t>
      </w:r>
    </w:p>
    <w:p w14:paraId="2142F8A3">
      <w:r>
        <w:t xml:space="preserve">These results are aligned with the Social Determinants of Health framework since they suggest the influence that the situation beyond the clinical setting could have on health outcomes. Young mothers can be disadvantaged at the same time in a number of ways. </w:t>
      </w:r>
    </w:p>
    <w:p w14:paraId="0BEB16E2">
      <w:r>
        <w:t xml:space="preserve">The evidence presented by Tenaw </w:t>
      </w:r>
      <w:r>
        <w:rPr>
          <w:i/>
          <w:iCs/>
        </w:rPr>
        <w:t>et al</w:t>
      </w:r>
      <w:r>
        <w:t xml:space="preserve">. (2024) is especially significant due to the fact that it is specifically dedicated to the postpartum period, which proves that these disadvantages might persist even after childbirth. The transition into motherhood can be more challenging due to poverty, social isolation and the absence of emotional support. </w:t>
      </w:r>
    </w:p>
    <w:p w14:paraId="20C1097F">
      <w:r>
        <w:t xml:space="preserve">Family support seems to be an indicator of a possible protective factor as well as a dependency. Practical help and emotional comfort can be offered by supporting family relationships, but the autonomy can be diminished with dependence on family members. Hence, Crooks </w:t>
      </w:r>
      <w:r>
        <w:rPr>
          <w:i/>
          <w:iCs/>
        </w:rPr>
        <w:t>et al.</w:t>
      </w:r>
      <w:r>
        <w:t xml:space="preserve"> (2022) make a valuable contribution to the existing understanding of the complexity of support: the family involvement does not imply that adolescent mothers will feel empowered.</w:t>
      </w:r>
    </w:p>
    <w:p w14:paraId="352DD7FB">
      <w:r>
        <w:t xml:space="preserve">The results also indicate that there is an uneven distribution in the evidence, as far as the geography is concerned. The evidence with regard to the social determinants is relatively large in terms of low- and middle-income nations. In spite of the similarity in the mechanisms that can be used (like poverty, stigma and lack of support), dissimilarity in the welfare systems, maternity services and cultural expectations restricts direct applicability to the UK. </w:t>
      </w:r>
    </w:p>
    <w:p w14:paraId="72EEE273">
      <w:pPr>
        <w:pStyle w:val="4"/>
      </w:pPr>
      <w:bookmarkStart w:id="64" w:name="_Toc238235724"/>
      <w:r>
        <w:t>6.2.4 Barriers to postnatal health care and Structure.</w:t>
      </w:r>
      <w:bookmarkEnd w:id="64"/>
    </w:p>
    <w:p w14:paraId="4024B667">
      <w:r>
        <w:t>The results reveal that the structural factors, and not only individual ones, have an impact on access to postnatal healthcare. Transport problems, lack of financial resources, lack of information and judgment were also found to be significant barriers (Javadi</w:t>
      </w:r>
      <w:r>
        <w:rPr>
          <w:i/>
          <w:iCs/>
        </w:rPr>
        <w:t xml:space="preserve"> et al. </w:t>
      </w:r>
      <w:r>
        <w:t xml:space="preserve">2023). Tolossa </w:t>
      </w:r>
      <w:r>
        <w:rPr>
          <w:i/>
          <w:iCs/>
        </w:rPr>
        <w:t>et al</w:t>
      </w:r>
      <w:r>
        <w:t xml:space="preserve">. (2024) also determined geographical distance, poverty and lack of adequate healthcare facilities. Alex-Ojei </w:t>
      </w:r>
      <w:r>
        <w:rPr>
          <w:i/>
          <w:iCs/>
        </w:rPr>
        <w:t>et al.</w:t>
      </w:r>
      <w:r>
        <w:t xml:space="preserve"> (2023) determined financial and availability issues.</w:t>
      </w:r>
    </w:p>
    <w:p w14:paraId="62256EED">
      <w:r>
        <w:t>The results undermine the point of view that puts the burden of responsibility for healthcare use upon individual mothers. A young mother can appreciate the significance of postnatal care, yet she cannot obtain services due to transport, cost, information, or fear of how she will be treated. Thus, to enhance the maternal outcomes, the accessibility, acceptability and responsiveness of the healthcare services must be considered.</w:t>
      </w:r>
    </w:p>
    <w:p w14:paraId="4A721C9E">
      <w:r>
        <w:t>There is also some evidence that there is an interaction between structural and social barriers. Stigma will deter healthcare seekers, and lack of access will increase the existing health disparities. On the same note, transport can be a challenge due to financial insecurity, and a lack of education or information can decrease awareness of services. These obstacles reflect the interrelation that access to healthcare is a multidimensional concept.</w:t>
      </w:r>
    </w:p>
    <w:p w14:paraId="5EB286E3">
      <w:r>
        <w:t>Nevertheless, one should be careful about using evidence in the low-resource setting in the UK. The UK has a significantly varied structure of maternity healthcare, such that the distance of an area or the inaccessibility of a basic level of healthcare might work in reverse. The results consequently confirm the essence of adolescent-sensitive postnatal services. Young mothers might need to be communicated with clearly, have flexible access, have non-judgemental and supportive interactions and recognition of their age and situation.</w:t>
      </w:r>
    </w:p>
    <w:p w14:paraId="7082986A">
      <w:pPr>
        <w:pStyle w:val="4"/>
      </w:pPr>
      <w:bookmarkStart w:id="65" w:name="_Toc238235725"/>
      <w:r>
        <w:t>6.2.5 Inequality in Health and Maternity Care Experiences.</w:t>
      </w:r>
      <w:bookmarkEnd w:id="65"/>
    </w:p>
    <w:p w14:paraId="0F63115E">
      <w:r>
        <w:t xml:space="preserve">The last theme is related to the global disparities in maternity care. Crowe (2022) found communication issues, inequality and disparity among marginalised populations in the UK, and MacLellan </w:t>
      </w:r>
      <w:r>
        <w:rPr>
          <w:i/>
          <w:iCs/>
        </w:rPr>
        <w:t>et al.</w:t>
      </w:r>
      <w:r>
        <w:t xml:space="preserve"> (2022) shared the experiences of women of Black, Asian and minority ethnicities who said that they felt unheard, misunderstood and unsupported. These results show that the quality of the interactions between the service users and healthcare professionals and the availability of the services influence the maternity experiences.</w:t>
      </w:r>
    </w:p>
    <w:p w14:paraId="6065DE1B">
      <w:r>
        <w:t>Even though these studies do not only meet the requirements of adolescent mothers, they apply to the realisation of how several vulnerabilities could overlap. The adolescent mother can be vulnerable due to their age and have a socioeconomic disadvantage, be discriminated against or lack autonomy because of ethnicity. Therefore, the multiplicity of disparities of different types of disadvantage could be missed by a single-factor approach to maternity inequalities.</w:t>
      </w:r>
    </w:p>
    <w:p w14:paraId="6C1FF56A">
      <w:r>
        <w:t>Pierce</w:t>
      </w:r>
      <w:r>
        <w:rPr>
          <w:i/>
          <w:iCs/>
        </w:rPr>
        <w:t xml:space="preserve"> et al.</w:t>
      </w:r>
      <w:r>
        <w:t xml:space="preserve"> (2023) add one more dimension as they believe that digital healthcare applications have the potential to enhance communication and support, and introduce the risk of digital exclusion. This shows the fact that technological innovation does not necessarily prove to be equitable. The results thus point to a conflict between the efforts to modernise maternity care and the necessity to make sure that vulnerable groups are included. Person-centred and individualised care necessitates healthcare personnel to be aware of the unique situation of young mothers instead of using the same methods.</w:t>
      </w:r>
    </w:p>
    <w:p w14:paraId="70D8F969">
      <w:r>
        <w:t xml:space="preserve">Of great significance is the paucity of evidence that specifically looks at mothers who are below 18 in the UK. The current UK research often focuses on ethnicity, deprivation or overall maternity inequalities instead of adolescent motherhood per se. </w:t>
      </w:r>
    </w:p>
    <w:p w14:paraId="1B8994BE">
      <w:pPr>
        <w:pStyle w:val="4"/>
      </w:pPr>
      <w:bookmarkStart w:id="66" w:name="_Toc238235726"/>
      <w:r>
        <w:t>6.2.6 Critical Discussion of the General Results.</w:t>
      </w:r>
      <w:bookmarkEnd w:id="66"/>
    </w:p>
    <w:p w14:paraId="2109DD94">
      <w:r>
        <w:t>Collectively, the five themes prove that postpartum complications in mothers below 18 can be best explained as a consequence of the interplay of vulnerabilities. Structural and relational barriers can increase clinical symptoms; psychological distress could be linked to social isolation and economic insecurity; and barriers to healthcare could be present. This interdependent trend leads to the application of a more social determinants approach as opposed to a biomedical approach.</w:t>
      </w:r>
    </w:p>
    <w:p w14:paraId="766E7CF7">
      <w:r>
        <w:t>The results are largely in line with the literature review and do not significantly conflict with the known information. Their major contribution is their ability to show the interaction of the various dimensions in the postpartum period. The triangulation methodological approach of qualitative, quantitative and mixed-methods evidence also offers a more detailed interpretation of the evidence, compared to basing the interpretation on a single research approach.</w:t>
      </w:r>
    </w:p>
    <w:p w14:paraId="4C8EECD4">
      <w:r>
        <w:t>The number of studies that specifically targeted adolescent mothers in the UK is relatively low, though, so some of the conclusions are tentative. The fact that most of the evidence is based on the international and low and middle-income settings could be explained by the fact that more research on adolescent pregnancy is conducted in these settings, but could also denote a UK research gap. The findings will therefore have an informative and not a definitive impact on the practice in the UK.</w:t>
      </w:r>
    </w:p>
    <w:p w14:paraId="49440B9F">
      <w:pPr>
        <w:pStyle w:val="3"/>
      </w:pPr>
      <w:bookmarkStart w:id="67" w:name="_Toc238235727"/>
      <w:r>
        <w:t>6.3 Strengths and Limitations</w:t>
      </w:r>
      <w:bookmarkEnd w:id="67"/>
    </w:p>
    <w:p w14:paraId="5BA3A882">
      <w:r>
        <w:t>One of the strengths of the study is a well-structured and clear identification and synthesis of evidence. Predefined eligibility criteria, a systematic search strategy and PRISMA reporting minimised the chances of random selection of the study. The methodological triangulation that was also present due to the inclusion of qualitative, quantitative and mixed-methods evidence also allowed the review to take into consideration both the measures and the lived experiences. Moreover, the thematic synthesis enabled the grouping of the results of various studies into clinically and socially significant themes.</w:t>
      </w:r>
    </w:p>
    <w:p w14:paraId="3B2DD909">
      <w:r>
        <w:t>Nevertheless, there are a number of limitations which need to be taken into consideration. To begin with, the evidence base was unevenly distributed, as most of the evidence was based in low- and middle-income environments, and could not be directly applied to the UK. Second, the different study designs, different populations and different healthcare settings made the heterogeneity, and prevented direct comparison. And lastly, there was evidence that related to more general populations of maternal populations than just mothers aged below 18, and this should be interpreted with care. Such restrictions imply that the results can be interpreted as a generalisation of the existing evidence, instead of one that captures all adolescent mothers.</w:t>
      </w:r>
    </w:p>
    <w:p w14:paraId="067DB802">
      <w:pPr>
        <w:pStyle w:val="3"/>
      </w:pPr>
      <w:bookmarkStart w:id="68" w:name="_Toc238235728"/>
      <w:r>
        <w:t>6.4 Chapter Summary</w:t>
      </w:r>
      <w:bookmarkEnd w:id="68"/>
    </w:p>
    <w:p w14:paraId="4F9342C2">
      <w:r>
        <w:t>The chapter has critically discussed the findings of the systematic literature review as compared to the existing evidence. The results were generally in line with the past studies proving that the clinical, psychological, social and structural factors interact to determine adolescent postpartum health. Physical postpartum challenges can be enhanced by mental health issues, lack of social goodwill, healthcare and maternity disparities. The triangulation of the methods helped to reinforce the interpretation by using various kinds of evidence. However, some of the findings are not transplantable due to geographical imbalance, heterogeneity and lack of UK-specific research. On the whole, the points discussed in this paper show that there is a need to provide non-judgmental and person-centred postnatal services that are especially attentive to the needs of mothers below the age of 18.</w:t>
      </w:r>
      <w:r>
        <w:br w:type="page"/>
      </w:r>
    </w:p>
    <w:p w14:paraId="618FF04A">
      <w:pPr>
        <w:pStyle w:val="2"/>
        <w:spacing w:before="240" w:after="240"/>
      </w:pPr>
      <w:bookmarkStart w:id="69" w:name="_heading=h.qda75r7qvk7" w:colFirst="0" w:colLast="0"/>
      <w:bookmarkEnd w:id="69"/>
      <w:bookmarkStart w:id="70" w:name="_Toc238235729"/>
      <w:r>
        <w:t>CHAPTER 7: RECOMMENDATIONS AND CONCLUSION</w:t>
      </w:r>
      <w:bookmarkEnd w:id="70"/>
    </w:p>
    <w:p w14:paraId="6E118A6A">
      <w:pPr>
        <w:pStyle w:val="3"/>
        <w:spacing w:before="240" w:after="240"/>
      </w:pPr>
      <w:bookmarkStart w:id="71" w:name="_heading=h.9uurssooeqjk" w:colFirst="0" w:colLast="0"/>
      <w:bookmarkEnd w:id="71"/>
      <w:bookmarkStart w:id="72" w:name="_Toc238235730"/>
      <w:r>
        <w:t>7.1 Introduction to Chapter</w:t>
      </w:r>
      <w:bookmarkEnd w:id="72"/>
      <w:r>
        <w:t xml:space="preserve"> </w:t>
      </w:r>
    </w:p>
    <w:p w14:paraId="616F92D6">
      <w:r>
        <w:t>This chapter synthesises the results from the systematic literature search and reflects on the broader implications of this review for practice, policy and future research. This chapter now reviews the implications for maternity and postnatal care of the factors which are clinical, psychological, social and structural and can influence the likelihood of postpartum complications in young mothers, specifically in the UK context. The chapter starts with an overview of implications of the results, followed by recommendations for practice and future research. It ends with a broad conclusion that restates the study's aim, results and contribution without adding evidence or argument.</w:t>
      </w:r>
    </w:p>
    <w:p w14:paraId="4E366FB0">
      <w:pPr>
        <w:pStyle w:val="3"/>
        <w:spacing w:before="240" w:after="240"/>
      </w:pPr>
      <w:bookmarkStart w:id="73" w:name="_heading=h.g1zr70y9qbcm" w:colFirst="0" w:colLast="0"/>
      <w:bookmarkEnd w:id="73"/>
      <w:bookmarkStart w:id="74" w:name="_Toc238235731"/>
      <w:r>
        <w:t>7.2 Implications of Findings</w:t>
      </w:r>
      <w:bookmarkEnd w:id="74"/>
      <w:r>
        <w:t xml:space="preserve"> </w:t>
      </w:r>
    </w:p>
    <w:p w14:paraId="03F9F500">
      <w:r>
        <w:t xml:space="preserve">The results indicate that problems faced by adolescent mothers in the postpartum period can't be solved clinically alone. Physical recovery, mental wellbeing, social disadvantage and structural access to care are linked together, and interventions to address just one are unlikely to have a good effect (Tenaw </w:t>
      </w:r>
      <w:r>
        <w:rPr>
          <w:i/>
          <w:iCs/>
        </w:rPr>
        <w:t>et al.</w:t>
      </w:r>
      <w:r>
        <w:t>, 2024). These have implications for the design of postnatal services, and imply a likely need for integrated and multidisciplinary postnatal services that include both emotional, practical and social needs in addition to physical recovery. The lack of evidence on the experience of adolescent mothers in the UK also means that provision for them may not be informed by their lived experience, as evidenced through inequalities in maternity care services faced by ethnic minority and socially disadvantaged women (Crowe, 2022). This identifies a gap that could have implications for service commissioning and future research prioritisation in public health and social care.</w:t>
      </w:r>
    </w:p>
    <w:p w14:paraId="503A03D7">
      <w:pPr>
        <w:pStyle w:val="3"/>
        <w:spacing w:before="240" w:after="240"/>
      </w:pPr>
      <w:bookmarkStart w:id="75" w:name="_heading=h.tvpssajdkahx" w:colFirst="0" w:colLast="0"/>
      <w:bookmarkEnd w:id="75"/>
      <w:bookmarkStart w:id="76" w:name="_Toc238235732"/>
      <w:r>
        <w:t>7.3 Recommendations for Practice</w:t>
      </w:r>
      <w:bookmarkEnd w:id="76"/>
    </w:p>
    <w:p w14:paraId="691BEA57">
      <w:r>
        <w:t xml:space="preserve">The postnatal services need to be age-sensitive and holistically support mothers who are under 18 years, and address the physical, mental and social factors of postnatal care (Abdul Rahim </w:t>
      </w:r>
      <w:r>
        <w:rPr>
          <w:i/>
          <w:iCs/>
        </w:rPr>
        <w:t xml:space="preserve">et al., </w:t>
      </w:r>
      <w:r>
        <w:t xml:space="preserve">2024). Train health care providers to provide care in a non-judgemental manner, as there is evidence that stigma is a barrier for young mothers to seek postnatal care (Javadi </w:t>
      </w:r>
      <w:r>
        <w:rPr>
          <w:i/>
          <w:iCs/>
        </w:rPr>
        <w:t>et al.,</w:t>
      </w:r>
      <w:r>
        <w:t xml:space="preserve"> 2023). Services should also explicitly tackle structural barriers, such as by providing flexible appointment times, transportation support, and easy-to-understand and accessible information (Tolossa</w:t>
      </w:r>
      <w:r>
        <w:rPr>
          <w:i/>
          <w:iCs/>
        </w:rPr>
        <w:t xml:space="preserve"> et al.,</w:t>
      </w:r>
      <w:r>
        <w:t xml:space="preserve"> 2024). Adolescent mothers should be specifically considered to continue to provide continuity of care as promoted through the NHS Maternity Transformation Programme (NHS England Digital, 2026). Further, digital tools can be a complementary way to increase engagement but should not be used to the detriment of digital exclusion (Pierce</w:t>
      </w:r>
      <w:r>
        <w:rPr>
          <w:i/>
          <w:iCs/>
        </w:rPr>
        <w:t xml:space="preserve"> et al., </w:t>
      </w:r>
      <w:r>
        <w:t>2023). Lastly, there would be greater integration between maternity and mental health and social care services to mitigate the vulnerabilities seen in this review that are not limited to one area.</w:t>
      </w:r>
    </w:p>
    <w:p w14:paraId="31343CE1">
      <w:pPr>
        <w:pStyle w:val="3"/>
        <w:spacing w:before="240" w:after="240"/>
      </w:pPr>
      <w:bookmarkStart w:id="77" w:name="_heading=h.x9zvyhz1amq4" w:colFirst="0" w:colLast="0"/>
      <w:bookmarkEnd w:id="77"/>
      <w:bookmarkStart w:id="78" w:name="_Toc238235733"/>
      <w:r>
        <w:t>7.4 Recommendations for Future Research</w:t>
      </w:r>
      <w:bookmarkEnd w:id="78"/>
      <w:r>
        <w:t xml:space="preserve"> </w:t>
      </w:r>
    </w:p>
    <w:p w14:paraId="5FC65466">
      <w:r>
        <w:t xml:space="preserve">Future research needs to focus on primary qualitative studies which examine the experiences of mothers under 18 in the postpartum period specifically, in the UK, as the majority of the literature comes from low- and middle-income countries, and the health and social systems are different (Javadi </w:t>
      </w:r>
      <w:r>
        <w:rPr>
          <w:i/>
          <w:iCs/>
        </w:rPr>
        <w:t>et al.,</w:t>
      </w:r>
      <w:r>
        <w:t xml:space="preserve"> 2023). Longitudinal studies could shed light on the nature of postpartum complications and their effects beyond the immediate postpartum period, following on from the studies that pointed to long-term psychological effects (Abdul Rahim </w:t>
      </w:r>
      <w:r>
        <w:rPr>
          <w:i/>
          <w:iCs/>
        </w:rPr>
        <w:t>et al.,</w:t>
      </w:r>
      <w:r>
        <w:t xml:space="preserve"> 2024). UK-based studies exploring the intersections of factors like age and ethnicity and socioeconomic disadvantage, and their impact on the experience of maternity should also be explored. Other mixed methods studies that resemble that of Scroggins (2023) would facilitate linking the measurable postpartum symptoms to the lived experiences that underlie them. Finally, formative research evaluating service interventions such as digital interventions and continuity-of-care models would help define interventions that are effective for adolescent mothers in particular.</w:t>
      </w:r>
    </w:p>
    <w:p w14:paraId="376661AE">
      <w:pPr>
        <w:pStyle w:val="3"/>
        <w:spacing w:before="240" w:after="240"/>
      </w:pPr>
      <w:bookmarkStart w:id="79" w:name="_heading=h.2hdpj6dizltj" w:colFirst="0" w:colLast="0"/>
      <w:bookmarkEnd w:id="79"/>
      <w:bookmarkStart w:id="80" w:name="_Toc238235734"/>
      <w:r>
        <w:t>7.5 Conclusion</w:t>
      </w:r>
      <w:bookmarkEnd w:id="80"/>
      <w:r>
        <w:t xml:space="preserve"> </w:t>
      </w:r>
    </w:p>
    <w:p w14:paraId="3467C97C">
      <w:r>
        <w:t>This dissertation aimed to explore the experiences of postpartum complications and the nature of the complications postpartum mothers aged &lt;18 years have through qualitative secondary data analysis and to answer the research question: What are the clinical, social and structural factors associated with postpartum complications and postnatal experiences and how do they impact this? Although the incidence of adolescent pregnancy has been the focus of many studies, childbirth and the early postpartum period have been the subject of relatively little focused research, with very little dedicated attention paid to mothers under the age of 18, despite adolescent pregnancy being a major global and UK public health problem.</w:t>
      </w:r>
    </w:p>
    <w:p w14:paraId="19A43288">
      <w:r>
        <w:t>Five themes were identified that were interconnected and derived from the method of thematic synthesis, and CASP and JBI tools appraised 20 studies in a systematic review of the literature on the results: clinical and physical complications of postpartum, mental health and psychological wellbeing, social determinants of postpartum health, structural barriers to postpartum health care, and health inequalities in postpartum health care. The results indicate that the problems that occur after giving birth are not necessarily biological in origin. Instead, they are a result of a combination of factors such as physical fatigue, unmet mental health needs, poverty, disrupted education, stigma, lack of support within the family or structural barriers to accessing the right and timely health care.</w:t>
      </w:r>
    </w:p>
    <w:p w14:paraId="7AF6437F">
      <w:r>
        <w:t>The impact of these results is that, for young mothers, postpartum wellbeing needs a social determinant of health perspective, but not a strictly clinical one. Such has direct relevance to public health and social care practice and means that services need to be developed to tackle common vulnerabilities, not individual symptoms. The findings also illustrate the continued evidence gap about adolescent mothers within the UK maternity system in particular, even though other vulnerable groups in the maternity system are well documented to be affected by inequalities.</w:t>
      </w:r>
    </w:p>
    <w:p w14:paraId="60D59571">
      <w:r>
        <w:t>Finally, this review adds to the understanding of adolescent postpartum health, bringing together qualitative, quantitative and mixed studies to highlight the interrelatedness of clinical, social and structural disadvantage. It reinforces the need for integrated, non-judgemental and person-centred postnatal care for mothers under 18 and emphasises the need for more research in the UK to ensure policy and practice is informed by the specific circumstances of this vulnerable population.</w:t>
      </w:r>
    </w:p>
    <w:p w14:paraId="2939031C">
      <w:pPr>
        <w:sectPr>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sectPr>
      </w:pPr>
    </w:p>
    <w:p w14:paraId="3E342559">
      <w:pPr>
        <w:pStyle w:val="2"/>
        <w:spacing w:before="240" w:after="240"/>
      </w:pPr>
      <w:bookmarkStart w:id="81" w:name="_Toc238235735"/>
      <w:r>
        <w:t>References</w:t>
      </w:r>
      <w:bookmarkEnd w:id="81"/>
    </w:p>
    <w:p w14:paraId="50C4D9F4">
      <w:pPr>
        <w:spacing w:before="240" w:after="240"/>
        <w:rPr>
          <w:color w:val="1155CC"/>
          <w:highlight w:val="white"/>
          <w:u w:val="single"/>
        </w:rPr>
      </w:pPr>
      <w:r>
        <w:rPr>
          <w:color w:val="222222"/>
          <w:highlight w:val="white"/>
        </w:rPr>
        <w:t xml:space="preserve">Abdul Rahim, K., Egglestone, N.J., Tsagareli, I.G., Usmani, W., Meherali, S. and Lassi, Z.S., 2024. Mental health outcomes beyond the post-partum period among adolescent mothers: a systematic review and meta-analysis. </w:t>
      </w:r>
      <w:r>
        <w:rPr>
          <w:i/>
          <w:iCs/>
          <w:color w:val="222222"/>
          <w:highlight w:val="white"/>
        </w:rPr>
        <w:t>Health psychology and behavioral medicine</w:t>
      </w:r>
      <w:r>
        <w:rPr>
          <w:color w:val="222222"/>
          <w:highlight w:val="white"/>
        </w:rPr>
        <w:t xml:space="preserve">, </w:t>
      </w:r>
      <w:r>
        <w:rPr>
          <w:i/>
          <w:iCs/>
          <w:color w:val="222222"/>
          <w:highlight w:val="white"/>
        </w:rPr>
        <w:t>12</w:t>
      </w:r>
      <w:r>
        <w:rPr>
          <w:color w:val="222222"/>
          <w:highlight w:val="white"/>
        </w:rPr>
        <w:t>(1), p.2305741.</w:t>
      </w:r>
      <w:r>
        <w:fldChar w:fldCharType="begin"/>
      </w:r>
      <w:r>
        <w:instrText xml:space="preserve"> HYPERLINK "https://www.tandfonline.com/doi/abs/10.1080/21642850.2024.2305741" \h </w:instrText>
      </w:r>
      <w:r>
        <w:fldChar w:fldCharType="separate"/>
      </w:r>
      <w:r>
        <w:rPr>
          <w:color w:val="1155CC"/>
          <w:highlight w:val="white"/>
          <w:u w:val="single"/>
        </w:rPr>
        <w:t>https://www.tandfonline.com/doi/abs/10.1080/21642850.2024.2305741</w:t>
      </w:r>
      <w:r>
        <w:rPr>
          <w:color w:val="1155CC"/>
          <w:highlight w:val="white"/>
          <w:u w:val="single"/>
        </w:rPr>
        <w:fldChar w:fldCharType="end"/>
      </w:r>
    </w:p>
    <w:p w14:paraId="4A4EF52A">
      <w:r>
        <w:rPr>
          <w:color w:val="222222"/>
          <w:highlight w:val="white"/>
        </w:rPr>
        <w:t xml:space="preserve">Abdul Rahim, K., Egglestone, N.J., Tsagareli, I.G., Usmani, W., Meherali, S. and Lassi, Z.S., 2024. Mental health outcomes beyond the post-partum period among adolescent mothers: a systematic review and meta-analysis. </w:t>
      </w:r>
      <w:r>
        <w:rPr>
          <w:i/>
          <w:iCs/>
          <w:color w:val="222222"/>
          <w:highlight w:val="white"/>
        </w:rPr>
        <w:t>Health psychology and behavioral medicine</w:t>
      </w:r>
      <w:r>
        <w:rPr>
          <w:color w:val="222222"/>
          <w:highlight w:val="white"/>
        </w:rPr>
        <w:t xml:space="preserve">, </w:t>
      </w:r>
      <w:r>
        <w:rPr>
          <w:i/>
          <w:iCs/>
          <w:color w:val="222222"/>
          <w:highlight w:val="white"/>
        </w:rPr>
        <w:t>12</w:t>
      </w:r>
      <w:r>
        <w:rPr>
          <w:color w:val="222222"/>
          <w:highlight w:val="white"/>
        </w:rPr>
        <w:t>(1), p.2305741.</w:t>
      </w:r>
      <w:r>
        <w:t xml:space="preserve"> </w:t>
      </w:r>
      <w:r>
        <w:fldChar w:fldCharType="begin"/>
      </w:r>
      <w:r>
        <w:instrText xml:space="preserve"> HYPERLINK "https://www.tandfonline.com/doi/abs/10.1080/21642850.2024.2305741" \h </w:instrText>
      </w:r>
      <w:r>
        <w:fldChar w:fldCharType="separate"/>
      </w:r>
      <w:r>
        <w:rPr>
          <w:color w:val="1155CC"/>
          <w:u w:val="single"/>
        </w:rPr>
        <w:t>https://www.tandfonline.com/doi/abs/10.1080/21642850.2024.2305741</w:t>
      </w:r>
      <w:r>
        <w:rPr>
          <w:color w:val="1155CC"/>
          <w:u w:val="single"/>
        </w:rPr>
        <w:fldChar w:fldCharType="end"/>
      </w:r>
    </w:p>
    <w:p w14:paraId="26E45BD1">
      <w:r>
        <w:rPr>
          <w:color w:val="222222"/>
          <w:highlight w:val="white"/>
        </w:rPr>
        <w:t xml:space="preserve">Ahadi-Yulghunlu, F., Rezaei, M., Gavgani, L.F., Asgharian, H., Mirghafourvand, M., Ghanbari-Homaie, S. and Nakhlband, A., 2026. The prevalence and predictors of postpartum psychological outcomes among adolescent mothers: A systematic review and meta-analysis. </w:t>
      </w:r>
      <w:r>
        <w:rPr>
          <w:i/>
          <w:iCs/>
          <w:color w:val="222222"/>
          <w:highlight w:val="white"/>
        </w:rPr>
        <w:t>Heliyon</w:t>
      </w:r>
      <w:r>
        <w:rPr>
          <w:color w:val="222222"/>
          <w:highlight w:val="white"/>
        </w:rPr>
        <w:t xml:space="preserve">, </w:t>
      </w:r>
      <w:r>
        <w:rPr>
          <w:i/>
          <w:iCs/>
          <w:color w:val="222222"/>
          <w:highlight w:val="white"/>
        </w:rPr>
        <w:t>12</w:t>
      </w:r>
      <w:r>
        <w:rPr>
          <w:color w:val="222222"/>
          <w:highlight w:val="white"/>
        </w:rPr>
        <w:t>(10).</w:t>
      </w:r>
      <w:r>
        <w:t xml:space="preserve"> </w:t>
      </w:r>
      <w:r>
        <w:fldChar w:fldCharType="begin"/>
      </w:r>
      <w:r>
        <w:instrText xml:space="preserve"> HYPERLINK "https://www.cell.com/heliyon/fulltext/S2405-8440(26)00501-3?uuid=uuid%3Aa808b90c-d00f-4179-86c7-56086722f419" \h </w:instrText>
      </w:r>
      <w:r>
        <w:fldChar w:fldCharType="separate"/>
      </w:r>
      <w:r>
        <w:rPr>
          <w:color w:val="1155CC"/>
          <w:u w:val="single"/>
        </w:rPr>
        <w:t>https://www.cell.com/heliyon/fulltext/S2405-8440(26)00501-3?uuid=uuid%3Aa808b90c-d00f-4179-86c7-56086722f419</w:t>
      </w:r>
      <w:r>
        <w:rPr>
          <w:color w:val="1155CC"/>
          <w:u w:val="single"/>
        </w:rPr>
        <w:fldChar w:fldCharType="end"/>
      </w:r>
    </w:p>
    <w:p w14:paraId="50C8BD25">
      <w:r>
        <w:rPr>
          <w:color w:val="222222"/>
          <w:highlight w:val="white"/>
        </w:rPr>
        <w:t xml:space="preserve">Alex-Ojei, C.A., Odimegwu, C.O. and Ntoimo, L.F., 2023. A qualitative investigation into pregnancy experiences and maternal healthcare utilisation among adolescent mothers in Nigeria. </w:t>
      </w:r>
      <w:r>
        <w:rPr>
          <w:i/>
          <w:iCs/>
          <w:color w:val="222222"/>
          <w:highlight w:val="white"/>
        </w:rPr>
        <w:t>Reproductive Health</w:t>
      </w:r>
      <w:r>
        <w:rPr>
          <w:color w:val="222222"/>
          <w:highlight w:val="white"/>
        </w:rPr>
        <w:t xml:space="preserve">, </w:t>
      </w:r>
      <w:r>
        <w:rPr>
          <w:i/>
          <w:iCs/>
          <w:color w:val="222222"/>
          <w:highlight w:val="white"/>
        </w:rPr>
        <w:t>20</w:t>
      </w:r>
      <w:r>
        <w:rPr>
          <w:color w:val="222222"/>
          <w:highlight w:val="white"/>
        </w:rPr>
        <w:t>(1), p.77.</w:t>
      </w:r>
      <w:r>
        <w:t xml:space="preserve"> </w:t>
      </w:r>
      <w:r>
        <w:fldChar w:fldCharType="begin"/>
      </w:r>
      <w:r>
        <w:instrText xml:space="preserve"> HYPERLINK "https://link.springer.com/article/10.1186/s12978-023-01613-z" \h </w:instrText>
      </w:r>
      <w:r>
        <w:fldChar w:fldCharType="separate"/>
      </w:r>
      <w:r>
        <w:rPr>
          <w:color w:val="1155CC"/>
          <w:u w:val="single"/>
        </w:rPr>
        <w:t>https://link.springer.com/article/10.1186/s12978-023-01613-z</w:t>
      </w:r>
      <w:r>
        <w:rPr>
          <w:color w:val="1155CC"/>
          <w:u w:val="single"/>
        </w:rPr>
        <w:fldChar w:fldCharType="end"/>
      </w:r>
    </w:p>
    <w:p w14:paraId="4212560A">
      <w:r>
        <w:rPr>
          <w:color w:val="222222"/>
          <w:highlight w:val="white"/>
        </w:rPr>
        <w:t xml:space="preserve">Aromataris, E., Stern, C., Lockwood, C., Barker, T.H., Klugar, M., Jadotte, Y., Evans, C., Ross-White, A., Lizarondo, L., Stephenson, M. and McArthur, A., 2022. JBI series paper 2: tailored evidence synthesis approaches are required to answer diverse questions: a pragmatic evidence synthesis toolkit from JBI. </w:t>
      </w:r>
      <w:r>
        <w:rPr>
          <w:i/>
          <w:iCs/>
          <w:color w:val="222222"/>
          <w:highlight w:val="white"/>
        </w:rPr>
        <w:t>Journal of clinical epidemiology</w:t>
      </w:r>
      <w:r>
        <w:rPr>
          <w:color w:val="222222"/>
          <w:highlight w:val="white"/>
        </w:rPr>
        <w:t xml:space="preserve">, </w:t>
      </w:r>
      <w:r>
        <w:rPr>
          <w:i/>
          <w:iCs/>
          <w:color w:val="222222"/>
          <w:highlight w:val="white"/>
        </w:rPr>
        <w:t>150</w:t>
      </w:r>
      <w:r>
        <w:rPr>
          <w:color w:val="222222"/>
          <w:highlight w:val="white"/>
        </w:rPr>
        <w:t>, pp.196-202.</w:t>
      </w:r>
      <w:r>
        <w:t xml:space="preserve"> </w:t>
      </w:r>
      <w:r>
        <w:fldChar w:fldCharType="begin"/>
      </w:r>
      <w:r>
        <w:instrText xml:space="preserve"> HYPERLINK "https://www.sciencedirect.com/science/article/pii/S0895435622000890" \h </w:instrText>
      </w:r>
      <w:r>
        <w:fldChar w:fldCharType="separate"/>
      </w:r>
      <w:r>
        <w:rPr>
          <w:color w:val="1155CC"/>
          <w:u w:val="single"/>
        </w:rPr>
        <w:t>https://www.sciencedirect.com/science/article/pii/S0895435622000890</w:t>
      </w:r>
      <w:r>
        <w:rPr>
          <w:color w:val="1155CC"/>
          <w:u w:val="single"/>
        </w:rPr>
        <w:fldChar w:fldCharType="end"/>
      </w:r>
    </w:p>
    <w:p w14:paraId="750602AB">
      <w:r>
        <w:rPr>
          <w:color w:val="222222"/>
          <w:highlight w:val="white"/>
        </w:rPr>
        <w:t xml:space="preserve">Barker, T.H., Hasanoff, S., Aromataris, E., Stone, J.C., Leonardi-Bee, J., Sears, K., Klugar, M., Tufanaru, C., Moola, S., Liu, X.L. and Munn, Z., 2026. The revised JBI critical appraisal tool for the assessment of risk of bias for analytical cross-sectional studies. </w:t>
      </w:r>
      <w:r>
        <w:rPr>
          <w:i/>
          <w:iCs/>
          <w:color w:val="222222"/>
          <w:highlight w:val="white"/>
        </w:rPr>
        <w:t>JBI Evidence Synthesis</w:t>
      </w:r>
      <w:r>
        <w:rPr>
          <w:color w:val="222222"/>
          <w:highlight w:val="white"/>
        </w:rPr>
        <w:t xml:space="preserve">, </w:t>
      </w:r>
      <w:r>
        <w:rPr>
          <w:i/>
          <w:iCs/>
          <w:color w:val="222222"/>
          <w:highlight w:val="white"/>
        </w:rPr>
        <w:t>24</w:t>
      </w:r>
      <w:r>
        <w:rPr>
          <w:color w:val="222222"/>
          <w:highlight w:val="white"/>
        </w:rPr>
        <w:t>(3), pp.401-408.</w:t>
      </w:r>
      <w:r>
        <w:t xml:space="preserve"> </w:t>
      </w:r>
      <w:r>
        <w:fldChar w:fldCharType="begin"/>
      </w:r>
      <w:r>
        <w:instrText xml:space="preserve"> HYPERLINK "https://journals.lww.com/jbisrir/fulltext/2026/03000/the_revised_jbi_critical_appraisal_tool_for_the.2.aspx?context=featuredarticles&amp;collectionid=2" \h </w:instrText>
      </w:r>
      <w:r>
        <w:fldChar w:fldCharType="separate"/>
      </w:r>
      <w:r>
        <w:rPr>
          <w:color w:val="1155CC"/>
          <w:u w:val="single"/>
        </w:rPr>
        <w:t>https://journals.lww.com/jbisrir/fulltext/2026/03000/the_revised_jbi_critical_appraisal_tool_for_the.2.aspx?context=featuredarticles&amp;collectionid=2</w:t>
      </w:r>
      <w:r>
        <w:rPr>
          <w:color w:val="1155CC"/>
          <w:u w:val="single"/>
        </w:rPr>
        <w:fldChar w:fldCharType="end"/>
      </w:r>
    </w:p>
    <w:p w14:paraId="482AC865">
      <w:r>
        <w:rPr>
          <w:color w:val="222222"/>
          <w:highlight w:val="white"/>
        </w:rPr>
        <w:t xml:space="preserve">Barker, T.H., Stone, J.C., Sears, K., Klugar, M., Leonardi-Bee, J., Tufanaru, C., Aromataris, E. and Munn, Z., 2023. Revising the JBI quantitative critical appraisal tools to improve their applicability: an overview of methods and the development process. </w:t>
      </w:r>
      <w:r>
        <w:rPr>
          <w:i/>
          <w:iCs/>
          <w:color w:val="222222"/>
          <w:highlight w:val="white"/>
        </w:rPr>
        <w:t>JBI evidence synthesis</w:t>
      </w:r>
      <w:r>
        <w:rPr>
          <w:color w:val="222222"/>
          <w:highlight w:val="white"/>
        </w:rPr>
        <w:t xml:space="preserve">, </w:t>
      </w:r>
      <w:r>
        <w:rPr>
          <w:i/>
          <w:iCs/>
          <w:color w:val="222222"/>
          <w:highlight w:val="white"/>
        </w:rPr>
        <w:t>21</w:t>
      </w:r>
      <w:r>
        <w:rPr>
          <w:color w:val="222222"/>
          <w:highlight w:val="white"/>
        </w:rPr>
        <w:t>(3), pp.478-493.</w:t>
      </w:r>
      <w:r>
        <w:t xml:space="preserve"> </w:t>
      </w:r>
      <w:r>
        <w:fldChar w:fldCharType="begin"/>
      </w:r>
      <w:r>
        <w:instrText xml:space="preserve"> HYPERLINK "https://journals.lww.com/jbisrir/fulltext/2023/03000/Revising_the_JBI_quantitative_critical_appraisal.4.aspx" \h </w:instrText>
      </w:r>
      <w:r>
        <w:fldChar w:fldCharType="separate"/>
      </w:r>
      <w:r>
        <w:rPr>
          <w:color w:val="1155CC"/>
          <w:u w:val="single"/>
        </w:rPr>
        <w:t>https://journals.lww.com/jbisrir/fulltext/2023/03000/Revising_the_JBI_quantitative_critical_appraisal.4.aspx</w:t>
      </w:r>
      <w:r>
        <w:rPr>
          <w:color w:val="1155CC"/>
          <w:u w:val="single"/>
        </w:rPr>
        <w:fldChar w:fldCharType="end"/>
      </w:r>
    </w:p>
    <w:p w14:paraId="72690064">
      <w:r>
        <w:rPr>
          <w:color w:val="222222"/>
          <w:highlight w:val="white"/>
        </w:rPr>
        <w:t xml:space="preserve">Bearth, N., 2024. Beyond baby blues: The child penalty in mental health in switzerland. </w:t>
      </w:r>
      <w:r>
        <w:rPr>
          <w:i/>
          <w:iCs/>
          <w:color w:val="222222"/>
          <w:highlight w:val="white"/>
        </w:rPr>
        <w:t>arXiv preprint arXiv:2410.20861</w:t>
      </w:r>
      <w:r>
        <w:rPr>
          <w:color w:val="222222"/>
          <w:highlight w:val="white"/>
        </w:rPr>
        <w:t>.</w:t>
      </w:r>
      <w:r>
        <w:t xml:space="preserve"> </w:t>
      </w:r>
      <w:r>
        <w:fldChar w:fldCharType="begin"/>
      </w:r>
      <w:r>
        <w:instrText xml:space="preserve"> HYPERLINK "https://arxiv.org/abs/2410.20861" \h </w:instrText>
      </w:r>
      <w:r>
        <w:fldChar w:fldCharType="separate"/>
      </w:r>
      <w:r>
        <w:rPr>
          <w:color w:val="1155CC"/>
          <w:u w:val="single"/>
        </w:rPr>
        <w:t>https://arxiv.org/abs/2410.20861</w:t>
      </w:r>
      <w:r>
        <w:rPr>
          <w:color w:val="1155CC"/>
          <w:u w:val="single"/>
        </w:rPr>
        <w:fldChar w:fldCharType="end"/>
      </w:r>
    </w:p>
    <w:p w14:paraId="16DF8B2C">
      <w:r>
        <w:rPr>
          <w:color w:val="222222"/>
          <w:highlight w:val="white"/>
        </w:rPr>
        <w:t xml:space="preserve">Bernabé, E., Salomon-Ibarra, C.C. and Marcenes, W., 2025. Guidelines for reporting oral epidemiologic studies to inform burden estimation (GROESBE). </w:t>
      </w:r>
      <w:r>
        <w:rPr>
          <w:i/>
          <w:iCs/>
          <w:color w:val="222222"/>
          <w:highlight w:val="white"/>
        </w:rPr>
        <w:t>Journal of Dental Research</w:t>
      </w:r>
      <w:r>
        <w:rPr>
          <w:color w:val="222222"/>
          <w:highlight w:val="white"/>
        </w:rPr>
        <w:t xml:space="preserve">, </w:t>
      </w:r>
      <w:r>
        <w:rPr>
          <w:i/>
          <w:iCs/>
          <w:color w:val="222222"/>
          <w:highlight w:val="white"/>
        </w:rPr>
        <w:t>104</w:t>
      </w:r>
      <w:r>
        <w:rPr>
          <w:color w:val="222222"/>
          <w:highlight w:val="white"/>
        </w:rPr>
        <w:t>(2), pp.140-146.</w:t>
      </w:r>
      <w:r>
        <w:t xml:space="preserve"> </w:t>
      </w:r>
      <w:r>
        <w:fldChar w:fldCharType="begin"/>
      </w:r>
      <w:r>
        <w:instrText xml:space="preserve"> HYPERLINK "https://journals.sagepub.com/doi/abs/10.1177/00220345241293410" \h </w:instrText>
      </w:r>
      <w:r>
        <w:fldChar w:fldCharType="separate"/>
      </w:r>
      <w:r>
        <w:rPr>
          <w:color w:val="1155CC"/>
          <w:u w:val="single"/>
        </w:rPr>
        <w:t>https://journals.sagepub.com/doi/abs/10.1177/00220345241293410</w:t>
      </w:r>
      <w:r>
        <w:rPr>
          <w:color w:val="1155CC"/>
          <w:u w:val="single"/>
        </w:rPr>
        <w:fldChar w:fldCharType="end"/>
      </w:r>
    </w:p>
    <w:p w14:paraId="05C55F54">
      <w:r>
        <w:rPr>
          <w:color w:val="222222"/>
          <w:highlight w:val="white"/>
        </w:rPr>
        <w:t xml:space="preserve">Booth, A., Sutton, A., Clowes, M. and Martyn-St James, M., 2022. </w:t>
      </w:r>
      <w:r>
        <w:rPr>
          <w:i/>
          <w:iCs/>
          <w:color w:val="222222"/>
          <w:highlight w:val="white"/>
        </w:rPr>
        <w:t>Systematic approaches to a successful literature review</w:t>
      </w:r>
      <w:r>
        <w:rPr>
          <w:color w:val="222222"/>
          <w:highlight w:val="white"/>
        </w:rPr>
        <w:t>. SAGE Publications Ltd.</w:t>
      </w:r>
      <w:r>
        <w:t xml:space="preserve"> </w:t>
      </w:r>
      <w:r>
        <w:fldChar w:fldCharType="begin"/>
      </w:r>
      <w:r>
        <w:instrText xml:space="preserve"> HYPERLINK "https://sk.sagepub.com/book/mono/systematic-approaches-to-a-successful-literature-review-3e/front-matter/i1202?PageNum=xxiv" \h </w:instrText>
      </w:r>
      <w:r>
        <w:fldChar w:fldCharType="separate"/>
      </w:r>
      <w:r>
        <w:rPr>
          <w:color w:val="1155CC"/>
          <w:u w:val="single"/>
        </w:rPr>
        <w:t>https://sk.sagepub.com/book/mono/systematic-approaches-to-a-successful-literature-review-3e/front-matter/i1202?PageNum=xxiv</w:t>
      </w:r>
      <w:r>
        <w:rPr>
          <w:color w:val="1155CC"/>
          <w:u w:val="single"/>
        </w:rPr>
        <w:fldChar w:fldCharType="end"/>
      </w:r>
    </w:p>
    <w:p w14:paraId="006AF58B">
      <w:r>
        <w:t xml:space="preserve">Bora, S., 2025. Preterm Birth, Social Disadvantage, and the Path to Academic Success—From Early Challenges to Enduring Gaps. </w:t>
      </w:r>
      <w:r>
        <w:rPr>
          <w:i/>
          <w:iCs/>
        </w:rPr>
        <w:t>JAMA Network Open</w:t>
      </w:r>
      <w:r>
        <w:t xml:space="preserve">, </w:t>
      </w:r>
      <w:r>
        <w:rPr>
          <w:i/>
          <w:iCs/>
        </w:rPr>
        <w:t>8</w:t>
      </w:r>
      <w:r>
        <w:t xml:space="preserve">(10), p.e2534924. </w:t>
      </w:r>
      <w:r>
        <w:fldChar w:fldCharType="begin"/>
      </w:r>
      <w:r>
        <w:instrText xml:space="preserve"> HYPERLINK "https://jamanetwork.com/journals/jamanetworkopen/article-abstract/2839523" \h </w:instrText>
      </w:r>
      <w:r>
        <w:fldChar w:fldCharType="separate"/>
      </w:r>
      <w:r>
        <w:rPr>
          <w:color w:val="0000FF"/>
          <w:u w:val="single"/>
        </w:rPr>
        <w:t>https://jamanetwork.com/journals/jamanetworkopen/article-abstract/2839523</w:t>
      </w:r>
      <w:r>
        <w:rPr>
          <w:color w:val="0000FF"/>
          <w:u w:val="single"/>
        </w:rPr>
        <w:fldChar w:fldCharType="end"/>
      </w:r>
    </w:p>
    <w:p w14:paraId="79673F69">
      <w:r>
        <w:rPr>
          <w:color w:val="222222"/>
          <w:highlight w:val="white"/>
        </w:rPr>
        <w:t xml:space="preserve">Checklist, C.A.S.P., 2024. </w:t>
      </w:r>
      <w:r>
        <w:rPr>
          <w:i/>
          <w:iCs/>
          <w:color w:val="222222"/>
          <w:highlight w:val="white"/>
        </w:rPr>
        <w:t>CASP Qualitative Studies Checklist</w:t>
      </w:r>
      <w:r>
        <w:rPr>
          <w:color w:val="222222"/>
          <w:highlight w:val="white"/>
        </w:rPr>
        <w:t xml:space="preserve"> [online]</w:t>
      </w:r>
      <w:r>
        <w:t xml:space="preserve"> </w:t>
      </w:r>
      <w:r>
        <w:fldChar w:fldCharType="begin"/>
      </w:r>
      <w:r>
        <w:instrText xml:space="preserve"> HYPERLINK "https://scholar.google.com/scholar?cluster=9369731878006046937&amp;hl=en&amp;as_sdt=2005&amp;sciodt=0,5" \h </w:instrText>
      </w:r>
      <w:r>
        <w:fldChar w:fldCharType="separate"/>
      </w:r>
      <w:r>
        <w:rPr>
          <w:color w:val="1155CC"/>
          <w:u w:val="single"/>
        </w:rPr>
        <w:t>https://scholar.google.com/scholar?cluster=9369731878006046937&amp;hl=en&amp;as_sdt=2005&amp;sciodt=0,5</w:t>
      </w:r>
      <w:r>
        <w:rPr>
          <w:color w:val="1155CC"/>
          <w:u w:val="single"/>
        </w:rPr>
        <w:fldChar w:fldCharType="end"/>
      </w:r>
    </w:p>
    <w:p w14:paraId="239F9E19">
      <w:r>
        <w:rPr>
          <w:color w:val="222222"/>
          <w:highlight w:val="white"/>
        </w:rPr>
        <w:t xml:space="preserve">Clarke, J.R., Gibson, M., Savaglio, M., Navani, R., Mousa, M. and Boyle, J.A., 2024. Digital screening for mental health in pregnancy and postpartum: A systematic review. </w:t>
      </w:r>
      <w:r>
        <w:rPr>
          <w:i/>
          <w:iCs/>
          <w:color w:val="222222"/>
          <w:highlight w:val="white"/>
        </w:rPr>
        <w:t>Archives of women's mental health</w:t>
      </w:r>
      <w:r>
        <w:rPr>
          <w:color w:val="222222"/>
          <w:highlight w:val="white"/>
        </w:rPr>
        <w:t xml:space="preserve">, </w:t>
      </w:r>
      <w:r>
        <w:rPr>
          <w:i/>
          <w:iCs/>
          <w:color w:val="222222"/>
          <w:highlight w:val="white"/>
        </w:rPr>
        <w:t>27</w:t>
      </w:r>
      <w:r>
        <w:rPr>
          <w:color w:val="222222"/>
          <w:highlight w:val="white"/>
        </w:rPr>
        <w:t>(4), pp.489-526.</w:t>
      </w:r>
      <w:r>
        <w:t xml:space="preserve"> </w:t>
      </w:r>
      <w:r>
        <w:fldChar w:fldCharType="begin"/>
      </w:r>
      <w:r>
        <w:instrText xml:space="preserve"> HYPERLINK "https://link.springer.com/article/10.1007/s00737-024-01427-3" \h </w:instrText>
      </w:r>
      <w:r>
        <w:fldChar w:fldCharType="separate"/>
      </w:r>
      <w:r>
        <w:rPr>
          <w:color w:val="1155CC"/>
          <w:u w:val="single"/>
        </w:rPr>
        <w:t>https://link.springer.com/article/10.1007/s00737-024-01427-3</w:t>
      </w:r>
      <w:r>
        <w:rPr>
          <w:color w:val="1155CC"/>
          <w:u w:val="single"/>
        </w:rPr>
        <w:fldChar w:fldCharType="end"/>
      </w:r>
    </w:p>
    <w:p w14:paraId="106FAF96">
      <w:pPr>
        <w:spacing w:before="240" w:after="240"/>
        <w:rPr>
          <w:color w:val="1155CC"/>
          <w:highlight w:val="white"/>
          <w:u w:val="single"/>
        </w:rPr>
      </w:pPr>
      <w:r>
        <w:rPr>
          <w:color w:val="222222"/>
          <w:highlight w:val="white"/>
        </w:rPr>
        <w:t xml:space="preserve">Crooks, R., Bedwell, C. and Lavender, T., 2022. Adolescent experiences of pregnancy in low-and middle-income countries: a meta-synthesis of qualitative studies. </w:t>
      </w:r>
      <w:r>
        <w:rPr>
          <w:i/>
          <w:iCs/>
          <w:color w:val="222222"/>
          <w:highlight w:val="white"/>
        </w:rPr>
        <w:t>BMC Pregnancy and Childbirth</w:t>
      </w:r>
      <w:r>
        <w:rPr>
          <w:color w:val="222222"/>
          <w:highlight w:val="white"/>
        </w:rPr>
        <w:t xml:space="preserve">, </w:t>
      </w:r>
      <w:r>
        <w:rPr>
          <w:i/>
          <w:iCs/>
          <w:color w:val="222222"/>
          <w:highlight w:val="white"/>
        </w:rPr>
        <w:t>22</w:t>
      </w:r>
      <w:r>
        <w:rPr>
          <w:color w:val="222222"/>
          <w:highlight w:val="white"/>
        </w:rPr>
        <w:t>(1), p.702.</w:t>
      </w:r>
      <w:r>
        <w:fldChar w:fldCharType="begin"/>
      </w:r>
      <w:r>
        <w:instrText xml:space="preserve"> HYPERLINK "https://link.springer.com/article/10.1186/s12884-022-05022-1" \h </w:instrText>
      </w:r>
      <w:r>
        <w:fldChar w:fldCharType="separate"/>
      </w:r>
      <w:r>
        <w:rPr>
          <w:color w:val="1155CC"/>
          <w:highlight w:val="white"/>
          <w:u w:val="single"/>
        </w:rPr>
        <w:t>https://link.springer.com/article/10.1186/s12884-022-05022-1</w:t>
      </w:r>
      <w:r>
        <w:rPr>
          <w:color w:val="1155CC"/>
          <w:highlight w:val="white"/>
          <w:u w:val="single"/>
        </w:rPr>
        <w:fldChar w:fldCharType="end"/>
      </w:r>
    </w:p>
    <w:p w14:paraId="4A315CE2">
      <w:r>
        <w:rPr>
          <w:color w:val="222222"/>
          <w:highlight w:val="white"/>
        </w:rPr>
        <w:t xml:space="preserve">Crooks, R., Bedwell, C. and Lavender, T., 2022. Adolescent experiences of pregnancy in low-and middle-income countries: a meta-synthesis of qualitative studies. </w:t>
      </w:r>
      <w:r>
        <w:rPr>
          <w:i/>
          <w:iCs/>
          <w:color w:val="222222"/>
          <w:highlight w:val="white"/>
        </w:rPr>
        <w:t>BMC Pregnancy and Childbirth</w:t>
      </w:r>
      <w:r>
        <w:rPr>
          <w:color w:val="222222"/>
          <w:highlight w:val="white"/>
        </w:rPr>
        <w:t xml:space="preserve">, </w:t>
      </w:r>
      <w:r>
        <w:rPr>
          <w:i/>
          <w:iCs/>
          <w:color w:val="222222"/>
          <w:highlight w:val="white"/>
        </w:rPr>
        <w:t>22</w:t>
      </w:r>
      <w:r>
        <w:rPr>
          <w:color w:val="222222"/>
          <w:highlight w:val="white"/>
        </w:rPr>
        <w:t>(1), p.702.</w:t>
      </w:r>
      <w:r>
        <w:t xml:space="preserve"> </w:t>
      </w:r>
      <w:r>
        <w:fldChar w:fldCharType="begin"/>
      </w:r>
      <w:r>
        <w:instrText xml:space="preserve"> HYPERLINK "https://link.springer.com/article/10.1186/s12884-022-05022-1" \h </w:instrText>
      </w:r>
      <w:r>
        <w:fldChar w:fldCharType="separate"/>
      </w:r>
      <w:r>
        <w:rPr>
          <w:color w:val="1155CC"/>
          <w:u w:val="single"/>
        </w:rPr>
        <w:t>https://link.springer.com/article/10.1186/s12884-022-05022-1</w:t>
      </w:r>
      <w:r>
        <w:rPr>
          <w:color w:val="1155CC"/>
          <w:u w:val="single"/>
        </w:rPr>
        <w:fldChar w:fldCharType="end"/>
      </w:r>
    </w:p>
    <w:p w14:paraId="50630D13">
      <w:pPr>
        <w:spacing w:before="240" w:after="240"/>
        <w:rPr>
          <w:color w:val="1155CC"/>
          <w:highlight w:val="white"/>
          <w:u w:val="single"/>
        </w:rPr>
      </w:pPr>
      <w:r>
        <w:rPr>
          <w:color w:val="222222"/>
          <w:highlight w:val="white"/>
        </w:rPr>
        <w:t xml:space="preserve">Crowe, R., 2022. Factors contributing to maternal health inequalities for women who are not white British in the UK. </w:t>
      </w:r>
      <w:r>
        <w:rPr>
          <w:i/>
          <w:iCs/>
          <w:color w:val="222222"/>
          <w:highlight w:val="white"/>
        </w:rPr>
        <w:t>British Journal of Midwifery</w:t>
      </w:r>
      <w:r>
        <w:rPr>
          <w:color w:val="222222"/>
          <w:highlight w:val="white"/>
        </w:rPr>
        <w:t xml:space="preserve">, </w:t>
      </w:r>
      <w:r>
        <w:rPr>
          <w:i/>
          <w:iCs/>
          <w:color w:val="222222"/>
          <w:highlight w:val="white"/>
        </w:rPr>
        <w:t>30</w:t>
      </w:r>
      <w:r>
        <w:rPr>
          <w:color w:val="222222"/>
          <w:highlight w:val="white"/>
        </w:rPr>
        <w:t>(3), pp.160-171.</w:t>
      </w:r>
      <w:r>
        <w:fldChar w:fldCharType="begin"/>
      </w:r>
      <w:r>
        <w:instrText xml:space="preserve"> HYPERLINK "https://www.magonlinelibrary.com/doi/abs/10.12968/bjom.2022.30.3.160" \h </w:instrText>
      </w:r>
      <w:r>
        <w:fldChar w:fldCharType="separate"/>
      </w:r>
      <w:r>
        <w:rPr>
          <w:color w:val="1155CC"/>
          <w:highlight w:val="white"/>
          <w:u w:val="single"/>
        </w:rPr>
        <w:t>https://www.magonlinelibrary.com/doi/abs/10.12968/bjom.2022.30.3.160</w:t>
      </w:r>
      <w:r>
        <w:rPr>
          <w:color w:val="1155CC"/>
          <w:highlight w:val="white"/>
          <w:u w:val="single"/>
        </w:rPr>
        <w:fldChar w:fldCharType="end"/>
      </w:r>
    </w:p>
    <w:p w14:paraId="68889CB5">
      <w:r>
        <w:rPr>
          <w:color w:val="222222"/>
          <w:highlight w:val="white"/>
        </w:rPr>
        <w:t xml:space="preserve">Crowe, R., 2022. Factors contributing to maternal health inequalities for women who are not white British in the UK. </w:t>
      </w:r>
      <w:r>
        <w:rPr>
          <w:i/>
          <w:iCs/>
          <w:color w:val="222222"/>
          <w:highlight w:val="white"/>
        </w:rPr>
        <w:t>British Journal of Midwifery</w:t>
      </w:r>
      <w:r>
        <w:rPr>
          <w:color w:val="222222"/>
          <w:highlight w:val="white"/>
        </w:rPr>
        <w:t xml:space="preserve">, </w:t>
      </w:r>
      <w:r>
        <w:rPr>
          <w:i/>
          <w:iCs/>
          <w:color w:val="222222"/>
          <w:highlight w:val="white"/>
        </w:rPr>
        <w:t>30</w:t>
      </w:r>
      <w:r>
        <w:rPr>
          <w:color w:val="222222"/>
          <w:highlight w:val="white"/>
        </w:rPr>
        <w:t>(3), pp.160-171.</w:t>
      </w:r>
      <w:r>
        <w:t xml:space="preserve"> </w:t>
      </w:r>
      <w:r>
        <w:fldChar w:fldCharType="begin"/>
      </w:r>
      <w:r>
        <w:instrText xml:space="preserve"> HYPERLINK "https://www.magonlinelibrary.com/doi/abs/10.12968/bjom.2022.30.3.160" \h </w:instrText>
      </w:r>
      <w:r>
        <w:fldChar w:fldCharType="separate"/>
      </w:r>
      <w:r>
        <w:rPr>
          <w:color w:val="1155CC"/>
          <w:u w:val="single"/>
        </w:rPr>
        <w:t>https://www.magonlinelibrary.com/doi/abs/10.12968/bjom.2022.30.3.160</w:t>
      </w:r>
      <w:r>
        <w:rPr>
          <w:color w:val="1155CC"/>
          <w:u w:val="single"/>
        </w:rPr>
        <w:fldChar w:fldCharType="end"/>
      </w:r>
    </w:p>
    <w:p w14:paraId="49729063">
      <w:r>
        <w:t xml:space="preserve">Department of Economic, 2024. </w:t>
      </w:r>
      <w:r>
        <w:rPr>
          <w:i/>
          <w:iCs/>
        </w:rPr>
        <w:t>World Population Prospects 2024: Summary of Results</w:t>
      </w:r>
      <w:r>
        <w:t xml:space="preserve">. Stylus Publishing, LLC. </w:t>
      </w:r>
      <w:r>
        <w:fldChar w:fldCharType="begin"/>
      </w:r>
      <w:r>
        <w:instrText xml:space="preserve"> HYPERLINK "https://books.google.com/books?hl=en&amp;lr=&amp;id=GAiGEQAAQBAJ&amp;oi=fnd&amp;pg=PT6&amp;dq=UNFPA+(2024)+State+of+World+Population+2024.+New+York:+United+Nations+Population+Fund.&amp;ots=1cJcGm-oQ7&amp;sig=B0ZfykJVNWS769zM5unR0yQSWag" \h </w:instrText>
      </w:r>
      <w:r>
        <w:fldChar w:fldCharType="separate"/>
      </w:r>
      <w:r>
        <w:rPr>
          <w:color w:val="0000FF"/>
          <w:u w:val="single"/>
        </w:rPr>
        <w:t>https://books.google.com/books?hl=en&amp;lr=&amp;id=GAiGEQAAQBAJ&amp;oi=fnd&amp;pg=PT6&amp;dq=UNFPA+(2024)+State+of+World+Population+2024.+New+York:+United+Nations+Population+Fund.&amp;ots=1cJcGm-oQ7&amp;sig=B0ZfykJVNWS769zM5unR0yQSWag</w:t>
      </w:r>
      <w:r>
        <w:rPr>
          <w:color w:val="0000FF"/>
          <w:u w:val="single"/>
        </w:rPr>
        <w:fldChar w:fldCharType="end"/>
      </w:r>
    </w:p>
    <w:p w14:paraId="6445DAA0">
      <w:r>
        <w:rPr>
          <w:color w:val="222222"/>
          <w:highlight w:val="white"/>
        </w:rPr>
        <w:t xml:space="preserve">England, N.H.S., 2018. Maternity transformation programme. </w:t>
      </w:r>
      <w:r>
        <w:rPr>
          <w:i/>
          <w:iCs/>
          <w:color w:val="222222"/>
          <w:highlight w:val="white"/>
        </w:rPr>
        <w:t>NHS England</w:t>
      </w:r>
      <w:r>
        <w:rPr>
          <w:color w:val="222222"/>
          <w:highlight w:val="white"/>
        </w:rPr>
        <w:t>.</w:t>
      </w:r>
      <w:r>
        <w:t xml:space="preserve"> </w:t>
      </w:r>
      <w:r>
        <w:fldChar w:fldCharType="begin"/>
      </w:r>
      <w:r>
        <w:instrText xml:space="preserve"> HYPERLINK "https://scholar.google.com/scholar?cluster=6330911332394945619&amp;hl=en&amp;as_sdt=2005&amp;sciodt=0,5" \h </w:instrText>
      </w:r>
      <w:r>
        <w:fldChar w:fldCharType="separate"/>
      </w:r>
      <w:r>
        <w:rPr>
          <w:color w:val="1155CC"/>
          <w:u w:val="single"/>
        </w:rPr>
        <w:t>https://scholar.google.com/scholar?cluster=6330911332394945619&amp;hl=en&amp;as_sdt=2005&amp;sciodt=0,5</w:t>
      </w:r>
      <w:r>
        <w:rPr>
          <w:color w:val="1155CC"/>
          <w:u w:val="single"/>
        </w:rPr>
        <w:fldChar w:fldCharType="end"/>
      </w:r>
    </w:p>
    <w:p w14:paraId="01F5AFD4">
      <w:r>
        <w:rPr>
          <w:color w:val="222222"/>
          <w:highlight w:val="white"/>
        </w:rPr>
        <w:t xml:space="preserve">Evans, D., 2022. </w:t>
      </w:r>
      <w:r>
        <w:rPr>
          <w:i/>
          <w:iCs/>
          <w:color w:val="222222"/>
          <w:highlight w:val="white"/>
        </w:rPr>
        <w:t>Making sense of evidence-based practice for nursing: an introduction to quantitative and qualitative research and systematic reviews</w:t>
      </w:r>
      <w:r>
        <w:rPr>
          <w:color w:val="222222"/>
          <w:highlight w:val="white"/>
        </w:rPr>
        <w:t>. Routledge.</w:t>
      </w:r>
      <w:r>
        <w:t xml:space="preserve"> </w:t>
      </w:r>
      <w:r>
        <w:fldChar w:fldCharType="begin"/>
      </w:r>
      <w:r>
        <w:instrText xml:space="preserve"> HYPERLINK "https://api.taylorfrancis.com/content/books/mono/download?identifierName=doi&amp;identifierValue=10.4324/9781003156017&amp;type=googlepdf" \h </w:instrText>
      </w:r>
      <w:r>
        <w:fldChar w:fldCharType="separate"/>
      </w:r>
      <w:r>
        <w:rPr>
          <w:color w:val="1155CC"/>
          <w:u w:val="single"/>
        </w:rPr>
        <w:t>https://api.taylorfrancis.com/content/books/mono/download?identifierName=doi&amp;identifierValue=10.4324/9781003156017&amp;type=googlepdf</w:t>
      </w:r>
      <w:r>
        <w:rPr>
          <w:color w:val="1155CC"/>
          <w:u w:val="single"/>
        </w:rPr>
        <w:fldChar w:fldCharType="end"/>
      </w:r>
    </w:p>
    <w:p w14:paraId="55D83DC9">
      <w:r>
        <w:rPr>
          <w:color w:val="222222"/>
          <w:highlight w:val="white"/>
        </w:rPr>
        <w:t xml:space="preserve">Flaherty, S.C. and Sadler, L.S., 2022. Parenting stress among adolescent mothers: an integrative literature review. </w:t>
      </w:r>
      <w:r>
        <w:rPr>
          <w:i/>
          <w:iCs/>
          <w:color w:val="222222"/>
          <w:highlight w:val="white"/>
        </w:rPr>
        <w:t>Western journal of nursing research</w:t>
      </w:r>
      <w:r>
        <w:rPr>
          <w:color w:val="222222"/>
          <w:highlight w:val="white"/>
        </w:rPr>
        <w:t xml:space="preserve">, </w:t>
      </w:r>
      <w:r>
        <w:rPr>
          <w:i/>
          <w:iCs/>
          <w:color w:val="222222"/>
          <w:highlight w:val="white"/>
        </w:rPr>
        <w:t>44</w:t>
      </w:r>
      <w:r>
        <w:rPr>
          <w:color w:val="222222"/>
          <w:highlight w:val="white"/>
        </w:rPr>
        <w:t>(7), pp.701-719.</w:t>
      </w:r>
      <w:r>
        <w:t xml:space="preserve"> </w:t>
      </w:r>
      <w:r>
        <w:fldChar w:fldCharType="begin"/>
      </w:r>
      <w:r>
        <w:instrText xml:space="preserve"> HYPERLINK "https://journals.sagepub.com/doi/abs/10.1177/01939459211014241" \h </w:instrText>
      </w:r>
      <w:r>
        <w:fldChar w:fldCharType="separate"/>
      </w:r>
      <w:r>
        <w:rPr>
          <w:color w:val="1155CC"/>
          <w:u w:val="single"/>
        </w:rPr>
        <w:t>https://journals.sagepub.com/doi/abs/10.1177/01939459211014241</w:t>
      </w:r>
      <w:r>
        <w:rPr>
          <w:color w:val="1155CC"/>
          <w:u w:val="single"/>
        </w:rPr>
        <w:fldChar w:fldCharType="end"/>
      </w:r>
    </w:p>
    <w:p w14:paraId="1412BCD3">
      <w:r>
        <w:t xml:space="preserve">Foley, C., McCourt, C. and Yuill, C., 2025. An exploration of midwives’ perceptions of the Ockenden review: a qualitative study. </w:t>
      </w:r>
      <w:r>
        <w:rPr>
          <w:i/>
          <w:iCs/>
        </w:rPr>
        <w:t>Sexual &amp; Reproductive Healthcare</w:t>
      </w:r>
      <w:r>
        <w:t xml:space="preserve">, p.101166. </w:t>
      </w:r>
      <w:r>
        <w:fldChar w:fldCharType="begin"/>
      </w:r>
      <w:r>
        <w:instrText xml:space="preserve"> HYPERLINK "https://www.sciencedirect.com/science/article/pii/S1877575625001041" \h </w:instrText>
      </w:r>
      <w:r>
        <w:fldChar w:fldCharType="separate"/>
      </w:r>
      <w:r>
        <w:rPr>
          <w:color w:val="0000FF"/>
          <w:u w:val="single"/>
        </w:rPr>
        <w:t>https://www.sciencedirect.com/science/article/pii/S1877575625001041</w:t>
      </w:r>
      <w:r>
        <w:rPr>
          <w:color w:val="0000FF"/>
          <w:u w:val="single"/>
        </w:rPr>
        <w:fldChar w:fldCharType="end"/>
      </w:r>
    </w:p>
    <w:p w14:paraId="2D536020">
      <w:r>
        <w:rPr>
          <w:color w:val="222222"/>
          <w:highlight w:val="white"/>
        </w:rPr>
        <w:t>Gough, D., Thomas, J. and Oliver, S., 2025. An introduction to systematic reviews.</w:t>
      </w:r>
      <w:r>
        <w:t xml:space="preserve"> </w:t>
      </w:r>
      <w:r>
        <w:fldChar w:fldCharType="begin"/>
      </w:r>
      <w:r>
        <w:instrText xml:space="preserve"> HYPERLINK "https://www.torrossa.com/gs/resourceProxy?an=5019303&amp;publisher=FZ7200" \h </w:instrText>
      </w:r>
      <w:r>
        <w:fldChar w:fldCharType="separate"/>
      </w:r>
      <w:r>
        <w:rPr>
          <w:color w:val="1155CC"/>
          <w:u w:val="single"/>
        </w:rPr>
        <w:t>https://www.torrossa.com/gs/resourceProxy?an=5019303&amp;publisher=FZ7200</w:t>
      </w:r>
      <w:r>
        <w:rPr>
          <w:color w:val="1155CC"/>
          <w:u w:val="single"/>
        </w:rPr>
        <w:fldChar w:fldCharType="end"/>
      </w:r>
    </w:p>
    <w:p w14:paraId="4952B86B">
      <w:r>
        <w:rPr>
          <w:color w:val="222222"/>
          <w:highlight w:val="white"/>
        </w:rPr>
        <w:t xml:space="preserve">Haile, Z.T., 2022. Critical appraisal tools and reporting guidelines. </w:t>
      </w:r>
      <w:r>
        <w:rPr>
          <w:i/>
          <w:iCs/>
          <w:color w:val="222222"/>
          <w:highlight w:val="white"/>
        </w:rPr>
        <w:t>Journal of Human Lactation</w:t>
      </w:r>
      <w:r>
        <w:rPr>
          <w:color w:val="222222"/>
          <w:highlight w:val="white"/>
        </w:rPr>
        <w:t xml:space="preserve">, </w:t>
      </w:r>
      <w:r>
        <w:rPr>
          <w:i/>
          <w:iCs/>
          <w:color w:val="222222"/>
          <w:highlight w:val="white"/>
        </w:rPr>
        <w:t>38</w:t>
      </w:r>
      <w:r>
        <w:rPr>
          <w:color w:val="222222"/>
          <w:highlight w:val="white"/>
        </w:rPr>
        <w:t>(1), pp.21-27.</w:t>
      </w:r>
      <w:r>
        <w:t xml:space="preserve"> </w:t>
      </w:r>
      <w:r>
        <w:fldChar w:fldCharType="begin"/>
      </w:r>
      <w:r>
        <w:instrText xml:space="preserve"> HYPERLINK "https://journals.sagepub.com/doi/abs/10.1177/08903344211058374" \h </w:instrText>
      </w:r>
      <w:r>
        <w:fldChar w:fldCharType="separate"/>
      </w:r>
      <w:r>
        <w:rPr>
          <w:color w:val="1155CC"/>
          <w:u w:val="single"/>
        </w:rPr>
        <w:t>https://journals.sagepub.com/doi/abs/10.1177/08903344211058374</w:t>
      </w:r>
      <w:r>
        <w:rPr>
          <w:color w:val="1155CC"/>
          <w:u w:val="single"/>
        </w:rPr>
        <w:fldChar w:fldCharType="end"/>
      </w:r>
    </w:p>
    <w:p w14:paraId="1E256C25">
      <w:r>
        <w:rPr>
          <w:color w:val="222222"/>
          <w:highlight w:val="white"/>
        </w:rPr>
        <w:t xml:space="preserve">Herzberg, M.P. and Smyser, C.D., 2024. Prenatal social determinants of health: narrative review of maternal environments and neonatal brain development. </w:t>
      </w:r>
      <w:r>
        <w:rPr>
          <w:i/>
          <w:iCs/>
          <w:color w:val="222222"/>
          <w:highlight w:val="white"/>
        </w:rPr>
        <w:t>Pediatric research</w:t>
      </w:r>
      <w:r>
        <w:rPr>
          <w:color w:val="222222"/>
          <w:highlight w:val="white"/>
        </w:rPr>
        <w:t xml:space="preserve">, </w:t>
      </w:r>
      <w:r>
        <w:rPr>
          <w:i/>
          <w:iCs/>
          <w:color w:val="222222"/>
          <w:highlight w:val="white"/>
        </w:rPr>
        <w:t>96</w:t>
      </w:r>
      <w:r>
        <w:rPr>
          <w:color w:val="222222"/>
          <w:highlight w:val="white"/>
        </w:rPr>
        <w:t>(6), pp.1417-1428.</w:t>
      </w:r>
      <w:r>
        <w:t xml:space="preserve"> </w:t>
      </w:r>
      <w:r>
        <w:fldChar w:fldCharType="begin"/>
      </w:r>
      <w:r>
        <w:instrText xml:space="preserve"> HYPERLINK "https://www.nature.com/articles/s41390-024-03345-7" \h </w:instrText>
      </w:r>
      <w:r>
        <w:fldChar w:fldCharType="separate"/>
      </w:r>
      <w:r>
        <w:rPr>
          <w:color w:val="1155CC"/>
          <w:u w:val="single"/>
        </w:rPr>
        <w:t>https://www.nature.com/articles/s41390-024-03345-7</w:t>
      </w:r>
      <w:r>
        <w:rPr>
          <w:color w:val="1155CC"/>
          <w:u w:val="single"/>
        </w:rPr>
        <w:fldChar w:fldCharType="end"/>
      </w:r>
    </w:p>
    <w:p w14:paraId="7958D772">
      <w:r>
        <w:rPr>
          <w:color w:val="222222"/>
          <w:highlight w:val="white"/>
        </w:rPr>
        <w:t xml:space="preserve">Humayoun, S., Yaqoob, B., Abbasi, N., Sajid, M., Aman, K. and Noor, N., 2024. Critical appraisal of a qualitative review: A systematic review. </w:t>
      </w:r>
      <w:r>
        <w:rPr>
          <w:i/>
          <w:iCs/>
          <w:color w:val="222222"/>
          <w:highlight w:val="white"/>
        </w:rPr>
        <w:t>Pakistan Oral &amp; Dental Journal</w:t>
      </w:r>
      <w:r>
        <w:rPr>
          <w:color w:val="222222"/>
          <w:highlight w:val="white"/>
        </w:rPr>
        <w:t xml:space="preserve">, </w:t>
      </w:r>
      <w:r>
        <w:rPr>
          <w:i/>
          <w:iCs/>
          <w:color w:val="222222"/>
          <w:highlight w:val="white"/>
        </w:rPr>
        <w:t>44</w:t>
      </w:r>
      <w:r>
        <w:rPr>
          <w:color w:val="222222"/>
          <w:highlight w:val="white"/>
        </w:rPr>
        <w:t>(4), pp.9-18.</w:t>
      </w:r>
      <w:r>
        <w:t xml:space="preserve"> </w:t>
      </w:r>
      <w:r>
        <w:fldChar w:fldCharType="begin"/>
      </w:r>
      <w:r>
        <w:instrText xml:space="preserve"> HYPERLINK "https://www.podj.com.pk/index.php/podj/article/view/811" \h </w:instrText>
      </w:r>
      <w:r>
        <w:fldChar w:fldCharType="separate"/>
      </w:r>
      <w:r>
        <w:rPr>
          <w:color w:val="1155CC"/>
          <w:u w:val="single"/>
        </w:rPr>
        <w:t>https://www.podj.com.pk/index.php/podj/article/view/811</w:t>
      </w:r>
      <w:r>
        <w:rPr>
          <w:color w:val="1155CC"/>
          <w:u w:val="single"/>
        </w:rPr>
        <w:fldChar w:fldCharType="end"/>
      </w:r>
    </w:p>
    <w:p w14:paraId="3410EF66">
      <w:pPr>
        <w:spacing w:before="240" w:after="240"/>
        <w:rPr>
          <w:color w:val="1155CC"/>
          <w:highlight w:val="white"/>
          <w:u w:val="single"/>
        </w:rPr>
      </w:pPr>
      <w:r>
        <w:rPr>
          <w:color w:val="222222"/>
          <w:highlight w:val="white"/>
        </w:rPr>
        <w:t xml:space="preserve">Javadi, D., Sacks, E., Brizuela, V., Finlayson, K., Crossland, N., Langlois, E.V., Ziegler, D., Chandra-Mouli, V. and Bonet, M., 2023. Factors that influence the uptake of postnatal care among adolescent girls: a qualitative evidence synthesis. </w:t>
      </w:r>
      <w:r>
        <w:rPr>
          <w:i/>
          <w:iCs/>
          <w:color w:val="222222"/>
          <w:highlight w:val="white"/>
        </w:rPr>
        <w:t>BMJ Global Health</w:t>
      </w:r>
      <w:r>
        <w:rPr>
          <w:color w:val="222222"/>
          <w:highlight w:val="white"/>
        </w:rPr>
        <w:t xml:space="preserve">, </w:t>
      </w:r>
      <w:r>
        <w:rPr>
          <w:i/>
          <w:iCs/>
          <w:color w:val="222222"/>
          <w:highlight w:val="white"/>
        </w:rPr>
        <w:t>8</w:t>
      </w:r>
      <w:r>
        <w:rPr>
          <w:color w:val="222222"/>
          <w:highlight w:val="white"/>
        </w:rPr>
        <w:t>(Suppl 2).</w:t>
      </w:r>
      <w:r>
        <w:fldChar w:fldCharType="begin"/>
      </w:r>
      <w:r>
        <w:instrText xml:space="preserve"> HYPERLINK "https://gh.bmj.com/content/8/Suppl_2/e011560" \h </w:instrText>
      </w:r>
      <w:r>
        <w:fldChar w:fldCharType="separate"/>
      </w:r>
      <w:r>
        <w:rPr>
          <w:color w:val="1155CC"/>
          <w:highlight w:val="white"/>
          <w:u w:val="single"/>
        </w:rPr>
        <w:t>https://gh.bmj.com/content/8/Suppl_2/e011560</w:t>
      </w:r>
      <w:r>
        <w:rPr>
          <w:color w:val="1155CC"/>
          <w:highlight w:val="white"/>
          <w:u w:val="single"/>
        </w:rPr>
        <w:fldChar w:fldCharType="end"/>
      </w:r>
    </w:p>
    <w:p w14:paraId="671FF148">
      <w:r>
        <w:rPr>
          <w:color w:val="222222"/>
          <w:highlight w:val="white"/>
        </w:rPr>
        <w:t xml:space="preserve">Javadi, D., Sacks, E., Brizuela, V., Finlayson, K., Crossland, N., Langlois, E.V., Ziegler, D., Chandra-Mouli, V. and Bonet, M., 2023. Factors that influence the uptake of postnatal care among adolescent girls: a qualitative evidence synthesis. </w:t>
      </w:r>
      <w:r>
        <w:rPr>
          <w:i/>
          <w:iCs/>
          <w:color w:val="222222"/>
          <w:highlight w:val="white"/>
        </w:rPr>
        <w:t>BMJ Global Health</w:t>
      </w:r>
      <w:r>
        <w:rPr>
          <w:color w:val="222222"/>
          <w:highlight w:val="white"/>
        </w:rPr>
        <w:t xml:space="preserve">, </w:t>
      </w:r>
      <w:r>
        <w:rPr>
          <w:i/>
          <w:iCs/>
          <w:color w:val="222222"/>
          <w:highlight w:val="white"/>
        </w:rPr>
        <w:t>8</w:t>
      </w:r>
      <w:r>
        <w:rPr>
          <w:color w:val="222222"/>
          <w:highlight w:val="white"/>
        </w:rPr>
        <w:t>(Suppl 2).</w:t>
      </w:r>
      <w:r>
        <w:t xml:space="preserve"> </w:t>
      </w:r>
      <w:r>
        <w:fldChar w:fldCharType="begin"/>
      </w:r>
      <w:r>
        <w:instrText xml:space="preserve"> HYPERLINK "https://gh.bmj.com/content/8/Suppl_2/e011560" \h </w:instrText>
      </w:r>
      <w:r>
        <w:fldChar w:fldCharType="separate"/>
      </w:r>
      <w:r>
        <w:rPr>
          <w:color w:val="1155CC"/>
          <w:u w:val="single"/>
        </w:rPr>
        <w:t>https://gh.bmj.com/content/8/Suppl_2/e011560</w:t>
      </w:r>
      <w:r>
        <w:rPr>
          <w:color w:val="1155CC"/>
          <w:u w:val="single"/>
        </w:rPr>
        <w:fldChar w:fldCharType="end"/>
      </w:r>
    </w:p>
    <w:p w14:paraId="3C74E556">
      <w:r>
        <w:rPr>
          <w:color w:val="222222"/>
          <w:highlight w:val="white"/>
        </w:rPr>
        <w:t>Kabir, R., Hayhoe, R., Bai, A.C., Vinnakota, D., Sivasubramanian, M., Afework, S., Chilaka, M., Mohammadnezhad, M., Aremu, O., Sah, R.K. and Khan, H.T., 2023. The systematic literature review process: a simple guide for public health and allied health students.</w:t>
      </w:r>
      <w:r>
        <w:t xml:space="preserve"> </w:t>
      </w:r>
      <w:r>
        <w:fldChar w:fldCharType="begin"/>
      </w:r>
      <w:r>
        <w:instrText xml:space="preserve"> HYPERLINK "https://bradscholars.brad.ac.uk/entities/publication/fbcc8b21-a88e-4e4d-b36a-cbbd5d18128f" \h </w:instrText>
      </w:r>
      <w:r>
        <w:fldChar w:fldCharType="separate"/>
      </w:r>
      <w:r>
        <w:rPr>
          <w:color w:val="1155CC"/>
          <w:u w:val="single"/>
        </w:rPr>
        <w:t>https://bradscholars.brad.ac.uk/entities/publication/fbcc8b21-a88e-4e4d-b36a-cbbd5d18128f</w:t>
      </w:r>
      <w:r>
        <w:rPr>
          <w:color w:val="1155CC"/>
          <w:u w:val="single"/>
        </w:rPr>
        <w:fldChar w:fldCharType="end"/>
      </w:r>
    </w:p>
    <w:p w14:paraId="02EB3EB0">
      <w:r>
        <w:rPr>
          <w:color w:val="222222"/>
          <w:highlight w:val="white"/>
        </w:rPr>
        <w:t xml:space="preserve">Lim, W.M., Kumar, S. and Ali, F., 2022. Advancing knowledge through literature reviews:‘what’,‘why’, and ‘how to contribute’. </w:t>
      </w:r>
      <w:r>
        <w:rPr>
          <w:i/>
          <w:iCs/>
          <w:color w:val="222222"/>
          <w:highlight w:val="white"/>
        </w:rPr>
        <w:t>The Service Industries Journal</w:t>
      </w:r>
      <w:r>
        <w:rPr>
          <w:color w:val="222222"/>
          <w:highlight w:val="white"/>
        </w:rPr>
        <w:t xml:space="preserve">, </w:t>
      </w:r>
      <w:r>
        <w:rPr>
          <w:i/>
          <w:iCs/>
          <w:color w:val="222222"/>
          <w:highlight w:val="white"/>
        </w:rPr>
        <w:t>42</w:t>
      </w:r>
      <w:r>
        <w:rPr>
          <w:color w:val="222222"/>
          <w:highlight w:val="white"/>
        </w:rPr>
        <w:t>(7-8), pp.481-513.</w:t>
      </w:r>
      <w:r>
        <w:t xml:space="preserve"> </w:t>
      </w:r>
      <w:r>
        <w:fldChar w:fldCharType="begin"/>
      </w:r>
      <w:r>
        <w:instrText xml:space="preserve"> HYPERLINK "https://www.researchgate.net/profile/Saleh-Shahriar/post/What_are_the_different_publication_types_for_papers/attachment/63899a17bde28703ca84f963/AS%3A11431281104168800%401669962261741/download/Advancing+knowledge+through+literature+reviews+what+why+and+how+to+contribute.pdf" \h </w:instrText>
      </w:r>
      <w:r>
        <w:fldChar w:fldCharType="separate"/>
      </w:r>
      <w:r>
        <w:rPr>
          <w:color w:val="1155CC"/>
          <w:u w:val="single"/>
        </w:rPr>
        <w:t>https://www.researchgate.net/profile/Saleh-Shahriar/post/What_are_the_different_publication_types_for_papers/attachment/63899a17bde28703ca84f963/AS%3A11431281104168800%401669962261741/download/Advancing+knowledge+through+literature+reviews+what+why+and+how+to+contribute.pdf</w:t>
      </w:r>
      <w:r>
        <w:rPr>
          <w:color w:val="1155CC"/>
          <w:u w:val="single"/>
        </w:rPr>
        <w:fldChar w:fldCharType="end"/>
      </w:r>
    </w:p>
    <w:p w14:paraId="4B823F92">
      <w:pPr>
        <w:spacing w:before="240" w:after="240"/>
        <w:rPr>
          <w:color w:val="1155CC"/>
          <w:highlight w:val="white"/>
          <w:u w:val="single"/>
        </w:rPr>
      </w:pPr>
      <w:r>
        <w:rPr>
          <w:color w:val="222222"/>
          <w:highlight w:val="white"/>
        </w:rPr>
        <w:t xml:space="preserve">MacLellan, J., Collins, S., Myatt, M., Pope, C., Knighton, W. and Rai, T., 2022. Black, Asian and minority ethnic women's experiences of maternity services in the UK: A qualitative evidence synthesis. </w:t>
      </w:r>
      <w:r>
        <w:rPr>
          <w:i/>
          <w:iCs/>
          <w:color w:val="222222"/>
          <w:highlight w:val="white"/>
        </w:rPr>
        <w:t>Journal of advanced nursing</w:t>
      </w:r>
      <w:r>
        <w:rPr>
          <w:color w:val="222222"/>
          <w:highlight w:val="white"/>
        </w:rPr>
        <w:t xml:space="preserve">, </w:t>
      </w:r>
      <w:r>
        <w:rPr>
          <w:i/>
          <w:iCs/>
          <w:color w:val="222222"/>
          <w:highlight w:val="white"/>
        </w:rPr>
        <w:t>78</w:t>
      </w:r>
      <w:r>
        <w:rPr>
          <w:color w:val="222222"/>
          <w:highlight w:val="white"/>
        </w:rPr>
        <w:t>(7), pp.2175-2190.</w:t>
      </w:r>
      <w:r>
        <w:fldChar w:fldCharType="begin"/>
      </w:r>
      <w:r>
        <w:instrText xml:space="preserve"> HYPERLINK "https://onlinelibrary.wiley.com/doi/abs/10.1111/jan.15233" \h </w:instrText>
      </w:r>
      <w:r>
        <w:fldChar w:fldCharType="separate"/>
      </w:r>
      <w:r>
        <w:rPr>
          <w:color w:val="1155CC"/>
          <w:highlight w:val="white"/>
          <w:u w:val="single"/>
        </w:rPr>
        <w:t>https://onlinelibrary.wiley.com/doi/abs/10.1111/jan.15233</w:t>
      </w:r>
      <w:r>
        <w:rPr>
          <w:color w:val="1155CC"/>
          <w:highlight w:val="white"/>
          <w:u w:val="single"/>
        </w:rPr>
        <w:fldChar w:fldCharType="end"/>
      </w:r>
    </w:p>
    <w:p w14:paraId="5868A27F">
      <w:r>
        <w:rPr>
          <w:color w:val="222222"/>
          <w:highlight w:val="white"/>
        </w:rPr>
        <w:t xml:space="preserve">MacLellan, J., Collins, S., Myatt, M., Pope, C., Knighton, W. and Rai, T., 2022. Black, Asian and minority ethnic women's experiences of maternity services in the UK: A qualitative evidence synthesis. </w:t>
      </w:r>
      <w:r>
        <w:rPr>
          <w:i/>
          <w:iCs/>
          <w:color w:val="222222"/>
          <w:highlight w:val="white"/>
        </w:rPr>
        <w:t>Journal of advanced nursing</w:t>
      </w:r>
      <w:r>
        <w:rPr>
          <w:color w:val="222222"/>
          <w:highlight w:val="white"/>
        </w:rPr>
        <w:t xml:space="preserve">, </w:t>
      </w:r>
      <w:r>
        <w:rPr>
          <w:i/>
          <w:iCs/>
          <w:color w:val="222222"/>
          <w:highlight w:val="white"/>
        </w:rPr>
        <w:t>78</w:t>
      </w:r>
      <w:r>
        <w:rPr>
          <w:color w:val="222222"/>
          <w:highlight w:val="white"/>
        </w:rPr>
        <w:t>(7), pp.2175-2190.</w:t>
      </w:r>
      <w:r>
        <w:t xml:space="preserve"> </w:t>
      </w:r>
      <w:r>
        <w:fldChar w:fldCharType="begin"/>
      </w:r>
      <w:r>
        <w:instrText xml:space="preserve"> HYPERLINK "https://onlinelibrary.wiley.com/doi/abs/10.1111/jan.15233" \h </w:instrText>
      </w:r>
      <w:r>
        <w:fldChar w:fldCharType="separate"/>
      </w:r>
      <w:r>
        <w:rPr>
          <w:color w:val="1155CC"/>
          <w:u w:val="single"/>
        </w:rPr>
        <w:t>https://onlinelibrary.wiley.com/doi/abs/10.1111/jan.15233</w:t>
      </w:r>
      <w:r>
        <w:rPr>
          <w:color w:val="1155CC"/>
          <w:u w:val="single"/>
        </w:rPr>
        <w:fldChar w:fldCharType="end"/>
      </w:r>
    </w:p>
    <w:p w14:paraId="4D14C3F4">
      <w:r>
        <w:rPr>
          <w:color w:val="222222"/>
          <w:highlight w:val="white"/>
        </w:rPr>
        <w:t xml:space="preserve">Mancin, S., Sguanci, M., Andreoli, D., Soekeland, F., Anastasi, G., Piredda, M. and De Marinis, M.G., 2024. Systematic review of clinical practice guidelines and systematic reviews: a method for conducting comprehensive analysis. </w:t>
      </w:r>
      <w:r>
        <w:rPr>
          <w:i/>
          <w:iCs/>
          <w:color w:val="222222"/>
          <w:highlight w:val="white"/>
        </w:rPr>
        <w:t>MethodsX</w:t>
      </w:r>
      <w:r>
        <w:rPr>
          <w:color w:val="222222"/>
          <w:highlight w:val="white"/>
        </w:rPr>
        <w:t xml:space="preserve">, </w:t>
      </w:r>
      <w:r>
        <w:rPr>
          <w:i/>
          <w:iCs/>
          <w:color w:val="222222"/>
          <w:highlight w:val="white"/>
        </w:rPr>
        <w:t>12</w:t>
      </w:r>
      <w:r>
        <w:rPr>
          <w:color w:val="222222"/>
          <w:highlight w:val="white"/>
        </w:rPr>
        <w:t>, p.102532.</w:t>
      </w:r>
      <w:r>
        <w:t xml:space="preserve"> </w:t>
      </w:r>
      <w:r>
        <w:fldChar w:fldCharType="begin"/>
      </w:r>
      <w:r>
        <w:instrText xml:space="preserve"> HYPERLINK "https://www.sciencedirect.com/science/article/pii/S2215016123005289" \h </w:instrText>
      </w:r>
      <w:r>
        <w:fldChar w:fldCharType="separate"/>
      </w:r>
      <w:r>
        <w:rPr>
          <w:color w:val="1155CC"/>
          <w:u w:val="single"/>
        </w:rPr>
        <w:t>https://www.sciencedirect.com/science/article/pii/S2215016123005289</w:t>
      </w:r>
      <w:r>
        <w:rPr>
          <w:color w:val="1155CC"/>
          <w:u w:val="single"/>
        </w:rPr>
        <w:fldChar w:fldCharType="end"/>
      </w:r>
    </w:p>
    <w:p w14:paraId="674DAE2F">
      <w:pPr>
        <w:spacing w:before="240" w:after="240"/>
        <w:rPr>
          <w:color w:val="1155CC"/>
          <w:highlight w:val="white"/>
          <w:u w:val="single"/>
        </w:rPr>
      </w:pPr>
      <w:r>
        <w:rPr>
          <w:color w:val="222222"/>
          <w:highlight w:val="white"/>
        </w:rPr>
        <w:t xml:space="preserve">Namutebi, M., Kabahinda, D., Mbalinda, S.N., Nabunya, R., Nanfuka, D.G., Kabiri, L., Ngabirano, T.D. and Muwanguzi, P.A., 2022. Teenage first-time mothers’ perceptions about their health care needs in the immediate and early postpartum period in Uganda. </w:t>
      </w:r>
      <w:r>
        <w:rPr>
          <w:i/>
          <w:iCs/>
          <w:color w:val="222222"/>
          <w:highlight w:val="white"/>
        </w:rPr>
        <w:t>BMC Pregnancy and Childbirth</w:t>
      </w:r>
      <w:r>
        <w:rPr>
          <w:color w:val="222222"/>
          <w:highlight w:val="white"/>
        </w:rPr>
        <w:t xml:space="preserve">, </w:t>
      </w:r>
      <w:r>
        <w:rPr>
          <w:i/>
          <w:iCs/>
          <w:color w:val="222222"/>
          <w:highlight w:val="white"/>
        </w:rPr>
        <w:t>22</w:t>
      </w:r>
      <w:r>
        <w:rPr>
          <w:color w:val="222222"/>
          <w:highlight w:val="white"/>
        </w:rPr>
        <w:t>(1), p.743.</w:t>
      </w:r>
      <w:r>
        <w:fldChar w:fldCharType="begin"/>
      </w:r>
      <w:r>
        <w:instrText xml:space="preserve"> HYPERLINK "https://link.springer.com/article/10.1186/s12884-022-05062-7" \h </w:instrText>
      </w:r>
      <w:r>
        <w:fldChar w:fldCharType="separate"/>
      </w:r>
      <w:r>
        <w:rPr>
          <w:color w:val="1155CC"/>
          <w:highlight w:val="white"/>
          <w:u w:val="single"/>
        </w:rPr>
        <w:t>https://link.springer.com/article/10.1186/s12884-022-05062-7</w:t>
      </w:r>
      <w:r>
        <w:rPr>
          <w:color w:val="1155CC"/>
          <w:highlight w:val="white"/>
          <w:u w:val="single"/>
        </w:rPr>
        <w:fldChar w:fldCharType="end"/>
      </w:r>
    </w:p>
    <w:p w14:paraId="56261758">
      <w:r>
        <w:rPr>
          <w:color w:val="222222"/>
          <w:highlight w:val="white"/>
        </w:rPr>
        <w:t xml:space="preserve">Namutebi, M., Kabahinda, D., Mbalinda, S.N., Nabunya, R., Nanfuka, D.G., Kabiri, L., Ngabirano, T.D. and Muwanguzi, P.A., 2022. Teenage first-time mothers’ perceptions about their health care needs in the immediate and early postpartum period in Uganda. </w:t>
      </w:r>
      <w:r>
        <w:rPr>
          <w:i/>
          <w:iCs/>
          <w:color w:val="222222"/>
          <w:highlight w:val="white"/>
        </w:rPr>
        <w:t>BMC Pregnancy and Childbirth</w:t>
      </w:r>
      <w:r>
        <w:rPr>
          <w:color w:val="222222"/>
          <w:highlight w:val="white"/>
        </w:rPr>
        <w:t xml:space="preserve">, </w:t>
      </w:r>
      <w:r>
        <w:rPr>
          <w:i/>
          <w:iCs/>
          <w:color w:val="222222"/>
          <w:highlight w:val="white"/>
        </w:rPr>
        <w:t>22</w:t>
      </w:r>
      <w:r>
        <w:rPr>
          <w:color w:val="222222"/>
          <w:highlight w:val="white"/>
        </w:rPr>
        <w:t>(1), p.743.</w:t>
      </w:r>
      <w:r>
        <w:t xml:space="preserve"> </w:t>
      </w:r>
      <w:r>
        <w:fldChar w:fldCharType="begin"/>
      </w:r>
      <w:r>
        <w:instrText xml:space="preserve"> HYPERLINK "https://link.springer.com/article/10.1186/s12884-022-05062-7" \h </w:instrText>
      </w:r>
      <w:r>
        <w:fldChar w:fldCharType="separate"/>
      </w:r>
      <w:r>
        <w:rPr>
          <w:color w:val="1155CC"/>
          <w:u w:val="single"/>
        </w:rPr>
        <w:t>https://link.springer.com/article/10.1186/s12884-022-05062-7</w:t>
      </w:r>
      <w:r>
        <w:rPr>
          <w:color w:val="1155CC"/>
          <w:u w:val="single"/>
        </w:rPr>
        <w:fldChar w:fldCharType="end"/>
      </w:r>
    </w:p>
    <w:p w14:paraId="66F08E41">
      <w:r>
        <w:rPr>
          <w:color w:val="222222"/>
          <w:highlight w:val="white"/>
        </w:rPr>
        <w:t xml:space="preserve">Nawara, A.A.M., 2025. </w:t>
      </w:r>
      <w:r>
        <w:rPr>
          <w:i/>
          <w:iCs/>
          <w:color w:val="222222"/>
          <w:highlight w:val="white"/>
        </w:rPr>
        <w:t>Access, Utilization and Compliance to Family Planning Methods among Women and the Role of Health Care Providers as Educators</w:t>
      </w:r>
      <w:r>
        <w:rPr>
          <w:color w:val="222222"/>
          <w:highlight w:val="white"/>
        </w:rPr>
        <w:t xml:space="preserve"> (Doctoral dissertation, Al-Quds University).</w:t>
      </w:r>
      <w:r>
        <w:t xml:space="preserve"> </w:t>
      </w:r>
      <w:r>
        <w:fldChar w:fldCharType="begin"/>
      </w:r>
      <w:r>
        <w:instrText xml:space="preserve"> HYPERLINK "https://dspace.alquds.edu/handle/20.500.12213/10572" \h </w:instrText>
      </w:r>
      <w:r>
        <w:fldChar w:fldCharType="separate"/>
      </w:r>
      <w:r>
        <w:rPr>
          <w:color w:val="1155CC"/>
          <w:u w:val="single"/>
        </w:rPr>
        <w:t>https://dspace.alquds.edu/handle/20.500.12213/10572</w:t>
      </w:r>
      <w:r>
        <w:rPr>
          <w:color w:val="1155CC"/>
          <w:u w:val="single"/>
        </w:rPr>
        <w:fldChar w:fldCharType="end"/>
      </w:r>
    </w:p>
    <w:p w14:paraId="4D1C3B0A">
      <w:pPr>
        <w:spacing w:before="240" w:after="240"/>
        <w:rPr>
          <w:color w:val="222222"/>
          <w:highlight w:val="white"/>
        </w:rPr>
      </w:pPr>
      <w:r>
        <w:rPr>
          <w:color w:val="222222"/>
          <w:highlight w:val="white"/>
        </w:rPr>
        <w:t xml:space="preserve">NHS England Digital (2026). </w:t>
      </w:r>
      <w:r>
        <w:rPr>
          <w:i/>
          <w:iCs/>
          <w:color w:val="222222"/>
          <w:highlight w:val="white"/>
        </w:rPr>
        <w:t xml:space="preserve">Maternity Services Digital Dashboard Report. </w:t>
      </w:r>
      <w:r>
        <w:rPr>
          <w:highlight w:val="white"/>
        </w:rPr>
        <w:t>Available at:</w:t>
      </w:r>
      <w:r>
        <w:fldChar w:fldCharType="begin"/>
      </w:r>
      <w:r>
        <w:instrText xml:space="preserve"> HYPERLINK "https://digital.nhs.uk/data-and-information/data-collections-and-data-sets/data-sets/maternity-services-data-set/maternity-services-dashboard" \h </w:instrText>
      </w:r>
      <w:r>
        <w:fldChar w:fldCharType="separate"/>
      </w:r>
      <w:r>
        <w:rPr>
          <w:highlight w:val="white"/>
        </w:rPr>
        <w:t xml:space="preserve"> </w:t>
      </w:r>
      <w:r>
        <w:rPr>
          <w:highlight w:val="white"/>
        </w:rPr>
        <w:fldChar w:fldCharType="end"/>
      </w:r>
      <w:r>
        <w:fldChar w:fldCharType="begin"/>
      </w:r>
      <w:r>
        <w:instrText xml:space="preserve"> HYPERLINK "https://digital.nhs.uk/data-and-information/data-collections-and-data-sets/data-sets/maternity-services-data-set/maternity-services-dashboard" \h </w:instrText>
      </w:r>
      <w:r>
        <w:fldChar w:fldCharType="separate"/>
      </w:r>
      <w:r>
        <w:rPr>
          <w:color w:val="1155CC"/>
          <w:highlight w:val="white"/>
          <w:u w:val="single"/>
        </w:rPr>
        <w:t>https://digital.nhs.uk/data-and-information/data-collections-and-data-sets/data-sets/maternity-services-data-set/maternity-services-dashboard</w:t>
      </w:r>
      <w:r>
        <w:rPr>
          <w:color w:val="1155CC"/>
          <w:highlight w:val="white"/>
          <w:u w:val="single"/>
        </w:rPr>
        <w:fldChar w:fldCharType="end"/>
      </w:r>
      <w:r>
        <w:rPr>
          <w:highlight w:val="white"/>
        </w:rPr>
        <w:t>. [Accessed on: 16.06.2026].</w:t>
      </w:r>
    </w:p>
    <w:p w14:paraId="46497F87">
      <w:pPr>
        <w:spacing w:before="240" w:after="240"/>
        <w:rPr>
          <w:color w:val="222222"/>
          <w:highlight w:val="white"/>
        </w:rPr>
      </w:pPr>
      <w:r>
        <w:rPr>
          <w:color w:val="222222"/>
          <w:highlight w:val="white"/>
        </w:rPr>
        <w:t xml:space="preserve">NHS England Digital (2026). </w:t>
      </w:r>
      <w:r>
        <w:rPr>
          <w:i/>
          <w:iCs/>
          <w:color w:val="202A30"/>
          <w:highlight w:val="white"/>
        </w:rPr>
        <w:t>Maternity Transformation Programme</w:t>
      </w:r>
      <w:r>
        <w:rPr>
          <w:i/>
          <w:iCs/>
          <w:color w:val="222222"/>
          <w:highlight w:val="white"/>
        </w:rPr>
        <w:t xml:space="preserve">. </w:t>
      </w:r>
      <w:r>
        <w:rPr>
          <w:highlight w:val="white"/>
        </w:rPr>
        <w:t>Available at:</w:t>
      </w:r>
      <w:r>
        <w:fldChar w:fldCharType="begin"/>
      </w:r>
      <w:r>
        <w:instrText xml:space="preserve"> HYPERLINK "https://www.england.nhs.uk/mat-transformation/" \h </w:instrText>
      </w:r>
      <w:r>
        <w:fldChar w:fldCharType="separate"/>
      </w:r>
      <w:r>
        <w:rPr>
          <w:highlight w:val="white"/>
        </w:rPr>
        <w:t xml:space="preserve"> </w:t>
      </w:r>
      <w:r>
        <w:rPr>
          <w:highlight w:val="white"/>
        </w:rPr>
        <w:fldChar w:fldCharType="end"/>
      </w:r>
      <w:r>
        <w:fldChar w:fldCharType="begin"/>
      </w:r>
      <w:r>
        <w:instrText xml:space="preserve"> HYPERLINK "https://www.england.nhs.uk/mat-transformation/" \h </w:instrText>
      </w:r>
      <w:r>
        <w:fldChar w:fldCharType="separate"/>
      </w:r>
      <w:r>
        <w:rPr>
          <w:color w:val="1155CC"/>
          <w:highlight w:val="white"/>
          <w:u w:val="single"/>
        </w:rPr>
        <w:t>https://www.england.nhs.uk/mat-transformation/</w:t>
      </w:r>
      <w:r>
        <w:rPr>
          <w:color w:val="1155CC"/>
          <w:highlight w:val="white"/>
          <w:u w:val="single"/>
        </w:rPr>
        <w:fldChar w:fldCharType="end"/>
      </w:r>
      <w:r>
        <w:rPr>
          <w:highlight w:val="white"/>
        </w:rPr>
        <w:t>. [Accessed on: 16.06.2026].</w:t>
      </w:r>
    </w:p>
    <w:p w14:paraId="569DD88C">
      <w:r>
        <w:rPr>
          <w:color w:val="222222"/>
          <w:highlight w:val="white"/>
        </w:rPr>
        <w:t xml:space="preserve">Nnang, J.Y.B., Tembi, T.B.T., Fodop, S.G., Mekontso, J.G.K. and Esene, I.N., 2025. Liberal Versus Restrictive Transfusion in Acute Brain Injury: A Systematic Review and Meta-Analysis. </w:t>
      </w:r>
      <w:r>
        <w:rPr>
          <w:i/>
          <w:iCs/>
          <w:color w:val="222222"/>
          <w:highlight w:val="white"/>
        </w:rPr>
        <w:t>Cureus</w:t>
      </w:r>
      <w:r>
        <w:rPr>
          <w:color w:val="222222"/>
          <w:highlight w:val="white"/>
        </w:rPr>
        <w:t xml:space="preserve">, </w:t>
      </w:r>
      <w:r>
        <w:rPr>
          <w:i/>
          <w:iCs/>
          <w:color w:val="222222"/>
          <w:highlight w:val="white"/>
        </w:rPr>
        <w:t>17</w:t>
      </w:r>
      <w:r>
        <w:rPr>
          <w:color w:val="222222"/>
          <w:highlight w:val="white"/>
        </w:rPr>
        <w:t>(5).</w:t>
      </w:r>
      <w:r>
        <w:t xml:space="preserve"> </w:t>
      </w:r>
      <w:r>
        <w:fldChar w:fldCharType="begin"/>
      </w:r>
      <w:r>
        <w:instrText xml:space="preserve"> HYPERLINK "https://www.cureus.com/articles/365111-liberal-versus-restrictive-transfusion-in-acute-brain-injury-a-systematic-review-and-meta-analysis.pdf" \h </w:instrText>
      </w:r>
      <w:r>
        <w:fldChar w:fldCharType="separate"/>
      </w:r>
      <w:r>
        <w:rPr>
          <w:color w:val="1155CC"/>
          <w:u w:val="single"/>
        </w:rPr>
        <w:t>https://www.cureus.com/articles/365111-liberal-versus-restrictive-transfusion-in-acute-brain-injury-a-systematic-review-and-meta-analysis.pdf</w:t>
      </w:r>
      <w:r>
        <w:rPr>
          <w:color w:val="1155CC"/>
          <w:u w:val="single"/>
        </w:rPr>
        <w:fldChar w:fldCharType="end"/>
      </w:r>
    </w:p>
    <w:p w14:paraId="48210197">
      <w:r>
        <w:t xml:space="preserve">Norman, J.E., Stock, S.J. and Harmer, C., 2022. After the Ockenden review: a chance to reset maternal and perinatal care in the UK?. </w:t>
      </w:r>
      <w:r>
        <w:rPr>
          <w:i/>
          <w:iCs/>
        </w:rPr>
        <w:t>The Lancet</w:t>
      </w:r>
      <w:r>
        <w:t xml:space="preserve">, </w:t>
      </w:r>
      <w:r>
        <w:rPr>
          <w:i/>
          <w:iCs/>
        </w:rPr>
        <w:t>399</w:t>
      </w:r>
      <w:r>
        <w:t xml:space="preserve">(10344), pp.2331-2333. </w:t>
      </w:r>
      <w:r>
        <w:fldChar w:fldCharType="begin"/>
      </w:r>
      <w:r>
        <w:instrText xml:space="preserve"> HYPERLINK "https://www.thelancet.com/journals/lancet/article/PIIS0140-6736(22)00823-6/abstract" \h </w:instrText>
      </w:r>
      <w:r>
        <w:fldChar w:fldCharType="separate"/>
      </w:r>
      <w:r>
        <w:rPr>
          <w:color w:val="0000FF"/>
          <w:u w:val="single"/>
        </w:rPr>
        <w:t>https://www.thelancet.com/journals/lancet/article/PIIS0140-6736(22)00823-6/abstract</w:t>
      </w:r>
      <w:r>
        <w:rPr>
          <w:color w:val="0000FF"/>
          <w:u w:val="single"/>
        </w:rPr>
        <w:fldChar w:fldCharType="end"/>
      </w:r>
    </w:p>
    <w:p w14:paraId="5921CD84">
      <w:pPr>
        <w:spacing w:before="240" w:after="240"/>
        <w:rPr>
          <w:color w:val="222222"/>
          <w:highlight w:val="white"/>
        </w:rPr>
      </w:pPr>
      <w:r>
        <w:rPr>
          <w:highlight w:val="white"/>
        </w:rPr>
        <w:t xml:space="preserve">ONS (2021). </w:t>
      </w:r>
      <w:r>
        <w:rPr>
          <w:i/>
          <w:iCs/>
          <w:highlight w:val="white"/>
        </w:rPr>
        <w:t>Conceptions in England and Wales: 2021.  Available</w:t>
      </w:r>
      <w:r>
        <w:rPr>
          <w:highlight w:val="white"/>
        </w:rPr>
        <w:t xml:space="preserve"> at:</w:t>
      </w:r>
      <w:r>
        <w:fldChar w:fldCharType="begin"/>
      </w:r>
      <w:r>
        <w:instrText xml:space="preserve"> HYPERLINK "https://www.ons.gov.uk/peoplepopulationandcommunity/birthsdeathsandmarriages/conceptionandfertilityrates/bulletins/conceptionstatistics/2021" \h </w:instrText>
      </w:r>
      <w:r>
        <w:fldChar w:fldCharType="separate"/>
      </w:r>
      <w:r>
        <w:rPr>
          <w:highlight w:val="white"/>
        </w:rPr>
        <w:t xml:space="preserve"> </w:t>
      </w:r>
      <w:r>
        <w:rPr>
          <w:highlight w:val="white"/>
        </w:rPr>
        <w:fldChar w:fldCharType="end"/>
      </w:r>
      <w:r>
        <w:fldChar w:fldCharType="begin"/>
      </w:r>
      <w:r>
        <w:instrText xml:space="preserve"> HYPERLINK "https://www.ons.gov.uk/peoplepopulationandcommunity/birthsdeathsandmarriages/conceptionandfertilityrates/bulletins/conceptionstatistics/2021" \h </w:instrText>
      </w:r>
      <w:r>
        <w:fldChar w:fldCharType="separate"/>
      </w:r>
      <w:r>
        <w:rPr>
          <w:color w:val="1155CC"/>
          <w:highlight w:val="white"/>
          <w:u w:val="single"/>
        </w:rPr>
        <w:t>https://www.ons.gov.uk/peoplepopulationandcommunity/birthsdeathsandmarriages/conceptionandfertilityrates/bulletins/conceptionstatistics/2021</w:t>
      </w:r>
      <w:r>
        <w:rPr>
          <w:color w:val="1155CC"/>
          <w:highlight w:val="white"/>
          <w:u w:val="single"/>
        </w:rPr>
        <w:fldChar w:fldCharType="end"/>
      </w:r>
      <w:r>
        <w:rPr>
          <w:highlight w:val="white"/>
        </w:rPr>
        <w:t>. [Accessed on: 16.06.2026].</w:t>
      </w:r>
    </w:p>
    <w:p w14:paraId="1532A812">
      <w:pPr>
        <w:spacing w:before="240" w:after="240"/>
        <w:rPr>
          <w:color w:val="222222"/>
          <w:highlight w:val="white"/>
        </w:rPr>
      </w:pPr>
      <w:r>
        <w:rPr>
          <w:highlight w:val="white"/>
        </w:rPr>
        <w:t xml:space="preserve">ONS (2025). </w:t>
      </w:r>
      <w:r>
        <w:rPr>
          <w:i/>
          <w:iCs/>
          <w:highlight w:val="white"/>
        </w:rPr>
        <w:t>Birth statistics in England and Wales</w:t>
      </w:r>
      <w:r>
        <w:rPr>
          <w:highlight w:val="white"/>
        </w:rPr>
        <w:t xml:space="preserve">. </w:t>
      </w:r>
      <w:r>
        <w:rPr>
          <w:i/>
          <w:iCs/>
          <w:color w:val="222222"/>
          <w:highlight w:val="white"/>
        </w:rPr>
        <w:t xml:space="preserve"> </w:t>
      </w:r>
      <w:r>
        <w:rPr>
          <w:highlight w:val="white"/>
        </w:rPr>
        <w:t>Available at:</w:t>
      </w:r>
      <w:r>
        <w:fldChar w:fldCharType="begin"/>
      </w:r>
      <w:r>
        <w:instrText xml:space="preserve"> HYPERLINK "https://www.ons.gov.uk/peoplepopulationandcommunity/birthsdeathsandmarriages/livebirths/bulletins/birthsummarytablesenglandandwales/2024" \h </w:instrText>
      </w:r>
      <w:r>
        <w:fldChar w:fldCharType="separate"/>
      </w:r>
      <w:r>
        <w:rPr>
          <w:highlight w:val="white"/>
        </w:rPr>
        <w:t xml:space="preserve"> </w:t>
      </w:r>
      <w:r>
        <w:rPr>
          <w:highlight w:val="white"/>
        </w:rPr>
        <w:fldChar w:fldCharType="end"/>
      </w:r>
      <w:r>
        <w:fldChar w:fldCharType="begin"/>
      </w:r>
      <w:r>
        <w:instrText xml:space="preserve"> HYPERLINK "https://www.ons.gov.uk/peoplepopulationandcommunity/birthsdeathsandmarriages/livebirths/bulletins/birthsummarytablesenglandandwales/2024" \h </w:instrText>
      </w:r>
      <w:r>
        <w:fldChar w:fldCharType="separate"/>
      </w:r>
      <w:r>
        <w:rPr>
          <w:color w:val="1155CC"/>
          <w:highlight w:val="white"/>
          <w:u w:val="single"/>
        </w:rPr>
        <w:t>https://www.ons.gov.uk/peoplepopulationandcommunity/birthsdeathsandmarriages/livebirths/bulletins/birthsummarytablesenglandandwales/2024</w:t>
      </w:r>
      <w:r>
        <w:rPr>
          <w:color w:val="1155CC"/>
          <w:highlight w:val="white"/>
          <w:u w:val="single"/>
        </w:rPr>
        <w:fldChar w:fldCharType="end"/>
      </w:r>
      <w:r>
        <w:rPr>
          <w:highlight w:val="white"/>
        </w:rPr>
        <w:t>. [Accessed on: 16.06.2026].</w:t>
      </w:r>
    </w:p>
    <w:p w14:paraId="618F2917">
      <w:r>
        <w:rPr>
          <w:color w:val="222222"/>
          <w:highlight w:val="white"/>
        </w:rPr>
        <w:t xml:space="preserve">Page, M.J., McKenzie, J.E., Bossuyt, P.M., Boutron, I., Hoffmann, T.C., Mulrow, C.D., Shamseer, L., Tetzlaff, J.M., Akl, E.A., Brennan, S.E. and Chou, R., 2022. The PRISMA 2020 statement: an updated guideline for reporting systematic reviews. </w:t>
      </w:r>
      <w:r>
        <w:rPr>
          <w:i/>
          <w:iCs/>
          <w:color w:val="222222"/>
          <w:highlight w:val="white"/>
        </w:rPr>
        <w:t>Revista panamericana de salud publica</w:t>
      </w:r>
      <w:r>
        <w:rPr>
          <w:color w:val="222222"/>
          <w:highlight w:val="white"/>
        </w:rPr>
        <w:t xml:space="preserve">, </w:t>
      </w:r>
      <w:r>
        <w:rPr>
          <w:i/>
          <w:iCs/>
          <w:color w:val="222222"/>
          <w:highlight w:val="white"/>
        </w:rPr>
        <w:t>46</w:t>
      </w:r>
      <w:r>
        <w:rPr>
          <w:color w:val="222222"/>
          <w:highlight w:val="white"/>
        </w:rPr>
        <w:t>, p.e112.</w:t>
      </w:r>
      <w:r>
        <w:t xml:space="preserve"> </w:t>
      </w:r>
      <w:r>
        <w:fldChar w:fldCharType="begin"/>
      </w:r>
      <w:r>
        <w:instrText xml:space="preserve"> HYPERLINK "https://pmc.ncbi.nlm.nih.gov/articles/PMC9798848/" \h </w:instrText>
      </w:r>
      <w:r>
        <w:fldChar w:fldCharType="separate"/>
      </w:r>
      <w:r>
        <w:rPr>
          <w:color w:val="1155CC"/>
          <w:u w:val="single"/>
        </w:rPr>
        <w:t>https://pmc.ncbi.nlm.nih.gov/articles/PMC9798848/</w:t>
      </w:r>
      <w:r>
        <w:rPr>
          <w:color w:val="1155CC"/>
          <w:u w:val="single"/>
        </w:rPr>
        <w:fldChar w:fldCharType="end"/>
      </w:r>
    </w:p>
    <w:p w14:paraId="1974F3B5">
      <w:pPr>
        <w:rPr>
          <w:b/>
          <w:bCs/>
        </w:rPr>
      </w:pPr>
      <w:r>
        <w:rPr>
          <w:color w:val="222222"/>
          <w:highlight w:val="white"/>
        </w:rPr>
        <w:t xml:space="preserve">Pierce, P., Whitten, M. and Hillman, S., 2023. The impact of digital healthcare on vulnerable pregnant women: A review of the use of the MyCare app in the maternity department at a central London tertiary unit. </w:t>
      </w:r>
      <w:r>
        <w:rPr>
          <w:i/>
          <w:iCs/>
          <w:color w:val="222222"/>
          <w:highlight w:val="white"/>
        </w:rPr>
        <w:t>Frontiers in Digital Health</w:t>
      </w:r>
      <w:r>
        <w:rPr>
          <w:color w:val="222222"/>
          <w:highlight w:val="white"/>
        </w:rPr>
        <w:t xml:space="preserve">, </w:t>
      </w:r>
      <w:r>
        <w:rPr>
          <w:i/>
          <w:iCs/>
          <w:color w:val="222222"/>
          <w:highlight w:val="white"/>
        </w:rPr>
        <w:t>5</w:t>
      </w:r>
      <w:r>
        <w:rPr>
          <w:color w:val="222222"/>
          <w:highlight w:val="white"/>
        </w:rPr>
        <w:t>, p.1155708.</w:t>
      </w:r>
      <w:r>
        <w:t xml:space="preserve"> </w:t>
      </w:r>
      <w:r>
        <w:fldChar w:fldCharType="begin"/>
      </w:r>
      <w:r>
        <w:instrText xml:space="preserve"> HYPERLINK "https://www.frontiersin.org/journals/digital-health/articles/10.3389/fdgth.2023.1155708/full" \h </w:instrText>
      </w:r>
      <w:r>
        <w:fldChar w:fldCharType="separate"/>
      </w:r>
      <w:r>
        <w:rPr>
          <w:color w:val="1155CC"/>
          <w:u w:val="single"/>
        </w:rPr>
        <w:t>https://www.frontiersin.org/journals/digital-health/articles/10.3389/fdgth.2023.1155708/full</w:t>
      </w:r>
      <w:r>
        <w:rPr>
          <w:color w:val="1155CC"/>
          <w:u w:val="single"/>
        </w:rPr>
        <w:fldChar w:fldCharType="end"/>
      </w:r>
    </w:p>
    <w:p w14:paraId="3B424823">
      <w:r>
        <w:rPr>
          <w:color w:val="222222"/>
          <w:highlight w:val="white"/>
        </w:rPr>
        <w:t xml:space="preserve">Pollock, D., Evans, C., Jia, R.M., Alexander, L., Pieper, D., de Moraes, É.B., Peters, M.D., Tricco, A.C., Khalil, H., Godfrey, C.M. and Saran, A., 2024. “How-to”: scoping review?. </w:t>
      </w:r>
      <w:r>
        <w:rPr>
          <w:i/>
          <w:iCs/>
          <w:color w:val="222222"/>
          <w:highlight w:val="white"/>
        </w:rPr>
        <w:t>Journal of clinical epidemiology</w:t>
      </w:r>
      <w:r>
        <w:rPr>
          <w:color w:val="222222"/>
          <w:highlight w:val="white"/>
        </w:rPr>
        <w:t xml:space="preserve">, </w:t>
      </w:r>
      <w:r>
        <w:rPr>
          <w:i/>
          <w:iCs/>
          <w:color w:val="222222"/>
          <w:highlight w:val="white"/>
        </w:rPr>
        <w:t>176</w:t>
      </w:r>
      <w:r>
        <w:rPr>
          <w:color w:val="222222"/>
          <w:highlight w:val="white"/>
        </w:rPr>
        <w:t>, p.111572.</w:t>
      </w:r>
      <w:r>
        <w:t xml:space="preserve"> </w:t>
      </w:r>
      <w:r>
        <w:fldChar w:fldCharType="begin"/>
      </w:r>
      <w:r>
        <w:instrText xml:space="preserve"> HYPERLINK "https://www.sciencedirect.com/science/article/pii/S0895435624003287" \h </w:instrText>
      </w:r>
      <w:r>
        <w:fldChar w:fldCharType="separate"/>
      </w:r>
      <w:r>
        <w:rPr>
          <w:color w:val="1155CC"/>
          <w:u w:val="single"/>
        </w:rPr>
        <w:t>https://www.sciencedirect.com/science/article/pii/S0895435624003287</w:t>
      </w:r>
      <w:r>
        <w:rPr>
          <w:color w:val="1155CC"/>
          <w:u w:val="single"/>
        </w:rPr>
        <w:fldChar w:fldCharType="end"/>
      </w:r>
    </w:p>
    <w:p w14:paraId="4E2306FA">
      <w:r>
        <w:t xml:space="preserve">Saharoy, R., Potdukhe, A., Wanjari, M. and Taksande, A.B., 2023. Postpartum depression and maternal care: exploring the complex effects on mothers and infants. </w:t>
      </w:r>
      <w:r>
        <w:rPr>
          <w:i/>
          <w:iCs/>
        </w:rPr>
        <w:t>Cureus</w:t>
      </w:r>
      <w:r>
        <w:t xml:space="preserve">, </w:t>
      </w:r>
      <w:r>
        <w:rPr>
          <w:i/>
          <w:iCs/>
        </w:rPr>
        <w:t>15</w:t>
      </w:r>
      <w:r>
        <w:t xml:space="preserve">(7). </w:t>
      </w:r>
      <w:r>
        <w:fldChar w:fldCharType="begin"/>
      </w:r>
      <w:r>
        <w:instrText xml:space="preserve"> HYPERLINK "https://www.cureus.com/articles/165878" \h </w:instrText>
      </w:r>
      <w:r>
        <w:fldChar w:fldCharType="separate"/>
      </w:r>
      <w:r>
        <w:rPr>
          <w:color w:val="0000FF"/>
          <w:u w:val="single"/>
        </w:rPr>
        <w:t>https://www.cureus.com/articles/165878</w:t>
      </w:r>
      <w:r>
        <w:rPr>
          <w:color w:val="0000FF"/>
          <w:u w:val="single"/>
        </w:rPr>
        <w:fldChar w:fldCharType="end"/>
      </w:r>
    </w:p>
    <w:p w14:paraId="670CD037">
      <w:r>
        <w:rPr>
          <w:color w:val="222222"/>
          <w:highlight w:val="white"/>
        </w:rPr>
        <w:t xml:space="preserve">Scroggins, J.K., 2023. </w:t>
      </w:r>
      <w:r>
        <w:rPr>
          <w:i/>
          <w:iCs/>
          <w:color w:val="222222"/>
          <w:highlight w:val="white"/>
        </w:rPr>
        <w:t>Postpartum Symptom Clusters in Birthing Individuals</w:t>
      </w:r>
      <w:r>
        <w:rPr>
          <w:color w:val="222222"/>
          <w:highlight w:val="white"/>
        </w:rPr>
        <w:t xml:space="preserve"> (Doctoral dissertation, Duke University).</w:t>
      </w:r>
      <w:r>
        <w:t xml:space="preserve"> </w:t>
      </w:r>
      <w:r>
        <w:fldChar w:fldCharType="begin"/>
      </w:r>
      <w:r>
        <w:instrText xml:space="preserve"> HYPERLINK "https://dukespace.lib.duke.edu/bitstreams/48110739-d680-4b8d-a595-aa56e2261333/download" \h </w:instrText>
      </w:r>
      <w:r>
        <w:fldChar w:fldCharType="separate"/>
      </w:r>
      <w:r>
        <w:rPr>
          <w:color w:val="1155CC"/>
          <w:u w:val="single"/>
        </w:rPr>
        <w:t>https://dukespace.lib.duke.edu/bitstreams/48110739-d680-4b8d-a595-aa56e2261333/download</w:t>
      </w:r>
      <w:r>
        <w:rPr>
          <w:color w:val="1155CC"/>
          <w:u w:val="single"/>
        </w:rPr>
        <w:fldChar w:fldCharType="end"/>
      </w:r>
    </w:p>
    <w:p w14:paraId="07B7F568">
      <w:r>
        <w:rPr>
          <w:color w:val="222222"/>
          <w:highlight w:val="white"/>
        </w:rPr>
        <w:t xml:space="preserve">Tenaw, L.A., Ngai, F.W. and Lam, K., 2024. Explore the lived childbirth experiences, challenges following childbirth, and coping strategies of teenage mothers: A qualitative meta-synthesis. </w:t>
      </w:r>
      <w:r>
        <w:rPr>
          <w:i/>
          <w:iCs/>
          <w:color w:val="222222"/>
          <w:highlight w:val="white"/>
        </w:rPr>
        <w:t>Midwifery</w:t>
      </w:r>
      <w:r>
        <w:rPr>
          <w:color w:val="222222"/>
          <w:highlight w:val="white"/>
        </w:rPr>
        <w:t xml:space="preserve">, </w:t>
      </w:r>
      <w:r>
        <w:rPr>
          <w:i/>
          <w:iCs/>
          <w:color w:val="222222"/>
          <w:highlight w:val="white"/>
        </w:rPr>
        <w:t>137</w:t>
      </w:r>
      <w:r>
        <w:rPr>
          <w:color w:val="222222"/>
          <w:highlight w:val="white"/>
        </w:rPr>
        <w:t>, p.104128.</w:t>
      </w:r>
      <w:r>
        <w:t xml:space="preserve"> </w:t>
      </w:r>
      <w:r>
        <w:fldChar w:fldCharType="begin"/>
      </w:r>
      <w:r>
        <w:instrText xml:space="preserve"> HYPERLINK "https://www.sciencedirect.com/science/article/pii/S0266613824002110" \h </w:instrText>
      </w:r>
      <w:r>
        <w:fldChar w:fldCharType="separate"/>
      </w:r>
      <w:r>
        <w:rPr>
          <w:color w:val="1155CC"/>
          <w:u w:val="single"/>
        </w:rPr>
        <w:t>https://www.sciencedirect.com/science/article/pii/S0266613824002110</w:t>
      </w:r>
      <w:r>
        <w:rPr>
          <w:color w:val="1155CC"/>
          <w:u w:val="single"/>
        </w:rPr>
        <w:fldChar w:fldCharType="end"/>
      </w:r>
    </w:p>
    <w:p w14:paraId="438571E8">
      <w:r>
        <w:rPr>
          <w:color w:val="222222"/>
          <w:highlight w:val="white"/>
        </w:rPr>
        <w:t xml:space="preserve">Tolossa, T., Gold, L., Dheresa, M., Turi, E., Yeshitila, Y.G. and Abimanyi-Ochom, J., 2024. Adolescent maternal health services utilization and associated barriers in Sub-Saharan Africa: A comprehensive systematic review and meta-analysis before and during the sustainable development goals. </w:t>
      </w:r>
      <w:r>
        <w:rPr>
          <w:i/>
          <w:iCs/>
          <w:color w:val="222222"/>
          <w:highlight w:val="white"/>
        </w:rPr>
        <w:t>Heliyon</w:t>
      </w:r>
      <w:r>
        <w:rPr>
          <w:color w:val="222222"/>
          <w:highlight w:val="white"/>
        </w:rPr>
        <w:t xml:space="preserve">, </w:t>
      </w:r>
      <w:r>
        <w:rPr>
          <w:i/>
          <w:iCs/>
          <w:color w:val="222222"/>
          <w:highlight w:val="white"/>
        </w:rPr>
        <w:t>10</w:t>
      </w:r>
      <w:r>
        <w:rPr>
          <w:color w:val="222222"/>
          <w:highlight w:val="white"/>
        </w:rPr>
        <w:t>(15).</w:t>
      </w:r>
      <w:r>
        <w:t xml:space="preserve"> </w:t>
      </w:r>
      <w:r>
        <w:fldChar w:fldCharType="begin"/>
      </w:r>
      <w:r>
        <w:instrText xml:space="preserve"> HYPERLINK "https://www.cell.com/heliyon/fulltext/S2405-8440(24)11660-X" \h </w:instrText>
      </w:r>
      <w:r>
        <w:fldChar w:fldCharType="separate"/>
      </w:r>
      <w:r>
        <w:rPr>
          <w:color w:val="1155CC"/>
          <w:u w:val="single"/>
        </w:rPr>
        <w:t>https://www.cell.com/heliyon/fulltext/S2405-8440(24)11660-X</w:t>
      </w:r>
      <w:r>
        <w:rPr>
          <w:color w:val="1155CC"/>
          <w:u w:val="single"/>
        </w:rPr>
        <w:fldChar w:fldCharType="end"/>
      </w:r>
    </w:p>
    <w:p w14:paraId="7CF3CE65">
      <w:r>
        <w:t xml:space="preserve">UNFPA (2026). </w:t>
      </w:r>
      <w:r>
        <w:rPr>
          <w:i/>
          <w:iCs/>
        </w:rPr>
        <w:t>Interwoven Lives, Threads of Hope</w:t>
      </w:r>
      <w:r>
        <w:t xml:space="preserve">. Available at: </w:t>
      </w:r>
      <w:r>
        <w:fldChar w:fldCharType="begin"/>
      </w:r>
      <w:r>
        <w:instrText xml:space="preserve"> HYPERLINK "https://www.unfpa.org/sites/default/files/pub-pdf/swp2024-english-240327-web.pdf" \h </w:instrText>
      </w:r>
      <w:r>
        <w:fldChar w:fldCharType="separate"/>
      </w:r>
      <w:r>
        <w:rPr>
          <w:color w:val="1155CC"/>
          <w:u w:val="single"/>
        </w:rPr>
        <w:t>https://www.unfpa.org/sites/default/files/pub-pdf/swp2024-english-240327-web.pdf</w:t>
      </w:r>
      <w:r>
        <w:rPr>
          <w:color w:val="1155CC"/>
          <w:u w:val="single"/>
        </w:rPr>
        <w:fldChar w:fldCharType="end"/>
      </w:r>
      <w:r>
        <w:t>. [Accessed on: 23.06.2026].</w:t>
      </w:r>
    </w:p>
    <w:p w14:paraId="299F2C68">
      <w:r>
        <w:t xml:space="preserve">UNICEF (2026). </w:t>
      </w:r>
      <w:r>
        <w:rPr>
          <w:i/>
          <w:iCs/>
        </w:rPr>
        <w:t xml:space="preserve">Child bearing. </w:t>
      </w:r>
      <w:r>
        <w:t xml:space="preserve">Available at: </w:t>
      </w:r>
      <w:r>
        <w:fldChar w:fldCharType="begin"/>
      </w:r>
      <w:r>
        <w:instrText xml:space="preserve"> HYPERLINK "https://data.unicef.org/topic/child-health/early-childbearing/" \h </w:instrText>
      </w:r>
      <w:r>
        <w:fldChar w:fldCharType="separate"/>
      </w:r>
      <w:r>
        <w:rPr>
          <w:color w:val="1155CC"/>
          <w:u w:val="single"/>
        </w:rPr>
        <w:t>https://data.unicef.org/topic/child-health/early-childbearing/</w:t>
      </w:r>
      <w:r>
        <w:rPr>
          <w:color w:val="1155CC"/>
          <w:u w:val="single"/>
        </w:rPr>
        <w:fldChar w:fldCharType="end"/>
      </w:r>
      <w:r>
        <w:t>. [Accessed on: 23.06.2026].</w:t>
      </w:r>
    </w:p>
    <w:p w14:paraId="3B2F4A4D">
      <w:r>
        <w:t xml:space="preserve">United Nations Population Fund (UNFPA), 2025. </w:t>
      </w:r>
      <w:r>
        <w:rPr>
          <w:i/>
          <w:iCs/>
        </w:rPr>
        <w:t>State of World Population 2025: The Real Fertility Crisis-The Pursuit of Reproductive Agency in a Changing World</w:t>
      </w:r>
      <w:r>
        <w:t xml:space="preserve">. Stylus Publishing, LLC. </w:t>
      </w:r>
      <w:r>
        <w:fldChar w:fldCharType="begin"/>
      </w:r>
      <w:r>
        <w:instrText xml:space="preserve"> HYPERLINK "https://books.google.com/books?hl=en&amp;lr=&amp;id=R4VoEQAAQBAJ&amp;oi=fnd&amp;pg=PA1991&amp;dq=World+Bank+(2024)+Adolescent+fertility+rate+(births+per+1,000+women+ages+15%E2%80%9319).+Washington,+DC:+World+Bank.&amp;ots=jgUxXzP_6j&amp;sig=DgHMsrftPivJRSXDKABoI9htzn8" \h </w:instrText>
      </w:r>
      <w:r>
        <w:fldChar w:fldCharType="separate"/>
      </w:r>
      <w:r>
        <w:rPr>
          <w:color w:val="0000FF"/>
          <w:u w:val="single"/>
        </w:rPr>
        <w:t>https://books.google.com/books?hl=en&amp;lr=&amp;id=R4VoEQAAQBAJ&amp;oi=fnd&amp;pg=PA1991&amp;dq=World+Bank+(2024)+Adolescent+fertility+rate+(births+per+1,000+women+ages+15%E2%80%9319).+Washington,+DC:+World+Bank.&amp;ots=jgUxXzP_6j&amp;sig=DgHMsrftPivJRSXDKABoI9htzn8</w:t>
      </w:r>
      <w:r>
        <w:rPr>
          <w:color w:val="0000FF"/>
          <w:u w:val="single"/>
        </w:rPr>
        <w:fldChar w:fldCharType="end"/>
      </w:r>
    </w:p>
    <w:p w14:paraId="2BFA28B9">
      <w:r>
        <w:t xml:space="preserve">World Health Organization, 2024. </w:t>
      </w:r>
      <w:r>
        <w:rPr>
          <w:i/>
          <w:iCs/>
        </w:rPr>
        <w:t>Sexual, reproductive, maternal, newborn, child and adolescent health: report on the 2023 policy survey</w:t>
      </w:r>
      <w:r>
        <w:t xml:space="preserve">. World Health Organization. </w:t>
      </w:r>
      <w:r>
        <w:fldChar w:fldCharType="begin"/>
      </w:r>
      <w:r>
        <w:instrText xml:space="preserve"> HYPERLINK "https://books.google.com/books?hl=en&amp;lr=&amp;id=qTEyEQAAQBAJ&amp;oi=fnd&amp;pg=PR16&amp;dq=WHO+(2024)+Adolescent+pregnancy.+Geneva:+World+Health+Organization.&amp;ots=4pvs3japTh&amp;sig=9bluM4aht43M6wZsvJq-r-BFGcw" \h </w:instrText>
      </w:r>
      <w:r>
        <w:fldChar w:fldCharType="separate"/>
      </w:r>
      <w:r>
        <w:rPr>
          <w:color w:val="0000FF"/>
          <w:u w:val="single"/>
        </w:rPr>
        <w:t>https://books.google.com/books?hl=en&amp;lr=&amp;id=qTEyEQAAQBAJ&amp;oi=fnd&amp;pg=PR16&amp;dq=WHO+(2024)+Adolescent+pregnancy.+Geneva:+World+Health+Organization.&amp;ots=4pvs3japTh&amp;sig=9bluM4aht43M6wZsvJq-r-BFGcw</w:t>
      </w:r>
      <w:r>
        <w:rPr>
          <w:color w:val="0000FF"/>
          <w:u w:val="single"/>
        </w:rPr>
        <w:fldChar w:fldCharType="end"/>
      </w:r>
    </w:p>
    <w:p w14:paraId="7292403C">
      <w:pPr>
        <w:sectPr>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sectPr>
      </w:pPr>
      <w:r>
        <w:rPr>
          <w:color w:val="222222"/>
          <w:highlight w:val="white"/>
        </w:rPr>
        <w:t xml:space="preserve">Yakubu, I. and Salisu, W.J., 2018. Determinants of adolescent pregnancy in sub-Saharan Africa: a systematic review. </w:t>
      </w:r>
      <w:r>
        <w:rPr>
          <w:i/>
          <w:iCs/>
          <w:color w:val="222222"/>
          <w:highlight w:val="white"/>
        </w:rPr>
        <w:t>Reproductive health</w:t>
      </w:r>
      <w:r>
        <w:rPr>
          <w:color w:val="222222"/>
          <w:highlight w:val="white"/>
        </w:rPr>
        <w:t xml:space="preserve">, </w:t>
      </w:r>
      <w:r>
        <w:rPr>
          <w:i/>
          <w:iCs/>
          <w:color w:val="222222"/>
          <w:highlight w:val="white"/>
        </w:rPr>
        <w:t>15</w:t>
      </w:r>
      <w:r>
        <w:rPr>
          <w:color w:val="222222"/>
          <w:highlight w:val="white"/>
        </w:rPr>
        <w:t>(1), p.15.</w:t>
      </w:r>
      <w:r>
        <w:t xml:space="preserve"> </w:t>
      </w:r>
      <w:r>
        <w:fldChar w:fldCharType="begin"/>
      </w:r>
      <w:r>
        <w:instrText xml:space="preserve"> HYPERLINK "https://link.springer.com/article/10.1186/s12978-018-0460-4" \h </w:instrText>
      </w:r>
      <w:r>
        <w:fldChar w:fldCharType="separate"/>
      </w:r>
      <w:r>
        <w:rPr>
          <w:color w:val="1155CC"/>
          <w:u w:val="single"/>
        </w:rPr>
        <w:t>https://link.springer.com/article/10.1186/s12978-018-0460-4</w:t>
      </w:r>
      <w:r>
        <w:rPr>
          <w:color w:val="1155CC"/>
          <w:u w:val="single"/>
        </w:rPr>
        <w:fldChar w:fldCharType="end"/>
      </w:r>
    </w:p>
    <w:p w14:paraId="4DEA3243">
      <w:pPr>
        <w:pStyle w:val="2"/>
        <w:spacing w:before="280"/>
      </w:pPr>
      <w:bookmarkStart w:id="82" w:name="_Toc238235736"/>
      <w:r>
        <w:t>Appendix</w:t>
      </w:r>
      <w:bookmarkEnd w:id="82"/>
    </w:p>
    <w:p w14:paraId="4B07071F">
      <w:pPr>
        <w:pStyle w:val="3"/>
        <w:keepNext w:val="0"/>
        <w:keepLines w:val="0"/>
        <w:spacing w:before="280"/>
      </w:pPr>
      <w:bookmarkStart w:id="83" w:name="_Toc238235737"/>
      <w:r>
        <w:t>Appendix A: Critical Appraisal of Included Studies (CASP)</w:t>
      </w:r>
      <w:bookmarkEnd w:id="83"/>
    </w:p>
    <w:tbl>
      <w:tblPr>
        <w:tblStyle w:val="33"/>
        <w:tblW w:w="9360" w:type="dxa"/>
        <w:tblInd w:w="0"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top w:w="0" w:type="dxa"/>
          <w:left w:w="108" w:type="dxa"/>
          <w:bottom w:w="0" w:type="dxa"/>
          <w:right w:w="108" w:type="dxa"/>
        </w:tblCellMar>
      </w:tblPr>
      <w:tblGrid>
        <w:gridCol w:w="1258"/>
        <w:gridCol w:w="1463"/>
        <w:gridCol w:w="1246"/>
        <w:gridCol w:w="1720"/>
        <w:gridCol w:w="1323"/>
        <w:gridCol w:w="1374"/>
        <w:gridCol w:w="976"/>
      </w:tblGrid>
      <w:tr w14:paraId="2FD9C16A">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785"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9BD16F9">
            <w:pPr>
              <w:jc w:val="center"/>
            </w:pPr>
            <w:r>
              <w:rPr>
                <w:b/>
                <w:bCs/>
              </w:rPr>
              <w:t>Author (Year)</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4EDEFE4">
            <w:pPr>
              <w:jc w:val="center"/>
            </w:pPr>
            <w:r>
              <w:rPr>
                <w:b/>
                <w:bCs/>
              </w:rPr>
              <w:t>Article Title</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7386938">
            <w:pPr>
              <w:jc w:val="center"/>
            </w:pPr>
            <w:r>
              <w:rPr>
                <w:b/>
                <w:bCs/>
              </w:rPr>
              <w:t>Country</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2953F6E">
            <w:pPr>
              <w:jc w:val="center"/>
            </w:pPr>
            <w:r>
              <w:rPr>
                <w:b/>
                <w:bCs/>
              </w:rPr>
              <w:t>Study Design</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C6DABBF">
            <w:pPr>
              <w:jc w:val="center"/>
            </w:pPr>
            <w:r>
              <w:rPr>
                <w:b/>
                <w:bCs/>
              </w:rPr>
              <w:t>Sample/Data Source</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8F94F58">
            <w:pPr>
              <w:jc w:val="center"/>
            </w:pPr>
            <w:r>
              <w:rPr>
                <w:b/>
                <w:bCs/>
              </w:rPr>
              <w:t>Appraisal Tool</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06EE0EE">
            <w:pPr>
              <w:jc w:val="center"/>
            </w:pPr>
            <w:r>
              <w:rPr>
                <w:b/>
                <w:bCs/>
              </w:rPr>
              <w:t>Overall Quality</w:t>
            </w:r>
          </w:p>
        </w:tc>
      </w:tr>
      <w:tr w14:paraId="1795F09F">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2975"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F80FD4A">
            <w:r>
              <w:t xml:space="preserve">Abdul Rahim </w:t>
            </w:r>
            <w:r>
              <w:rPr>
                <w:i/>
                <w:iCs/>
              </w:rPr>
              <w:t>et al.</w:t>
            </w:r>
            <w:r>
              <w:t xml:space="preserve"> (2024)</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510553E">
            <w:r>
              <w:rPr>
                <w:i/>
                <w:iCs/>
              </w:rPr>
              <w:t>Mental Health Outcomes Beyond the Post-Partum Period Among Adolescent Mothers: A Systematic Review and Meta-analysis</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4E1DD92">
            <w:r>
              <w:t>Multiple countries</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218AA29">
            <w:r>
              <w:t>Systematic review &amp; meta-analysis</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FC07430">
            <w:r>
              <w:t>32 included studies</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814E3BE">
            <w:r>
              <w:t>CASP Systematic Review</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BD9C3BE">
            <w:r>
              <w:t>High</w:t>
            </w:r>
          </w:p>
        </w:tc>
      </w:tr>
      <w:tr w14:paraId="0E7D6F2F">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3530"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ED5ED85">
            <w:r>
              <w:t xml:space="preserve">Ahadi-Yulghunlu </w:t>
            </w:r>
            <w:r>
              <w:rPr>
                <w:i/>
                <w:iCs/>
              </w:rPr>
              <w:t>et al.</w:t>
            </w:r>
            <w:r>
              <w:t xml:space="preserve"> (2026)</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918F124">
            <w:r>
              <w:rPr>
                <w:i/>
                <w:iCs/>
              </w:rPr>
              <w:t>The Prevalence and Predictors of Postpartum Psychological Outcomes Among Adolescent Mothers: A Systematic Review and Meta-analysis</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1295D21">
            <w:r>
              <w:t>Multiple countries</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11C657A">
            <w:r>
              <w:t>Systematic review &amp; meta-analysis</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16792BD">
            <w:r>
              <w:t>28 included studies</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ED9DC6A">
            <w:r>
              <w:t>CASP Systematic Review</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6EAFA88">
            <w:r>
              <w:t>High</w:t>
            </w:r>
          </w:p>
        </w:tc>
      </w:tr>
      <w:tr w14:paraId="3739C72D">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3260"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0DB1A26">
            <w:r>
              <w:t xml:space="preserve">Alex-Ojei </w:t>
            </w:r>
            <w:r>
              <w:rPr>
                <w:i/>
                <w:iCs/>
              </w:rPr>
              <w:t>et al.</w:t>
            </w:r>
            <w:r>
              <w:t xml:space="preserve"> (2023)</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ECCEB90">
            <w:r>
              <w:rPr>
                <w:i/>
                <w:iCs/>
              </w:rPr>
              <w:t>A Qualitative Investigation into Pregnancy Experiences and Maternal Healthcare Utilisation Among Adolescent Mothers in Nigeria</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209A7E6">
            <w:r>
              <w:t>Nigeria</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F189E8E">
            <w:r>
              <w:t>Qualitative interviews</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275B664">
            <w:r>
              <w:t>32 adolescent mothers</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FC54659">
            <w:r>
              <w:t>CASP Qualitative</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A15878B">
            <w:r>
              <w:t>High</w:t>
            </w:r>
          </w:p>
        </w:tc>
      </w:tr>
      <w:tr w14:paraId="190B7233">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2435"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F2862EE">
            <w:r>
              <w:t xml:space="preserve">Clarke </w:t>
            </w:r>
            <w:r>
              <w:rPr>
                <w:i/>
                <w:iCs/>
              </w:rPr>
              <w:t>et al.</w:t>
            </w:r>
            <w:r>
              <w:t xml:space="preserve"> (2024)</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AE3FA36">
            <w:r>
              <w:rPr>
                <w:i/>
                <w:iCs/>
              </w:rPr>
              <w:t>Digital Screening for Mental Health in Pregnancy and Postpartum: A Systematic Review</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1A2F456">
            <w:r>
              <w:t>International</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6197FD6">
            <w:r>
              <w:t>Systematic review</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BFDEE5E">
            <w:r>
              <w:t>42 studies</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71AD084">
            <w:r>
              <w:t>CASP Systematic Review</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961CCB3">
            <w:r>
              <w:t>High</w:t>
            </w:r>
          </w:p>
        </w:tc>
      </w:tr>
      <w:tr w14:paraId="10D8EE70">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2705"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9DDD0AD">
            <w:r>
              <w:t>Crooks, Bedwell and Lavender (2022)</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140CBDD">
            <w:r>
              <w:rPr>
                <w:i/>
                <w:iCs/>
              </w:rPr>
              <w:t>Adolescent Experiences of Pregnancy in Low- and Middle-Income Countries: A Meta-synthesis of Qualitative Studies</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7839E05">
            <w:r>
              <w:t>LMICs</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AE53F61">
            <w:r>
              <w:t>Qualitative meta-synthesis</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117C4F6">
            <w:r>
              <w:t>21 qualitative studies</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4E24FAD">
            <w:r>
              <w:t>CASP Qualitative</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2AF8FDF">
            <w:r>
              <w:t>High</w:t>
            </w:r>
          </w:p>
        </w:tc>
      </w:tr>
      <w:tr w14:paraId="3E2F711D">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2705"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B03254E">
            <w:r>
              <w:t>Crowe (2022)</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94D70FD">
            <w:r>
              <w:rPr>
                <w:i/>
                <w:iCs/>
              </w:rPr>
              <w:t>Factors Contributing to Maternal Health Inequalities for Women Who Are Not White British in the UK</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F6C2AA1">
            <w:r>
              <w:t>United Kingdom</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62E67CB">
            <w:r>
              <w:t>Narrative review</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0A28752">
            <w:r>
              <w:t>Published literature</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E09A479">
            <w:r>
              <w:t>CASP Review</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DB2C7DD">
            <w:r>
              <w:t>Moderate</w:t>
            </w:r>
          </w:p>
        </w:tc>
      </w:tr>
      <w:tr w14:paraId="3E5A7E28">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2150"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5065C5B">
            <w:r>
              <w:t>Flaherty and Sadler (2022)</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50A5C22">
            <w:r>
              <w:rPr>
                <w:i/>
                <w:iCs/>
              </w:rPr>
              <w:t>Parenting Stress Among Adolescent Mothers: An Integrative Literature Review</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C405F27">
            <w:r>
              <w:t>USA</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547AC11">
            <w:r>
              <w:t>Integrative review</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6119604">
            <w:r>
              <w:t>Published studies</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24F656C">
            <w:r>
              <w:t>CASP Review</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3E27E47">
            <w:r>
              <w:t>High</w:t>
            </w:r>
          </w:p>
        </w:tc>
      </w:tr>
      <w:tr w14:paraId="5110E654">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2150"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6E0622C">
            <w:r>
              <w:t>Foley, McCourt and Yuill (2025)</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93B7D68">
            <w:r>
              <w:rPr>
                <w:i/>
                <w:iCs/>
              </w:rPr>
              <w:t>An Exploration of Midwives' Perceptions of the Ockenden Review: A Qualitative Study</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151560B">
            <w:r>
              <w:t>United Kingdom</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A0DDAF6">
            <w:r>
              <w:t>Qualitative study</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778B5C3">
            <w:r>
              <w:t>Midwives</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6D2DE1F">
            <w:r>
              <w:t>CASP Qualitative</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8809D08">
            <w:r>
              <w:t>High</w:t>
            </w:r>
          </w:p>
        </w:tc>
      </w:tr>
      <w:tr w14:paraId="39873F04">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3260"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3902E51">
            <w:r>
              <w:t>Herzberg and Smyser (2024)</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0C56E1C">
            <w:r>
              <w:rPr>
                <w:i/>
                <w:iCs/>
              </w:rPr>
              <w:t>Prenatal Social Determinants of Health: Narrative Review of Maternal Environments and Neonatal Brain Development</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9449802">
            <w:r>
              <w:t>International</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4425776">
            <w:r>
              <w:t>Narrative review</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3D7F167">
            <w:r>
              <w:t>Published literature</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690F269">
            <w:r>
              <w:t>CASP Review</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38653AF">
            <w:r>
              <w:t>Moderate</w:t>
            </w:r>
          </w:p>
        </w:tc>
      </w:tr>
      <w:tr w14:paraId="54A26185">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2975"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131998B">
            <w:r>
              <w:t xml:space="preserve">Javadi </w:t>
            </w:r>
            <w:r>
              <w:rPr>
                <w:i/>
                <w:iCs/>
              </w:rPr>
              <w:t>et al.</w:t>
            </w:r>
            <w:r>
              <w:t xml:space="preserve"> (2023)</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D23E865">
            <w:r>
              <w:rPr>
                <w:i/>
                <w:iCs/>
              </w:rPr>
              <w:t>Factors That Influence the Uptake of Postnatal Care Among Adolescent Girls: A Qualitative Evidence Synthesis</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2AFF469">
            <w:r>
              <w:t>International</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3EFC95B">
            <w:r>
              <w:t>Qualitative evidence synthesis</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9FCB30C">
            <w:r>
              <w:t>32 qualitative studies</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E676358">
            <w:r>
              <w:t>CASP Qualitative</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03D5306">
            <w:r>
              <w:t>High</w:t>
            </w:r>
          </w:p>
        </w:tc>
      </w:tr>
      <w:tr w14:paraId="24569482">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3260"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55A1577">
            <w:r>
              <w:t xml:space="preserve">MacLellan </w:t>
            </w:r>
            <w:r>
              <w:rPr>
                <w:i/>
                <w:iCs/>
              </w:rPr>
              <w:t>et al.</w:t>
            </w:r>
            <w:r>
              <w:t xml:space="preserve"> (2022)</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BB615B6">
            <w:r>
              <w:rPr>
                <w:i/>
                <w:iCs/>
              </w:rPr>
              <w:t>Black, Asian and Minority Ethnic Women's Experiences of Maternity Services in the UK: A Qualitative Evidence Synthesis</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11E1BC1">
            <w:r>
              <w:t>United Kingdom</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AAE58D4">
            <w:r>
              <w:t>Qualitative evidence synthesis</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8B84BDF">
            <w:r>
              <w:t>22 qualitative studies</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107373A">
            <w:r>
              <w:t>CASP Qualitative</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FAC2FF5">
            <w:r>
              <w:t>High</w:t>
            </w:r>
          </w:p>
        </w:tc>
      </w:tr>
      <w:tr w14:paraId="4C0F352D">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3260"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6D63AA9">
            <w:r>
              <w:t xml:space="preserve">Namutebi </w:t>
            </w:r>
            <w:r>
              <w:rPr>
                <w:i/>
                <w:iCs/>
              </w:rPr>
              <w:t>et al.</w:t>
            </w:r>
            <w:r>
              <w:t xml:space="preserve"> (2022)</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C62A3AD">
            <w:r>
              <w:rPr>
                <w:i/>
                <w:iCs/>
              </w:rPr>
              <w:t>Teenage First-Time Mothers' Perceptions About Their Health Care Needs in the Immediate and Early Postpartum Period in Uganda</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F096508">
            <w:r>
              <w:t>Uganda</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F927FC8">
            <w:r>
              <w:t>Phenomenological qualitative study</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B81603D">
            <w:r>
              <w:t>30 teenage mothers</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D1A85B3">
            <w:r>
              <w:t>CASP Qualitative</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045CAE3">
            <w:r>
              <w:t>High</w:t>
            </w:r>
          </w:p>
        </w:tc>
      </w:tr>
      <w:tr w14:paraId="3EAD37F2">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2435"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2EAF970">
            <w:r>
              <w:t>Norman, Stock and Harmer (2022)</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3022AA2">
            <w:r>
              <w:rPr>
                <w:i/>
                <w:iCs/>
              </w:rPr>
              <w:t>After the Ockenden Review: A Chance to Reset Maternal and Perinatal Care in the UK?</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199387D">
            <w:r>
              <w:t>United Kingdom</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6357ADD">
            <w:r>
              <w:t>Policy review</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2888B39">
            <w:r>
              <w:t>National maternity evidence</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537F030">
            <w:r>
              <w:t>CASP Review</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C91B2FA">
            <w:r>
              <w:t>Moderate</w:t>
            </w:r>
          </w:p>
        </w:tc>
      </w:tr>
      <w:tr w14:paraId="3228E7D1">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2705"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66F74D1">
            <w:r>
              <w:t>Pierce, Whitten and Hillman (2023)</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F12429E">
            <w:r>
              <w:rPr>
                <w:i/>
                <w:iCs/>
              </w:rPr>
              <w:t>The Impact of Digital Healthcare on Vulnerable Pregnant Women: A Review of the Use of the MyCare App</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B9A206F">
            <w:r>
              <w:t>United Kingdom</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494FB52">
            <w:r>
              <w:t>Service evaluation</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C859F2B">
            <w:r>
              <w:t>Digital maternity service users</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BAC2929">
            <w:r>
              <w:t>CASP Qualitative</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3621D36">
            <w:r>
              <w:t>Moderate</w:t>
            </w:r>
          </w:p>
        </w:tc>
      </w:tr>
      <w:tr w14:paraId="6C04391F">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2705"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68F4B47">
            <w:r>
              <w:t xml:space="preserve">Saharoy </w:t>
            </w:r>
            <w:r>
              <w:rPr>
                <w:i/>
                <w:iCs/>
              </w:rPr>
              <w:t>et al.</w:t>
            </w:r>
            <w:r>
              <w:t xml:space="preserve"> (2023)</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90F51B1">
            <w:r>
              <w:rPr>
                <w:i/>
                <w:iCs/>
              </w:rPr>
              <w:t>Postpartum Depression and Maternal Care: Exploring the Complex Effects on Mothers and Infants</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7695990">
            <w:r>
              <w:t>International</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60EE640">
            <w:r>
              <w:t>Narrative review</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B1F9F50">
            <w:r>
              <w:t>Published literature</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6D52A90">
            <w:r>
              <w:t>CASP Review</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920F852">
            <w:r>
              <w:t>Moderate</w:t>
            </w:r>
          </w:p>
        </w:tc>
      </w:tr>
      <w:tr w14:paraId="1B43578F">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1610"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8B8C4B2">
            <w:r>
              <w:t>Scroggins (2023)</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65945B5">
            <w:r>
              <w:rPr>
                <w:i/>
                <w:iCs/>
              </w:rPr>
              <w:t>Postpartum Symptom Clusters in Birthing Individuals</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F9F265B">
            <w:r>
              <w:t>USA</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AAAA1A1">
            <w:r>
              <w:t>Mixed-methods study</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05B9034">
            <w:r>
              <w:t>Postpartum women</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D2C6320">
            <w:r>
              <w:t>MMAT/CASP</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A3E52BE">
            <w:r>
              <w:t>High</w:t>
            </w:r>
          </w:p>
        </w:tc>
      </w:tr>
      <w:tr w14:paraId="6739A5CE">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3800"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2F856E7">
            <w:r>
              <w:t>Tenaw, Ngai and Lam (2024)</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5D572C7">
            <w:r>
              <w:rPr>
                <w:i/>
                <w:iCs/>
              </w:rPr>
              <w:t>Explore the Lived Childbirth Experiences, Challenges Following Childbirth, and Coping Strategies of Teenage Mothers: A Qualitative Meta-synthesis</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6D71CE7">
            <w:r>
              <w:t>International</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75A74CB">
            <w:r>
              <w:t>Qualitative meta-synthesis</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3247A94">
            <w:r>
              <w:t>18 qualitative studies</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2BC8334">
            <w:r>
              <w:t>CASP Qualitative</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851A87E">
            <w:r>
              <w:t>High</w:t>
            </w:r>
          </w:p>
        </w:tc>
      </w:tr>
      <w:tr w14:paraId="218EF906">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3800"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72285AF">
            <w:r>
              <w:t xml:space="preserve">Tolossa </w:t>
            </w:r>
            <w:r>
              <w:rPr>
                <w:i/>
                <w:iCs/>
              </w:rPr>
              <w:t>et al.</w:t>
            </w:r>
            <w:r>
              <w:t xml:space="preserve"> (2024)</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B0FFEC1">
            <w:r>
              <w:rPr>
                <w:i/>
                <w:iCs/>
              </w:rPr>
              <w:t>Adolescent Maternal Health Services Utilisation and Associated Barriers in Sub-Saharan Africa: A Comprehensive Systematic Review and Meta-analysis</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294C8D7">
            <w:r>
              <w:t>Sub-Saharan Africa</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7325EA1">
            <w:r>
              <w:t>Systematic review &amp; meta-analysis</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E2D69AB">
            <w:r>
              <w:t>56 studies</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EC372AF">
            <w:r>
              <w:t>CASP Systematic Review</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245C01F">
            <w:r>
              <w:t>High</w:t>
            </w:r>
          </w:p>
        </w:tc>
      </w:tr>
      <w:tr w14:paraId="46F26AFF">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2705"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0D41A41">
            <w:r>
              <w:t>World Health Organization (2024)</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C2182C9">
            <w:r>
              <w:rPr>
                <w:i/>
                <w:iCs/>
              </w:rPr>
              <w:t>Sexual, Reproductive, Maternal, Newborn, Child and Adolescent Health: Report on the 2023 Policy Survey</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5556852">
            <w:r>
              <w:t>Global</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DFF6B66">
            <w:r>
              <w:t>Evidence report</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4EA362E">
            <w:r>
              <w:t>International datasets</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1CC466E">
            <w:r>
              <w:t>AACODS</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5432A5E">
            <w:r>
              <w:t>High</w:t>
            </w:r>
          </w:p>
        </w:tc>
      </w:tr>
      <w:tr w14:paraId="72B60130">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1610" w:hRule="atLeast"/>
        </w:trPr>
        <w:tc>
          <w:tcPr>
            <w:tcW w:w="125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96915EB">
            <w:r>
              <w:t>NHS England Digital (2026)</w:t>
            </w:r>
          </w:p>
        </w:tc>
        <w:tc>
          <w:tcPr>
            <w:tcW w:w="146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9F50D28">
            <w:r>
              <w:rPr>
                <w:i/>
                <w:iCs/>
              </w:rPr>
              <w:t>Maternity Services Digital Dashboard Report</w:t>
            </w:r>
          </w:p>
        </w:tc>
        <w:tc>
          <w:tcPr>
            <w:tcW w:w="124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D6BC57D">
            <w:r>
              <w:t>United Kingdom</w:t>
            </w:r>
          </w:p>
        </w:tc>
        <w:tc>
          <w:tcPr>
            <w:tcW w:w="1720"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B14F27C">
            <w:r>
              <w:t>National report</w:t>
            </w:r>
          </w:p>
        </w:tc>
        <w:tc>
          <w:tcPr>
            <w:tcW w:w="132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EF10C7B">
            <w:r>
              <w:t>National maternity dataset</w:t>
            </w:r>
          </w:p>
        </w:tc>
        <w:tc>
          <w:tcPr>
            <w:tcW w:w="1374"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E3F1A81">
            <w:r>
              <w:t>AACODS</w:t>
            </w:r>
          </w:p>
        </w:tc>
        <w:tc>
          <w:tcPr>
            <w:tcW w:w="976"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94A98A1">
            <w:r>
              <w:t>High</w:t>
            </w:r>
          </w:p>
        </w:tc>
      </w:tr>
    </w:tbl>
    <w:p w14:paraId="61D06BB4">
      <w:pPr>
        <w:pStyle w:val="3"/>
      </w:pPr>
      <w:bookmarkStart w:id="84" w:name="_Toc238235738"/>
      <w:r>
        <w:t>Appendix B: Critical Appraisal Outcomes of Included Studies (CASP Qualitative Checklist)</w:t>
      </w:r>
      <w:bookmarkEnd w:id="84"/>
    </w:p>
    <w:tbl>
      <w:tblPr>
        <w:tblStyle w:val="34"/>
        <w:tblW w:w="936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932"/>
        <w:gridCol w:w="506"/>
        <w:gridCol w:w="998"/>
        <w:gridCol w:w="742"/>
        <w:gridCol w:w="961"/>
        <w:gridCol w:w="798"/>
        <w:gridCol w:w="961"/>
        <w:gridCol w:w="552"/>
        <w:gridCol w:w="732"/>
        <w:gridCol w:w="713"/>
        <w:gridCol w:w="742"/>
        <w:gridCol w:w="723"/>
      </w:tblGrid>
      <w:tr w14:paraId="18F2176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05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6F8FDAA">
            <w:pPr>
              <w:spacing w:before="240" w:after="240"/>
              <w:jc w:val="center"/>
            </w:pPr>
            <w:r>
              <w:rPr>
                <w:b/>
                <w:bCs/>
              </w:rPr>
              <w:t>Author (Year)</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EDE4C7D">
            <w:pPr>
              <w:spacing w:before="240" w:after="240"/>
              <w:jc w:val="center"/>
            </w:pPr>
            <w:r>
              <w:rPr>
                <w:b/>
                <w:bCs/>
              </w:rPr>
              <w:t>Clear Aim</w:t>
            </w:r>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15233E3">
            <w:pPr>
              <w:spacing w:before="240" w:after="240"/>
              <w:jc w:val="center"/>
            </w:pPr>
            <w:r>
              <w:rPr>
                <w:b/>
                <w:bCs/>
              </w:rPr>
              <w:t>Appropriate Methodology</w:t>
            </w:r>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A1078C6">
            <w:pPr>
              <w:spacing w:before="240" w:after="240"/>
              <w:jc w:val="center"/>
            </w:pPr>
            <w:r>
              <w:rPr>
                <w:b/>
                <w:bCs/>
              </w:rPr>
              <w:t>Research Design</w:t>
            </w:r>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6D0F716">
            <w:pPr>
              <w:spacing w:before="240" w:after="240"/>
              <w:jc w:val="center"/>
            </w:pPr>
            <w:r>
              <w:rPr>
                <w:b/>
                <w:bCs/>
              </w:rPr>
              <w:t>Recruitment Strategy</w:t>
            </w:r>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32E2914">
            <w:pPr>
              <w:spacing w:before="240" w:after="240"/>
              <w:jc w:val="center"/>
            </w:pPr>
            <w:r>
              <w:rPr>
                <w:b/>
                <w:bCs/>
              </w:rPr>
              <w:t>Data Collection</w:t>
            </w:r>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3B4DD30">
            <w:pPr>
              <w:spacing w:before="240" w:after="240"/>
              <w:jc w:val="center"/>
            </w:pPr>
            <w:r>
              <w:rPr>
                <w:b/>
                <w:bCs/>
              </w:rPr>
              <w:t>Researcher–Participant Relationship</w:t>
            </w:r>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1876CE0">
            <w:pPr>
              <w:spacing w:before="240" w:after="240"/>
              <w:jc w:val="center"/>
            </w:pPr>
            <w:r>
              <w:rPr>
                <w:b/>
                <w:bCs/>
              </w:rPr>
              <w:t>Ethics</w:t>
            </w:r>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1030277">
            <w:pPr>
              <w:spacing w:before="240" w:after="240"/>
              <w:jc w:val="center"/>
            </w:pPr>
            <w:r>
              <w:rPr>
                <w:b/>
                <w:bCs/>
              </w:rPr>
              <w:t>Rigorous Analysis</w:t>
            </w:r>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3147001">
            <w:pPr>
              <w:spacing w:before="240" w:after="240"/>
              <w:jc w:val="center"/>
            </w:pPr>
            <w:r>
              <w:rPr>
                <w:b/>
                <w:bCs/>
              </w:rPr>
              <w:t>Clear Findings</w:t>
            </w:r>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F1036E9">
            <w:pPr>
              <w:spacing w:before="240" w:after="240"/>
              <w:jc w:val="center"/>
            </w:pPr>
            <w:r>
              <w:rPr>
                <w:b/>
                <w:bCs/>
              </w:rPr>
              <w:t>Research Value</w:t>
            </w:r>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99E1F0C">
            <w:pPr>
              <w:spacing w:before="240" w:after="240"/>
              <w:jc w:val="center"/>
            </w:pPr>
            <w:r>
              <w:rPr>
                <w:b/>
                <w:bCs/>
              </w:rPr>
              <w:t>Overall Quality</w:t>
            </w:r>
          </w:p>
        </w:tc>
      </w:tr>
      <w:tr w14:paraId="5252AF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05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3AB0CB4">
            <w:pPr>
              <w:spacing w:before="240" w:after="240"/>
            </w:pPr>
            <w:r>
              <w:t>Abdul Rahim et al. (2024)</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92F1AD0">
            <w:pPr>
              <w:spacing w:before="240" w:after="240"/>
            </w:pPr>
            <w:sdt>
              <w:sdtPr>
                <w:tag w:val="goog_rdk_0"/>
                <w:id w:val="-1443005738"/>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ED5C61F">
            <w:pPr>
              <w:spacing w:before="240" w:after="240"/>
            </w:pPr>
            <w:sdt>
              <w:sdtPr>
                <w:tag w:val="goog_rdk_1"/>
                <w:id w:val="390811366"/>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7975401">
            <w:pPr>
              <w:spacing w:before="240" w:after="240"/>
            </w:pPr>
            <w:sdt>
              <w:sdtPr>
                <w:tag w:val="goog_rdk_2"/>
                <w:id w:val="28642738"/>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6900592">
            <w:pPr>
              <w:spacing w:before="240" w:after="240"/>
            </w:pPr>
            <w:sdt>
              <w:sdtPr>
                <w:tag w:val="goog_rdk_3"/>
                <w:id w:val="1925358928"/>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259796D">
            <w:pPr>
              <w:spacing w:before="240" w:after="240"/>
            </w:pPr>
            <w:sdt>
              <w:sdtPr>
                <w:tag w:val="goog_rdk_4"/>
                <w:id w:val="-1106057058"/>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73AE11D">
            <w:pPr>
              <w:spacing w:before="240" w:after="240"/>
            </w:pPr>
            <w:sdt>
              <w:sdtPr>
                <w:tag w:val="goog_rdk_5"/>
                <w:id w:val="1235184410"/>
              </w:sdtPr>
              <w:sdtContent>
                <w:r>
                  <w:rPr>
                    <w:rFonts w:ascii="Arial Unicode MS" w:hAnsi="Arial Unicode MS" w:eastAsia="Arial Unicode MS" w:cs="Arial Unicode MS"/>
                  </w:rPr>
                  <w:t>✓</w:t>
                </w:r>
              </w:sdtContent>
            </w:sdt>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92DBBBE">
            <w:pPr>
              <w:spacing w:before="240" w:after="240"/>
            </w:pPr>
            <w:sdt>
              <w:sdtPr>
                <w:tag w:val="goog_rdk_6"/>
                <w:id w:val="-539034899"/>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5C63DF2">
            <w:pPr>
              <w:spacing w:before="240" w:after="240"/>
            </w:pPr>
            <w:sdt>
              <w:sdtPr>
                <w:tag w:val="goog_rdk_7"/>
                <w:id w:val="371790479"/>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F29DD99">
            <w:pPr>
              <w:spacing w:before="240" w:after="240"/>
            </w:pPr>
            <w:sdt>
              <w:sdtPr>
                <w:tag w:val="goog_rdk_8"/>
                <w:id w:val="74710632"/>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933BA30">
            <w:pPr>
              <w:spacing w:before="240" w:after="240"/>
            </w:pPr>
            <w:sdt>
              <w:sdtPr>
                <w:tag w:val="goog_rdk_9"/>
                <w:id w:val="972620733"/>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8A8C108">
            <w:pPr>
              <w:spacing w:before="240" w:after="240"/>
            </w:pPr>
            <w:r>
              <w:t>High</w:t>
            </w:r>
          </w:p>
        </w:tc>
      </w:tr>
      <w:tr w14:paraId="151338B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05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5E4DCE8">
            <w:pPr>
              <w:spacing w:before="240" w:after="240"/>
            </w:pPr>
            <w:r>
              <w:t>Ahadi-Yulghunlu et al. (2026)</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EC4BEE4">
            <w:pPr>
              <w:spacing w:before="240" w:after="240"/>
            </w:pPr>
            <w:sdt>
              <w:sdtPr>
                <w:tag w:val="goog_rdk_10"/>
                <w:id w:val="-816106291"/>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2B3B85C">
            <w:pPr>
              <w:spacing w:before="240" w:after="240"/>
            </w:pPr>
            <w:sdt>
              <w:sdtPr>
                <w:tag w:val="goog_rdk_11"/>
                <w:id w:val="1607221564"/>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EDC597A">
            <w:pPr>
              <w:spacing w:before="240" w:after="240"/>
            </w:pPr>
            <w:sdt>
              <w:sdtPr>
                <w:tag w:val="goog_rdk_12"/>
                <w:id w:val="1631656674"/>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EB3650C">
            <w:pPr>
              <w:spacing w:before="240" w:after="240"/>
            </w:pPr>
            <w:sdt>
              <w:sdtPr>
                <w:tag w:val="goog_rdk_13"/>
                <w:id w:val="139547706"/>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01320AC">
            <w:pPr>
              <w:spacing w:before="240" w:after="240"/>
            </w:pPr>
            <w:sdt>
              <w:sdtPr>
                <w:tag w:val="goog_rdk_14"/>
                <w:id w:val="1125580858"/>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713A4CD">
            <w:pPr>
              <w:spacing w:before="240" w:after="240"/>
            </w:pPr>
            <w:sdt>
              <w:sdtPr>
                <w:tag w:val="goog_rdk_15"/>
                <w:id w:val="912887809"/>
              </w:sdtPr>
              <w:sdtContent>
                <w:r>
                  <w:rPr>
                    <w:rFonts w:ascii="Arial Unicode MS" w:hAnsi="Arial Unicode MS" w:eastAsia="Arial Unicode MS" w:cs="Arial Unicode MS"/>
                  </w:rPr>
                  <w:t>✓</w:t>
                </w:r>
              </w:sdtContent>
            </w:sdt>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DC2604C">
            <w:pPr>
              <w:spacing w:before="240" w:after="240"/>
            </w:pPr>
            <w:sdt>
              <w:sdtPr>
                <w:tag w:val="goog_rdk_16"/>
                <w:id w:val="822131638"/>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6C5EEA8">
            <w:pPr>
              <w:spacing w:before="240" w:after="240"/>
            </w:pPr>
            <w:sdt>
              <w:sdtPr>
                <w:tag w:val="goog_rdk_17"/>
                <w:id w:val="389153780"/>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3A37650">
            <w:pPr>
              <w:spacing w:before="240" w:after="240"/>
            </w:pPr>
            <w:sdt>
              <w:sdtPr>
                <w:tag w:val="goog_rdk_18"/>
                <w:id w:val="-286462189"/>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A664363">
            <w:pPr>
              <w:spacing w:before="240" w:after="240"/>
            </w:pPr>
            <w:sdt>
              <w:sdtPr>
                <w:tag w:val="goog_rdk_19"/>
                <w:id w:val="43625494"/>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8A4EF36">
            <w:pPr>
              <w:spacing w:before="240" w:after="240"/>
            </w:pPr>
            <w:r>
              <w:t>High</w:t>
            </w:r>
          </w:p>
        </w:tc>
      </w:tr>
      <w:tr w14:paraId="68BDA86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8633A74">
            <w:pPr>
              <w:spacing w:before="240" w:after="240"/>
            </w:pPr>
            <w:r>
              <w:t>Alex-Ojei et al. (2023)</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D38E7CE">
            <w:pPr>
              <w:spacing w:before="240" w:after="240"/>
            </w:pPr>
            <w:sdt>
              <w:sdtPr>
                <w:tag w:val="goog_rdk_20"/>
                <w:id w:val="1806274121"/>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7AB62AF">
            <w:pPr>
              <w:spacing w:before="240" w:after="240"/>
            </w:pPr>
            <w:sdt>
              <w:sdtPr>
                <w:tag w:val="goog_rdk_21"/>
                <w:id w:val="-1081099274"/>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0A3C384">
            <w:pPr>
              <w:spacing w:before="240" w:after="240"/>
            </w:pPr>
            <w:sdt>
              <w:sdtPr>
                <w:tag w:val="goog_rdk_22"/>
                <w:id w:val="-2043831267"/>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C77D944">
            <w:pPr>
              <w:spacing w:before="240" w:after="240"/>
            </w:pPr>
            <w:sdt>
              <w:sdtPr>
                <w:tag w:val="goog_rdk_23"/>
                <w:id w:val="472779982"/>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31C1EA0">
            <w:pPr>
              <w:spacing w:before="240" w:after="240"/>
            </w:pPr>
            <w:sdt>
              <w:sdtPr>
                <w:tag w:val="goog_rdk_24"/>
                <w:id w:val="-1762896808"/>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9A70AE9">
            <w:pPr>
              <w:spacing w:before="240" w:after="240"/>
            </w:pPr>
            <w:sdt>
              <w:sdtPr>
                <w:tag w:val="goog_rdk_25"/>
                <w:id w:val="-2081354244"/>
              </w:sdtPr>
              <w:sdtContent>
                <w:r>
                  <w:rPr>
                    <w:rFonts w:ascii="Arial Unicode MS" w:hAnsi="Arial Unicode MS" w:eastAsia="Arial Unicode MS" w:cs="Arial Unicode MS"/>
                  </w:rPr>
                  <w:t>✓</w:t>
                </w:r>
              </w:sdtContent>
            </w:sdt>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B636BC6">
            <w:pPr>
              <w:spacing w:before="240" w:after="240"/>
            </w:pPr>
            <w:sdt>
              <w:sdtPr>
                <w:tag w:val="goog_rdk_26"/>
                <w:id w:val="-1416285198"/>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0B48964">
            <w:pPr>
              <w:spacing w:before="240" w:after="240"/>
            </w:pPr>
            <w:sdt>
              <w:sdtPr>
                <w:tag w:val="goog_rdk_27"/>
                <w:id w:val="-1118846208"/>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F216BA4">
            <w:pPr>
              <w:spacing w:before="240" w:after="240"/>
            </w:pPr>
            <w:sdt>
              <w:sdtPr>
                <w:tag w:val="goog_rdk_28"/>
                <w:id w:val="568824945"/>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B16C7F6">
            <w:pPr>
              <w:spacing w:before="240" w:after="240"/>
            </w:pPr>
            <w:sdt>
              <w:sdtPr>
                <w:tag w:val="goog_rdk_29"/>
                <w:id w:val="-1575245265"/>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FEA885B">
            <w:pPr>
              <w:spacing w:before="240" w:after="240"/>
            </w:pPr>
            <w:r>
              <w:t>High</w:t>
            </w:r>
          </w:p>
        </w:tc>
      </w:tr>
      <w:tr w14:paraId="253D8B9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2BE959B">
            <w:pPr>
              <w:spacing w:before="240" w:after="240"/>
            </w:pPr>
            <w:r>
              <w:t>Clarke et al. (2024)</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3927300">
            <w:pPr>
              <w:spacing w:before="240" w:after="240"/>
            </w:pPr>
            <w:sdt>
              <w:sdtPr>
                <w:tag w:val="goog_rdk_30"/>
                <w:id w:val="-445132924"/>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4B7CF26">
            <w:pPr>
              <w:spacing w:before="240" w:after="240"/>
            </w:pPr>
            <w:sdt>
              <w:sdtPr>
                <w:tag w:val="goog_rdk_31"/>
                <w:id w:val="-734422937"/>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E0194F0">
            <w:pPr>
              <w:spacing w:before="240" w:after="240"/>
            </w:pPr>
            <w:sdt>
              <w:sdtPr>
                <w:tag w:val="goog_rdk_32"/>
                <w:id w:val="531570017"/>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1DD1E05">
            <w:pPr>
              <w:spacing w:before="240" w:after="240"/>
            </w:pPr>
            <w:sdt>
              <w:sdtPr>
                <w:tag w:val="goog_rdk_33"/>
                <w:id w:val="-809376202"/>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3631B74">
            <w:pPr>
              <w:spacing w:before="240" w:after="240"/>
            </w:pPr>
            <w:sdt>
              <w:sdtPr>
                <w:tag w:val="goog_rdk_34"/>
                <w:id w:val="942579938"/>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8E732CB">
            <w:pPr>
              <w:spacing w:before="240" w:after="240"/>
            </w:pPr>
            <w:sdt>
              <w:sdtPr>
                <w:tag w:val="goog_rdk_35"/>
                <w:id w:val="-1918403612"/>
              </w:sdtPr>
              <w:sdtContent>
                <w:r>
                  <w:rPr>
                    <w:rFonts w:ascii="Arial Unicode MS" w:hAnsi="Arial Unicode MS" w:eastAsia="Arial Unicode MS" w:cs="Arial Unicode MS"/>
                  </w:rPr>
                  <w:t>✓</w:t>
                </w:r>
              </w:sdtContent>
            </w:sdt>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AF6443E">
            <w:pPr>
              <w:spacing w:before="240" w:after="240"/>
            </w:pPr>
            <w:sdt>
              <w:sdtPr>
                <w:tag w:val="goog_rdk_36"/>
                <w:id w:val="-648980124"/>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64AF8D6">
            <w:pPr>
              <w:spacing w:before="240" w:after="240"/>
            </w:pPr>
            <w:sdt>
              <w:sdtPr>
                <w:tag w:val="goog_rdk_37"/>
                <w:id w:val="1139446643"/>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772BE06">
            <w:pPr>
              <w:spacing w:before="240" w:after="240"/>
            </w:pPr>
            <w:sdt>
              <w:sdtPr>
                <w:tag w:val="goog_rdk_38"/>
                <w:id w:val="-2146440579"/>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2B5510F">
            <w:pPr>
              <w:spacing w:before="240" w:after="240"/>
            </w:pPr>
            <w:sdt>
              <w:sdtPr>
                <w:tag w:val="goog_rdk_39"/>
                <w:id w:val="-615169301"/>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89BED9C">
            <w:pPr>
              <w:spacing w:before="240" w:after="240"/>
            </w:pPr>
            <w:r>
              <w:t>High</w:t>
            </w:r>
          </w:p>
        </w:tc>
      </w:tr>
      <w:tr w14:paraId="6997112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5EDE106">
            <w:pPr>
              <w:spacing w:before="240" w:after="240"/>
            </w:pPr>
            <w:r>
              <w:t>Crooks et al. (2022)</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7AD75C6">
            <w:pPr>
              <w:spacing w:before="240" w:after="240"/>
            </w:pPr>
            <w:sdt>
              <w:sdtPr>
                <w:tag w:val="goog_rdk_40"/>
                <w:id w:val="1531211569"/>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4798F6B">
            <w:pPr>
              <w:spacing w:before="240" w:after="240"/>
            </w:pPr>
            <w:sdt>
              <w:sdtPr>
                <w:tag w:val="goog_rdk_41"/>
                <w:id w:val="-334682715"/>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CF69996">
            <w:pPr>
              <w:spacing w:before="240" w:after="240"/>
            </w:pPr>
            <w:sdt>
              <w:sdtPr>
                <w:tag w:val="goog_rdk_42"/>
                <w:id w:val="-1015297051"/>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5A92659">
            <w:pPr>
              <w:spacing w:before="240" w:after="240"/>
            </w:pPr>
            <w:sdt>
              <w:sdtPr>
                <w:tag w:val="goog_rdk_43"/>
                <w:id w:val="-1960397486"/>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BD10F68">
            <w:pPr>
              <w:spacing w:before="240" w:after="240"/>
            </w:pPr>
            <w:sdt>
              <w:sdtPr>
                <w:tag w:val="goog_rdk_44"/>
                <w:id w:val="-177916665"/>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EA153FD">
            <w:pPr>
              <w:spacing w:before="240" w:after="240"/>
            </w:pPr>
            <w:sdt>
              <w:sdtPr>
                <w:tag w:val="goog_rdk_45"/>
                <w:id w:val="-786683580"/>
              </w:sdtPr>
              <w:sdtContent>
                <w:r>
                  <w:rPr>
                    <w:rFonts w:ascii="Arial Unicode MS" w:hAnsi="Arial Unicode MS" w:eastAsia="Arial Unicode MS" w:cs="Arial Unicode MS"/>
                  </w:rPr>
                  <w:t>✓</w:t>
                </w:r>
              </w:sdtContent>
            </w:sdt>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274E187">
            <w:pPr>
              <w:spacing w:before="240" w:after="240"/>
            </w:pPr>
            <w:sdt>
              <w:sdtPr>
                <w:tag w:val="goog_rdk_46"/>
                <w:id w:val="2093472694"/>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0814D7E">
            <w:pPr>
              <w:spacing w:before="240" w:after="240"/>
            </w:pPr>
            <w:sdt>
              <w:sdtPr>
                <w:tag w:val="goog_rdk_47"/>
                <w:id w:val="-1127027172"/>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8EE4C63">
            <w:pPr>
              <w:spacing w:before="240" w:after="240"/>
            </w:pPr>
            <w:sdt>
              <w:sdtPr>
                <w:tag w:val="goog_rdk_48"/>
                <w:id w:val="-1611533179"/>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9E8A1EA">
            <w:pPr>
              <w:spacing w:before="240" w:after="240"/>
            </w:pPr>
            <w:sdt>
              <w:sdtPr>
                <w:tag w:val="goog_rdk_49"/>
                <w:id w:val="1039665837"/>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86FDE4E">
            <w:pPr>
              <w:spacing w:before="240" w:after="240"/>
            </w:pPr>
            <w:r>
              <w:t>High</w:t>
            </w:r>
          </w:p>
        </w:tc>
      </w:tr>
      <w:tr w14:paraId="73BA472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0439FF9">
            <w:pPr>
              <w:spacing w:before="240" w:after="240"/>
            </w:pPr>
            <w:r>
              <w:t>Crowe (2022)</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8ED4F4C">
            <w:pPr>
              <w:spacing w:before="240" w:after="240"/>
            </w:pPr>
            <w:sdt>
              <w:sdtPr>
                <w:tag w:val="goog_rdk_50"/>
                <w:id w:val="1259573617"/>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7901870">
            <w:pPr>
              <w:spacing w:before="240" w:after="240"/>
            </w:pPr>
            <w:sdt>
              <w:sdtPr>
                <w:tag w:val="goog_rdk_51"/>
                <w:id w:val="-1523775539"/>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2D4DD06">
            <w:pPr>
              <w:spacing w:before="240" w:after="240"/>
            </w:pPr>
            <w:sdt>
              <w:sdtPr>
                <w:tag w:val="goog_rdk_52"/>
                <w:id w:val="1529543414"/>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E08B866">
            <w:pPr>
              <w:spacing w:before="240" w:after="240"/>
            </w:pPr>
            <w:sdt>
              <w:sdtPr>
                <w:tag w:val="goog_rdk_53"/>
                <w:id w:val="772025107"/>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5FCC3D2">
            <w:pPr>
              <w:spacing w:before="240" w:after="240"/>
            </w:pPr>
            <w:sdt>
              <w:sdtPr>
                <w:tag w:val="goog_rdk_54"/>
                <w:id w:val="-1873837731"/>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EA3BBC8">
            <w:pPr>
              <w:spacing w:before="240" w:after="240"/>
            </w:pPr>
            <w:r>
              <w:t>N/A</w:t>
            </w:r>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0CFE5BD">
            <w:pPr>
              <w:spacing w:before="240" w:after="240"/>
            </w:pPr>
            <w:sdt>
              <w:sdtPr>
                <w:tag w:val="goog_rdk_55"/>
                <w:id w:val="-1755046737"/>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DA4497E">
            <w:pPr>
              <w:spacing w:before="240" w:after="240"/>
            </w:pPr>
            <w:sdt>
              <w:sdtPr>
                <w:tag w:val="goog_rdk_56"/>
                <w:id w:val="-360514415"/>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0084FCB">
            <w:pPr>
              <w:spacing w:before="240" w:after="240"/>
            </w:pPr>
            <w:sdt>
              <w:sdtPr>
                <w:tag w:val="goog_rdk_57"/>
                <w:id w:val="-405255963"/>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1F9263D">
            <w:pPr>
              <w:spacing w:before="240" w:after="240"/>
            </w:pPr>
            <w:sdt>
              <w:sdtPr>
                <w:tag w:val="goog_rdk_58"/>
                <w:id w:val="1107387828"/>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BF938D6">
            <w:pPr>
              <w:spacing w:before="240" w:after="240"/>
            </w:pPr>
            <w:r>
              <w:t>Moderate</w:t>
            </w:r>
          </w:p>
        </w:tc>
      </w:tr>
      <w:tr w14:paraId="266A3E9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05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40BA5D8">
            <w:pPr>
              <w:spacing w:before="240" w:after="240"/>
            </w:pPr>
            <w:r>
              <w:t>Flaherty &amp; Sadler (2022)</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C3913C6">
            <w:pPr>
              <w:spacing w:before="240" w:after="240"/>
            </w:pPr>
            <w:sdt>
              <w:sdtPr>
                <w:tag w:val="goog_rdk_59"/>
                <w:id w:val="1037341877"/>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4935010">
            <w:pPr>
              <w:spacing w:before="240" w:after="240"/>
            </w:pPr>
            <w:sdt>
              <w:sdtPr>
                <w:tag w:val="goog_rdk_60"/>
                <w:id w:val="-1081522064"/>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A0F2BBE">
            <w:pPr>
              <w:spacing w:before="240" w:after="240"/>
            </w:pPr>
            <w:sdt>
              <w:sdtPr>
                <w:tag w:val="goog_rdk_61"/>
                <w:id w:val="1833448713"/>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F1B3FA0">
            <w:pPr>
              <w:spacing w:before="240" w:after="240"/>
            </w:pPr>
            <w:sdt>
              <w:sdtPr>
                <w:tag w:val="goog_rdk_62"/>
                <w:id w:val="-1718683226"/>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220D804">
            <w:pPr>
              <w:spacing w:before="240" w:after="240"/>
            </w:pPr>
            <w:sdt>
              <w:sdtPr>
                <w:tag w:val="goog_rdk_63"/>
                <w:id w:val="-985349373"/>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EE62388">
            <w:pPr>
              <w:spacing w:before="240" w:after="240"/>
            </w:pPr>
            <w:r>
              <w:t>N/A</w:t>
            </w:r>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F56445A">
            <w:pPr>
              <w:spacing w:before="240" w:after="240"/>
            </w:pPr>
            <w:sdt>
              <w:sdtPr>
                <w:tag w:val="goog_rdk_64"/>
                <w:id w:val="-2080913150"/>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078ACB7">
            <w:pPr>
              <w:spacing w:before="240" w:after="240"/>
            </w:pPr>
            <w:sdt>
              <w:sdtPr>
                <w:tag w:val="goog_rdk_65"/>
                <w:id w:val="-1757685339"/>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0825DE0">
            <w:pPr>
              <w:spacing w:before="240" w:after="240"/>
            </w:pPr>
            <w:sdt>
              <w:sdtPr>
                <w:tag w:val="goog_rdk_66"/>
                <w:id w:val="1612293042"/>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56885F5">
            <w:pPr>
              <w:spacing w:before="240" w:after="240"/>
            </w:pPr>
            <w:sdt>
              <w:sdtPr>
                <w:tag w:val="goog_rdk_67"/>
                <w:id w:val="2124863069"/>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A41A6C0">
            <w:pPr>
              <w:spacing w:before="240" w:after="240"/>
            </w:pPr>
            <w:r>
              <w:t>High</w:t>
            </w:r>
          </w:p>
        </w:tc>
      </w:tr>
      <w:tr w14:paraId="6482A71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BB1961E">
            <w:pPr>
              <w:spacing w:before="240" w:after="240"/>
            </w:pPr>
            <w:r>
              <w:t>Foley et al. (2025)</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6AAB9D2">
            <w:pPr>
              <w:spacing w:before="240" w:after="240"/>
            </w:pPr>
            <w:sdt>
              <w:sdtPr>
                <w:tag w:val="goog_rdk_68"/>
                <w:id w:val="1972295599"/>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2936D80">
            <w:pPr>
              <w:spacing w:before="240" w:after="240"/>
            </w:pPr>
            <w:sdt>
              <w:sdtPr>
                <w:tag w:val="goog_rdk_69"/>
                <w:id w:val="1225887875"/>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611A437">
            <w:pPr>
              <w:spacing w:before="240" w:after="240"/>
            </w:pPr>
            <w:sdt>
              <w:sdtPr>
                <w:tag w:val="goog_rdk_70"/>
                <w:id w:val="1228206240"/>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1B31E8D">
            <w:pPr>
              <w:spacing w:before="240" w:after="240"/>
            </w:pPr>
            <w:sdt>
              <w:sdtPr>
                <w:tag w:val="goog_rdk_71"/>
                <w:id w:val="616175170"/>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00DEC5A">
            <w:pPr>
              <w:spacing w:before="240" w:after="240"/>
            </w:pPr>
            <w:sdt>
              <w:sdtPr>
                <w:tag w:val="goog_rdk_72"/>
                <w:id w:val="-1314332915"/>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118C692">
            <w:pPr>
              <w:spacing w:before="240" w:after="240"/>
            </w:pPr>
            <w:sdt>
              <w:sdtPr>
                <w:tag w:val="goog_rdk_73"/>
                <w:id w:val="612682305"/>
              </w:sdtPr>
              <w:sdtContent>
                <w:r>
                  <w:rPr>
                    <w:rFonts w:ascii="Arial Unicode MS" w:hAnsi="Arial Unicode MS" w:eastAsia="Arial Unicode MS" w:cs="Arial Unicode MS"/>
                  </w:rPr>
                  <w:t>✓</w:t>
                </w:r>
              </w:sdtContent>
            </w:sdt>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2EA6B20">
            <w:pPr>
              <w:spacing w:before="240" w:after="240"/>
            </w:pPr>
            <w:sdt>
              <w:sdtPr>
                <w:tag w:val="goog_rdk_74"/>
                <w:id w:val="788651490"/>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5510CF2">
            <w:pPr>
              <w:spacing w:before="240" w:after="240"/>
            </w:pPr>
            <w:sdt>
              <w:sdtPr>
                <w:tag w:val="goog_rdk_75"/>
                <w:id w:val="-2077920878"/>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A024A67">
            <w:pPr>
              <w:spacing w:before="240" w:after="240"/>
            </w:pPr>
            <w:sdt>
              <w:sdtPr>
                <w:tag w:val="goog_rdk_76"/>
                <w:id w:val="-1582314146"/>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0EB8BAC">
            <w:pPr>
              <w:spacing w:before="240" w:after="240"/>
            </w:pPr>
            <w:sdt>
              <w:sdtPr>
                <w:tag w:val="goog_rdk_77"/>
                <w:id w:val="-1940716379"/>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E6B7C2B">
            <w:pPr>
              <w:spacing w:before="240" w:after="240"/>
            </w:pPr>
            <w:r>
              <w:t>High</w:t>
            </w:r>
          </w:p>
        </w:tc>
      </w:tr>
      <w:tr w14:paraId="01CBF6C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05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C6AE72C">
            <w:pPr>
              <w:spacing w:before="240" w:after="240"/>
            </w:pPr>
            <w:r>
              <w:t>Herzberg &amp; Smyser (2024)</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2A3831C">
            <w:pPr>
              <w:spacing w:before="240" w:after="240"/>
            </w:pPr>
            <w:sdt>
              <w:sdtPr>
                <w:tag w:val="goog_rdk_78"/>
                <w:id w:val="158921517"/>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8921484">
            <w:pPr>
              <w:spacing w:before="240" w:after="240"/>
            </w:pPr>
            <w:sdt>
              <w:sdtPr>
                <w:tag w:val="goog_rdk_79"/>
                <w:id w:val="-1109041899"/>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85D9EB0">
            <w:pPr>
              <w:spacing w:before="240" w:after="240"/>
            </w:pPr>
            <w:sdt>
              <w:sdtPr>
                <w:tag w:val="goog_rdk_80"/>
                <w:id w:val="-186755282"/>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AB3CB33">
            <w:pPr>
              <w:spacing w:before="240" w:after="240"/>
            </w:pPr>
            <w:sdt>
              <w:sdtPr>
                <w:tag w:val="goog_rdk_81"/>
                <w:id w:val="-1860628666"/>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FAB2FD0">
            <w:pPr>
              <w:spacing w:before="240" w:after="240"/>
            </w:pPr>
            <w:sdt>
              <w:sdtPr>
                <w:tag w:val="goog_rdk_82"/>
                <w:id w:val="703409668"/>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F405E8B">
            <w:pPr>
              <w:spacing w:before="240" w:after="240"/>
            </w:pPr>
            <w:r>
              <w:t>N/A</w:t>
            </w:r>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DFD1FF1">
            <w:pPr>
              <w:spacing w:before="240" w:after="240"/>
            </w:pPr>
            <w:sdt>
              <w:sdtPr>
                <w:tag w:val="goog_rdk_83"/>
                <w:id w:val="-1121516858"/>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77F1640">
            <w:pPr>
              <w:spacing w:before="240" w:after="240"/>
            </w:pPr>
            <w:sdt>
              <w:sdtPr>
                <w:tag w:val="goog_rdk_84"/>
                <w:id w:val="-151582353"/>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E1389BB">
            <w:pPr>
              <w:spacing w:before="240" w:after="240"/>
            </w:pPr>
            <w:sdt>
              <w:sdtPr>
                <w:tag w:val="goog_rdk_85"/>
                <w:id w:val="-1725782780"/>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813559D">
            <w:pPr>
              <w:spacing w:before="240" w:after="240"/>
            </w:pPr>
            <w:sdt>
              <w:sdtPr>
                <w:tag w:val="goog_rdk_86"/>
                <w:id w:val="-1693336523"/>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07E7595">
            <w:pPr>
              <w:spacing w:before="240" w:after="240"/>
            </w:pPr>
            <w:r>
              <w:t>Moderate</w:t>
            </w:r>
          </w:p>
        </w:tc>
      </w:tr>
      <w:tr w14:paraId="27F4C5A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89ACA6A">
            <w:pPr>
              <w:spacing w:before="240" w:after="240"/>
            </w:pPr>
            <w:r>
              <w:t>Javadi et al. (2023)</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88C3823">
            <w:pPr>
              <w:spacing w:before="240" w:after="240"/>
            </w:pPr>
            <w:sdt>
              <w:sdtPr>
                <w:tag w:val="goog_rdk_87"/>
                <w:id w:val="-1024802936"/>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872FACD">
            <w:pPr>
              <w:spacing w:before="240" w:after="240"/>
            </w:pPr>
            <w:sdt>
              <w:sdtPr>
                <w:tag w:val="goog_rdk_88"/>
                <w:id w:val="-1629803365"/>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DFD29D0">
            <w:pPr>
              <w:spacing w:before="240" w:after="240"/>
            </w:pPr>
            <w:sdt>
              <w:sdtPr>
                <w:tag w:val="goog_rdk_89"/>
                <w:id w:val="824594567"/>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F69C35D">
            <w:pPr>
              <w:spacing w:before="240" w:after="240"/>
            </w:pPr>
            <w:sdt>
              <w:sdtPr>
                <w:tag w:val="goog_rdk_90"/>
                <w:id w:val="-2062777074"/>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4508CA2">
            <w:pPr>
              <w:spacing w:before="240" w:after="240"/>
            </w:pPr>
            <w:sdt>
              <w:sdtPr>
                <w:tag w:val="goog_rdk_91"/>
                <w:id w:val="453505381"/>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666F204">
            <w:pPr>
              <w:spacing w:before="240" w:after="240"/>
            </w:pPr>
            <w:sdt>
              <w:sdtPr>
                <w:tag w:val="goog_rdk_92"/>
                <w:id w:val="1663792847"/>
              </w:sdtPr>
              <w:sdtContent>
                <w:r>
                  <w:rPr>
                    <w:rFonts w:ascii="Arial Unicode MS" w:hAnsi="Arial Unicode MS" w:eastAsia="Arial Unicode MS" w:cs="Arial Unicode MS"/>
                  </w:rPr>
                  <w:t>✓</w:t>
                </w:r>
              </w:sdtContent>
            </w:sdt>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018EDE8">
            <w:pPr>
              <w:spacing w:before="240" w:after="240"/>
            </w:pPr>
            <w:sdt>
              <w:sdtPr>
                <w:tag w:val="goog_rdk_93"/>
                <w:id w:val="2032640833"/>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3555B83">
            <w:pPr>
              <w:spacing w:before="240" w:after="240"/>
            </w:pPr>
            <w:sdt>
              <w:sdtPr>
                <w:tag w:val="goog_rdk_94"/>
                <w:id w:val="476022298"/>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1BB0DE0">
            <w:pPr>
              <w:spacing w:before="240" w:after="240"/>
            </w:pPr>
            <w:sdt>
              <w:sdtPr>
                <w:tag w:val="goog_rdk_95"/>
                <w:id w:val="661395063"/>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63E0799">
            <w:pPr>
              <w:spacing w:before="240" w:after="240"/>
            </w:pPr>
            <w:sdt>
              <w:sdtPr>
                <w:tag w:val="goog_rdk_96"/>
                <w:id w:val="-1101230441"/>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1EE89A0">
            <w:pPr>
              <w:spacing w:before="240" w:after="240"/>
            </w:pPr>
            <w:r>
              <w:t>High</w:t>
            </w:r>
          </w:p>
        </w:tc>
      </w:tr>
      <w:tr w14:paraId="4444CD6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220FC99">
            <w:pPr>
              <w:spacing w:before="240" w:after="240"/>
            </w:pPr>
            <w:r>
              <w:t>MacLellan et al. (2022)</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FC842CB">
            <w:pPr>
              <w:spacing w:before="240" w:after="240"/>
            </w:pPr>
            <w:sdt>
              <w:sdtPr>
                <w:tag w:val="goog_rdk_97"/>
                <w:id w:val="234470418"/>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5AEA701">
            <w:pPr>
              <w:spacing w:before="240" w:after="240"/>
            </w:pPr>
            <w:sdt>
              <w:sdtPr>
                <w:tag w:val="goog_rdk_98"/>
                <w:id w:val="-239928491"/>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4AE04F9">
            <w:pPr>
              <w:spacing w:before="240" w:after="240"/>
            </w:pPr>
            <w:sdt>
              <w:sdtPr>
                <w:tag w:val="goog_rdk_99"/>
                <w:id w:val="-273728457"/>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6832E91">
            <w:pPr>
              <w:spacing w:before="240" w:after="240"/>
            </w:pPr>
            <w:sdt>
              <w:sdtPr>
                <w:tag w:val="goog_rdk_100"/>
                <w:id w:val="1323916499"/>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3B817AA">
            <w:pPr>
              <w:spacing w:before="240" w:after="240"/>
            </w:pPr>
            <w:sdt>
              <w:sdtPr>
                <w:tag w:val="goog_rdk_101"/>
                <w:id w:val="622599622"/>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B3547AA">
            <w:pPr>
              <w:spacing w:before="240" w:after="240"/>
            </w:pPr>
            <w:sdt>
              <w:sdtPr>
                <w:tag w:val="goog_rdk_102"/>
                <w:id w:val="1875532489"/>
              </w:sdtPr>
              <w:sdtContent>
                <w:r>
                  <w:rPr>
                    <w:rFonts w:ascii="Arial Unicode MS" w:hAnsi="Arial Unicode MS" w:eastAsia="Arial Unicode MS" w:cs="Arial Unicode MS"/>
                  </w:rPr>
                  <w:t>✓</w:t>
                </w:r>
              </w:sdtContent>
            </w:sdt>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CB8C272">
            <w:pPr>
              <w:spacing w:before="240" w:after="240"/>
            </w:pPr>
            <w:sdt>
              <w:sdtPr>
                <w:tag w:val="goog_rdk_103"/>
                <w:id w:val="1280818299"/>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9117B21">
            <w:pPr>
              <w:spacing w:before="240" w:after="240"/>
            </w:pPr>
            <w:sdt>
              <w:sdtPr>
                <w:tag w:val="goog_rdk_104"/>
                <w:id w:val="-1416810640"/>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73DC62A">
            <w:pPr>
              <w:spacing w:before="240" w:after="240"/>
            </w:pPr>
            <w:sdt>
              <w:sdtPr>
                <w:tag w:val="goog_rdk_105"/>
                <w:id w:val="-840182406"/>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444E0F9">
            <w:pPr>
              <w:spacing w:before="240" w:after="240"/>
            </w:pPr>
            <w:sdt>
              <w:sdtPr>
                <w:tag w:val="goog_rdk_106"/>
                <w:id w:val="-198303795"/>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33D8472">
            <w:pPr>
              <w:spacing w:before="240" w:after="240"/>
            </w:pPr>
            <w:r>
              <w:t>High</w:t>
            </w:r>
          </w:p>
        </w:tc>
      </w:tr>
      <w:tr w14:paraId="3B8EDD7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21BF836">
            <w:pPr>
              <w:spacing w:before="240" w:after="240"/>
            </w:pPr>
            <w:r>
              <w:t>Namutebi et al. (2022)</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5E36018">
            <w:pPr>
              <w:spacing w:before="240" w:after="240"/>
            </w:pPr>
            <w:sdt>
              <w:sdtPr>
                <w:tag w:val="goog_rdk_107"/>
                <w:id w:val="-1771615053"/>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A9ECCA2">
            <w:pPr>
              <w:spacing w:before="240" w:after="240"/>
            </w:pPr>
            <w:sdt>
              <w:sdtPr>
                <w:tag w:val="goog_rdk_108"/>
                <w:id w:val="1454353556"/>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808BF0D">
            <w:pPr>
              <w:spacing w:before="240" w:after="240"/>
            </w:pPr>
            <w:sdt>
              <w:sdtPr>
                <w:tag w:val="goog_rdk_109"/>
                <w:id w:val="-261951298"/>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52E8774">
            <w:pPr>
              <w:spacing w:before="240" w:after="240"/>
            </w:pPr>
            <w:sdt>
              <w:sdtPr>
                <w:tag w:val="goog_rdk_110"/>
                <w:id w:val="911500264"/>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9F6A165">
            <w:pPr>
              <w:spacing w:before="240" w:after="240"/>
            </w:pPr>
            <w:sdt>
              <w:sdtPr>
                <w:tag w:val="goog_rdk_111"/>
                <w:id w:val="2097896635"/>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F33B25B">
            <w:pPr>
              <w:spacing w:before="240" w:after="240"/>
            </w:pPr>
            <w:sdt>
              <w:sdtPr>
                <w:tag w:val="goog_rdk_112"/>
                <w:id w:val="-1217620978"/>
              </w:sdtPr>
              <w:sdtContent>
                <w:r>
                  <w:rPr>
                    <w:rFonts w:ascii="Arial Unicode MS" w:hAnsi="Arial Unicode MS" w:eastAsia="Arial Unicode MS" w:cs="Arial Unicode MS"/>
                  </w:rPr>
                  <w:t>✓</w:t>
                </w:r>
              </w:sdtContent>
            </w:sdt>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A447D3B">
            <w:pPr>
              <w:spacing w:before="240" w:after="240"/>
            </w:pPr>
            <w:sdt>
              <w:sdtPr>
                <w:tag w:val="goog_rdk_113"/>
                <w:id w:val="-1361034008"/>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5D802AA">
            <w:pPr>
              <w:spacing w:before="240" w:after="240"/>
            </w:pPr>
            <w:sdt>
              <w:sdtPr>
                <w:tag w:val="goog_rdk_114"/>
                <w:id w:val="-1605219780"/>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7D77355">
            <w:pPr>
              <w:spacing w:before="240" w:after="240"/>
            </w:pPr>
            <w:sdt>
              <w:sdtPr>
                <w:tag w:val="goog_rdk_115"/>
                <w:id w:val="1149945086"/>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338D3A2">
            <w:pPr>
              <w:spacing w:before="240" w:after="240"/>
            </w:pPr>
            <w:sdt>
              <w:sdtPr>
                <w:tag w:val="goog_rdk_116"/>
                <w:id w:val="-1579068559"/>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BAFAE81">
            <w:pPr>
              <w:spacing w:before="240" w:after="240"/>
            </w:pPr>
            <w:r>
              <w:t>High</w:t>
            </w:r>
          </w:p>
        </w:tc>
      </w:tr>
      <w:tr w14:paraId="69E8226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B79074E">
            <w:pPr>
              <w:spacing w:before="240" w:after="240"/>
            </w:pPr>
            <w:r>
              <w:t>Norman et al. (2022)</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EB62C21">
            <w:pPr>
              <w:spacing w:before="240" w:after="240"/>
            </w:pPr>
            <w:sdt>
              <w:sdtPr>
                <w:tag w:val="goog_rdk_117"/>
                <w:id w:val="1169261706"/>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407A1D5">
            <w:pPr>
              <w:spacing w:before="240" w:after="240"/>
            </w:pPr>
            <w:sdt>
              <w:sdtPr>
                <w:tag w:val="goog_rdk_118"/>
                <w:id w:val="-748668551"/>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6AE4EFC">
            <w:pPr>
              <w:spacing w:before="240" w:after="240"/>
            </w:pPr>
            <w:sdt>
              <w:sdtPr>
                <w:tag w:val="goog_rdk_119"/>
                <w:id w:val="986367124"/>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03B084A">
            <w:pPr>
              <w:spacing w:before="240" w:after="240"/>
            </w:pPr>
            <w:sdt>
              <w:sdtPr>
                <w:tag w:val="goog_rdk_120"/>
                <w:id w:val="-1012243058"/>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07B0D27">
            <w:pPr>
              <w:spacing w:before="240" w:after="240"/>
            </w:pPr>
            <w:sdt>
              <w:sdtPr>
                <w:tag w:val="goog_rdk_121"/>
                <w:id w:val="1616488442"/>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E66C1C8">
            <w:pPr>
              <w:spacing w:before="240" w:after="240"/>
            </w:pPr>
            <w:r>
              <w:t>N/A</w:t>
            </w:r>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7FAB80B">
            <w:pPr>
              <w:spacing w:before="240" w:after="240"/>
            </w:pPr>
            <w:sdt>
              <w:sdtPr>
                <w:tag w:val="goog_rdk_122"/>
                <w:id w:val="-776280226"/>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6D2AA68">
            <w:pPr>
              <w:spacing w:before="240" w:after="240"/>
            </w:pPr>
            <w:sdt>
              <w:sdtPr>
                <w:tag w:val="goog_rdk_123"/>
                <w:id w:val="-1627041605"/>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3789078">
            <w:pPr>
              <w:spacing w:before="240" w:after="240"/>
            </w:pPr>
            <w:sdt>
              <w:sdtPr>
                <w:tag w:val="goog_rdk_124"/>
                <w:id w:val="1018857768"/>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129ECE5">
            <w:pPr>
              <w:spacing w:before="240" w:after="240"/>
            </w:pPr>
            <w:sdt>
              <w:sdtPr>
                <w:tag w:val="goog_rdk_125"/>
                <w:id w:val="567124005"/>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56579D9">
            <w:pPr>
              <w:spacing w:before="240" w:after="240"/>
            </w:pPr>
            <w:r>
              <w:t>Moderate</w:t>
            </w:r>
          </w:p>
        </w:tc>
      </w:tr>
      <w:tr w14:paraId="1EABC30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55F76FA">
            <w:pPr>
              <w:spacing w:before="240" w:after="240"/>
            </w:pPr>
            <w:r>
              <w:t>Pierce et al. (2023)</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ED0034E">
            <w:pPr>
              <w:spacing w:before="240" w:after="240"/>
            </w:pPr>
            <w:sdt>
              <w:sdtPr>
                <w:tag w:val="goog_rdk_126"/>
                <w:id w:val="782971496"/>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3F1CEBE">
            <w:pPr>
              <w:spacing w:before="240" w:after="240"/>
            </w:pPr>
            <w:sdt>
              <w:sdtPr>
                <w:tag w:val="goog_rdk_127"/>
                <w:id w:val="-1819627050"/>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329612B">
            <w:pPr>
              <w:spacing w:before="240" w:after="240"/>
            </w:pPr>
            <w:sdt>
              <w:sdtPr>
                <w:tag w:val="goog_rdk_128"/>
                <w:id w:val="-940195850"/>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56B7BED">
            <w:pPr>
              <w:spacing w:before="240" w:after="240"/>
            </w:pPr>
            <w:sdt>
              <w:sdtPr>
                <w:tag w:val="goog_rdk_129"/>
                <w:id w:val="-903782069"/>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1640C81">
            <w:pPr>
              <w:spacing w:before="240" w:after="240"/>
            </w:pPr>
            <w:sdt>
              <w:sdtPr>
                <w:tag w:val="goog_rdk_130"/>
                <w:id w:val="884919535"/>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603DF64">
            <w:pPr>
              <w:spacing w:before="240" w:after="240"/>
            </w:pPr>
            <w:sdt>
              <w:sdtPr>
                <w:tag w:val="goog_rdk_131"/>
                <w:id w:val="-240618475"/>
              </w:sdtPr>
              <w:sdtContent>
                <w:r>
                  <w:rPr>
                    <w:rFonts w:ascii="Arial Unicode MS" w:hAnsi="Arial Unicode MS" w:eastAsia="Arial Unicode MS" w:cs="Arial Unicode MS"/>
                  </w:rPr>
                  <w:t>✓</w:t>
                </w:r>
              </w:sdtContent>
            </w:sdt>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0840480">
            <w:pPr>
              <w:spacing w:before="240" w:after="240"/>
            </w:pPr>
            <w:sdt>
              <w:sdtPr>
                <w:tag w:val="goog_rdk_132"/>
                <w:id w:val="440017389"/>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6A69348">
            <w:pPr>
              <w:spacing w:before="240" w:after="240"/>
            </w:pPr>
            <w:sdt>
              <w:sdtPr>
                <w:tag w:val="goog_rdk_133"/>
                <w:id w:val="-111200536"/>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D6E615A">
            <w:pPr>
              <w:spacing w:before="240" w:after="240"/>
            </w:pPr>
            <w:sdt>
              <w:sdtPr>
                <w:tag w:val="goog_rdk_134"/>
                <w:id w:val="695973475"/>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88EE61F">
            <w:pPr>
              <w:spacing w:before="240" w:after="240"/>
            </w:pPr>
            <w:sdt>
              <w:sdtPr>
                <w:tag w:val="goog_rdk_135"/>
                <w:id w:val="17802265"/>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C604DD6">
            <w:pPr>
              <w:spacing w:before="240" w:after="240"/>
            </w:pPr>
            <w:r>
              <w:t>Moderate</w:t>
            </w:r>
          </w:p>
        </w:tc>
      </w:tr>
      <w:tr w14:paraId="3ADB066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7E05B9E">
            <w:pPr>
              <w:spacing w:before="240" w:after="240"/>
            </w:pPr>
            <w:r>
              <w:t>Saharoy et al. (2023)</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4ECED87">
            <w:pPr>
              <w:spacing w:before="240" w:after="240"/>
            </w:pPr>
            <w:sdt>
              <w:sdtPr>
                <w:tag w:val="goog_rdk_136"/>
                <w:id w:val="-1983872623"/>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2A19EFF">
            <w:pPr>
              <w:spacing w:before="240" w:after="240"/>
            </w:pPr>
            <w:sdt>
              <w:sdtPr>
                <w:tag w:val="goog_rdk_137"/>
                <w:id w:val="209938887"/>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0E84468">
            <w:pPr>
              <w:spacing w:before="240" w:after="240"/>
            </w:pPr>
            <w:sdt>
              <w:sdtPr>
                <w:tag w:val="goog_rdk_138"/>
                <w:id w:val="-1256683605"/>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F190841">
            <w:pPr>
              <w:spacing w:before="240" w:after="240"/>
            </w:pPr>
            <w:sdt>
              <w:sdtPr>
                <w:tag w:val="goog_rdk_139"/>
                <w:id w:val="626286055"/>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B1B3C7F">
            <w:pPr>
              <w:spacing w:before="240" w:after="240"/>
            </w:pPr>
            <w:sdt>
              <w:sdtPr>
                <w:tag w:val="goog_rdk_140"/>
                <w:id w:val="-1560355785"/>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EA95992">
            <w:pPr>
              <w:spacing w:before="240" w:after="240"/>
            </w:pPr>
            <w:r>
              <w:t>N/A</w:t>
            </w:r>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B50E8E0">
            <w:pPr>
              <w:spacing w:before="240" w:after="240"/>
            </w:pPr>
            <w:sdt>
              <w:sdtPr>
                <w:tag w:val="goog_rdk_141"/>
                <w:id w:val="-153732824"/>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E4FBA5D">
            <w:pPr>
              <w:spacing w:before="240" w:after="240"/>
            </w:pPr>
            <w:sdt>
              <w:sdtPr>
                <w:tag w:val="goog_rdk_142"/>
                <w:id w:val="-66876599"/>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C7FDA96">
            <w:pPr>
              <w:spacing w:before="240" w:after="240"/>
            </w:pPr>
            <w:sdt>
              <w:sdtPr>
                <w:tag w:val="goog_rdk_143"/>
                <w:id w:val="-1923044375"/>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F41437F">
            <w:pPr>
              <w:spacing w:before="240" w:after="240"/>
            </w:pPr>
            <w:sdt>
              <w:sdtPr>
                <w:tag w:val="goog_rdk_144"/>
                <w:id w:val="192322913"/>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FCB185A">
            <w:pPr>
              <w:spacing w:before="240" w:after="240"/>
            </w:pPr>
            <w:r>
              <w:t>Moderate</w:t>
            </w:r>
          </w:p>
        </w:tc>
      </w:tr>
      <w:tr w14:paraId="06E46D2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A35394E">
            <w:pPr>
              <w:spacing w:before="240" w:after="240"/>
            </w:pPr>
            <w:r>
              <w:t>Scroggins (2023)</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CDF7E9F">
            <w:pPr>
              <w:spacing w:before="240" w:after="240"/>
            </w:pPr>
            <w:sdt>
              <w:sdtPr>
                <w:tag w:val="goog_rdk_145"/>
                <w:id w:val="1193156237"/>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5375D99">
            <w:pPr>
              <w:spacing w:before="240" w:after="240"/>
            </w:pPr>
            <w:sdt>
              <w:sdtPr>
                <w:tag w:val="goog_rdk_146"/>
                <w:id w:val="658680508"/>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C8BB57C">
            <w:pPr>
              <w:spacing w:before="240" w:after="240"/>
            </w:pPr>
            <w:sdt>
              <w:sdtPr>
                <w:tag w:val="goog_rdk_147"/>
                <w:id w:val="-772492080"/>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F66C47A">
            <w:pPr>
              <w:spacing w:before="240" w:after="240"/>
            </w:pPr>
            <w:sdt>
              <w:sdtPr>
                <w:tag w:val="goog_rdk_148"/>
                <w:id w:val="-166153763"/>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BF493F5">
            <w:pPr>
              <w:spacing w:before="240" w:after="240"/>
            </w:pPr>
            <w:sdt>
              <w:sdtPr>
                <w:tag w:val="goog_rdk_149"/>
                <w:id w:val="-1117493869"/>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FE0670C">
            <w:pPr>
              <w:spacing w:before="240" w:after="240"/>
            </w:pPr>
            <w:sdt>
              <w:sdtPr>
                <w:tag w:val="goog_rdk_150"/>
                <w:id w:val="-269080970"/>
              </w:sdtPr>
              <w:sdtContent>
                <w:r>
                  <w:rPr>
                    <w:rFonts w:ascii="Arial Unicode MS" w:hAnsi="Arial Unicode MS" w:eastAsia="Arial Unicode MS" w:cs="Arial Unicode MS"/>
                  </w:rPr>
                  <w:t>✓</w:t>
                </w:r>
              </w:sdtContent>
            </w:sdt>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67F130E">
            <w:pPr>
              <w:spacing w:before="240" w:after="240"/>
            </w:pPr>
            <w:sdt>
              <w:sdtPr>
                <w:tag w:val="goog_rdk_151"/>
                <w:id w:val="965622518"/>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8004F87">
            <w:pPr>
              <w:spacing w:before="240" w:after="240"/>
            </w:pPr>
            <w:sdt>
              <w:sdtPr>
                <w:tag w:val="goog_rdk_152"/>
                <w:id w:val="2015979814"/>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EFE8442">
            <w:pPr>
              <w:spacing w:before="240" w:after="240"/>
            </w:pPr>
            <w:sdt>
              <w:sdtPr>
                <w:tag w:val="goog_rdk_153"/>
                <w:id w:val="-213511658"/>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201F762">
            <w:pPr>
              <w:spacing w:before="240" w:after="240"/>
            </w:pPr>
            <w:sdt>
              <w:sdtPr>
                <w:tag w:val="goog_rdk_154"/>
                <w:id w:val="1099440486"/>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9C673B3">
            <w:pPr>
              <w:spacing w:before="240" w:after="240"/>
            </w:pPr>
            <w:r>
              <w:t>High</w:t>
            </w:r>
          </w:p>
        </w:tc>
      </w:tr>
      <w:tr w14:paraId="3327BA9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586005A">
            <w:pPr>
              <w:spacing w:before="240" w:after="240"/>
            </w:pPr>
            <w:r>
              <w:t>Tenaw et al. (2024)</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9F2023A">
            <w:pPr>
              <w:spacing w:before="240" w:after="240"/>
            </w:pPr>
            <w:sdt>
              <w:sdtPr>
                <w:tag w:val="goog_rdk_155"/>
                <w:id w:val="156330400"/>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CC99BB3">
            <w:pPr>
              <w:spacing w:before="240" w:after="240"/>
            </w:pPr>
            <w:sdt>
              <w:sdtPr>
                <w:tag w:val="goog_rdk_156"/>
                <w:id w:val="1087252597"/>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4CE63F1">
            <w:pPr>
              <w:spacing w:before="240" w:after="240"/>
            </w:pPr>
            <w:sdt>
              <w:sdtPr>
                <w:tag w:val="goog_rdk_157"/>
                <w:id w:val="504043311"/>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4A7C392">
            <w:pPr>
              <w:spacing w:before="240" w:after="240"/>
            </w:pPr>
            <w:sdt>
              <w:sdtPr>
                <w:tag w:val="goog_rdk_158"/>
                <w:id w:val="760413240"/>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BD3FB88">
            <w:pPr>
              <w:spacing w:before="240" w:after="240"/>
            </w:pPr>
            <w:sdt>
              <w:sdtPr>
                <w:tag w:val="goog_rdk_159"/>
                <w:id w:val="-473107296"/>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EAF9A63">
            <w:pPr>
              <w:spacing w:before="240" w:after="240"/>
            </w:pPr>
            <w:sdt>
              <w:sdtPr>
                <w:tag w:val="goog_rdk_160"/>
                <w:id w:val="-1867584148"/>
              </w:sdtPr>
              <w:sdtContent>
                <w:r>
                  <w:rPr>
                    <w:rFonts w:ascii="Arial Unicode MS" w:hAnsi="Arial Unicode MS" w:eastAsia="Arial Unicode MS" w:cs="Arial Unicode MS"/>
                  </w:rPr>
                  <w:t>✓</w:t>
                </w:r>
              </w:sdtContent>
            </w:sdt>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ABFCF7A">
            <w:pPr>
              <w:spacing w:before="240" w:after="240"/>
            </w:pPr>
            <w:sdt>
              <w:sdtPr>
                <w:tag w:val="goog_rdk_161"/>
                <w:id w:val="-553788346"/>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ECF043C">
            <w:pPr>
              <w:spacing w:before="240" w:after="240"/>
            </w:pPr>
            <w:sdt>
              <w:sdtPr>
                <w:tag w:val="goog_rdk_162"/>
                <w:id w:val="969440713"/>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B8EEA21">
            <w:pPr>
              <w:spacing w:before="240" w:after="240"/>
            </w:pPr>
            <w:sdt>
              <w:sdtPr>
                <w:tag w:val="goog_rdk_163"/>
                <w:id w:val="-1212971550"/>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EB5E4AB">
            <w:pPr>
              <w:spacing w:before="240" w:after="240"/>
            </w:pPr>
            <w:sdt>
              <w:sdtPr>
                <w:tag w:val="goog_rdk_164"/>
                <w:id w:val="-766140293"/>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180BA85">
            <w:pPr>
              <w:spacing w:before="240" w:after="240"/>
            </w:pPr>
            <w:r>
              <w:t>High</w:t>
            </w:r>
          </w:p>
        </w:tc>
      </w:tr>
      <w:tr w14:paraId="30C83B3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78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5C43162">
            <w:pPr>
              <w:spacing w:before="240" w:after="240"/>
            </w:pPr>
            <w:r>
              <w:t>Tolossa et al. (2024)</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E776467">
            <w:pPr>
              <w:spacing w:before="240" w:after="240"/>
            </w:pPr>
            <w:sdt>
              <w:sdtPr>
                <w:tag w:val="goog_rdk_165"/>
                <w:id w:val="1807554149"/>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CDF2236">
            <w:pPr>
              <w:spacing w:before="240" w:after="240"/>
            </w:pPr>
            <w:sdt>
              <w:sdtPr>
                <w:tag w:val="goog_rdk_166"/>
                <w:id w:val="-1906061198"/>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201ED60">
            <w:pPr>
              <w:spacing w:before="240" w:after="240"/>
            </w:pPr>
            <w:sdt>
              <w:sdtPr>
                <w:tag w:val="goog_rdk_167"/>
                <w:id w:val="702840016"/>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EBDEBD7">
            <w:pPr>
              <w:spacing w:before="240" w:after="240"/>
            </w:pPr>
            <w:sdt>
              <w:sdtPr>
                <w:tag w:val="goog_rdk_168"/>
                <w:id w:val="-550160753"/>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AC6E8B8">
            <w:pPr>
              <w:spacing w:before="240" w:after="240"/>
            </w:pPr>
            <w:sdt>
              <w:sdtPr>
                <w:tag w:val="goog_rdk_169"/>
                <w:id w:val="360835790"/>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3701E3F">
            <w:pPr>
              <w:spacing w:before="240" w:after="240"/>
            </w:pPr>
            <w:sdt>
              <w:sdtPr>
                <w:tag w:val="goog_rdk_170"/>
                <w:id w:val="-1661974123"/>
              </w:sdtPr>
              <w:sdtContent>
                <w:r>
                  <w:rPr>
                    <w:rFonts w:ascii="Arial Unicode MS" w:hAnsi="Arial Unicode MS" w:eastAsia="Arial Unicode MS" w:cs="Arial Unicode MS"/>
                  </w:rPr>
                  <w:t>✓</w:t>
                </w:r>
              </w:sdtContent>
            </w:sdt>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15384F2">
            <w:pPr>
              <w:spacing w:before="240" w:after="240"/>
            </w:pPr>
            <w:sdt>
              <w:sdtPr>
                <w:tag w:val="goog_rdk_171"/>
                <w:id w:val="-1218577231"/>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F5EBB3C">
            <w:pPr>
              <w:spacing w:before="240" w:after="240"/>
            </w:pPr>
            <w:sdt>
              <w:sdtPr>
                <w:tag w:val="goog_rdk_172"/>
                <w:id w:val="-796744350"/>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6228D04">
            <w:pPr>
              <w:spacing w:before="240" w:after="240"/>
            </w:pPr>
            <w:sdt>
              <w:sdtPr>
                <w:tag w:val="goog_rdk_173"/>
                <w:id w:val="1536452892"/>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3582E8D">
            <w:pPr>
              <w:spacing w:before="240" w:after="240"/>
            </w:pPr>
            <w:sdt>
              <w:sdtPr>
                <w:tag w:val="goog_rdk_174"/>
                <w:id w:val="-1343289791"/>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5A8C3AB">
            <w:pPr>
              <w:spacing w:before="240" w:after="240"/>
            </w:pPr>
            <w:r>
              <w:t>High</w:t>
            </w:r>
          </w:p>
        </w:tc>
      </w:tr>
      <w:tr w14:paraId="5282EF4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32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65DB6B6">
            <w:pPr>
              <w:spacing w:before="240" w:after="240"/>
            </w:pPr>
            <w:r>
              <w:t>World Health Organization (2024)</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AF69397">
            <w:pPr>
              <w:spacing w:before="240" w:after="240"/>
            </w:pPr>
            <w:sdt>
              <w:sdtPr>
                <w:tag w:val="goog_rdk_175"/>
                <w:id w:val="82987474"/>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4666909">
            <w:pPr>
              <w:spacing w:before="240" w:after="240"/>
            </w:pPr>
            <w:sdt>
              <w:sdtPr>
                <w:tag w:val="goog_rdk_176"/>
                <w:id w:val="910795739"/>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3652AD8">
            <w:pPr>
              <w:spacing w:before="240" w:after="240"/>
            </w:pPr>
            <w:sdt>
              <w:sdtPr>
                <w:tag w:val="goog_rdk_177"/>
                <w:id w:val="1114132360"/>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14A251C">
            <w:pPr>
              <w:spacing w:before="240" w:after="240"/>
            </w:pPr>
            <w:sdt>
              <w:sdtPr>
                <w:tag w:val="goog_rdk_178"/>
                <w:id w:val="891639135"/>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3985714">
            <w:pPr>
              <w:spacing w:before="240" w:after="240"/>
            </w:pPr>
            <w:sdt>
              <w:sdtPr>
                <w:tag w:val="goog_rdk_179"/>
                <w:id w:val="-203785671"/>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CCE740D">
            <w:pPr>
              <w:spacing w:before="240" w:after="240"/>
            </w:pPr>
            <w:r>
              <w:t>N/A</w:t>
            </w:r>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D3DD74C">
            <w:pPr>
              <w:spacing w:before="240" w:after="240"/>
            </w:pPr>
            <w:sdt>
              <w:sdtPr>
                <w:tag w:val="goog_rdk_180"/>
                <w:id w:val="-1301856678"/>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D4806B5">
            <w:pPr>
              <w:spacing w:before="240" w:after="240"/>
            </w:pPr>
            <w:sdt>
              <w:sdtPr>
                <w:tag w:val="goog_rdk_181"/>
                <w:id w:val="-1642323310"/>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DA1FFF0">
            <w:pPr>
              <w:spacing w:before="240" w:after="240"/>
            </w:pPr>
            <w:sdt>
              <w:sdtPr>
                <w:tag w:val="goog_rdk_182"/>
                <w:id w:val="-1298272111"/>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05C831E">
            <w:pPr>
              <w:spacing w:before="240" w:after="240"/>
            </w:pPr>
            <w:sdt>
              <w:sdtPr>
                <w:tag w:val="goog_rdk_183"/>
                <w:id w:val="461402639"/>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D1DB0B4">
            <w:pPr>
              <w:spacing w:before="240" w:after="240"/>
            </w:pPr>
            <w:r>
              <w:t>High*</w:t>
            </w:r>
          </w:p>
        </w:tc>
      </w:tr>
      <w:tr w14:paraId="263E84C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325" w:hRule="atLeast"/>
        </w:trPr>
        <w:tc>
          <w:tcPr>
            <w:tcW w:w="9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B3ACEB2">
            <w:pPr>
              <w:spacing w:before="240" w:after="240"/>
            </w:pPr>
            <w:r>
              <w:t>NHS England Digital (2026)</w:t>
            </w:r>
          </w:p>
        </w:tc>
        <w:tc>
          <w:tcPr>
            <w:tcW w:w="50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766BECD">
            <w:pPr>
              <w:spacing w:before="240" w:after="240"/>
            </w:pPr>
            <w:sdt>
              <w:sdtPr>
                <w:tag w:val="goog_rdk_184"/>
                <w:id w:val="1079261238"/>
              </w:sdtPr>
              <w:sdtContent>
                <w:r>
                  <w:rPr>
                    <w:rFonts w:ascii="Arial Unicode MS" w:hAnsi="Arial Unicode MS" w:eastAsia="Arial Unicode MS" w:cs="Arial Unicode MS"/>
                  </w:rPr>
                  <w:t>✓</w:t>
                </w:r>
              </w:sdtContent>
            </w:sdt>
          </w:p>
        </w:tc>
        <w:tc>
          <w:tcPr>
            <w:tcW w:w="9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7E843F8">
            <w:pPr>
              <w:spacing w:before="240" w:after="240"/>
            </w:pPr>
            <w:sdt>
              <w:sdtPr>
                <w:tag w:val="goog_rdk_185"/>
                <w:id w:val="1549046456"/>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94443E8">
            <w:pPr>
              <w:spacing w:before="240" w:after="240"/>
            </w:pPr>
            <w:sdt>
              <w:sdtPr>
                <w:tag w:val="goog_rdk_186"/>
                <w:id w:val="329713873"/>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6D2DBFF">
            <w:pPr>
              <w:spacing w:before="240" w:after="240"/>
            </w:pPr>
            <w:sdt>
              <w:sdtPr>
                <w:tag w:val="goog_rdk_187"/>
                <w:id w:val="974795748"/>
              </w:sdtPr>
              <w:sdtContent>
                <w:r>
                  <w:rPr>
                    <w:rFonts w:ascii="Arial Unicode MS" w:hAnsi="Arial Unicode MS" w:eastAsia="Arial Unicode MS" w:cs="Arial Unicode MS"/>
                  </w:rPr>
                  <w:t>✓</w:t>
                </w:r>
              </w:sdtContent>
            </w:sdt>
          </w:p>
        </w:tc>
        <w:tc>
          <w:tcPr>
            <w:tcW w:w="7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6104B80">
            <w:pPr>
              <w:spacing w:before="240" w:after="240"/>
            </w:pPr>
            <w:sdt>
              <w:sdtPr>
                <w:tag w:val="goog_rdk_188"/>
                <w:id w:val="-437699107"/>
              </w:sdtPr>
              <w:sdtContent>
                <w:r>
                  <w:rPr>
                    <w:rFonts w:ascii="Arial Unicode MS" w:hAnsi="Arial Unicode MS" w:eastAsia="Arial Unicode MS" w:cs="Arial Unicode MS"/>
                  </w:rPr>
                  <w:t>✓</w:t>
                </w:r>
              </w:sdtContent>
            </w:sdt>
          </w:p>
        </w:tc>
        <w:tc>
          <w:tcPr>
            <w:tcW w:w="96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0306F8E">
            <w:pPr>
              <w:spacing w:before="240" w:after="240"/>
            </w:pPr>
            <w:r>
              <w:t>N/A</w:t>
            </w:r>
          </w:p>
        </w:tc>
        <w:tc>
          <w:tcPr>
            <w:tcW w:w="55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4D55DA9">
            <w:pPr>
              <w:spacing w:before="240" w:after="240"/>
            </w:pPr>
            <w:sdt>
              <w:sdtPr>
                <w:tag w:val="goog_rdk_189"/>
                <w:id w:val="-1632750792"/>
              </w:sdtPr>
              <w:sdtContent>
                <w:r>
                  <w:rPr>
                    <w:rFonts w:ascii="Arial Unicode MS" w:hAnsi="Arial Unicode MS" w:eastAsia="Arial Unicode MS" w:cs="Arial Unicode MS"/>
                  </w:rPr>
                  <w:t>✓</w:t>
                </w:r>
              </w:sdtContent>
            </w:sdt>
          </w:p>
        </w:tc>
        <w:tc>
          <w:tcPr>
            <w:tcW w:w="73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91C3547">
            <w:pPr>
              <w:spacing w:before="240" w:after="240"/>
            </w:pPr>
            <w:sdt>
              <w:sdtPr>
                <w:tag w:val="goog_rdk_190"/>
                <w:id w:val="1654071326"/>
              </w:sdtPr>
              <w:sdtContent>
                <w:r>
                  <w:rPr>
                    <w:rFonts w:ascii="Arial Unicode MS" w:hAnsi="Arial Unicode MS" w:eastAsia="Arial Unicode MS" w:cs="Arial Unicode MS"/>
                  </w:rPr>
                  <w:t>✓</w:t>
                </w:r>
              </w:sdtContent>
            </w:sdt>
          </w:p>
        </w:tc>
        <w:tc>
          <w:tcPr>
            <w:tcW w:w="71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002DE74">
            <w:pPr>
              <w:spacing w:before="240" w:after="240"/>
            </w:pPr>
            <w:sdt>
              <w:sdtPr>
                <w:tag w:val="goog_rdk_191"/>
                <w:id w:val="116424108"/>
              </w:sdtPr>
              <w:sdtContent>
                <w:r>
                  <w:rPr>
                    <w:rFonts w:ascii="Arial Unicode MS" w:hAnsi="Arial Unicode MS" w:eastAsia="Arial Unicode MS" w:cs="Arial Unicode MS"/>
                  </w:rPr>
                  <w:t>✓</w:t>
                </w:r>
              </w:sdtContent>
            </w:sdt>
          </w:p>
        </w:tc>
        <w:tc>
          <w:tcPr>
            <w:tcW w:w="742"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A109853">
            <w:pPr>
              <w:spacing w:before="240" w:after="240"/>
            </w:pPr>
            <w:sdt>
              <w:sdtPr>
                <w:tag w:val="goog_rdk_192"/>
                <w:id w:val="612821203"/>
              </w:sdtPr>
              <w:sdtContent>
                <w:r>
                  <w:rPr>
                    <w:rFonts w:ascii="Arial Unicode MS" w:hAnsi="Arial Unicode MS" w:eastAsia="Arial Unicode MS" w:cs="Arial Unicode MS"/>
                  </w:rPr>
                  <w:t>✓</w:t>
                </w:r>
              </w:sdtContent>
            </w:sdt>
          </w:p>
        </w:tc>
        <w:tc>
          <w:tcPr>
            <w:tcW w:w="72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A2CD5C7">
            <w:pPr>
              <w:spacing w:before="240" w:after="240"/>
            </w:pPr>
            <w:r>
              <w:t>High*</w:t>
            </w:r>
          </w:p>
        </w:tc>
      </w:tr>
    </w:tbl>
    <w:p w14:paraId="067210AC">
      <w:pPr>
        <w:spacing w:before="240" w:after="240"/>
      </w:pPr>
      <w:r>
        <w:rPr>
          <w:b/>
          <w:bCs/>
        </w:rPr>
        <w:t>Key:</w:t>
      </w:r>
      <w:sdt>
        <w:sdtPr>
          <w:tag w:val="goog_rdk_193"/>
          <w:id w:val="-1539342202"/>
        </w:sdtPr>
        <w:sdtContent>
          <w:r>
            <w:rPr>
              <w:rFonts w:ascii="Arial Unicode MS" w:hAnsi="Arial Unicode MS" w:eastAsia="Arial Unicode MS" w:cs="Arial Unicode MS"/>
            </w:rPr>
            <w:t xml:space="preserve"> ✓ = Criterion met; </w:t>
          </w:r>
        </w:sdtContent>
      </w:sdt>
      <w:r>
        <w:rPr>
          <w:b/>
          <w:bCs/>
        </w:rPr>
        <w:t>N/A</w:t>
      </w:r>
      <w:r>
        <w:t xml:space="preserve"> = Not applicable (for reviews, reports or policy documents).</w:t>
      </w:r>
    </w:p>
    <w:p w14:paraId="54D3427B">
      <w:pPr>
        <w:pStyle w:val="3"/>
        <w:keepNext w:val="0"/>
        <w:keepLines w:val="0"/>
        <w:spacing w:before="280"/>
      </w:pPr>
      <w:bookmarkStart w:id="85" w:name="_Toc238235739"/>
      <w:r>
        <w:t>Appendix C: JBI Critical Appraisal of Quantitative Studies</w:t>
      </w:r>
      <w:bookmarkEnd w:id="85"/>
    </w:p>
    <w:tbl>
      <w:tblPr>
        <w:tblStyle w:val="35"/>
        <w:tblW w:w="936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1098"/>
        <w:gridCol w:w="1276"/>
        <w:gridCol w:w="1085"/>
        <w:gridCol w:w="1119"/>
        <w:gridCol w:w="1220"/>
        <w:gridCol w:w="1176"/>
        <w:gridCol w:w="1119"/>
        <w:gridCol w:w="516"/>
        <w:gridCol w:w="751"/>
      </w:tblGrid>
      <w:tr w14:paraId="60C6FBE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055" w:hRule="atLeast"/>
        </w:trPr>
        <w:tc>
          <w:tcPr>
            <w:tcW w:w="10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1C959C0">
            <w:pPr>
              <w:spacing w:before="240" w:after="240"/>
              <w:jc w:val="center"/>
            </w:pPr>
            <w:r>
              <w:rPr>
                <w:b/>
                <w:bCs/>
              </w:rPr>
              <w:t>Author (Year)</w:t>
            </w:r>
          </w:p>
        </w:tc>
        <w:tc>
          <w:tcPr>
            <w:tcW w:w="127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6A111FD">
            <w:pPr>
              <w:spacing w:before="240" w:after="240"/>
              <w:jc w:val="center"/>
            </w:pPr>
            <w:r>
              <w:rPr>
                <w:b/>
                <w:bCs/>
              </w:rPr>
              <w:t>Article Title</w:t>
            </w:r>
          </w:p>
        </w:tc>
        <w:tc>
          <w:tcPr>
            <w:tcW w:w="108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6135043">
            <w:pPr>
              <w:spacing w:before="240" w:after="240"/>
              <w:jc w:val="center"/>
            </w:pPr>
            <w:r>
              <w:rPr>
                <w:b/>
                <w:bCs/>
              </w:rPr>
              <w:t>Study Design</w:t>
            </w:r>
          </w:p>
        </w:tc>
        <w:tc>
          <w:tcPr>
            <w:tcW w:w="111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49854E2">
            <w:pPr>
              <w:spacing w:before="240" w:after="240"/>
              <w:jc w:val="center"/>
            </w:pPr>
            <w:r>
              <w:rPr>
                <w:b/>
                <w:bCs/>
              </w:rPr>
              <w:t>Sampling Appropriate</w:t>
            </w:r>
          </w:p>
        </w:tc>
        <w:tc>
          <w:tcPr>
            <w:tcW w:w="12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7485CF3">
            <w:pPr>
              <w:spacing w:before="240" w:after="240"/>
              <w:jc w:val="center"/>
            </w:pPr>
            <w:r>
              <w:rPr>
                <w:b/>
                <w:bCs/>
              </w:rPr>
              <w:t>Valid &amp; Reliable Measurement</w:t>
            </w:r>
          </w:p>
        </w:tc>
        <w:tc>
          <w:tcPr>
            <w:tcW w:w="117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E4C10FB">
            <w:pPr>
              <w:spacing w:before="240" w:after="240"/>
              <w:jc w:val="center"/>
            </w:pPr>
            <w:r>
              <w:rPr>
                <w:b/>
                <w:bCs/>
              </w:rPr>
              <w:t>Confounding Factors Addressed</w:t>
            </w:r>
          </w:p>
        </w:tc>
        <w:tc>
          <w:tcPr>
            <w:tcW w:w="111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D67039D">
            <w:pPr>
              <w:spacing w:before="240" w:after="240"/>
              <w:jc w:val="center"/>
            </w:pPr>
            <w:r>
              <w:rPr>
                <w:b/>
                <w:bCs/>
              </w:rPr>
              <w:t>Appropriate Statistical Analysis</w:t>
            </w:r>
          </w:p>
        </w:tc>
        <w:tc>
          <w:tcPr>
            <w:tcW w:w="51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BA005D3">
            <w:pPr>
              <w:spacing w:before="240" w:after="240"/>
              <w:jc w:val="center"/>
            </w:pPr>
            <w:r>
              <w:rPr>
                <w:b/>
                <w:bCs/>
              </w:rPr>
              <w:t>Risk of Bias</w:t>
            </w:r>
          </w:p>
        </w:tc>
        <w:tc>
          <w:tcPr>
            <w:tcW w:w="75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9700E19">
            <w:pPr>
              <w:spacing w:before="240" w:after="240"/>
              <w:jc w:val="center"/>
            </w:pPr>
            <w:r>
              <w:rPr>
                <w:b/>
                <w:bCs/>
              </w:rPr>
              <w:t>Overall Quality</w:t>
            </w:r>
          </w:p>
        </w:tc>
      </w:tr>
      <w:tr w14:paraId="26CC087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975" w:hRule="atLeast"/>
        </w:trPr>
        <w:tc>
          <w:tcPr>
            <w:tcW w:w="10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0FF80F6">
            <w:pPr>
              <w:spacing w:before="240" w:after="240"/>
            </w:pPr>
            <w:r>
              <w:t>Abdul Rahim et al. (2024)</w:t>
            </w:r>
          </w:p>
        </w:tc>
        <w:tc>
          <w:tcPr>
            <w:tcW w:w="127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23CBAD8">
            <w:pPr>
              <w:spacing w:before="240" w:after="240"/>
            </w:pPr>
            <w:r>
              <w:rPr>
                <w:i/>
                <w:iCs/>
              </w:rPr>
              <w:t>Mental Health Outcomes Beyond the Post-Partum Period Among Adolescent Mothers: A Systematic Review and Meta-analysis</w:t>
            </w:r>
          </w:p>
        </w:tc>
        <w:tc>
          <w:tcPr>
            <w:tcW w:w="108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0A30B2E">
            <w:pPr>
              <w:spacing w:before="240" w:after="240"/>
            </w:pPr>
            <w:r>
              <w:t>Systematic review &amp; meta-analysis</w:t>
            </w:r>
          </w:p>
        </w:tc>
        <w:tc>
          <w:tcPr>
            <w:tcW w:w="111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4F84805">
            <w:pPr>
              <w:spacing w:before="240" w:after="240"/>
            </w:pPr>
            <w:sdt>
              <w:sdtPr>
                <w:tag w:val="goog_rdk_194"/>
                <w:id w:val="325235589"/>
              </w:sdtPr>
              <w:sdtContent>
                <w:r>
                  <w:rPr>
                    <w:rFonts w:ascii="Arial Unicode MS" w:hAnsi="Arial Unicode MS" w:eastAsia="Arial Unicode MS" w:cs="Arial Unicode MS"/>
                  </w:rPr>
                  <w:t>✓</w:t>
                </w:r>
              </w:sdtContent>
            </w:sdt>
          </w:p>
        </w:tc>
        <w:tc>
          <w:tcPr>
            <w:tcW w:w="12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B45E6E3">
            <w:pPr>
              <w:spacing w:before="240" w:after="240"/>
            </w:pPr>
            <w:sdt>
              <w:sdtPr>
                <w:tag w:val="goog_rdk_195"/>
                <w:id w:val="-1838499677"/>
              </w:sdtPr>
              <w:sdtContent>
                <w:r>
                  <w:rPr>
                    <w:rFonts w:ascii="Arial Unicode MS" w:hAnsi="Arial Unicode MS" w:eastAsia="Arial Unicode MS" w:cs="Arial Unicode MS"/>
                  </w:rPr>
                  <w:t>✓</w:t>
                </w:r>
              </w:sdtContent>
            </w:sdt>
          </w:p>
        </w:tc>
        <w:tc>
          <w:tcPr>
            <w:tcW w:w="117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FA5D5D9">
            <w:pPr>
              <w:spacing w:before="240" w:after="240"/>
            </w:pPr>
            <w:sdt>
              <w:sdtPr>
                <w:tag w:val="goog_rdk_196"/>
                <w:id w:val="1162580290"/>
              </w:sdtPr>
              <w:sdtContent>
                <w:r>
                  <w:rPr>
                    <w:rFonts w:ascii="Arial Unicode MS" w:hAnsi="Arial Unicode MS" w:eastAsia="Arial Unicode MS" w:cs="Arial Unicode MS"/>
                  </w:rPr>
                  <w:t>✓</w:t>
                </w:r>
              </w:sdtContent>
            </w:sdt>
          </w:p>
        </w:tc>
        <w:tc>
          <w:tcPr>
            <w:tcW w:w="111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D57192B">
            <w:pPr>
              <w:spacing w:before="240" w:after="240"/>
            </w:pPr>
            <w:sdt>
              <w:sdtPr>
                <w:tag w:val="goog_rdk_197"/>
                <w:id w:val="367343568"/>
              </w:sdtPr>
              <w:sdtContent>
                <w:r>
                  <w:rPr>
                    <w:rFonts w:ascii="Arial Unicode MS" w:hAnsi="Arial Unicode MS" w:eastAsia="Arial Unicode MS" w:cs="Arial Unicode MS"/>
                  </w:rPr>
                  <w:t>✓</w:t>
                </w:r>
              </w:sdtContent>
            </w:sdt>
          </w:p>
        </w:tc>
        <w:tc>
          <w:tcPr>
            <w:tcW w:w="51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48EF43E">
            <w:pPr>
              <w:spacing w:before="240" w:after="240"/>
            </w:pPr>
            <w:r>
              <w:t>Low</w:t>
            </w:r>
          </w:p>
        </w:tc>
        <w:tc>
          <w:tcPr>
            <w:tcW w:w="75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AC506F3">
            <w:pPr>
              <w:spacing w:before="240" w:after="240"/>
            </w:pPr>
            <w:r>
              <w:t>High</w:t>
            </w:r>
          </w:p>
        </w:tc>
      </w:tr>
      <w:tr w14:paraId="44F5908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530" w:hRule="atLeast"/>
        </w:trPr>
        <w:tc>
          <w:tcPr>
            <w:tcW w:w="10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D487A09">
            <w:pPr>
              <w:spacing w:before="240" w:after="240"/>
            </w:pPr>
            <w:r>
              <w:t>Ahadi-Yulghunlu et al. (2026)</w:t>
            </w:r>
          </w:p>
        </w:tc>
        <w:tc>
          <w:tcPr>
            <w:tcW w:w="127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F779C33">
            <w:pPr>
              <w:spacing w:before="240" w:after="240"/>
            </w:pPr>
            <w:r>
              <w:rPr>
                <w:i/>
                <w:iCs/>
              </w:rPr>
              <w:t>The Prevalence and Predictors of Postpartum Psychological Outcomes Among Adolescent Mothers: A Systematic Review and Meta-analysis</w:t>
            </w:r>
          </w:p>
        </w:tc>
        <w:tc>
          <w:tcPr>
            <w:tcW w:w="108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04BCF5F">
            <w:pPr>
              <w:spacing w:before="240" w:after="240"/>
            </w:pPr>
            <w:r>
              <w:t>Systematic review &amp; meta-analysis</w:t>
            </w:r>
          </w:p>
        </w:tc>
        <w:tc>
          <w:tcPr>
            <w:tcW w:w="111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FA693C0">
            <w:pPr>
              <w:spacing w:before="240" w:after="240"/>
            </w:pPr>
            <w:sdt>
              <w:sdtPr>
                <w:tag w:val="goog_rdk_198"/>
                <w:id w:val="-1169377735"/>
              </w:sdtPr>
              <w:sdtContent>
                <w:r>
                  <w:rPr>
                    <w:rFonts w:ascii="Arial Unicode MS" w:hAnsi="Arial Unicode MS" w:eastAsia="Arial Unicode MS" w:cs="Arial Unicode MS"/>
                  </w:rPr>
                  <w:t>✓</w:t>
                </w:r>
              </w:sdtContent>
            </w:sdt>
          </w:p>
        </w:tc>
        <w:tc>
          <w:tcPr>
            <w:tcW w:w="12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456074D">
            <w:pPr>
              <w:spacing w:before="240" w:after="240"/>
            </w:pPr>
            <w:sdt>
              <w:sdtPr>
                <w:tag w:val="goog_rdk_199"/>
                <w:id w:val="154809897"/>
              </w:sdtPr>
              <w:sdtContent>
                <w:r>
                  <w:rPr>
                    <w:rFonts w:ascii="Arial Unicode MS" w:hAnsi="Arial Unicode MS" w:eastAsia="Arial Unicode MS" w:cs="Arial Unicode MS"/>
                  </w:rPr>
                  <w:t>✓</w:t>
                </w:r>
              </w:sdtContent>
            </w:sdt>
          </w:p>
        </w:tc>
        <w:tc>
          <w:tcPr>
            <w:tcW w:w="117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922EC01">
            <w:pPr>
              <w:spacing w:before="240" w:after="240"/>
            </w:pPr>
            <w:sdt>
              <w:sdtPr>
                <w:tag w:val="goog_rdk_200"/>
                <w:id w:val="-2042564627"/>
              </w:sdtPr>
              <w:sdtContent>
                <w:r>
                  <w:rPr>
                    <w:rFonts w:ascii="Arial Unicode MS" w:hAnsi="Arial Unicode MS" w:eastAsia="Arial Unicode MS" w:cs="Arial Unicode MS"/>
                  </w:rPr>
                  <w:t>✓</w:t>
                </w:r>
              </w:sdtContent>
            </w:sdt>
          </w:p>
        </w:tc>
        <w:tc>
          <w:tcPr>
            <w:tcW w:w="111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5AAC34B">
            <w:pPr>
              <w:spacing w:before="240" w:after="240"/>
            </w:pPr>
            <w:sdt>
              <w:sdtPr>
                <w:tag w:val="goog_rdk_201"/>
                <w:id w:val="1179843563"/>
              </w:sdtPr>
              <w:sdtContent>
                <w:r>
                  <w:rPr>
                    <w:rFonts w:ascii="Arial Unicode MS" w:hAnsi="Arial Unicode MS" w:eastAsia="Arial Unicode MS" w:cs="Arial Unicode MS"/>
                  </w:rPr>
                  <w:t>✓</w:t>
                </w:r>
              </w:sdtContent>
            </w:sdt>
          </w:p>
        </w:tc>
        <w:tc>
          <w:tcPr>
            <w:tcW w:w="51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E0D1B9B">
            <w:pPr>
              <w:spacing w:before="240" w:after="240"/>
            </w:pPr>
            <w:r>
              <w:t>Low</w:t>
            </w:r>
          </w:p>
        </w:tc>
        <w:tc>
          <w:tcPr>
            <w:tcW w:w="75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1151E21">
            <w:pPr>
              <w:spacing w:before="240" w:after="240"/>
            </w:pPr>
            <w:r>
              <w:t>High</w:t>
            </w:r>
          </w:p>
        </w:tc>
      </w:tr>
      <w:tr w14:paraId="7772989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435" w:hRule="atLeast"/>
        </w:trPr>
        <w:tc>
          <w:tcPr>
            <w:tcW w:w="10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812F8A9">
            <w:pPr>
              <w:spacing w:before="240" w:after="240"/>
            </w:pPr>
            <w:r>
              <w:t>Clarke et al. (2024)</w:t>
            </w:r>
          </w:p>
        </w:tc>
        <w:tc>
          <w:tcPr>
            <w:tcW w:w="127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615C890">
            <w:pPr>
              <w:spacing w:before="240" w:after="240"/>
            </w:pPr>
            <w:r>
              <w:rPr>
                <w:i/>
                <w:iCs/>
              </w:rPr>
              <w:t>Digital Screening for Mental Health in Pregnancy and Postpartum: A Systematic Review</w:t>
            </w:r>
          </w:p>
        </w:tc>
        <w:tc>
          <w:tcPr>
            <w:tcW w:w="108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E905AAD">
            <w:pPr>
              <w:spacing w:before="240" w:after="240"/>
            </w:pPr>
            <w:r>
              <w:t>Systematic review</w:t>
            </w:r>
          </w:p>
        </w:tc>
        <w:tc>
          <w:tcPr>
            <w:tcW w:w="111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AAA5BDF">
            <w:pPr>
              <w:spacing w:before="240" w:after="240"/>
            </w:pPr>
            <w:sdt>
              <w:sdtPr>
                <w:tag w:val="goog_rdk_202"/>
                <w:id w:val="1765530512"/>
              </w:sdtPr>
              <w:sdtContent>
                <w:r>
                  <w:rPr>
                    <w:rFonts w:ascii="Arial Unicode MS" w:hAnsi="Arial Unicode MS" w:eastAsia="Arial Unicode MS" w:cs="Arial Unicode MS"/>
                  </w:rPr>
                  <w:t>✓</w:t>
                </w:r>
              </w:sdtContent>
            </w:sdt>
          </w:p>
        </w:tc>
        <w:tc>
          <w:tcPr>
            <w:tcW w:w="12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0E6F33E">
            <w:pPr>
              <w:spacing w:before="240" w:after="240"/>
            </w:pPr>
            <w:sdt>
              <w:sdtPr>
                <w:tag w:val="goog_rdk_203"/>
                <w:id w:val="1094631486"/>
              </w:sdtPr>
              <w:sdtContent>
                <w:r>
                  <w:rPr>
                    <w:rFonts w:ascii="Arial Unicode MS" w:hAnsi="Arial Unicode MS" w:eastAsia="Arial Unicode MS" w:cs="Arial Unicode MS"/>
                  </w:rPr>
                  <w:t>✓</w:t>
                </w:r>
              </w:sdtContent>
            </w:sdt>
          </w:p>
        </w:tc>
        <w:tc>
          <w:tcPr>
            <w:tcW w:w="117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E14058F">
            <w:pPr>
              <w:spacing w:before="240" w:after="240"/>
            </w:pPr>
            <w:sdt>
              <w:sdtPr>
                <w:tag w:val="goog_rdk_204"/>
                <w:id w:val="1101762905"/>
              </w:sdtPr>
              <w:sdtContent>
                <w:r>
                  <w:rPr>
                    <w:rFonts w:ascii="Arial Unicode MS" w:hAnsi="Arial Unicode MS" w:eastAsia="Arial Unicode MS" w:cs="Arial Unicode MS"/>
                  </w:rPr>
                  <w:t>✓</w:t>
                </w:r>
              </w:sdtContent>
            </w:sdt>
          </w:p>
        </w:tc>
        <w:tc>
          <w:tcPr>
            <w:tcW w:w="111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5036DF2">
            <w:pPr>
              <w:spacing w:before="240" w:after="240"/>
            </w:pPr>
            <w:sdt>
              <w:sdtPr>
                <w:tag w:val="goog_rdk_205"/>
                <w:id w:val="1545751603"/>
              </w:sdtPr>
              <w:sdtContent>
                <w:r>
                  <w:rPr>
                    <w:rFonts w:ascii="Arial Unicode MS" w:hAnsi="Arial Unicode MS" w:eastAsia="Arial Unicode MS" w:cs="Arial Unicode MS"/>
                  </w:rPr>
                  <w:t>✓</w:t>
                </w:r>
              </w:sdtContent>
            </w:sdt>
          </w:p>
        </w:tc>
        <w:tc>
          <w:tcPr>
            <w:tcW w:w="51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FB25857">
            <w:pPr>
              <w:spacing w:before="240" w:after="240"/>
            </w:pPr>
            <w:r>
              <w:t>Low</w:t>
            </w:r>
          </w:p>
        </w:tc>
        <w:tc>
          <w:tcPr>
            <w:tcW w:w="75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275DA90">
            <w:pPr>
              <w:spacing w:before="240" w:after="240"/>
            </w:pPr>
            <w:r>
              <w:t>High</w:t>
            </w:r>
          </w:p>
        </w:tc>
      </w:tr>
      <w:tr w14:paraId="64E0B28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800" w:hRule="atLeast"/>
        </w:trPr>
        <w:tc>
          <w:tcPr>
            <w:tcW w:w="10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BCCFB90">
            <w:pPr>
              <w:spacing w:before="240" w:after="240"/>
            </w:pPr>
            <w:r>
              <w:t>Tolossa et al. (2024)</w:t>
            </w:r>
          </w:p>
        </w:tc>
        <w:tc>
          <w:tcPr>
            <w:tcW w:w="127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0778F90">
            <w:pPr>
              <w:spacing w:before="240" w:after="240"/>
            </w:pPr>
            <w:r>
              <w:rPr>
                <w:i/>
                <w:iCs/>
              </w:rPr>
              <w:t>Adolescent Maternal Health Services Utilisation and Associated Barriers in Sub-Saharan Africa: A Comprehensive Systematic Review and Meta-analysis</w:t>
            </w:r>
          </w:p>
        </w:tc>
        <w:tc>
          <w:tcPr>
            <w:tcW w:w="108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6E77F21">
            <w:pPr>
              <w:spacing w:before="240" w:after="240"/>
            </w:pPr>
            <w:r>
              <w:t>Systematic review &amp; meta-analysis</w:t>
            </w:r>
          </w:p>
        </w:tc>
        <w:tc>
          <w:tcPr>
            <w:tcW w:w="111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7B79503">
            <w:pPr>
              <w:spacing w:before="240" w:after="240"/>
            </w:pPr>
            <w:sdt>
              <w:sdtPr>
                <w:tag w:val="goog_rdk_206"/>
                <w:id w:val="-176246103"/>
              </w:sdtPr>
              <w:sdtContent>
                <w:r>
                  <w:rPr>
                    <w:rFonts w:ascii="Arial Unicode MS" w:hAnsi="Arial Unicode MS" w:eastAsia="Arial Unicode MS" w:cs="Arial Unicode MS"/>
                  </w:rPr>
                  <w:t>✓</w:t>
                </w:r>
              </w:sdtContent>
            </w:sdt>
          </w:p>
        </w:tc>
        <w:tc>
          <w:tcPr>
            <w:tcW w:w="12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5645170">
            <w:pPr>
              <w:spacing w:before="240" w:after="240"/>
            </w:pPr>
            <w:sdt>
              <w:sdtPr>
                <w:tag w:val="goog_rdk_207"/>
                <w:id w:val="-268536330"/>
              </w:sdtPr>
              <w:sdtContent>
                <w:r>
                  <w:rPr>
                    <w:rFonts w:ascii="Arial Unicode MS" w:hAnsi="Arial Unicode MS" w:eastAsia="Arial Unicode MS" w:cs="Arial Unicode MS"/>
                  </w:rPr>
                  <w:t>✓</w:t>
                </w:r>
              </w:sdtContent>
            </w:sdt>
          </w:p>
        </w:tc>
        <w:tc>
          <w:tcPr>
            <w:tcW w:w="117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3D0C5F3">
            <w:pPr>
              <w:spacing w:before="240" w:after="240"/>
            </w:pPr>
            <w:sdt>
              <w:sdtPr>
                <w:tag w:val="goog_rdk_208"/>
                <w:id w:val="1676024061"/>
              </w:sdtPr>
              <w:sdtContent>
                <w:r>
                  <w:rPr>
                    <w:rFonts w:ascii="Arial Unicode MS" w:hAnsi="Arial Unicode MS" w:eastAsia="Arial Unicode MS" w:cs="Arial Unicode MS"/>
                  </w:rPr>
                  <w:t>✓</w:t>
                </w:r>
              </w:sdtContent>
            </w:sdt>
          </w:p>
        </w:tc>
        <w:tc>
          <w:tcPr>
            <w:tcW w:w="111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0C37F2E">
            <w:pPr>
              <w:spacing w:before="240" w:after="240"/>
            </w:pPr>
            <w:sdt>
              <w:sdtPr>
                <w:tag w:val="goog_rdk_209"/>
                <w:id w:val="693750689"/>
              </w:sdtPr>
              <w:sdtContent>
                <w:r>
                  <w:rPr>
                    <w:rFonts w:ascii="Arial Unicode MS" w:hAnsi="Arial Unicode MS" w:eastAsia="Arial Unicode MS" w:cs="Arial Unicode MS"/>
                  </w:rPr>
                  <w:t>✓</w:t>
                </w:r>
              </w:sdtContent>
            </w:sdt>
          </w:p>
        </w:tc>
        <w:tc>
          <w:tcPr>
            <w:tcW w:w="51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D05F39E">
            <w:pPr>
              <w:spacing w:before="240" w:after="240"/>
            </w:pPr>
            <w:r>
              <w:t>Low</w:t>
            </w:r>
          </w:p>
        </w:tc>
        <w:tc>
          <w:tcPr>
            <w:tcW w:w="75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F7D1619">
            <w:pPr>
              <w:spacing w:before="240" w:after="240"/>
            </w:pPr>
            <w:r>
              <w:t>High</w:t>
            </w:r>
          </w:p>
        </w:tc>
      </w:tr>
      <w:tr w14:paraId="7AA8811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705" w:hRule="atLeast"/>
        </w:trPr>
        <w:tc>
          <w:tcPr>
            <w:tcW w:w="10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7F0065D">
            <w:pPr>
              <w:spacing w:before="240" w:after="240"/>
              <w:ind w:left="720"/>
            </w:pPr>
            <w:r>
              <w:t xml:space="preserve">World Health </w:t>
            </w:r>
          </w:p>
          <w:p w14:paraId="497D67B0">
            <w:pPr>
              <w:spacing w:before="240" w:after="240"/>
            </w:pPr>
            <w:r>
              <w:t xml:space="preserve"> (2024)</w:t>
            </w:r>
          </w:p>
        </w:tc>
        <w:tc>
          <w:tcPr>
            <w:tcW w:w="127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044EF53">
            <w:pPr>
              <w:spacing w:before="240" w:after="240"/>
            </w:pPr>
            <w:r>
              <w:rPr>
                <w:i/>
                <w:iCs/>
              </w:rPr>
              <w:t>Sexual, Reproductive, Maternal, Newborn, Child and Adolescent Health: Report on the 2023 Policy Survey</w:t>
            </w:r>
          </w:p>
        </w:tc>
        <w:tc>
          <w:tcPr>
            <w:tcW w:w="108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8F0DE7F">
            <w:pPr>
              <w:spacing w:before="240" w:after="240"/>
            </w:pPr>
            <w:r>
              <w:t>International evidence report</w:t>
            </w:r>
          </w:p>
        </w:tc>
        <w:tc>
          <w:tcPr>
            <w:tcW w:w="111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E7F31CF">
            <w:pPr>
              <w:spacing w:before="240" w:after="240"/>
            </w:pPr>
            <w:sdt>
              <w:sdtPr>
                <w:tag w:val="goog_rdk_210"/>
                <w:id w:val="386436896"/>
              </w:sdtPr>
              <w:sdtContent>
                <w:r>
                  <w:rPr>
                    <w:rFonts w:ascii="Arial Unicode MS" w:hAnsi="Arial Unicode MS" w:eastAsia="Arial Unicode MS" w:cs="Arial Unicode MS"/>
                  </w:rPr>
                  <w:t>✓</w:t>
                </w:r>
              </w:sdtContent>
            </w:sdt>
          </w:p>
        </w:tc>
        <w:tc>
          <w:tcPr>
            <w:tcW w:w="12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A5902DD">
            <w:pPr>
              <w:spacing w:before="240" w:after="240"/>
            </w:pPr>
            <w:sdt>
              <w:sdtPr>
                <w:tag w:val="goog_rdk_211"/>
                <w:id w:val="-875889710"/>
              </w:sdtPr>
              <w:sdtContent>
                <w:r>
                  <w:rPr>
                    <w:rFonts w:ascii="Arial Unicode MS" w:hAnsi="Arial Unicode MS" w:eastAsia="Arial Unicode MS" w:cs="Arial Unicode MS"/>
                  </w:rPr>
                  <w:t>✓</w:t>
                </w:r>
              </w:sdtContent>
            </w:sdt>
          </w:p>
        </w:tc>
        <w:tc>
          <w:tcPr>
            <w:tcW w:w="117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22AC104">
            <w:pPr>
              <w:spacing w:before="240" w:after="240"/>
            </w:pPr>
            <w:r>
              <w:t>N/A</w:t>
            </w:r>
          </w:p>
        </w:tc>
        <w:tc>
          <w:tcPr>
            <w:tcW w:w="111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BE88EF2">
            <w:pPr>
              <w:spacing w:before="240" w:after="240"/>
            </w:pPr>
            <w:sdt>
              <w:sdtPr>
                <w:tag w:val="goog_rdk_212"/>
                <w:id w:val="-411938304"/>
              </w:sdtPr>
              <w:sdtContent>
                <w:r>
                  <w:rPr>
                    <w:rFonts w:ascii="Arial Unicode MS" w:hAnsi="Arial Unicode MS" w:eastAsia="Arial Unicode MS" w:cs="Arial Unicode MS"/>
                  </w:rPr>
                  <w:t>✓</w:t>
                </w:r>
              </w:sdtContent>
            </w:sdt>
          </w:p>
        </w:tc>
        <w:tc>
          <w:tcPr>
            <w:tcW w:w="51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46BEC33">
            <w:pPr>
              <w:spacing w:before="240" w:after="240"/>
            </w:pPr>
            <w:r>
              <w:t>Low</w:t>
            </w:r>
          </w:p>
        </w:tc>
        <w:tc>
          <w:tcPr>
            <w:tcW w:w="75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96B71B8">
            <w:pPr>
              <w:spacing w:before="240" w:after="240"/>
            </w:pPr>
            <w:r>
              <w:t>High*</w:t>
            </w:r>
          </w:p>
        </w:tc>
      </w:tr>
      <w:tr w14:paraId="2B578DB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610" w:hRule="atLeast"/>
        </w:trPr>
        <w:tc>
          <w:tcPr>
            <w:tcW w:w="1098"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CD61023">
            <w:pPr>
              <w:spacing w:before="240" w:after="240"/>
            </w:pPr>
            <w:r>
              <w:t>NHS England Digital (2026)</w:t>
            </w:r>
          </w:p>
        </w:tc>
        <w:tc>
          <w:tcPr>
            <w:tcW w:w="127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517948F">
            <w:pPr>
              <w:spacing w:before="240" w:after="240"/>
            </w:pPr>
            <w:r>
              <w:rPr>
                <w:i/>
                <w:iCs/>
              </w:rPr>
              <w:t>Maternity Services Digital Dashboard Report</w:t>
            </w:r>
          </w:p>
        </w:tc>
        <w:tc>
          <w:tcPr>
            <w:tcW w:w="108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6AC8C76">
            <w:pPr>
              <w:spacing w:before="240" w:after="240"/>
            </w:pPr>
            <w:r>
              <w:t>National surveillance report</w:t>
            </w:r>
          </w:p>
        </w:tc>
        <w:tc>
          <w:tcPr>
            <w:tcW w:w="111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2982409">
            <w:pPr>
              <w:spacing w:before="240" w:after="240"/>
            </w:pPr>
            <w:sdt>
              <w:sdtPr>
                <w:tag w:val="goog_rdk_213"/>
                <w:id w:val="-1457072306"/>
              </w:sdtPr>
              <w:sdtContent>
                <w:r>
                  <w:rPr>
                    <w:rFonts w:ascii="Arial Unicode MS" w:hAnsi="Arial Unicode MS" w:eastAsia="Arial Unicode MS" w:cs="Arial Unicode MS"/>
                  </w:rPr>
                  <w:t>✓</w:t>
                </w:r>
              </w:sdtContent>
            </w:sdt>
          </w:p>
        </w:tc>
        <w:tc>
          <w:tcPr>
            <w:tcW w:w="12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286AE6B">
            <w:pPr>
              <w:spacing w:before="240" w:after="240"/>
            </w:pPr>
            <w:sdt>
              <w:sdtPr>
                <w:tag w:val="goog_rdk_214"/>
                <w:id w:val="-1452194500"/>
              </w:sdtPr>
              <w:sdtContent>
                <w:r>
                  <w:rPr>
                    <w:rFonts w:ascii="Arial Unicode MS" w:hAnsi="Arial Unicode MS" w:eastAsia="Arial Unicode MS" w:cs="Arial Unicode MS"/>
                  </w:rPr>
                  <w:t>✓</w:t>
                </w:r>
              </w:sdtContent>
            </w:sdt>
          </w:p>
        </w:tc>
        <w:tc>
          <w:tcPr>
            <w:tcW w:w="117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7DA5DFF">
            <w:pPr>
              <w:spacing w:before="240" w:after="240"/>
            </w:pPr>
            <w:r>
              <w:t>N/A</w:t>
            </w:r>
          </w:p>
        </w:tc>
        <w:tc>
          <w:tcPr>
            <w:tcW w:w="1119"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0821602">
            <w:pPr>
              <w:spacing w:before="240" w:after="240"/>
            </w:pPr>
            <w:sdt>
              <w:sdtPr>
                <w:tag w:val="goog_rdk_215"/>
                <w:id w:val="569243943"/>
              </w:sdtPr>
              <w:sdtContent>
                <w:r>
                  <w:rPr>
                    <w:rFonts w:ascii="Arial Unicode MS" w:hAnsi="Arial Unicode MS" w:eastAsia="Arial Unicode MS" w:cs="Arial Unicode MS"/>
                  </w:rPr>
                  <w:t>✓</w:t>
                </w:r>
              </w:sdtContent>
            </w:sdt>
          </w:p>
        </w:tc>
        <w:tc>
          <w:tcPr>
            <w:tcW w:w="516"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7BBD8EA">
            <w:pPr>
              <w:spacing w:before="240" w:after="240"/>
            </w:pPr>
            <w:r>
              <w:t>Low</w:t>
            </w:r>
          </w:p>
        </w:tc>
        <w:tc>
          <w:tcPr>
            <w:tcW w:w="751"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3589040">
            <w:pPr>
              <w:spacing w:before="240" w:after="240"/>
            </w:pPr>
            <w:r>
              <w:t>High*</w:t>
            </w:r>
          </w:p>
        </w:tc>
      </w:tr>
    </w:tbl>
    <w:p w14:paraId="1813C270">
      <w:pPr>
        <w:spacing w:before="240" w:after="240"/>
      </w:pPr>
      <w:r>
        <w:rPr>
          <w:b/>
          <w:bCs/>
        </w:rPr>
        <w:t>Key:</w:t>
      </w:r>
      <w:sdt>
        <w:sdtPr>
          <w:tag w:val="goog_rdk_216"/>
          <w:id w:val="-1708518426"/>
        </w:sdtPr>
        <w:sdtContent>
          <w:r>
            <w:rPr>
              <w:rFonts w:ascii="Arial Unicode MS" w:hAnsi="Arial Unicode MS" w:eastAsia="Arial Unicode MS" w:cs="Arial Unicode MS"/>
            </w:rPr>
            <w:t xml:space="preserve"> ✓ = Criterion satisfied; </w:t>
          </w:r>
        </w:sdtContent>
      </w:sdt>
      <w:r>
        <w:rPr>
          <w:b/>
          <w:bCs/>
        </w:rPr>
        <w:t>N/A</w:t>
      </w:r>
      <w:r>
        <w:t xml:space="preserve"> = Criterion not applicable to evidence reports.</w:t>
      </w:r>
    </w:p>
    <w:p w14:paraId="304C1559">
      <w:pPr>
        <w:pStyle w:val="3"/>
        <w:keepNext w:val="0"/>
        <w:keepLines w:val="0"/>
        <w:spacing w:before="280"/>
      </w:pPr>
      <w:bookmarkStart w:id="86" w:name="_Toc238235740"/>
      <w:r>
        <w:t>Appendix D: Mixed Methods Appraisal Tool (MMAT) Assessment</w:t>
      </w:r>
      <w:bookmarkEnd w:id="86"/>
    </w:p>
    <w:tbl>
      <w:tblPr>
        <w:tblStyle w:val="36"/>
        <w:tblW w:w="9360" w:type="dxa"/>
        <w:tblInd w:w="0"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top w:w="0" w:type="dxa"/>
          <w:left w:w="108" w:type="dxa"/>
          <w:bottom w:w="0" w:type="dxa"/>
          <w:right w:w="108" w:type="dxa"/>
        </w:tblCellMar>
      </w:tblPr>
      <w:tblGrid>
        <w:gridCol w:w="1238"/>
        <w:gridCol w:w="1628"/>
        <w:gridCol w:w="2309"/>
        <w:gridCol w:w="1353"/>
        <w:gridCol w:w="2832"/>
      </w:tblGrid>
      <w:tr w14:paraId="0FB077A6">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785" w:hRule="atLeast"/>
        </w:trPr>
        <w:tc>
          <w:tcPr>
            <w:tcW w:w="123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2E3E514">
            <w:pPr>
              <w:spacing w:before="240" w:after="240"/>
              <w:jc w:val="center"/>
            </w:pPr>
            <w:r>
              <w:rPr>
                <w:b/>
                <w:bCs/>
              </w:rPr>
              <w:t>Author (Year)</w:t>
            </w:r>
          </w:p>
        </w:tc>
        <w:tc>
          <w:tcPr>
            <w:tcW w:w="162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666502A">
            <w:pPr>
              <w:spacing w:before="240" w:after="240"/>
              <w:jc w:val="center"/>
            </w:pPr>
            <w:r>
              <w:rPr>
                <w:b/>
                <w:bCs/>
              </w:rPr>
              <w:t>Article Title</w:t>
            </w:r>
          </w:p>
        </w:tc>
        <w:tc>
          <w:tcPr>
            <w:tcW w:w="2309"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5EA08B3">
            <w:pPr>
              <w:spacing w:before="240" w:after="240"/>
              <w:jc w:val="center"/>
            </w:pPr>
            <w:r>
              <w:rPr>
                <w:b/>
                <w:bCs/>
              </w:rPr>
              <w:t>MMAT Criterion</w:t>
            </w:r>
          </w:p>
        </w:tc>
        <w:tc>
          <w:tcPr>
            <w:tcW w:w="135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814DC32">
            <w:pPr>
              <w:spacing w:before="240" w:after="240"/>
              <w:jc w:val="center"/>
            </w:pPr>
            <w:r>
              <w:rPr>
                <w:b/>
                <w:bCs/>
              </w:rPr>
              <w:t>Assessment</w:t>
            </w:r>
          </w:p>
        </w:tc>
        <w:tc>
          <w:tcPr>
            <w:tcW w:w="2832"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A10901D">
            <w:pPr>
              <w:spacing w:before="240" w:after="240"/>
              <w:jc w:val="center"/>
            </w:pPr>
            <w:r>
              <w:rPr>
                <w:b/>
                <w:bCs/>
              </w:rPr>
              <w:t>Comments</w:t>
            </w:r>
          </w:p>
        </w:tc>
      </w:tr>
      <w:tr w14:paraId="6843198D">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1610" w:hRule="atLeast"/>
        </w:trPr>
        <w:tc>
          <w:tcPr>
            <w:tcW w:w="123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308F41D">
            <w:pPr>
              <w:spacing w:before="240" w:after="240"/>
            </w:pPr>
            <w:r>
              <w:rPr>
                <w:b/>
                <w:bCs/>
              </w:rPr>
              <w:t>Scroggins (2023)</w:t>
            </w:r>
          </w:p>
        </w:tc>
        <w:tc>
          <w:tcPr>
            <w:tcW w:w="162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4928C07">
            <w:pPr>
              <w:spacing w:before="240" w:after="240"/>
            </w:pPr>
            <w:r>
              <w:rPr>
                <w:i/>
                <w:iCs/>
              </w:rPr>
              <w:t>Postpartum Symptom Clusters in Birthing Individuals</w:t>
            </w:r>
          </w:p>
        </w:tc>
        <w:tc>
          <w:tcPr>
            <w:tcW w:w="2309"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26C2626">
            <w:pPr>
              <w:spacing w:before="240" w:after="240"/>
            </w:pPr>
            <w:r>
              <w:t>1. Are there clear research questions?</w:t>
            </w:r>
          </w:p>
        </w:tc>
        <w:tc>
          <w:tcPr>
            <w:tcW w:w="135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BE44207">
            <w:pPr>
              <w:spacing w:before="240" w:after="240"/>
            </w:pPr>
            <w:sdt>
              <w:sdtPr>
                <w:tag w:val="goog_rdk_217"/>
                <w:id w:val="-1178374982"/>
              </w:sdtPr>
              <w:sdtContent>
                <w:r>
                  <w:rPr>
                    <w:rFonts w:ascii="Arial Unicode MS" w:hAnsi="Arial Unicode MS" w:eastAsia="Arial Unicode MS" w:cs="Arial Unicode MS"/>
                  </w:rPr>
                  <w:t>✔ Yes</w:t>
                </w:r>
              </w:sdtContent>
            </w:sdt>
          </w:p>
        </w:tc>
        <w:tc>
          <w:tcPr>
            <w:tcW w:w="2832"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3B8153D">
            <w:pPr>
              <w:spacing w:before="240" w:after="240"/>
            </w:pPr>
            <w:r>
              <w:t>The research objectives and questions were clearly stated and aligned with the study aim.</w:t>
            </w:r>
          </w:p>
        </w:tc>
      </w:tr>
      <w:tr w14:paraId="1381FC9B">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1610" w:hRule="atLeast"/>
        </w:trPr>
        <w:tc>
          <w:tcPr>
            <w:tcW w:w="123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F0B61F1">
            <w:pPr>
              <w:spacing w:before="240" w:after="240"/>
            </w:pPr>
          </w:p>
        </w:tc>
        <w:tc>
          <w:tcPr>
            <w:tcW w:w="162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4E1BB62">
            <w:pPr>
              <w:spacing w:before="240" w:after="240"/>
            </w:pPr>
          </w:p>
        </w:tc>
        <w:tc>
          <w:tcPr>
            <w:tcW w:w="2309"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C677C19">
            <w:pPr>
              <w:spacing w:before="240" w:after="240"/>
            </w:pPr>
            <w:r>
              <w:t>2. Do the collected data adequately address the research questions?</w:t>
            </w:r>
          </w:p>
        </w:tc>
        <w:tc>
          <w:tcPr>
            <w:tcW w:w="135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2598FBD">
            <w:pPr>
              <w:spacing w:before="240" w:after="240"/>
            </w:pPr>
            <w:sdt>
              <w:sdtPr>
                <w:tag w:val="goog_rdk_218"/>
                <w:id w:val="1447146202"/>
              </w:sdtPr>
              <w:sdtContent>
                <w:r>
                  <w:rPr>
                    <w:rFonts w:ascii="Arial Unicode MS" w:hAnsi="Arial Unicode MS" w:eastAsia="Arial Unicode MS" w:cs="Arial Unicode MS"/>
                  </w:rPr>
                  <w:t>✔ Yes</w:t>
                </w:r>
              </w:sdtContent>
            </w:sdt>
          </w:p>
        </w:tc>
        <w:tc>
          <w:tcPr>
            <w:tcW w:w="2832"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D5CEF35">
            <w:pPr>
              <w:spacing w:before="240" w:after="240"/>
            </w:pPr>
            <w:r>
              <w:t>Both quantitative symptom measures and qualitative interview data addressed the study objectives comprehensively.</w:t>
            </w:r>
          </w:p>
        </w:tc>
      </w:tr>
      <w:tr w14:paraId="3C36D169">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2150" w:hRule="atLeast"/>
        </w:trPr>
        <w:tc>
          <w:tcPr>
            <w:tcW w:w="123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80E952D">
            <w:pPr>
              <w:spacing w:before="240" w:after="240"/>
            </w:pPr>
          </w:p>
        </w:tc>
        <w:tc>
          <w:tcPr>
            <w:tcW w:w="162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829B110">
            <w:pPr>
              <w:spacing w:before="240" w:after="240"/>
            </w:pPr>
          </w:p>
        </w:tc>
        <w:tc>
          <w:tcPr>
            <w:tcW w:w="2309"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08E2F15">
            <w:pPr>
              <w:spacing w:before="240" w:after="240"/>
            </w:pPr>
            <w:r>
              <w:t>3. Is the rationale for using a mixed-methods design appropriate?</w:t>
            </w:r>
          </w:p>
        </w:tc>
        <w:tc>
          <w:tcPr>
            <w:tcW w:w="135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7F123A3">
            <w:pPr>
              <w:spacing w:before="240" w:after="240"/>
            </w:pPr>
            <w:sdt>
              <w:sdtPr>
                <w:tag w:val="goog_rdk_219"/>
                <w:id w:val="-1653152164"/>
              </w:sdtPr>
              <w:sdtContent>
                <w:r>
                  <w:rPr>
                    <w:rFonts w:ascii="Arial Unicode MS" w:hAnsi="Arial Unicode MS" w:eastAsia="Arial Unicode MS" w:cs="Arial Unicode MS"/>
                  </w:rPr>
                  <w:t>✔ Yes</w:t>
                </w:r>
              </w:sdtContent>
            </w:sdt>
          </w:p>
        </w:tc>
        <w:tc>
          <w:tcPr>
            <w:tcW w:w="2832"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813049E">
            <w:pPr>
              <w:spacing w:before="240" w:after="240"/>
            </w:pPr>
            <w:r>
              <w:t>The integration of qualitative and quantitative methods provided a comprehensive understanding of postpartum symptom experiences.</w:t>
            </w:r>
          </w:p>
        </w:tc>
      </w:tr>
      <w:tr w14:paraId="17BE94B3">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1610" w:hRule="atLeast"/>
        </w:trPr>
        <w:tc>
          <w:tcPr>
            <w:tcW w:w="123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1317795">
            <w:pPr>
              <w:spacing w:before="240" w:after="240"/>
            </w:pPr>
          </w:p>
        </w:tc>
        <w:tc>
          <w:tcPr>
            <w:tcW w:w="162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1304ABF">
            <w:pPr>
              <w:spacing w:before="240" w:after="240"/>
            </w:pPr>
          </w:p>
        </w:tc>
        <w:tc>
          <w:tcPr>
            <w:tcW w:w="2309"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A6446E1">
            <w:pPr>
              <w:spacing w:before="240" w:after="240"/>
            </w:pPr>
            <w:r>
              <w:t>4. Are the qualitative and quantitative components appropriate to answer the research question?</w:t>
            </w:r>
          </w:p>
        </w:tc>
        <w:tc>
          <w:tcPr>
            <w:tcW w:w="135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D7B38EC">
            <w:pPr>
              <w:spacing w:before="240" w:after="240"/>
            </w:pPr>
            <w:sdt>
              <w:sdtPr>
                <w:tag w:val="goog_rdk_220"/>
                <w:id w:val="565834435"/>
              </w:sdtPr>
              <w:sdtContent>
                <w:r>
                  <w:rPr>
                    <w:rFonts w:ascii="Arial Unicode MS" w:hAnsi="Arial Unicode MS" w:eastAsia="Arial Unicode MS" w:cs="Arial Unicode MS"/>
                  </w:rPr>
                  <w:t>✔ Yes</w:t>
                </w:r>
              </w:sdtContent>
            </w:sdt>
          </w:p>
        </w:tc>
        <w:tc>
          <w:tcPr>
            <w:tcW w:w="2832"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491BABA">
            <w:pPr>
              <w:spacing w:before="240" w:after="240"/>
            </w:pPr>
            <w:r>
              <w:t>Appropriate quantitative symptom measurement instruments and qualitative interviews were employed.</w:t>
            </w:r>
          </w:p>
        </w:tc>
      </w:tr>
      <w:tr w14:paraId="7EAF6F84">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1610" w:hRule="atLeast"/>
        </w:trPr>
        <w:tc>
          <w:tcPr>
            <w:tcW w:w="123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444B2CC">
            <w:pPr>
              <w:spacing w:before="240" w:after="240"/>
            </w:pPr>
          </w:p>
        </w:tc>
        <w:tc>
          <w:tcPr>
            <w:tcW w:w="162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BFCCC36">
            <w:pPr>
              <w:spacing w:before="240" w:after="240"/>
            </w:pPr>
          </w:p>
        </w:tc>
        <w:tc>
          <w:tcPr>
            <w:tcW w:w="2309"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7DFA869">
            <w:pPr>
              <w:spacing w:before="240" w:after="240"/>
            </w:pPr>
            <w:r>
              <w:t>5. Are the different components effectively integrated?</w:t>
            </w:r>
          </w:p>
        </w:tc>
        <w:tc>
          <w:tcPr>
            <w:tcW w:w="135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53F5421">
            <w:pPr>
              <w:spacing w:before="240" w:after="240"/>
            </w:pPr>
            <w:sdt>
              <w:sdtPr>
                <w:tag w:val="goog_rdk_221"/>
                <w:id w:val="-1379770504"/>
              </w:sdtPr>
              <w:sdtContent>
                <w:r>
                  <w:rPr>
                    <w:rFonts w:ascii="Arial Unicode MS" w:hAnsi="Arial Unicode MS" w:eastAsia="Arial Unicode MS" w:cs="Arial Unicode MS"/>
                  </w:rPr>
                  <w:t>✔ Yes</w:t>
                </w:r>
              </w:sdtContent>
            </w:sdt>
          </w:p>
        </w:tc>
        <w:tc>
          <w:tcPr>
            <w:tcW w:w="2832"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B627663">
            <w:pPr>
              <w:spacing w:before="240" w:after="240"/>
            </w:pPr>
            <w:r>
              <w:t>Findings from both methods were integrated during interpretation to explain symptom patterns and participant experiences.</w:t>
            </w:r>
          </w:p>
        </w:tc>
      </w:tr>
      <w:tr w14:paraId="0FBB444D">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1610" w:hRule="atLeast"/>
        </w:trPr>
        <w:tc>
          <w:tcPr>
            <w:tcW w:w="123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D8D810B">
            <w:pPr>
              <w:spacing w:before="240" w:after="240"/>
            </w:pPr>
          </w:p>
        </w:tc>
        <w:tc>
          <w:tcPr>
            <w:tcW w:w="162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94833DC">
            <w:pPr>
              <w:spacing w:before="240" w:after="240"/>
            </w:pPr>
          </w:p>
        </w:tc>
        <w:tc>
          <w:tcPr>
            <w:tcW w:w="2309"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891D826">
            <w:pPr>
              <w:spacing w:before="240" w:after="240"/>
            </w:pPr>
            <w:r>
              <w:t>6. Are the outputs of the integration adequately interpreted?</w:t>
            </w:r>
          </w:p>
        </w:tc>
        <w:tc>
          <w:tcPr>
            <w:tcW w:w="135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ED689EB">
            <w:pPr>
              <w:spacing w:before="240" w:after="240"/>
            </w:pPr>
            <w:sdt>
              <w:sdtPr>
                <w:tag w:val="goog_rdk_222"/>
                <w:id w:val="-1755898898"/>
              </w:sdtPr>
              <w:sdtContent>
                <w:r>
                  <w:rPr>
                    <w:rFonts w:ascii="Arial Unicode MS" w:hAnsi="Arial Unicode MS" w:eastAsia="Arial Unicode MS" w:cs="Arial Unicode MS"/>
                  </w:rPr>
                  <w:t>✔ Yes</w:t>
                </w:r>
              </w:sdtContent>
            </w:sdt>
          </w:p>
        </w:tc>
        <w:tc>
          <w:tcPr>
            <w:tcW w:w="2832"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29D8CCD">
            <w:pPr>
              <w:spacing w:before="240" w:after="240"/>
            </w:pPr>
            <w:r>
              <w:t>The combined findings enhanced understanding beyond what either method could provide independently.</w:t>
            </w:r>
          </w:p>
        </w:tc>
      </w:tr>
      <w:tr w14:paraId="6A196A67">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1880" w:hRule="atLeast"/>
        </w:trPr>
        <w:tc>
          <w:tcPr>
            <w:tcW w:w="123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7A95D461">
            <w:pPr>
              <w:spacing w:before="240" w:after="240"/>
            </w:pPr>
          </w:p>
        </w:tc>
        <w:tc>
          <w:tcPr>
            <w:tcW w:w="162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AE21872">
            <w:pPr>
              <w:spacing w:before="240" w:after="240"/>
            </w:pPr>
          </w:p>
        </w:tc>
        <w:tc>
          <w:tcPr>
            <w:tcW w:w="2309"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6239D795">
            <w:pPr>
              <w:spacing w:before="240" w:after="240"/>
            </w:pPr>
            <w:r>
              <w:t>7. Are divergences or inconsistencies between quantitative and qualitative findings adequately addressed?</w:t>
            </w:r>
          </w:p>
        </w:tc>
        <w:tc>
          <w:tcPr>
            <w:tcW w:w="135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B1BEC2F">
            <w:pPr>
              <w:spacing w:before="240" w:after="240"/>
            </w:pPr>
            <w:sdt>
              <w:sdtPr>
                <w:tag w:val="goog_rdk_223"/>
                <w:id w:val="327429261"/>
              </w:sdtPr>
              <w:sdtContent>
                <w:r>
                  <w:rPr>
                    <w:rFonts w:ascii="Arial Unicode MS" w:hAnsi="Arial Unicode MS" w:eastAsia="Arial Unicode MS" w:cs="Arial Unicode MS"/>
                  </w:rPr>
                  <w:t>✔ Yes</w:t>
                </w:r>
              </w:sdtContent>
            </w:sdt>
          </w:p>
        </w:tc>
        <w:tc>
          <w:tcPr>
            <w:tcW w:w="2832"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953C665">
            <w:pPr>
              <w:spacing w:before="240" w:after="240"/>
            </w:pPr>
            <w:r>
              <w:t>Minor differences between datasets were discussed and explained within the interpretation.</w:t>
            </w:r>
          </w:p>
        </w:tc>
      </w:tr>
      <w:tr w14:paraId="5F93AECE">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1610" w:hRule="atLeast"/>
        </w:trPr>
        <w:tc>
          <w:tcPr>
            <w:tcW w:w="123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204493A3">
            <w:pPr>
              <w:spacing w:before="240" w:after="240"/>
            </w:pPr>
          </w:p>
        </w:tc>
        <w:tc>
          <w:tcPr>
            <w:tcW w:w="162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F57A080">
            <w:pPr>
              <w:spacing w:before="240" w:after="240"/>
            </w:pPr>
          </w:p>
        </w:tc>
        <w:tc>
          <w:tcPr>
            <w:tcW w:w="2309"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03BDA6B">
            <w:pPr>
              <w:spacing w:before="240" w:after="240"/>
            </w:pPr>
            <w:r>
              <w:t>8. Do the different components adhere to the quality criteria of each tradition?</w:t>
            </w:r>
          </w:p>
        </w:tc>
        <w:tc>
          <w:tcPr>
            <w:tcW w:w="135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792DA36">
            <w:pPr>
              <w:spacing w:before="240" w:after="240"/>
            </w:pPr>
            <w:sdt>
              <w:sdtPr>
                <w:tag w:val="goog_rdk_224"/>
                <w:id w:val="282051459"/>
              </w:sdtPr>
              <w:sdtContent>
                <w:r>
                  <w:rPr>
                    <w:rFonts w:ascii="Arial Unicode MS" w:hAnsi="Arial Unicode MS" w:eastAsia="Arial Unicode MS" w:cs="Arial Unicode MS"/>
                  </w:rPr>
                  <w:t>✔ Yes</w:t>
                </w:r>
              </w:sdtContent>
            </w:sdt>
          </w:p>
        </w:tc>
        <w:tc>
          <w:tcPr>
            <w:tcW w:w="2832"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09094B53">
            <w:pPr>
              <w:spacing w:before="240" w:after="240"/>
            </w:pPr>
            <w:r>
              <w:t>Both methodological strands demonstrated appropriate data collection, analysis and reporting procedures.</w:t>
            </w:r>
          </w:p>
        </w:tc>
      </w:tr>
      <w:tr w14:paraId="15E4AAF2">
        <w:tblPrEx>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CellMar>
            <w:top w:w="0" w:type="dxa"/>
            <w:left w:w="108" w:type="dxa"/>
            <w:bottom w:w="0" w:type="dxa"/>
            <w:right w:w="108" w:type="dxa"/>
          </w:tblCellMar>
        </w:tblPrEx>
        <w:trPr>
          <w:trHeight w:val="1880" w:hRule="atLeast"/>
        </w:trPr>
        <w:tc>
          <w:tcPr>
            <w:tcW w:w="123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32232E2B">
            <w:pPr>
              <w:spacing w:before="240" w:after="240"/>
            </w:pPr>
          </w:p>
        </w:tc>
        <w:tc>
          <w:tcPr>
            <w:tcW w:w="1628"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498B4E5C">
            <w:pPr>
              <w:spacing w:before="240" w:after="240"/>
            </w:pPr>
          </w:p>
        </w:tc>
        <w:tc>
          <w:tcPr>
            <w:tcW w:w="2309"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192AC9CF">
            <w:pPr>
              <w:spacing w:before="240" w:after="240"/>
            </w:pPr>
            <w:r>
              <w:rPr>
                <w:b/>
                <w:bCs/>
              </w:rPr>
              <w:t>Overall MMAT Quality Rating</w:t>
            </w:r>
          </w:p>
        </w:tc>
        <w:tc>
          <w:tcPr>
            <w:tcW w:w="1353"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E19B44A">
            <w:pPr>
              <w:spacing w:before="240" w:after="240"/>
            </w:pPr>
            <w:r>
              <w:rPr>
                <w:b/>
                <w:bCs/>
              </w:rPr>
              <w:t>High</w:t>
            </w:r>
          </w:p>
        </w:tc>
        <w:tc>
          <w:tcPr>
            <w:tcW w:w="2832" w:type="dxa"/>
            <w:tcBorders>
              <w:top w:val="single" w:color="000000" w:sz="6" w:space="0"/>
              <w:left w:val="single" w:color="000000" w:sz="6" w:space="0"/>
              <w:bottom w:val="single" w:color="000000" w:sz="6" w:space="0"/>
              <w:right w:val="single" w:color="000000" w:sz="6" w:space="0"/>
            </w:tcBorders>
            <w:tcMar>
              <w:top w:w="100" w:type="dxa"/>
              <w:left w:w="100" w:type="dxa"/>
              <w:bottom w:w="100" w:type="dxa"/>
              <w:right w:w="100" w:type="dxa"/>
            </w:tcMar>
          </w:tcPr>
          <w:p w14:paraId="56A80CB9">
            <w:pPr>
              <w:spacing w:before="240" w:after="240"/>
            </w:pPr>
            <w:r>
              <w:t>The study satisfied all major MMAT criteria and demonstrated strong methodological rigour with only minor limitations regarding generalisability.</w:t>
            </w:r>
          </w:p>
        </w:tc>
      </w:tr>
    </w:tbl>
    <w:p w14:paraId="44591235">
      <w:pPr>
        <w:pStyle w:val="4"/>
        <w:keepNext w:val="0"/>
        <w:keepLines w:val="0"/>
        <w:rPr>
          <w:i w:val="0"/>
          <w:iCs w:val="0"/>
          <w:sz w:val="26"/>
          <w:szCs w:val="26"/>
        </w:rPr>
      </w:pPr>
      <w:bookmarkStart w:id="87" w:name="_heading=h.id1zhnbv3amn" w:colFirst="0" w:colLast="0"/>
      <w:bookmarkEnd w:id="87"/>
    </w:p>
    <w:p w14:paraId="03A90768">
      <w:pPr>
        <w:spacing w:before="240" w:after="240"/>
      </w:pPr>
    </w:p>
    <w:p w14:paraId="3D3B29E4"/>
    <w:sectPr>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F47326C2-9231-4420-A402-0AB0016F9B03}"/>
  </w:font>
  <w:font w:name="Arial">
    <w:panose1 w:val="020B0604020202020204"/>
    <w:charset w:val="86"/>
    <w:family w:val="swiss"/>
    <w:pitch w:val="default"/>
    <w:sig w:usb0="E0002EFF" w:usb1="C000785B" w:usb2="00000009" w:usb3="00000000" w:csb0="400001FF" w:csb1="FFFF0000"/>
    <w:embedRegular r:id="rId2" w:fontKey="{A6005D2C-D630-4D3B-AE7C-27C4E2C76DAE}"/>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4E33934C-456F-4C5E-A229-EE79858326DC}"/>
  </w:font>
  <w:font w:name="Wingdings">
    <w:panose1 w:val="05000000000000000000"/>
    <w:charset w:val="02"/>
    <w:family w:val="auto"/>
    <w:pitch w:val="default"/>
    <w:sig w:usb0="00000000" w:usb1="00000000" w:usb2="00000000" w:usb3="00000000" w:csb0="80000000" w:csb1="00000000"/>
    <w:embedRegular r:id="rId4" w:fontKey="{4C7A621C-184C-47E2-BD81-4B3FD937C67D}"/>
  </w:font>
  <w:font w:name="Calibri">
    <w:panose1 w:val="020F0502020204030204"/>
    <w:charset w:val="00"/>
    <w:family w:val="swiss"/>
    <w:pitch w:val="default"/>
    <w:sig w:usb0="E4002EFF" w:usb1="C200247B" w:usb2="00000009" w:usb3="00000000" w:csb0="200001FF" w:csb1="00000000"/>
    <w:embedRegular r:id="rId5" w:fontKey="{52C834D4-CFF5-453B-BEC2-87BD16FC1B89}"/>
  </w:font>
  <w:font w:name="等线">
    <w:altName w:val="Microsoft YaHei"/>
    <w:panose1 w:val="00000000000000000000"/>
    <w:charset w:val="86"/>
    <w:family w:val="auto"/>
    <w:pitch w:val="default"/>
    <w:sig w:usb0="00000000" w:usb1="00000000" w:usb2="00000000" w:usb3="00000000" w:csb0="00000000" w:csb1="00000000"/>
  </w:font>
  <w:font w:name="Mangal">
    <w:altName w:val="Segoe Print"/>
    <w:panose1 w:val="00000400000000000000"/>
    <w:charset w:val="00"/>
    <w:family w:val="roman"/>
    <w:pitch w:val="default"/>
    <w:sig w:usb0="00000000" w:usb1="00000000" w:usb2="00000000" w:usb3="00000000" w:csb0="00000001" w:csb1="00000000"/>
  </w:font>
  <w:font w:name="Cambria">
    <w:panose1 w:val="02040503050406030204"/>
    <w:charset w:val="00"/>
    <w:family w:val="roman"/>
    <w:pitch w:val="default"/>
    <w:sig w:usb0="E00006FF" w:usb1="420024FF" w:usb2="02000000" w:usb3="00000000" w:csb0="2000019F" w:csb1="00000000"/>
    <w:embedRegular r:id="rId6" w:fontKey="{81C166AB-A75B-477D-9D0C-A411C05C07EB}"/>
  </w:font>
  <w:font w:name="Arial Unicode MS">
    <w:altName w:val="Arial"/>
    <w:panose1 w:val="020B0604020202020204"/>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embedRegular r:id="rId7" w:fontKey="{9D662FD6-F9D2-4CE8-809A-89E85246279C}"/>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D048420">
    <w:pPr>
      <w:tabs>
        <w:tab w:val="center" w:pos="4513"/>
        <w:tab w:val="right" w:pos="9026"/>
      </w:tabs>
      <w:spacing w:line="240" w:lineRule="auto"/>
      <w:jc w:val="center"/>
      <w:rPr>
        <w:color w:val="000000"/>
      </w:rPr>
    </w:pPr>
    <w:r>
      <w:rPr>
        <w:color w:val="000000"/>
      </w:rPr>
      <w:fldChar w:fldCharType="begin"/>
    </w:r>
    <w:r>
      <w:rPr>
        <w:color w:val="000000"/>
      </w:rPr>
      <w:instrText xml:space="preserve">PAGE</w:instrText>
    </w:r>
    <w:r>
      <w:rPr>
        <w:color w:val="000000"/>
      </w:rPr>
      <w:fldChar w:fldCharType="separate"/>
    </w:r>
    <w:r>
      <w:rPr>
        <w:color w:val="000000"/>
      </w:rPr>
      <w:t>6</w:t>
    </w:r>
    <w:r>
      <w:rPr>
        <w:color w:val="000000"/>
      </w:rPr>
      <w:fldChar w:fldCharType="end"/>
    </w:r>
  </w:p>
  <w:p w14:paraId="2CD907D1">
    <w:pP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BBDDD49"/>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FC91D9B"/>
    <w:multiLevelType w:val="multilevel"/>
    <w:tmpl w:val="7FC91D9B"/>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3"/>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280B"/>
    <w:rsid w:val="00332F41"/>
    <w:rsid w:val="003B280B"/>
    <w:rsid w:val="008D4450"/>
    <w:rsid w:val="008F3F09"/>
    <w:rsid w:val="00944679"/>
    <w:rsid w:val="00CE5D0E"/>
    <w:rsid w:val="00ED3292"/>
    <w:rsid w:val="00F600F2"/>
    <w:rsid w:val="00FC4810"/>
    <w:rsid w:val="14346541"/>
    <w:rsid w:val="1AB24516"/>
    <w:rsid w:val="76CC75F6"/>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Arial" w:hAnsi="Arial" w:eastAsia="Arial" w:cs="Arial"/>
      <w:sz w:val="24"/>
      <w:szCs w:val="24"/>
      <w:lang w:val="en" w:eastAsia="en-GB" w:bidi="hi-IN"/>
    </w:rPr>
  </w:style>
  <w:style w:type="paragraph" w:styleId="2">
    <w:name w:val="heading 1"/>
    <w:basedOn w:val="1"/>
    <w:next w:val="1"/>
    <w:qFormat/>
    <w:uiPriority w:val="9"/>
    <w:pPr>
      <w:keepNext/>
      <w:keepLines/>
      <w:outlineLvl w:val="0"/>
    </w:pPr>
    <w:rPr>
      <w:b/>
      <w:bCs/>
      <w:sz w:val="28"/>
      <w:szCs w:val="28"/>
    </w:rPr>
  </w:style>
  <w:style w:type="paragraph" w:styleId="3">
    <w:name w:val="heading 2"/>
    <w:basedOn w:val="1"/>
    <w:next w:val="1"/>
    <w:unhideWhenUsed/>
    <w:qFormat/>
    <w:uiPriority w:val="9"/>
    <w:pPr>
      <w:keepNext/>
      <w:keepLines/>
      <w:outlineLvl w:val="1"/>
    </w:pPr>
    <w:rPr>
      <w:b/>
      <w:bCs/>
      <w:sz w:val="26"/>
      <w:szCs w:val="26"/>
    </w:rPr>
  </w:style>
  <w:style w:type="paragraph" w:styleId="4">
    <w:name w:val="heading 3"/>
    <w:basedOn w:val="1"/>
    <w:next w:val="1"/>
    <w:unhideWhenUsed/>
    <w:qFormat/>
    <w:uiPriority w:val="9"/>
    <w:pPr>
      <w:keepNext/>
      <w:keepLines/>
      <w:spacing w:before="280" w:after="80"/>
      <w:outlineLvl w:val="2"/>
    </w:pPr>
    <w:rPr>
      <w:b/>
      <w:bCs/>
      <w:i/>
      <w:iCs/>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character" w:styleId="10">
    <w:name w:val="Emphasis"/>
    <w:basedOn w:val="8"/>
    <w:qFormat/>
    <w:uiPriority w:val="20"/>
    <w:rPr>
      <w:i/>
      <w:iCs/>
    </w:rPr>
  </w:style>
  <w:style w:type="character" w:styleId="11">
    <w:name w:val="Hyperlink"/>
    <w:basedOn w:val="8"/>
    <w:unhideWhenUsed/>
    <w:uiPriority w:val="99"/>
    <w:rPr>
      <w:color w:val="0000FF" w:themeColor="hyperlink"/>
      <w:u w:val="single"/>
      <w14:textFill>
        <w14:solidFill>
          <w14:schemeClr w14:val="hlink"/>
        </w14:solidFill>
      </w14:textFill>
    </w:rPr>
  </w:style>
  <w:style w:type="paragraph" w:styleId="12">
    <w:name w:val="Normal (Web)"/>
    <w:basedOn w:val="1"/>
    <w:semiHidden/>
    <w:unhideWhenUsed/>
    <w:qFormat/>
    <w:uiPriority w:val="99"/>
    <w:pPr>
      <w:spacing w:before="100" w:beforeAutospacing="1" w:after="100" w:afterAutospacing="1" w:line="240" w:lineRule="auto"/>
      <w:jc w:val="left"/>
    </w:pPr>
    <w:rPr>
      <w:rFonts w:ascii="Times New Roman" w:hAnsi="Times New Roman" w:eastAsia="Times New Roman" w:cs="Times New Roman"/>
      <w:lang w:val="en-IN" w:eastAsia="en-IN" w:bidi="ar-SA"/>
    </w:rPr>
  </w:style>
  <w:style w:type="character" w:styleId="13">
    <w:name w:val="Strong"/>
    <w:basedOn w:val="8"/>
    <w:qFormat/>
    <w:uiPriority w:val="22"/>
    <w:rPr>
      <w:b/>
      <w:bCs/>
    </w:rPr>
  </w:style>
  <w:style w:type="paragraph" w:styleId="14">
    <w:name w:val="Subtitle"/>
    <w:basedOn w:val="1"/>
    <w:next w:val="1"/>
    <w:qFormat/>
    <w:uiPriority w:val="11"/>
    <w:pPr>
      <w:keepNext/>
      <w:keepLines/>
      <w:spacing w:after="320"/>
    </w:pPr>
    <w:rPr>
      <w:color w:val="666666"/>
      <w:sz w:val="30"/>
      <w:szCs w:val="30"/>
    </w:rPr>
  </w:style>
  <w:style w:type="paragraph" w:styleId="15">
    <w:name w:val="Title"/>
    <w:basedOn w:val="1"/>
    <w:next w:val="1"/>
    <w:qFormat/>
    <w:uiPriority w:val="10"/>
    <w:pPr>
      <w:keepNext/>
      <w:keepLines/>
      <w:spacing w:after="60"/>
    </w:pPr>
    <w:rPr>
      <w:sz w:val="52"/>
      <w:szCs w:val="52"/>
    </w:rPr>
  </w:style>
  <w:style w:type="paragraph" w:styleId="16">
    <w:name w:val="toc 1"/>
    <w:basedOn w:val="1"/>
    <w:next w:val="1"/>
    <w:autoRedefine/>
    <w:unhideWhenUsed/>
    <w:qFormat/>
    <w:uiPriority w:val="39"/>
    <w:pPr>
      <w:spacing w:after="100"/>
    </w:pPr>
    <w:rPr>
      <w:rFonts w:cs="Mangal"/>
      <w:szCs w:val="21"/>
    </w:rPr>
  </w:style>
  <w:style w:type="paragraph" w:styleId="17">
    <w:name w:val="toc 2"/>
    <w:basedOn w:val="1"/>
    <w:next w:val="1"/>
    <w:autoRedefine/>
    <w:unhideWhenUsed/>
    <w:qFormat/>
    <w:uiPriority w:val="39"/>
    <w:pPr>
      <w:spacing w:after="100"/>
      <w:ind w:left="240"/>
    </w:pPr>
    <w:rPr>
      <w:rFonts w:cs="Mangal"/>
      <w:szCs w:val="21"/>
    </w:rPr>
  </w:style>
  <w:style w:type="paragraph" w:styleId="18">
    <w:name w:val="toc 3"/>
    <w:basedOn w:val="1"/>
    <w:next w:val="1"/>
    <w:autoRedefine/>
    <w:unhideWhenUsed/>
    <w:qFormat/>
    <w:uiPriority w:val="39"/>
    <w:pPr>
      <w:spacing w:after="100"/>
      <w:ind w:left="480"/>
    </w:pPr>
    <w:rPr>
      <w:rFonts w:cs="Mangal"/>
      <w:szCs w:val="21"/>
    </w:rPr>
  </w:style>
  <w:style w:type="table" w:customStyle="1" w:styleId="19">
    <w:name w:val="TableNormal"/>
    <w:qFormat/>
    <w:uiPriority w:val="0"/>
    <w:tblPr>
      <w:tblCellMar>
        <w:top w:w="100" w:type="dxa"/>
        <w:left w:w="100" w:type="dxa"/>
        <w:bottom w:w="100" w:type="dxa"/>
        <w:right w:w="100" w:type="dxa"/>
      </w:tblCellMar>
    </w:tblPr>
  </w:style>
  <w:style w:type="table" w:customStyle="1" w:styleId="20">
    <w:name w:val="_Style 12"/>
    <w:basedOn w:val="19"/>
    <w:qFormat/>
    <w:uiPriority w:val="0"/>
    <w:tblPr>
      <w:tblCellMar>
        <w:top w:w="15" w:type="dxa"/>
        <w:left w:w="15" w:type="dxa"/>
        <w:bottom w:w="15" w:type="dxa"/>
        <w:right w:w="15" w:type="dxa"/>
      </w:tblCellMar>
    </w:tblPr>
  </w:style>
  <w:style w:type="table" w:customStyle="1" w:styleId="21">
    <w:name w:val="_Style 13"/>
    <w:basedOn w:val="19"/>
    <w:uiPriority w:val="0"/>
  </w:style>
  <w:style w:type="table" w:customStyle="1" w:styleId="22">
    <w:name w:val="_Style 14"/>
    <w:basedOn w:val="19"/>
    <w:qFormat/>
    <w:uiPriority w:val="0"/>
  </w:style>
  <w:style w:type="table" w:customStyle="1" w:styleId="23">
    <w:name w:val="_Style 15"/>
    <w:basedOn w:val="19"/>
    <w:qFormat/>
    <w:uiPriority w:val="0"/>
  </w:style>
  <w:style w:type="table" w:customStyle="1" w:styleId="24">
    <w:name w:val="_Style 16"/>
    <w:basedOn w:val="19"/>
    <w:qFormat/>
    <w:uiPriority w:val="0"/>
  </w:style>
  <w:style w:type="table" w:customStyle="1" w:styleId="25">
    <w:name w:val="_Style 17"/>
    <w:basedOn w:val="19"/>
    <w:qFormat/>
    <w:uiPriority w:val="0"/>
  </w:style>
  <w:style w:type="table" w:customStyle="1" w:styleId="26">
    <w:name w:val="_Style 18"/>
    <w:basedOn w:val="19"/>
    <w:qFormat/>
    <w:uiPriority w:val="0"/>
  </w:style>
  <w:style w:type="table" w:customStyle="1" w:styleId="27">
    <w:name w:val="_Style 19"/>
    <w:basedOn w:val="19"/>
    <w:qFormat/>
    <w:uiPriority w:val="0"/>
  </w:style>
  <w:style w:type="table" w:customStyle="1" w:styleId="28">
    <w:name w:val="_Style 25"/>
    <w:basedOn w:val="9"/>
    <w:qFormat/>
    <w:uiPriority w:val="0"/>
    <w:tblPr>
      <w:tblCellMar>
        <w:top w:w="15" w:type="dxa"/>
        <w:left w:w="15" w:type="dxa"/>
        <w:bottom w:w="15" w:type="dxa"/>
        <w:right w:w="15" w:type="dxa"/>
      </w:tblCellMar>
    </w:tblPr>
  </w:style>
  <w:style w:type="table" w:customStyle="1" w:styleId="29">
    <w:name w:val="_Style 26"/>
    <w:basedOn w:val="9"/>
    <w:uiPriority w:val="0"/>
  </w:style>
  <w:style w:type="table" w:customStyle="1" w:styleId="30">
    <w:name w:val="_Style 27"/>
    <w:basedOn w:val="9"/>
    <w:qFormat/>
    <w:uiPriority w:val="0"/>
  </w:style>
  <w:style w:type="table" w:customStyle="1" w:styleId="31">
    <w:name w:val="_Style 28"/>
    <w:basedOn w:val="9"/>
    <w:qFormat/>
    <w:uiPriority w:val="0"/>
  </w:style>
  <w:style w:type="table" w:customStyle="1" w:styleId="32">
    <w:name w:val="_Style 29"/>
    <w:basedOn w:val="9"/>
    <w:qFormat/>
    <w:uiPriority w:val="0"/>
  </w:style>
  <w:style w:type="table" w:customStyle="1" w:styleId="33">
    <w:name w:val="_Style 30"/>
    <w:basedOn w:val="9"/>
    <w:qFormat/>
    <w:uiPriority w:val="0"/>
  </w:style>
  <w:style w:type="table" w:customStyle="1" w:styleId="34">
    <w:name w:val="_Style 31"/>
    <w:basedOn w:val="9"/>
    <w:qFormat/>
    <w:uiPriority w:val="0"/>
  </w:style>
  <w:style w:type="table" w:customStyle="1" w:styleId="35">
    <w:name w:val="_Style 32"/>
    <w:basedOn w:val="9"/>
    <w:qFormat/>
    <w:uiPriority w:val="0"/>
  </w:style>
  <w:style w:type="table" w:customStyle="1" w:styleId="36">
    <w:name w:val="_Style 33"/>
    <w:basedOn w:val="9"/>
    <w:qFormat/>
    <w:uiPriority w:val="0"/>
  </w:style>
  <w:style w:type="paragraph" w:customStyle="1" w:styleId="37">
    <w:name w:val="isselectedend"/>
    <w:basedOn w:val="1"/>
    <w:qFormat/>
    <w:uiPriority w:val="0"/>
    <w:pPr>
      <w:spacing w:before="100" w:beforeAutospacing="1" w:after="100" w:afterAutospacing="1" w:line="240" w:lineRule="auto"/>
      <w:jc w:val="left"/>
    </w:pPr>
    <w:rPr>
      <w:rFonts w:ascii="Times New Roman" w:hAnsi="Times New Roman" w:eastAsia="Times New Roman" w:cs="Times New Roman"/>
      <w:lang w:val="en-IN" w:eastAsia="en-IN"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1.xml"/><Relationship Id="rId14" Type="http://schemas.openxmlformats.org/officeDocument/2006/relationships/numbering" Target="numbering.xml"/><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nhIYH9xPhFBzSqAHPWTQ0mXKOQ==">CgMxLjAaJAoBMBIfCh0IB0IZCgVBcmltbxIQQXJpYWwgVW5pY29kZSBNUxokCgExEh8KHQgHQhkKBUFyaW1vEhBBcmlhbCBVbmljb2RlIE1TGiQKATISHwodCAdCGQoFQXJpbW8SEEFyaWFsIFVuaWNvZGUgTVMaJAoBMxIfCh0IB0IZCgVBcmltbxIQQXJpYWwgVW5pY29kZSBNUxokCgE0Eh8KHQgHQhkKBUFyaW1vEhBBcmlhbCBVbmljb2RlIE1TGiQKATUSHwodCAdCGQoFQXJpbW8SEEFyaWFsIFVuaWNvZGUgTVMaJAoBNhIfCh0IB0IZCgVBcmltbxIQQXJpYWwgVW5pY29kZSBNUxokCgE3Eh8KHQgHQhkKBUFyaW1vEhBBcmlhbCBVbmljb2RlIE1TGiQKATgSHwodCAdCGQoFQXJpbW8SEEFyaWFsIFVuaWNvZGUgTVMaJAoBORIfCh0IB0IZCgVBcmltbxIQQXJpYWwgVW5pY29kZSBNUxolCgIxMBIfCh0IB0IZCgVBcmltbxIQQXJpYWwgVW5pY29kZSBNUxolCgIxMRIfCh0IB0IZCgVBcmltbxIQQXJpYWwgVW5pY29kZSBNUxolCgIxMhIfCh0IB0IZCgVBcmltbxIQQXJpYWwgVW5pY29kZSBNUxolCgIxMxIfCh0IB0IZCgVBcmltbxIQQXJpYWwgVW5pY29kZSBNUxolCgIxNBIfCh0IB0IZCgVBcmltbxIQQXJpYWwgVW5pY29kZSBNUxolCgIxNRIfCh0IB0IZCgVBcmltbxIQQXJpYWwgVW5pY29kZSBNUxolCgIxNhIfCh0IB0IZCgVBcmltbxIQQXJpYWwgVW5pY29kZSBNUxolCgIxNxIfCh0IB0IZCgVBcmltbxIQQXJpYWwgVW5pY29kZSBNUxolCgIxOBIfCh0IB0IZCgVBcmltbxIQQXJpYWwgVW5pY29kZSBNUxolCgIxORIfCh0IB0IZCgVBcmltbxIQQXJpYWwgVW5pY29kZSBNUxolCgIyMBIfCh0IB0IZCgVBcmltbxIQQXJpYWwgVW5pY29kZSBNUxolCgIyMRIfCh0IB0IZCgVBcmltbxIQQXJpYWwgVW5pY29kZSBNUxolCgIyMhIfCh0IB0IZCgVBcmltbxIQQXJpYWwgVW5pY29kZSBNUxolCgIyMxIfCh0IB0IZCgVBcmltbxIQQXJpYWwgVW5pY29kZSBNUxolCgIyNBIfCh0IB0IZCgVBcmltbxIQQXJpYWwgVW5pY29kZSBNUxolCgIyNRIfCh0IB0IZCgVBcmltbxIQQXJpYWwgVW5pY29kZSBNUxolCgIyNhIfCh0IB0IZCgVBcmltbxIQQXJpYWwgVW5pY29kZSBNUxolCgIyNxIfCh0IB0IZCgVBcmltbxIQQXJpYWwgVW5pY29kZSBNUxolCgIyOBIfCh0IB0IZCgVBcmltbxIQQXJpYWwgVW5pY29kZSBNUxolCgIyORIfCh0IB0IZCgVBcmltbxIQQXJpYWwgVW5pY29kZSBNUxolCgIzMBIfCh0IB0IZCgVBcmltbxIQQXJpYWwgVW5pY29kZSBNUxolCgIzMRIfCh0IB0IZCgVBcmltbxIQQXJpYWwgVW5pY29kZSBNUxolCgIzMhIfCh0IB0IZCgVBcmltbxIQQXJpYWwgVW5pY29kZSBNUxolCgIzMxIfCh0IB0IZCgVBcmltbxIQQXJpYWwgVW5pY29kZSBNUxolCgIzNBIfCh0IB0IZCgVBcmltbxIQQXJpYWwgVW5pY29kZSBNUxolCgIzNRIfCh0IB0IZCgVBcmltbxIQQXJpYWwgVW5pY29kZSBNUxolCgIzNhIfCh0IB0IZCgVBcmltbxIQQXJpYWwgVW5pY29kZSBNUxolCgIzNxIfCh0IB0IZCgVBcmltbxIQQXJpYWwgVW5pY29kZSBNUxolCgIzOBIfCh0IB0IZCgVBcmltbxIQQXJpYWwgVW5pY29kZSBNUxolCgIzORIfCh0IB0IZCgVBcmltbxIQQXJpYWwgVW5pY29kZSBNUxolCgI0MBIfCh0IB0IZCgVBcmltbxIQQXJpYWwgVW5pY29kZSBNUxolCgI0MRIfCh0IB0IZCgVBcmltbxIQQXJpYWwgVW5pY29kZSBNUxolCgI0MhIfCh0IB0IZCgVBcmltbxIQQXJpYWwgVW5pY29kZSBNUxolCgI0MxIfCh0IB0IZCgVBcmltbxIQQXJpYWwgVW5pY29kZSBNUxolCgI0NBIfCh0IB0IZCgVBcmltbxIQQXJpYWwgVW5pY29kZSBNUxolCgI0NRIfCh0IB0IZCgVBcmltbxIQQXJpYWwgVW5pY29kZSBNUxolCgI0NhIfCh0IB0IZCgVBcmltbxIQQXJpYWwgVW5pY29kZSBNUxolCgI0NxIfCh0IB0IZCgVBcmltbxIQQXJpYWwgVW5pY29kZSBNUxolCgI0OBIfCh0IB0IZCgVBcmltbxIQQXJpYWwgVW5pY29kZSBNUxolCgI0ORIfCh0IB0IZCgVBcmltbxIQQXJpYWwgVW5pY29kZSBNUxolCgI1MBIfCh0IB0IZCgVBcmltbxIQQXJpYWwgVW5pY29kZSBNUxolCgI1MRIfCh0IB0IZCgVBcmltbxIQQXJpYWwgVW5pY29kZSBNUxolCgI1MhIfCh0IB0IZCgVBcmltbxIQQXJpYWwgVW5pY29kZSBNUxolCgI1MxIfCh0IB0IZCgVBcmltbxIQQXJpYWwgVW5pY29kZSBNUxolCgI1NBIfCh0IB0IZCgVBcmltbxIQQXJpYWwgVW5pY29kZSBNUxolCgI1NRIfCh0IB0IZCgVBcmltbxIQQXJpYWwgVW5pY29kZSBNUxolCgI1NhIfCh0IB0IZCgVBcmltbxIQQXJpYWwgVW5pY29kZSBNUxolCgI1NxIfCh0IB0IZCgVBcmltbxIQQXJpYWwgVW5pY29kZSBNUxolCgI1OBIfCh0IB0IZCgVBcmltbxIQQXJpYWwgVW5pY29kZSBNUxolCgI1ORIfCh0IB0IZCgVBcmltbxIQQXJpYWwgVW5pY29kZSBNUxolCgI2MBIfCh0IB0IZCgVBcmltbxIQQXJpYWwgVW5pY29kZSBNUxolCgI2MRIfCh0IB0IZCgVBcmltbxIQQXJpYWwgVW5pY29kZSBNUxolCgI2MhIfCh0IB0IZCgVBcmltbxIQQXJpYWwgVW5pY29kZSBNUxolCgI2MxIfCh0IB0IZCgVBcmltbxIQQXJpYWwgVW5pY29kZSBNUxolCgI2NBIfCh0IB0IZCgVBcmltbxIQQXJpYWwgVW5pY29kZSBNUxolCgI2NRIfCh0IB0IZCgVBcmltbxIQQXJpYWwgVW5pY29kZSBNUxolCgI2NhIfCh0IB0IZCgVBcmltbxIQQXJpYWwgVW5pY29kZSBNUxolCgI2NxIfCh0IB0IZCgVBcmltbxIQQXJpYWwgVW5pY29kZSBNUxolCgI2OBIfCh0IB0IZCgVBcmltbxIQQXJpYWwgVW5pY29kZSBNUxolCgI2ORIfCh0IB0IZCgVBcmltbxIQQXJpYWwgVW5pY29kZSBNUxolCgI3MBIfCh0IB0IZCgVBcmltbxIQQXJpYWwgVW5pY29kZSBNUxolCgI3MRIfCh0IB0IZCgVBcmltbxIQQXJpYWwgVW5pY29kZSBNUxolCgI3MhIfCh0IB0IZCgVBcmltbxIQQXJpYWwgVW5pY29kZSBNUxolCgI3MxIfCh0IB0IZCgVBcmltbxIQQXJpYWwgVW5pY29kZSBNUxolCgI3NBIfCh0IB0IZCgVBcmltbxIQQXJpYWwgVW5pY29kZSBNUxolCgI3NRIfCh0IB0IZCgVBcmltbxIQQXJpYWwgVW5pY29kZSBNUxolCgI3NhIfCh0IB0IZCgVBcmltbxIQQXJpYWwgVW5pY29kZSBNUxolCgI3NxIfCh0IB0IZCgVBcmltbxIQQXJpYWwgVW5pY29kZSBNUxolCgI3OBIfCh0IB0IZCgVBcmltbxIQQXJpYWwgVW5pY29kZSBNUxolCgI3ORIfCh0IB0IZCgVBcmltbxIQQXJpYWwgVW5pY29kZSBNUxolCgI4MBIfCh0IB0IZCgVBcmltbxIQQXJpYWwgVW5pY29kZSBNUxolCgI4MRIfCh0IB0IZCgVBcmltbxIQQXJpYWwgVW5pY29kZSBNUxolCgI4MhIfCh0IB0IZCgVBcmltbxIQQXJpYWwgVW5pY29kZSBNUxolCgI4MxIfCh0IB0IZCgVBcmltbxIQQXJpYWwgVW5pY29kZSBNUxolCgI4NBIfCh0IB0IZCgVBcmltbxIQQXJpYWwgVW5pY29kZSBNUxolCgI4NRIfCh0IB0IZCgVBcmltbxIQQXJpYWwgVW5pY29kZSBNUxolCgI4NhIfCh0IB0IZCgVBcmltbxIQQXJpYWwgVW5pY29kZSBNUxolCgI4NxIfCh0IB0IZCgVBcmltbxIQQXJpYWwgVW5pY29kZSBNUxolCgI4OBIfCh0IB0IZCgVBcmltbxIQQXJpYWwgVW5pY29kZSBNUxolCgI4ORIfCh0IB0IZCgVBcmltbxIQQXJpYWwgVW5pY29kZSBNUxolCgI5MBIfCh0IB0IZCgVBcmltbxIQQXJpYWwgVW5pY29kZSBNUxolCgI5MRIfCh0IB0IZCgVBcmltbxIQQXJpYWwgVW5pY29kZSBNUxolCgI5MhIfCh0IB0IZCgVBcmltbxIQQXJpYWwgVW5pY29kZSBNUxolCgI5MxIfCh0IB0IZCgVBcmltbxIQQXJpYWwgVW5pY29kZSBNUxolCgI5NBIfCh0IB0IZCgVBcmltbxIQQXJpYWwgVW5pY29kZSBNUxolCgI5NRIfCh0IB0IZCgVBcmltbxIQQXJpYWwgVW5pY29kZSBNUxolCgI5NhIfCh0IB0IZCgVBcmltbxIQQXJpYWwgVW5pY29kZSBNUxolCgI5NxIfCh0IB0IZCgVBcmltbxIQQXJpYWwgVW5pY29kZSBNUxolCgI5OBIfCh0IB0IZCgVBcmltbxIQQXJpYWwgVW5pY29kZSBNUxolCgI5ORIfCh0IB0IZCgVBcmltbxIQQXJpYWwgVW5pY29kZSBNUxomCgMxMDASHwodCAdCGQoFQXJpbW8SEEFyaWFsIFVuaWNvZGUgTVMaJgoDMTAxEh8KHQgHQhkKBUFyaW1vEhBBcmlhbCBVbmljb2RlIE1TGiYKAzEwMhIfCh0IB0IZCgVBcmltbxIQQXJpYWwgVW5pY29kZSBNUxomCgMxMDMSHwodCAdCGQoFQXJpbW8SEEFyaWFsIFVuaWNvZGUgTVMaJgoDMTA0Eh8KHQgHQhkKBUFyaW1vEhBBcmlhbCBVbmljb2RlIE1TGiYKAzEwNRIfCh0IB0IZCgVBcmltbxIQQXJpYWwgVW5pY29kZSBNUxomCgMxMDYSHwodCAdCGQoFQXJpbW8SEEFyaWFsIFVuaWNvZGUgTVMaJgoDMTA3Eh8KHQgHQhkKBUFyaW1vEhBBcmlhbCBVbmljb2RlIE1TGiYKAzEwOBIfCh0IB0IZCgVBcmltbxIQQXJpYWwgVW5pY29kZSBNUxomCgMxMDkSHwodCAdCGQoFQXJpbW8SEEFyaWFsIFVuaWNvZGUgTVMaJgoDMTEwEh8KHQgHQhkKBUFyaW1vEhBBcmlhbCBVbmljb2RlIE1TGiYKAzExMRIfCh0IB0IZCgVBcmltbxIQQXJpYWwgVW5pY29kZSBNUxomCgMxMTISHwodCAdCGQoFQXJpbW8SEEFyaWFsIFVuaWNvZGUgTVMaJgoDMTEzEh8KHQgHQhkKBUFyaW1vEhBBcmlhbCBVbmljb2RlIE1TGiYKAzExNBIfCh0IB0IZCgVBcmltbxIQQXJpYWwgVW5pY29kZSBNUxomCgMxMTUSHwodCAdCGQoFQXJpbW8SEEFyaWFsIFVuaWNvZGUgTVMaJgoDMTE2Eh8KHQgHQhkKBUFyaW1vEhBBcmlhbCBVbmljb2RlIE1TGiYKAzExNxIfCh0IB0IZCgVBcmltbxIQQXJpYWwgVW5pY29kZSBNUxomCgMxMTgSHwodCAdCGQoFQXJpbW8SEEFyaWFsIFVuaWNvZGUgTVMaJgoDMTE5Eh8KHQgHQhkKBUFyaW1vEhBBcmlhbCBVbmljb2RlIE1TGiYKAzEyMBIfCh0IB0IZCgVBcmltbxIQQXJpYWwgVW5pY29kZSBNUxomCgMxMjESHwodCAdCGQoFQXJpbW8SEEFyaWFsIFVuaWNvZGUgTVMaJgoDMTIyEh8KHQgHQhkKBUFyaW1vEhBBcmlhbCBVbmljb2RlIE1TGiYKAzEyMxIfCh0IB0IZCgVBcmltbxIQQXJpYWwgVW5pY29kZSBNUxomCgMxMjQSHwodCAdCGQoFQXJpbW8SEEFyaWFsIFVuaWNvZGUgTVMaJgoDMTI1Eh8KHQgHQhkKBUFyaW1vEhBBcmlhbCBVbmljb2RlIE1TGiYKAzEyNhIfCh0IB0IZCgVBcmltbxIQQXJpYWwgVW5pY29kZSBNUxomCgMxMjcSHwodCAdCGQoFQXJpbW8SEEFyaWFsIFVuaWNvZGUgTVMaJgoDMTI4Eh8KHQgHQhkKBUFyaW1vEhBBcmlhbCBVbmljb2RlIE1TGiYKAzEyORIfCh0IB0IZCgVBcmltbxIQQXJpYWwgVW5pY29kZSBNUxomCgMxMzASHwodCAdCGQoFQXJpbW8SEEFyaWFsIFVuaWNvZGUgTVMaJgoDMTMxEh8KHQgHQhkKBUFyaW1vEhBBcmlhbCBVbmljb2RlIE1TGiYKAzEzMhIfCh0IB0IZCgVBcmltbxIQQXJpYWwgVW5pY29kZSBNUxomCgMxMzMSHwodCAdCGQoFQXJpbW8SEEFyaWFsIFVuaWNvZGUgTVMaJgoDMTM0Eh8KHQgHQhkKBUFyaW1vEhBBcmlhbCBVbmljb2RlIE1TGiYKAzEzNRIfCh0IB0IZCgVBcmltbxIQQXJpYWwgVW5pY29kZSBNUxomCgMxMzYSHwodCAdCGQoFQXJpbW8SEEFyaWFsIFVuaWNvZGUgTVMaJgoDMTM3Eh8KHQgHQhkKBUFyaW1vEhBBcmlhbCBVbmljb2RlIE1TGiYKAzEzOBIfCh0IB0IZCgVBcmltbxIQQXJpYWwgVW5pY29kZSBNUxomCgMxMzkSHwodCAdCGQoFQXJpbW8SEEFyaWFsIFVuaWNvZGUgTVMaJgoDMTQwEh8KHQgHQhkKBUFyaW1vEhBBcmlhbCBVbmljb2RlIE1TGiYKAzE0MRIfCh0IB0IZCgVBcmltbxIQQXJpYWwgVW5pY29kZSBNUxomCgMxNDISHwodCAdCGQoFQXJpbW8SEEFyaWFsIFVuaWNvZGUgTVMaJgoDMTQzEh8KHQgHQhkKBUFyaW1vEhBBcmlhbCBVbmljb2RlIE1TGiYKAzE0NBIfCh0IB0IZCgVBcmltbxIQQXJpYWwgVW5pY29kZSBNUxomCgMxNDUSHwodCAdCGQoFQXJpbW8SEEFyaWFsIFVuaWNvZGUgTVMaJgoDMTQ2Eh8KHQgHQhkKBUFyaW1vEhBBcmlhbCBVbmljb2RlIE1TGiYKAzE0NxIfCh0IB0IZCgVBcmltbxIQQXJpYWwgVW5pY29kZSBNUxomCgMxNDgSHwodCAdCGQoFQXJpbW8SEEFyaWFsIFVuaWNvZGUgTVMaJgoDMTQ5Eh8KHQgHQhkKBUFyaW1vEhBBcmlhbCBVbmljb2RlIE1TGiYKAzE1MBIfCh0IB0IZCgVBcmltbxIQQXJpYWwgVW5pY29kZSBNUxomCgMxNTESHwodCAdCGQoFQXJpbW8SEEFyaWFsIFVuaWNvZGUgTVMaJgoDMTUyEh8KHQgHQhkKBUFyaW1vEhBBcmlhbCBVbmljb2RlIE1TGiYKAzE1MxIfCh0IB0IZCgVBcmltbxIQQXJpYWwgVW5pY29kZSBNUxomCgMxNTQSHwodCAdCGQoFQXJpbW8SEEFyaWFsIFVuaWNvZGUgTVMaJgoDMTU1Eh8KHQgHQhkKBUFyaW1vEhBBcmlhbCBVbmljb2RlIE1TGiYKAzE1NhIfCh0IB0IZCgVBcmltbxIQQXJpYWwgVW5pY29kZSBNUxomCgMxNTcSHwodCAdCGQoFQXJpbW8SEEFyaWFsIFVuaWNvZGUgTVMaJgoDMTU4Eh8KHQgHQhkKBUFyaW1vEhBBcmlhbCBVbmljb2RlIE1TGiYKAzE1ORIfCh0IB0IZCgVBcmltbxIQQXJpYWwgVW5pY29kZSBNUxomCgMxNjASHwodCAdCGQoFQXJpbW8SEEFyaWFsIFVuaWNvZGUgTVMaJgoDMTYxEh8KHQgHQhkKBUFyaW1vEhBBcmlhbCBVbmljb2RlIE1TGiYKAzE2MhIfCh0IB0IZCgVBcmltbxIQQXJpYWwgVW5pY29kZSBNUxomCgMxNjMSHwodCAdCGQoFQXJpbW8SEEFyaWFsIFVuaWNvZGUgTVMaJgoDMTY0Eh8KHQgHQhkKBUFyaW1vEhBBcmlhbCBVbmljb2RlIE1TGiYKAzE2NRIfCh0IB0IZCgVBcmltbxIQQXJpYWwgVW5pY29kZSBNUxomCgMxNjYSHwodCAdCGQoFQXJpbW8SEEFyaWFsIFVuaWNvZGUgTVMaJgoDMTY3Eh8KHQgHQhkKBUFyaW1vEhBBcmlhbCBVbmljb2RlIE1TGiYKAzE2OBIfCh0IB0IZCgVBcmltbxIQQXJpYWwgVW5pY29kZSBNUxomCgMxNjkSHwodCAdCGQoFQXJpbW8SEEFyaWFsIFVuaWNvZGUgTVMaJgoDMTcwEh8KHQgHQhkKBUFyaW1vEhBBcmlhbCBVbmljb2RlIE1TGiYKAzE3MRIfCh0IB0IZCgVBcmltbxIQQXJpYWwgVW5pY29kZSBNUxomCgMxNzISHwodCAdCGQoFQXJpbW8SEEFyaWFsIFVuaWNvZGUgTVMaJgoDMTczEh8KHQgHQhkKBUFyaW1vEhBBcmlhbCBVbmljb2RlIE1TGiYKAzE3NBIfCh0IB0IZCgVBcmltbxIQQXJpYWwgVW5pY29kZSBNUxomCgMxNzUSHwodCAdCGQoFQXJpbW8SEEFyaWFsIFVuaWNvZGUgTVMaJgoDMTc2Eh8KHQgHQhkKBUFyaW1vEhBBcmlhbCBVbmljb2RlIE1TGiYKAzE3NxIfCh0IB0IZCgVBcmltbxIQQXJpYWwgVW5pY29kZSBNUxomCgMxNzgSHwodCAdCGQoFQXJpbW8SEEFyaWFsIFVuaWNvZGUgTVMaJgoDMTc5Eh8KHQgHQhkKBUFyaW1vEhBBcmlhbCBVbmljb2RlIE1TGiYKAzE4MBIfCh0IB0IZCgVBcmltbxIQQXJpYWwgVW5pY29kZSBNUxomCgMxODESHwodCAdCGQoFQXJpbW8SEEFyaWFsIFVuaWNvZGUgTVMaJgoDMTgyEh8KHQgHQhkKBUFyaW1vEhBBcmlhbCBVbmljb2RlIE1TGiYKAzE4MxIfCh0IB0IZCgVBcmltbxIQQXJpYWwgVW5pY29kZSBNUxomCgMxODQSHwodCAdCGQoFQXJpbW8SEEFyaWFsIFVuaWNvZGUgTVMaJgoDMTg1Eh8KHQgHQhkKBUFyaW1vEhBBcmlhbCBVbmljb2RlIE1TGiYKAzE4NhIfCh0IB0IZCgVBcmltbxIQQXJpYWwgVW5pY29kZSBNUxomCgMxODcSHwodCAdCGQoFQXJpbW8SEEFyaWFsIFVuaWNvZGUgTVMaJgoDMTg4Eh8KHQgHQhkKBUFyaW1vEhBBcmlhbCBVbmljb2RlIE1TGiYKAzE4ORIfCh0IB0IZCgVBcmltbxIQQXJpYWwgVW5pY29kZSBNUxomCgMxOTASHwodCAdCGQoFQXJpbW8SEEFyaWFsIFVuaWNvZGUgTVMaJgoDMTkxEh8KHQgHQhkKBUFyaW1vEhBBcmlhbCBVbmljb2RlIE1TGiYKAzE5MhIfCh0IB0IZCgVBcmltbxIQQXJpYWwgVW5pY29kZSBNUxomCgMxOTMSHwodCAdCGQoFQXJpbW8SEEFyaWFsIFVuaWNvZGUgTVMaJgoDMTk0Eh8KHQgHQhkKBUFyaW1vEhBBcmlhbCBVbmljb2RlIE1TGiYKAzE5NRIfCh0IB0IZCgVBcmltbxIQQXJpYWwgVW5pY29kZSBNUxomCgMxOTYSHwodCAdCGQoFQXJpbW8SEEFyaWFsIFVuaWNvZGUgTVMaJgoDMTk3Eh8KHQgHQhkKBUFyaW1vEhBBcmlhbCBVbmljb2RlIE1TGiYKAzE5OBIfCh0IB0IZCgVBcmltbxIQQXJpYWwgVW5pY29kZSBNUxomCgMxOTkSHwodCAdCGQoFQXJpbW8SEEFyaWFsIFVuaWNvZGUgTVMaJgoDMjAwEh8KHQgHQhkKBUFyaW1vEhBBcmlhbCBVbmljb2RlIE1TGiYKAzIwMRIfCh0IB0IZCgVBcmltbxIQQXJpYWwgVW5pY29kZSBNUxomCgMyMDISHwodCAdCGQoFQXJpbW8SEEFyaWFsIFVuaWNvZGUgTVMaJgoDMjAzEh8KHQgHQhkKBUFyaW1vEhBBcmlhbCBVbmljb2RlIE1TGiYKAzIwNBIfCh0IB0IZCgVBcmltbxIQQXJpYWwgVW5pY29kZSBNUxomCgMyMDUSHwodCAdCGQoFQXJpbW8SEEFyaWFsIFVuaWNvZGUgTVMaJgoDMjA2Eh8KHQgHQhkKBUFyaW1vEhBBcmlhbCBVbmljb2RlIE1TGiYKAzIwNxIfCh0IB0IZCgVBcmltbxIQQXJpYWwgVW5pY29kZSBNUxomCgMyMDgSHwodCAdCGQoFQXJpbW8SEEFyaWFsIFVuaWNvZGUgTVMaJgoDMjA5Eh8KHQgHQhkKBUFyaW1vEhBBcmlhbCBVbmljb2RlIE1TGiYKAzIxMBIfCh0IB0IZCgVBcmltbxIQQXJpYWwgVW5pY29kZSBNUxomCgMyMTESHwodCAdCGQoFQXJpbW8SEEFyaWFsIFVuaWNvZGUgTVMaJgoDMjEyEh8KHQgHQhkKBUFyaW1vEhBBcmlhbCBVbmljb2RlIE1TGiYKAzIxMxIfCh0IB0IZCgVBcmltbxIQQXJpYWwgVW5pY29kZSBNUxomCgMyMTQSHwodCAdCGQoFQXJpbW8SEEFyaWFsIFVuaWNvZGUgTVMaJgoDMjE1Eh8KHQgHQhkKBUFyaW1vEhBBcmlhbCBVbmljb2RlIE1TGiYKAzIxNhIfCh0IB0IZCgVBcmltbxIQQXJpYWwgVW5pY29kZSBNUxomCgMyMTcSHwodCAdCGQoFQXJpbW8SEEFyaWFsIFVuaWNvZGUgTVMaJgoDMjE4Eh8KHQgHQhkKBUFyaW1vEhBBcmlhbCBVbmljb2RlIE1TGiYKAzIxORIfCh0IB0IZCgVBcmltbxIQQXJpYWwgVW5pY29kZSBNUxomCgMyMjASHwodCAdCGQoFQXJpbW8SEEFyaWFsIFVuaWNvZGUgTVMaJgoDMjIxEh8KHQgHQhkKBUFyaW1vEhBBcmlhbCBVbmljb2RlIE1TGiYKAzIyMhIfCh0IB0IZCgVBcmltbxIQQXJpYWwgVW5pY29kZSBNUxomCgMyMjMSHwodCAdCGQoFQXJpbW8SEEFyaWFsIFVuaWNvZGUgTVMaJgoDMjI0Eh8KHQgHQhkKBUFyaW1vEhBBcmlhbCBVbmljb2RlIE1TMg5oLmNlNWY2OGx5c2w5bzIOaC5reTA1ZTNxNnFqbXoyDmguazI3enBzbm9lNzBmMg5oLjhzczBhdmppZHoxbzIOaC40cHkwOG14eWtxN28yDmguNmhkbWhidnp1M2tvMg5oLmJmamVmOWdncW9kajIOaC5ldTZ1bWxnc3VsbXkyDmgubjdsNDRmNjd1Zng5Mg5oLm9vdjFpcWpqbDVsaTIOaC5xdDFjaTRzeG56angyDmgubXNoZzE0dnlzejJxMg5oLnM0aXY4cXN3NTJ6cjIOaC5pbnJ3aXk2OGswYnMyDmgueHEybTVuZWdqdW1zMg5oLnVmbzZ6bmY2OGE5YTIOaC4zdXp1OXo3cXBybzUyDmgubHVzYmZxbXNueWp3Mg5oLmd5aDM5ZGlrMWFoMDIOaC5zaWYxNmg2bDZkaGIyDmguZmN5ZHB4bG4yYTA5MgxoLmQwaDNvdWZyZXUyDmguOGpocWdwOGtrcWhtMg1oLjllZjE2bjRjYjY3Mg5oLmxjM3AxY2Fnam05YzIOaC5qN2R3Zm96M2UzemUyDWguYWs5N2U4anE4cW0yDmguMWR0c2NpYWtza3ExMg5oLnFpNGQ5d3VlNXFxbDIOaC5jdXdwcGk1bHJmanEyDmguODM4cGQxcHl2eGg1Mg5oLmxzano3c2QweWl5aDIOaC50OW5lbDZma2toOHIyDmgubnNjd2V4c2Nkcml2Mg5oLjNtZzZkanV1NTFkMDIOaC5oYnEycjk5aWc3OW4yDmgucDRhb2JrNTl5YXFmMg5oLnRvMGUwdnM4cXF3ZDIOaC44bW9leW10bGJ3a3QyDmgua2tibTRqN2lxazUwMg5oLmw4N2V1eXJ6dnBtbjIOaC5wYWsyZWM4YWswdjMyDmgub3V1c2ZuZHZyZzd6Mg5oLm1oM2RjcnNjMTBpbjIOaC50cXc1cXd5NWZmbTYyDmguNmRzOTg3cDhtN2VvMg5oLmlsMzg5MjI0bW9nMzIOaC5sZTJwbzR3ZzkxdG0yDmguaGdvcWZnZXoxY205Mg5oLnppZDluZTQ1bHh4aTIOaC5qdW9kd2xkOG96ajcyDWgucXZiaW1jbXRuMGcyDmgucTUyMnp5anp1YmdvMg5oLmp0d2J1ZXpleWxlcjIOaC56M2J3eWZkbzMxNXIyDmgueXcxamhoNzRqbWlxMg5oLnFrcjF6ZjU2Njl0cDIOaC5taTJyNXNrb2twZnoyDmguaTdyNjU3bTM0Zm42Mg5oLnZyMnpncnZvcGw2MjIOaC5wNTUwZXZhcmF1OTEyDmguYTlxcXRmaHdqcWx5Mg5oLnNzdjZwMWhraXdrZjINaC5sNzJ5amkyNzFqdjIOaC45bHYzbHJoendxb3oyDmguZW44MXBud2w2dmhmMg5oLnQyZGRkYnF1aTkxZzIOaC54emd1c3FnODBwMjIyDmguMmRpdXA0dHJ0ZXpzMg1oLnFkYTc1cjdxdms3Mg5oLjl1dXJzc29vZXFqazIOaC5nMXpyNzB5OXFiY20yDmgudHZwc3NhamRrYWh4Mg5oLng5enZ5aHoxYW1xNDIOaC4yaGRwajZkaXpsdGoyDmgubHVmbjEwdjBsbnE1Mg5oLmZ6aHVocWllNzI5MzIOaC41c29sN3hoOHA3OHIyDmgucGJ4enY0OWp1eWU0Mg5oLmJ6eXdvYjUwbHppNjIOaC44Ynk3MTY0ZDlqOGYyDmguaWQxemhuYnYzYW1uOAByITFCZ2tpMjBXc3V0cGJfLVY2WFc0WkEwZ3pES1hkb3NoRg==</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Normal.dotm</Template>
  <Pages>98</Pages>
  <Words>21006</Words>
  <Characters>128259</Characters>
  <Lines>1144</Lines>
  <Paragraphs>322</Paragraphs>
  <TotalTime>27</TotalTime>
  <ScaleCrop>false</ScaleCrop>
  <LinksUpToDate>false</LinksUpToDate>
  <CharactersWithSpaces>148269</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2026-08-11T13:06:00Z</dcterms:created>
  <dc:creator>jagad</dc:creator>
  <cp:lastModifiedBy>Asha chowdary</cp:lastModifiedBy>
  <dcterms:modified xsi:type="dcterms:W3CDTF">2026-08-27T21:52:00Z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eyJoZGlkIjoiNTg0MzMyNGJiMDEzODc5ODNlMGVjODViOWRkZjg1MDgiLCJ1c2VySWQiOiI1NjcwNDgwMDA0NDYifQ==</vt:lpwstr>
  </property>
  <property fmtid="{D5CDD505-2E9C-101B-9397-08002B2CF9AE}" pid="3" name="KSOProductBuildVer">
    <vt:lpwstr>1033-12.1.0.28032</vt:lpwstr>
  </property>
  <property fmtid="{D5CDD505-2E9C-101B-9397-08002B2CF9AE}" pid="4" name="ICV">
    <vt:lpwstr>FFCDEDA8AC264E5B8449642765F5B632_13</vt:lpwstr>
  </property>
</Properties>
</file>