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000001" w14:textId="77777777" w:rsidR="00BB1437" w:rsidRDefault="00F549F6">
      <w:pPr>
        <w:jc w:val="center"/>
        <w:rPr>
          <w:b/>
          <w:bCs/>
          <w:sz w:val="28"/>
          <w:szCs w:val="28"/>
          <w:highlight w:val="white"/>
        </w:rPr>
      </w:pPr>
      <w:r>
        <w:rPr>
          <w:b/>
          <w:bCs/>
          <w:sz w:val="28"/>
          <w:szCs w:val="28"/>
          <w:highlight w:val="white"/>
        </w:rPr>
        <w:t>Reference Sheet</w:t>
      </w:r>
    </w:p>
    <w:p w14:paraId="00000002" w14:textId="77777777" w:rsidR="00BB1437" w:rsidRDefault="00BB1437">
      <w:pPr>
        <w:rPr>
          <w:highlight w:val="white"/>
        </w:rPr>
      </w:pPr>
    </w:p>
    <w:p w14:paraId="00000003" w14:textId="77777777" w:rsidR="00BB1437" w:rsidRDefault="00BB1437">
      <w:pPr>
        <w:rPr>
          <w:highlight w:val="white"/>
        </w:rPr>
      </w:pPr>
    </w:p>
    <w:p w14:paraId="00000004" w14:textId="77777777" w:rsidR="00BB1437" w:rsidRDefault="00F549F6">
      <w:pPr>
        <w:jc w:val="center"/>
        <w:rPr>
          <w:highlight w:val="white"/>
        </w:rPr>
      </w:pPr>
      <w:r>
        <w:rPr>
          <w:highlight w:val="white"/>
        </w:rPr>
        <w:t>Student Name: Dorothy Tweneboah</w:t>
      </w:r>
    </w:p>
    <w:p w14:paraId="00000005" w14:textId="77777777" w:rsidR="00BB1437" w:rsidRDefault="00BB1437">
      <w:pPr>
        <w:jc w:val="center"/>
        <w:rPr>
          <w:highlight w:val="white"/>
        </w:rPr>
      </w:pPr>
    </w:p>
    <w:p w14:paraId="00000006" w14:textId="77777777" w:rsidR="00BB1437" w:rsidRDefault="00F549F6">
      <w:pPr>
        <w:jc w:val="center"/>
        <w:rPr>
          <w:highlight w:val="white"/>
        </w:rPr>
      </w:pPr>
      <w:r>
        <w:rPr>
          <w:highlight w:val="white"/>
        </w:rPr>
        <w:t>Student Number: 2314173</w:t>
      </w:r>
    </w:p>
    <w:p w14:paraId="00000007" w14:textId="77777777" w:rsidR="00BB1437" w:rsidRDefault="00BB1437">
      <w:pPr>
        <w:jc w:val="center"/>
        <w:rPr>
          <w:highlight w:val="white"/>
        </w:rPr>
      </w:pPr>
    </w:p>
    <w:p w14:paraId="00000008" w14:textId="7510823B" w:rsidR="00BB1437" w:rsidRDefault="00F549F6">
      <w:pPr>
        <w:jc w:val="center"/>
        <w:rPr>
          <w:highlight w:val="white"/>
        </w:rPr>
      </w:pPr>
      <w:r>
        <w:rPr>
          <w:highlight w:val="white"/>
        </w:rPr>
        <w:t xml:space="preserve">Lecturer Name: </w:t>
      </w:r>
      <w:r w:rsidRPr="00F549F6">
        <w:t>Rizwan Nadim</w:t>
      </w:r>
    </w:p>
    <w:p w14:paraId="00000009" w14:textId="77777777" w:rsidR="00BB1437" w:rsidRDefault="00BB1437">
      <w:pPr>
        <w:jc w:val="center"/>
        <w:rPr>
          <w:highlight w:val="white"/>
        </w:rPr>
      </w:pPr>
    </w:p>
    <w:p w14:paraId="0000000A" w14:textId="77777777" w:rsidR="00BB1437" w:rsidRDefault="00F549F6">
      <w:pPr>
        <w:jc w:val="center"/>
        <w:rPr>
          <w:highlight w:val="white"/>
        </w:rPr>
      </w:pPr>
      <w:r>
        <w:rPr>
          <w:highlight w:val="white"/>
        </w:rPr>
        <w:t>Module Title: BMHP6027</w:t>
      </w:r>
    </w:p>
    <w:p w14:paraId="0000000B" w14:textId="77777777" w:rsidR="00BB1437" w:rsidRDefault="00F549F6">
      <w:pPr>
        <w:jc w:val="left"/>
        <w:rPr>
          <w:highlight w:val="white"/>
        </w:rPr>
      </w:pPr>
      <w:r>
        <w:br w:type="page"/>
      </w:r>
    </w:p>
    <w:p w14:paraId="0000000C" w14:textId="77777777" w:rsidR="00BB1437" w:rsidRDefault="00F549F6">
      <w:pPr>
        <w:spacing w:after="200"/>
        <w:rPr>
          <w:b/>
          <w:bCs/>
          <w:sz w:val="22"/>
          <w:szCs w:val="22"/>
          <w:highlight w:val="white"/>
        </w:rPr>
      </w:pPr>
      <w:r>
        <w:rPr>
          <w:b/>
          <w:bCs/>
          <w:sz w:val="22"/>
          <w:szCs w:val="22"/>
          <w:highlight w:val="white"/>
        </w:rPr>
        <w:lastRenderedPageBreak/>
        <w:t>Reference List</w:t>
      </w:r>
    </w:p>
    <w:p w14:paraId="10F9D5E1" w14:textId="77777777" w:rsidR="009E7E93" w:rsidRDefault="009E7E93">
      <w:pPr>
        <w:spacing w:after="200"/>
        <w:rPr>
          <w:sz w:val="22"/>
          <w:szCs w:val="22"/>
          <w:highlight w:val="white"/>
        </w:rPr>
      </w:pPr>
      <w:r>
        <w:rPr>
          <w:sz w:val="22"/>
          <w:szCs w:val="22"/>
          <w:highlight w:val="white"/>
        </w:rPr>
        <w:t xml:space="preserve">Arntz, A., Weber, F., </w:t>
      </w:r>
      <w:proofErr w:type="spellStart"/>
      <w:r>
        <w:rPr>
          <w:sz w:val="22"/>
          <w:szCs w:val="22"/>
          <w:highlight w:val="white"/>
        </w:rPr>
        <w:t>Handgraaf</w:t>
      </w:r>
      <w:proofErr w:type="spellEnd"/>
      <w:r>
        <w:rPr>
          <w:sz w:val="22"/>
          <w:szCs w:val="22"/>
          <w:highlight w:val="white"/>
        </w:rPr>
        <w:t xml:space="preserve">, M., </w:t>
      </w:r>
      <w:proofErr w:type="spellStart"/>
      <w:r>
        <w:rPr>
          <w:sz w:val="22"/>
          <w:szCs w:val="22"/>
          <w:highlight w:val="white"/>
        </w:rPr>
        <w:t>Lällä</w:t>
      </w:r>
      <w:proofErr w:type="spellEnd"/>
      <w:r>
        <w:rPr>
          <w:sz w:val="22"/>
          <w:szCs w:val="22"/>
          <w:highlight w:val="white"/>
        </w:rPr>
        <w:t xml:space="preserve">, K., Korniloff, K., </w:t>
      </w:r>
      <w:proofErr w:type="spellStart"/>
      <w:r>
        <w:rPr>
          <w:sz w:val="22"/>
          <w:szCs w:val="22"/>
          <w:highlight w:val="white"/>
        </w:rPr>
        <w:t>Murtonen</w:t>
      </w:r>
      <w:proofErr w:type="spellEnd"/>
      <w:r>
        <w:rPr>
          <w:sz w:val="22"/>
          <w:szCs w:val="22"/>
          <w:highlight w:val="white"/>
        </w:rPr>
        <w:t xml:space="preserve">, K.P., </w:t>
      </w:r>
      <w:proofErr w:type="spellStart"/>
      <w:r>
        <w:rPr>
          <w:sz w:val="22"/>
          <w:szCs w:val="22"/>
          <w:highlight w:val="white"/>
        </w:rPr>
        <w:t>Chichaeva</w:t>
      </w:r>
      <w:proofErr w:type="spellEnd"/>
      <w:r>
        <w:rPr>
          <w:sz w:val="22"/>
          <w:szCs w:val="22"/>
          <w:highlight w:val="white"/>
        </w:rPr>
        <w:t xml:space="preserve">, J., </w:t>
      </w:r>
      <w:proofErr w:type="spellStart"/>
      <w:r>
        <w:rPr>
          <w:sz w:val="22"/>
          <w:szCs w:val="22"/>
          <w:highlight w:val="white"/>
        </w:rPr>
        <w:t>Kidritsch</w:t>
      </w:r>
      <w:proofErr w:type="spellEnd"/>
      <w:r>
        <w:rPr>
          <w:sz w:val="22"/>
          <w:szCs w:val="22"/>
          <w:highlight w:val="white"/>
        </w:rPr>
        <w:t xml:space="preserve">, A., Heller, M., </w:t>
      </w:r>
      <w:proofErr w:type="spellStart"/>
      <w:r>
        <w:rPr>
          <w:sz w:val="22"/>
          <w:szCs w:val="22"/>
          <w:highlight w:val="white"/>
        </w:rPr>
        <w:t>Sakellari</w:t>
      </w:r>
      <w:proofErr w:type="spellEnd"/>
      <w:r>
        <w:rPr>
          <w:sz w:val="22"/>
          <w:szCs w:val="22"/>
          <w:highlight w:val="white"/>
        </w:rPr>
        <w:t xml:space="preserve">, E. and Athanasopoulou, C., (2023). Technologies in home-based digital rehabilitation: scoping review. </w:t>
      </w:r>
      <w:r>
        <w:rPr>
          <w:i/>
          <w:iCs/>
          <w:sz w:val="22"/>
          <w:szCs w:val="22"/>
          <w:highlight w:val="white"/>
        </w:rPr>
        <w:t>JMIR rehabilitation and assistive technologies,</w:t>
      </w:r>
      <w:r>
        <w:rPr>
          <w:sz w:val="22"/>
          <w:szCs w:val="22"/>
          <w:highlight w:val="white"/>
        </w:rPr>
        <w:t xml:space="preserve"> 10(1), p.e43615.</w:t>
      </w:r>
    </w:p>
    <w:p w14:paraId="5B8EC552" w14:textId="77777777" w:rsidR="009E7E93" w:rsidRDefault="009E7E93">
      <w:pPr>
        <w:spacing w:after="200"/>
        <w:rPr>
          <w:sz w:val="22"/>
          <w:szCs w:val="22"/>
          <w:highlight w:val="white"/>
        </w:rPr>
      </w:pPr>
      <w:r>
        <w:rPr>
          <w:sz w:val="22"/>
          <w:szCs w:val="22"/>
          <w:highlight w:val="white"/>
        </w:rPr>
        <w:t xml:space="preserve">Das, J., (2026). The Disabled and Elderly Services: Demographic Shifts, Care Provision Models, and Assisted Living Ecosystems. </w:t>
      </w:r>
      <w:r>
        <w:rPr>
          <w:i/>
          <w:iCs/>
          <w:sz w:val="22"/>
          <w:szCs w:val="22"/>
          <w:highlight w:val="white"/>
        </w:rPr>
        <w:t>Care Provision Models and Assisted Living Ecosystems</w:t>
      </w:r>
      <w:r>
        <w:rPr>
          <w:sz w:val="22"/>
          <w:szCs w:val="22"/>
          <w:highlight w:val="white"/>
        </w:rPr>
        <w:t xml:space="preserve"> (January 12, 2026).</w:t>
      </w:r>
    </w:p>
    <w:p w14:paraId="0F34B78E" w14:textId="77777777" w:rsidR="009E7E93" w:rsidRDefault="009E7E93">
      <w:pPr>
        <w:spacing w:after="200"/>
        <w:rPr>
          <w:sz w:val="22"/>
          <w:szCs w:val="22"/>
          <w:highlight w:val="white"/>
        </w:rPr>
      </w:pPr>
      <w:r>
        <w:rPr>
          <w:sz w:val="22"/>
          <w:szCs w:val="22"/>
          <w:highlight w:val="white"/>
        </w:rPr>
        <w:t xml:space="preserve">De Santis, K.K., Mergenthal, L., Christianson, L., </w:t>
      </w:r>
      <w:proofErr w:type="spellStart"/>
      <w:r>
        <w:rPr>
          <w:sz w:val="22"/>
          <w:szCs w:val="22"/>
          <w:highlight w:val="white"/>
        </w:rPr>
        <w:t>Busskamp</w:t>
      </w:r>
      <w:proofErr w:type="spellEnd"/>
      <w:r>
        <w:rPr>
          <w:sz w:val="22"/>
          <w:szCs w:val="22"/>
          <w:highlight w:val="white"/>
        </w:rPr>
        <w:t xml:space="preserve">, A., Vonstein, C. and Zeeb, H., (2023). Digital technologies for health promotion and disease prevention in older people: scoping review. </w:t>
      </w:r>
      <w:r>
        <w:rPr>
          <w:i/>
          <w:iCs/>
          <w:sz w:val="22"/>
          <w:szCs w:val="22"/>
          <w:highlight w:val="white"/>
        </w:rPr>
        <w:t>Journal of medical Internet research,</w:t>
      </w:r>
      <w:r>
        <w:rPr>
          <w:sz w:val="22"/>
          <w:szCs w:val="22"/>
          <w:highlight w:val="white"/>
        </w:rPr>
        <w:t xml:space="preserve"> 25, p.e43542.</w:t>
      </w:r>
    </w:p>
    <w:p w14:paraId="7472711D" w14:textId="77777777" w:rsidR="009E7E93" w:rsidRDefault="009E7E93">
      <w:pPr>
        <w:spacing w:after="200"/>
        <w:rPr>
          <w:sz w:val="22"/>
          <w:szCs w:val="22"/>
          <w:highlight w:val="white"/>
        </w:rPr>
      </w:pPr>
      <w:r>
        <w:rPr>
          <w:sz w:val="22"/>
          <w:szCs w:val="22"/>
          <w:highlight w:val="white"/>
        </w:rPr>
        <w:t xml:space="preserve">Felber, N.A., Pageau, F., McLean, A. and Wangmo, T., (2022). The concept of social dignity as a yardstick to delimit ethical use of robotic assistance in the care of older persons. </w:t>
      </w:r>
      <w:r>
        <w:rPr>
          <w:i/>
          <w:iCs/>
          <w:sz w:val="22"/>
          <w:szCs w:val="22"/>
          <w:highlight w:val="white"/>
        </w:rPr>
        <w:t>Medicine, Health Care and Philosophy,</w:t>
      </w:r>
      <w:r>
        <w:rPr>
          <w:sz w:val="22"/>
          <w:szCs w:val="22"/>
          <w:highlight w:val="white"/>
        </w:rPr>
        <w:t xml:space="preserve"> 25(1), pp.99-110.</w:t>
      </w:r>
    </w:p>
    <w:p w14:paraId="656A5E05" w14:textId="77777777" w:rsidR="009E7E93" w:rsidRDefault="009E7E93">
      <w:pPr>
        <w:spacing w:after="200"/>
        <w:rPr>
          <w:sz w:val="22"/>
          <w:szCs w:val="22"/>
          <w:highlight w:val="white"/>
        </w:rPr>
      </w:pPr>
      <w:r>
        <w:rPr>
          <w:sz w:val="22"/>
          <w:szCs w:val="22"/>
          <w:highlight w:val="white"/>
        </w:rPr>
        <w:t xml:space="preserve">Freed, D., Levin, M. and Sklar, T., (2026). From Care to Technology-Facilitated Abuse: Law and Policy Approaches to Safeguard Against </w:t>
      </w:r>
      <w:proofErr w:type="spellStart"/>
      <w:r>
        <w:rPr>
          <w:sz w:val="22"/>
          <w:szCs w:val="22"/>
          <w:highlight w:val="white"/>
        </w:rPr>
        <w:t>AgeTech</w:t>
      </w:r>
      <w:proofErr w:type="spellEnd"/>
      <w:r>
        <w:rPr>
          <w:sz w:val="22"/>
          <w:szCs w:val="22"/>
          <w:highlight w:val="white"/>
        </w:rPr>
        <w:t xml:space="preserve"> Misuse.</w:t>
      </w:r>
    </w:p>
    <w:p w14:paraId="3CA5C2A7" w14:textId="77777777" w:rsidR="009E7E93" w:rsidRDefault="009E7E93">
      <w:pPr>
        <w:spacing w:after="200"/>
        <w:rPr>
          <w:sz w:val="22"/>
          <w:szCs w:val="22"/>
          <w:highlight w:val="white"/>
        </w:rPr>
      </w:pPr>
      <w:proofErr w:type="spellStart"/>
      <w:r>
        <w:rPr>
          <w:sz w:val="22"/>
          <w:szCs w:val="22"/>
          <w:highlight w:val="white"/>
        </w:rPr>
        <w:t>Gkiolnta</w:t>
      </w:r>
      <w:proofErr w:type="spellEnd"/>
      <w:r>
        <w:rPr>
          <w:sz w:val="22"/>
          <w:szCs w:val="22"/>
          <w:highlight w:val="white"/>
        </w:rPr>
        <w:t xml:space="preserve">, E., Roy, D. and </w:t>
      </w:r>
      <w:proofErr w:type="spellStart"/>
      <w:r>
        <w:rPr>
          <w:sz w:val="22"/>
          <w:szCs w:val="22"/>
          <w:highlight w:val="white"/>
        </w:rPr>
        <w:t>Fragulis</w:t>
      </w:r>
      <w:proofErr w:type="spellEnd"/>
      <w:r>
        <w:rPr>
          <w:sz w:val="22"/>
          <w:szCs w:val="22"/>
          <w:highlight w:val="white"/>
        </w:rPr>
        <w:t xml:space="preserve">, G.F., (2025). Challenges and ethical considerations in implementing assistive technologies in healthcare. </w:t>
      </w:r>
      <w:r>
        <w:rPr>
          <w:i/>
          <w:iCs/>
          <w:sz w:val="22"/>
          <w:szCs w:val="22"/>
          <w:highlight w:val="white"/>
        </w:rPr>
        <w:t>Technologies,</w:t>
      </w:r>
      <w:r>
        <w:rPr>
          <w:sz w:val="22"/>
          <w:szCs w:val="22"/>
          <w:highlight w:val="white"/>
        </w:rPr>
        <w:t xml:space="preserve"> 13(2), p.48.</w:t>
      </w:r>
    </w:p>
    <w:p w14:paraId="3E295C88" w14:textId="77777777" w:rsidR="009E7E93" w:rsidRDefault="009E7E93">
      <w:pPr>
        <w:spacing w:after="200"/>
        <w:rPr>
          <w:sz w:val="22"/>
          <w:szCs w:val="22"/>
          <w:highlight w:val="white"/>
        </w:rPr>
      </w:pPr>
      <w:r>
        <w:rPr>
          <w:sz w:val="22"/>
          <w:szCs w:val="22"/>
          <w:highlight w:val="white"/>
        </w:rPr>
        <w:t xml:space="preserve">Khalil, R.A., Ahmad, K. and Ali, H., (2026). </w:t>
      </w:r>
      <w:r>
        <w:rPr>
          <w:i/>
          <w:iCs/>
          <w:sz w:val="22"/>
          <w:szCs w:val="22"/>
          <w:highlight w:val="white"/>
        </w:rPr>
        <w:t>Redefining Elderly Care with Agentic AI: challenges and opportunities</w:t>
      </w:r>
      <w:r>
        <w:rPr>
          <w:sz w:val="22"/>
          <w:szCs w:val="22"/>
          <w:highlight w:val="white"/>
        </w:rPr>
        <w:t>. IEEE Open Journal of the Computer Society.</w:t>
      </w:r>
    </w:p>
    <w:p w14:paraId="53CF9B68" w14:textId="77777777" w:rsidR="009E7E93" w:rsidRDefault="009E7E93">
      <w:pPr>
        <w:spacing w:after="200"/>
        <w:rPr>
          <w:sz w:val="22"/>
          <w:szCs w:val="22"/>
          <w:highlight w:val="white"/>
        </w:rPr>
      </w:pPr>
      <w:r>
        <w:rPr>
          <w:sz w:val="22"/>
          <w:szCs w:val="22"/>
          <w:highlight w:val="white"/>
        </w:rPr>
        <w:t>Lampinen, M., (2022). Technologies Facilitating Elderly Autonomy: Ethical and Cybersecurity Dimensions.</w:t>
      </w:r>
    </w:p>
    <w:p w14:paraId="5E89C1FE" w14:textId="77777777" w:rsidR="009E7E93" w:rsidRDefault="009E7E93">
      <w:pPr>
        <w:spacing w:after="200"/>
        <w:rPr>
          <w:sz w:val="22"/>
          <w:szCs w:val="22"/>
          <w:highlight w:val="white"/>
        </w:rPr>
      </w:pPr>
      <w:r>
        <w:rPr>
          <w:sz w:val="22"/>
          <w:szCs w:val="22"/>
          <w:highlight w:val="white"/>
        </w:rPr>
        <w:t xml:space="preserve">Liu, L., Daum, C., Miguel Cruz, A., Neubauer, N., Perez, H. and Ríos Rincón, A., (2022, September). </w:t>
      </w:r>
      <w:r>
        <w:rPr>
          <w:i/>
          <w:iCs/>
          <w:sz w:val="22"/>
          <w:szCs w:val="22"/>
          <w:highlight w:val="white"/>
        </w:rPr>
        <w:t>Ageing, technology, and health: Advancing the concepts of autonomy and independence.</w:t>
      </w:r>
      <w:r>
        <w:rPr>
          <w:sz w:val="22"/>
          <w:szCs w:val="22"/>
          <w:highlight w:val="white"/>
        </w:rPr>
        <w:t xml:space="preserve"> In Healthcare Management Forum (Vol. 35, No. 5, pp. 296-300). Sage CA: Los Angeles, CA: SAGE Publications.</w:t>
      </w:r>
    </w:p>
    <w:p w14:paraId="65E4059D" w14:textId="77777777" w:rsidR="009E7E93" w:rsidRDefault="009E7E93">
      <w:pPr>
        <w:spacing w:after="200"/>
        <w:rPr>
          <w:sz w:val="22"/>
          <w:szCs w:val="22"/>
          <w:highlight w:val="white"/>
        </w:rPr>
      </w:pPr>
      <w:r>
        <w:rPr>
          <w:sz w:val="22"/>
          <w:szCs w:val="22"/>
          <w:highlight w:val="white"/>
        </w:rPr>
        <w:t xml:space="preserve">Lutz, C., Miguel, C., Mujirishvili, T., Perez-Vega, R. and Fedosov, A., (2025). Social and societal issues in AAL. </w:t>
      </w:r>
      <w:r>
        <w:rPr>
          <w:i/>
          <w:iCs/>
          <w:sz w:val="22"/>
          <w:szCs w:val="22"/>
          <w:highlight w:val="white"/>
        </w:rPr>
        <w:t>Privacy-Aware Monitoring for Assisted Living,</w:t>
      </w:r>
      <w:r>
        <w:rPr>
          <w:sz w:val="22"/>
          <w:szCs w:val="22"/>
          <w:highlight w:val="white"/>
        </w:rPr>
        <w:t xml:space="preserve"> p.313.</w:t>
      </w:r>
    </w:p>
    <w:p w14:paraId="77B837CA" w14:textId="77777777" w:rsidR="009E7E93" w:rsidRDefault="009E7E93">
      <w:pPr>
        <w:spacing w:after="200"/>
        <w:rPr>
          <w:sz w:val="22"/>
          <w:szCs w:val="22"/>
          <w:highlight w:val="white"/>
        </w:rPr>
      </w:pPr>
      <w:r>
        <w:rPr>
          <w:sz w:val="22"/>
          <w:szCs w:val="22"/>
          <w:highlight w:val="white"/>
        </w:rPr>
        <w:lastRenderedPageBreak/>
        <w:t xml:space="preserve">Lynch, J., Hughes, G., Papoutsi, C., </w:t>
      </w:r>
      <w:proofErr w:type="spellStart"/>
      <w:r>
        <w:rPr>
          <w:sz w:val="22"/>
          <w:szCs w:val="22"/>
          <w:highlight w:val="white"/>
        </w:rPr>
        <w:t>Wherton</w:t>
      </w:r>
      <w:proofErr w:type="spellEnd"/>
      <w:r>
        <w:rPr>
          <w:sz w:val="22"/>
          <w:szCs w:val="22"/>
          <w:highlight w:val="white"/>
        </w:rPr>
        <w:t xml:space="preserve">, J. and A'Court, C., (2022). “It's no good but at least I've always got it round my neck”: A </w:t>
      </w:r>
      <w:proofErr w:type="spellStart"/>
      <w:r>
        <w:rPr>
          <w:sz w:val="22"/>
          <w:szCs w:val="22"/>
          <w:highlight w:val="white"/>
        </w:rPr>
        <w:t>postphenomenological</w:t>
      </w:r>
      <w:proofErr w:type="spellEnd"/>
      <w:r>
        <w:rPr>
          <w:sz w:val="22"/>
          <w:szCs w:val="22"/>
          <w:highlight w:val="white"/>
        </w:rPr>
        <w:t xml:space="preserve"> analysis of reassurance in assistive technology use by older people. </w:t>
      </w:r>
      <w:r>
        <w:rPr>
          <w:i/>
          <w:iCs/>
          <w:sz w:val="22"/>
          <w:szCs w:val="22"/>
          <w:highlight w:val="white"/>
        </w:rPr>
        <w:t>Social Science &amp; Medicine,</w:t>
      </w:r>
      <w:r>
        <w:rPr>
          <w:sz w:val="22"/>
          <w:szCs w:val="22"/>
          <w:highlight w:val="white"/>
        </w:rPr>
        <w:t xml:space="preserve"> 292, p.114553.</w:t>
      </w:r>
    </w:p>
    <w:p w14:paraId="714145D4" w14:textId="77777777" w:rsidR="009E7E93" w:rsidRDefault="009E7E93">
      <w:pPr>
        <w:spacing w:after="200"/>
        <w:rPr>
          <w:sz w:val="22"/>
          <w:szCs w:val="22"/>
          <w:highlight w:val="white"/>
        </w:rPr>
      </w:pPr>
      <w:r>
        <w:rPr>
          <w:sz w:val="22"/>
          <w:szCs w:val="22"/>
          <w:highlight w:val="white"/>
        </w:rPr>
        <w:t xml:space="preserve">Moilanen, T., Suhonen, R. and Kangasniemi, M., (2022). Nursing support for older people's autonomy in residential care: An integrative review. </w:t>
      </w:r>
      <w:r>
        <w:rPr>
          <w:i/>
          <w:iCs/>
          <w:sz w:val="22"/>
          <w:szCs w:val="22"/>
          <w:highlight w:val="white"/>
        </w:rPr>
        <w:t>International journal of older people nursing,</w:t>
      </w:r>
      <w:r>
        <w:rPr>
          <w:sz w:val="22"/>
          <w:szCs w:val="22"/>
          <w:highlight w:val="white"/>
        </w:rPr>
        <w:t xml:space="preserve"> 17(2), p.e12428.</w:t>
      </w:r>
    </w:p>
    <w:p w14:paraId="7020C32F" w14:textId="77777777" w:rsidR="009E7E93" w:rsidRDefault="009E7E93">
      <w:pPr>
        <w:spacing w:after="200"/>
        <w:rPr>
          <w:sz w:val="22"/>
          <w:szCs w:val="22"/>
          <w:highlight w:val="white"/>
        </w:rPr>
      </w:pPr>
      <w:r>
        <w:rPr>
          <w:sz w:val="22"/>
          <w:szCs w:val="22"/>
          <w:highlight w:val="white"/>
        </w:rPr>
        <w:t xml:space="preserve">Muthu, P., Tan, Y., Latha, S., Dhanalakshmi, S., Lai, K.W. and Wu, X., (2023). Discernment on assistive technology for the care and support requirements of older adults and differently-abled individuals. </w:t>
      </w:r>
      <w:r>
        <w:rPr>
          <w:i/>
          <w:iCs/>
          <w:sz w:val="22"/>
          <w:szCs w:val="22"/>
          <w:highlight w:val="white"/>
        </w:rPr>
        <w:t>Frontiers in public health,</w:t>
      </w:r>
      <w:r>
        <w:rPr>
          <w:sz w:val="22"/>
          <w:szCs w:val="22"/>
          <w:highlight w:val="white"/>
        </w:rPr>
        <w:t xml:space="preserve"> 10, p.1030656.</w:t>
      </w:r>
    </w:p>
    <w:p w14:paraId="33ECD4F1" w14:textId="77777777" w:rsidR="009E7E93" w:rsidRDefault="009E7E93">
      <w:pPr>
        <w:spacing w:after="200"/>
        <w:rPr>
          <w:sz w:val="22"/>
          <w:szCs w:val="22"/>
          <w:highlight w:val="white"/>
        </w:rPr>
      </w:pPr>
      <w:r>
        <w:rPr>
          <w:sz w:val="22"/>
          <w:szCs w:val="22"/>
          <w:highlight w:val="white"/>
        </w:rPr>
        <w:t>Pirzada, P., Wilde, A., Doherty, G.H. and Harris-</w:t>
      </w:r>
      <w:proofErr w:type="spellStart"/>
      <w:r>
        <w:rPr>
          <w:sz w:val="22"/>
          <w:szCs w:val="22"/>
          <w:highlight w:val="white"/>
        </w:rPr>
        <w:t>Birtill</w:t>
      </w:r>
      <w:proofErr w:type="spellEnd"/>
      <w:r>
        <w:rPr>
          <w:sz w:val="22"/>
          <w:szCs w:val="22"/>
          <w:highlight w:val="white"/>
        </w:rPr>
        <w:t xml:space="preserve">, D., (2022). Ethics and acceptance of smart homes for older adults. </w:t>
      </w:r>
      <w:r>
        <w:rPr>
          <w:i/>
          <w:iCs/>
          <w:sz w:val="22"/>
          <w:szCs w:val="22"/>
          <w:highlight w:val="white"/>
        </w:rPr>
        <w:t xml:space="preserve">Informatics for Health and Social Care, </w:t>
      </w:r>
      <w:r>
        <w:rPr>
          <w:sz w:val="22"/>
          <w:szCs w:val="22"/>
          <w:highlight w:val="white"/>
        </w:rPr>
        <w:t>47(1), pp.10-37.</w:t>
      </w:r>
    </w:p>
    <w:p w14:paraId="1FB1E690" w14:textId="77777777" w:rsidR="009E7E93" w:rsidRDefault="009E7E93">
      <w:pPr>
        <w:spacing w:after="200"/>
        <w:rPr>
          <w:sz w:val="22"/>
          <w:szCs w:val="22"/>
          <w:highlight w:val="white"/>
        </w:rPr>
      </w:pPr>
      <w:r>
        <w:rPr>
          <w:sz w:val="22"/>
          <w:szCs w:val="22"/>
          <w:highlight w:val="white"/>
        </w:rPr>
        <w:t xml:space="preserve">Schroeder, T., Dodds, L., Georgiou, A., Gewald, H. and </w:t>
      </w:r>
      <w:proofErr w:type="spellStart"/>
      <w:r>
        <w:rPr>
          <w:sz w:val="22"/>
          <w:szCs w:val="22"/>
          <w:highlight w:val="white"/>
        </w:rPr>
        <w:t>Siette</w:t>
      </w:r>
      <w:proofErr w:type="spellEnd"/>
      <w:r>
        <w:rPr>
          <w:sz w:val="22"/>
          <w:szCs w:val="22"/>
          <w:highlight w:val="white"/>
        </w:rPr>
        <w:t xml:space="preserve">, J., (2023). Older adults and new technology: Mapping review of the factors associated with older adults’ intention to adopt digital technologies. </w:t>
      </w:r>
      <w:r>
        <w:rPr>
          <w:i/>
          <w:iCs/>
          <w:sz w:val="22"/>
          <w:szCs w:val="22"/>
          <w:highlight w:val="white"/>
        </w:rPr>
        <w:t xml:space="preserve">JMIR aging, </w:t>
      </w:r>
      <w:r>
        <w:rPr>
          <w:sz w:val="22"/>
          <w:szCs w:val="22"/>
          <w:highlight w:val="white"/>
        </w:rPr>
        <w:t>6(1), p.e44564.</w:t>
      </w:r>
    </w:p>
    <w:p w14:paraId="06E6E0F5" w14:textId="77777777" w:rsidR="009E7E93" w:rsidRDefault="009E7E93">
      <w:pPr>
        <w:spacing w:after="200"/>
        <w:rPr>
          <w:sz w:val="22"/>
          <w:szCs w:val="22"/>
          <w:highlight w:val="white"/>
        </w:rPr>
      </w:pPr>
      <w:r>
        <w:rPr>
          <w:sz w:val="22"/>
          <w:szCs w:val="22"/>
          <w:highlight w:val="white"/>
        </w:rPr>
        <w:t xml:space="preserve">Scott, A., Stellmacher, C., Niess, J. and Rogers, Y., (2022, June). Vicious or virtuous cycle? The privacy implications of active assisted living technologies for older people. </w:t>
      </w:r>
      <w:r>
        <w:rPr>
          <w:i/>
          <w:iCs/>
          <w:sz w:val="22"/>
          <w:szCs w:val="22"/>
          <w:highlight w:val="white"/>
        </w:rPr>
        <w:t xml:space="preserve">In Proceedings of the 15th International Conference on </w:t>
      </w:r>
      <w:proofErr w:type="spellStart"/>
      <w:r>
        <w:rPr>
          <w:i/>
          <w:iCs/>
          <w:sz w:val="22"/>
          <w:szCs w:val="22"/>
          <w:highlight w:val="white"/>
        </w:rPr>
        <w:t>PErvasive</w:t>
      </w:r>
      <w:proofErr w:type="spellEnd"/>
      <w:r>
        <w:rPr>
          <w:i/>
          <w:iCs/>
          <w:sz w:val="22"/>
          <w:szCs w:val="22"/>
          <w:highlight w:val="white"/>
        </w:rPr>
        <w:t xml:space="preserve"> Technologies Related to Assistive Environments</w:t>
      </w:r>
      <w:r>
        <w:rPr>
          <w:sz w:val="22"/>
          <w:szCs w:val="22"/>
          <w:highlight w:val="white"/>
        </w:rPr>
        <w:t xml:space="preserve"> (pp. 434-438).</w:t>
      </w:r>
    </w:p>
    <w:p w14:paraId="6250C4C9" w14:textId="77777777" w:rsidR="009E7E93" w:rsidRDefault="009E7E93">
      <w:pPr>
        <w:spacing w:after="200"/>
        <w:rPr>
          <w:sz w:val="22"/>
          <w:szCs w:val="22"/>
          <w:highlight w:val="white"/>
        </w:rPr>
      </w:pPr>
      <w:r>
        <w:rPr>
          <w:sz w:val="22"/>
          <w:szCs w:val="22"/>
          <w:highlight w:val="white"/>
        </w:rPr>
        <w:t xml:space="preserve">Sweeting, A., </w:t>
      </w:r>
      <w:proofErr w:type="spellStart"/>
      <w:r>
        <w:rPr>
          <w:sz w:val="22"/>
          <w:szCs w:val="22"/>
          <w:highlight w:val="white"/>
        </w:rPr>
        <w:t>Warncken</w:t>
      </w:r>
      <w:proofErr w:type="spellEnd"/>
      <w:r>
        <w:rPr>
          <w:sz w:val="22"/>
          <w:szCs w:val="22"/>
          <w:highlight w:val="white"/>
        </w:rPr>
        <w:t xml:space="preserve">, K.A. and Patel, M., (2024). The role of assistive technology in enabling older adults to achieve independent living: past and future. </w:t>
      </w:r>
      <w:r>
        <w:rPr>
          <w:i/>
          <w:iCs/>
          <w:sz w:val="22"/>
          <w:szCs w:val="22"/>
          <w:highlight w:val="white"/>
        </w:rPr>
        <w:t>Journal of medical internet research,</w:t>
      </w:r>
      <w:r>
        <w:rPr>
          <w:sz w:val="22"/>
          <w:szCs w:val="22"/>
          <w:highlight w:val="white"/>
        </w:rPr>
        <w:t xml:space="preserve"> 26, p.e58846.</w:t>
      </w:r>
    </w:p>
    <w:p w14:paraId="4F9A2C2F" w14:textId="77777777" w:rsidR="009E7E93" w:rsidRDefault="009E7E93">
      <w:pPr>
        <w:spacing w:after="200"/>
        <w:rPr>
          <w:sz w:val="22"/>
          <w:szCs w:val="22"/>
          <w:highlight w:val="white"/>
        </w:rPr>
      </w:pPr>
      <w:r>
        <w:rPr>
          <w:sz w:val="22"/>
          <w:szCs w:val="22"/>
          <w:highlight w:val="white"/>
        </w:rPr>
        <w:t xml:space="preserve">Voinea, C., Wangmo, T. and </w:t>
      </w:r>
      <w:proofErr w:type="spellStart"/>
      <w:r>
        <w:rPr>
          <w:sz w:val="22"/>
          <w:szCs w:val="22"/>
          <w:highlight w:val="white"/>
        </w:rPr>
        <w:t>Vică</w:t>
      </w:r>
      <w:proofErr w:type="spellEnd"/>
      <w:r>
        <w:rPr>
          <w:sz w:val="22"/>
          <w:szCs w:val="22"/>
          <w:highlight w:val="white"/>
        </w:rPr>
        <w:t xml:space="preserve">, C., (2024). Paternalistic AI: the case of aged care. </w:t>
      </w:r>
      <w:r>
        <w:rPr>
          <w:i/>
          <w:iCs/>
          <w:sz w:val="22"/>
          <w:szCs w:val="22"/>
          <w:highlight w:val="white"/>
        </w:rPr>
        <w:t>Humanities and Social Sciences Communications,</w:t>
      </w:r>
      <w:r>
        <w:rPr>
          <w:sz w:val="22"/>
          <w:szCs w:val="22"/>
          <w:highlight w:val="white"/>
        </w:rPr>
        <w:t xml:space="preserve"> 11(1), pp.1-9.</w:t>
      </w:r>
    </w:p>
    <w:p w14:paraId="689DE6C1" w14:textId="77777777" w:rsidR="009E7E93" w:rsidRDefault="009E7E93">
      <w:pPr>
        <w:spacing w:after="200"/>
        <w:rPr>
          <w:sz w:val="22"/>
          <w:szCs w:val="22"/>
          <w:highlight w:val="white"/>
        </w:rPr>
      </w:pPr>
      <w:r>
        <w:rPr>
          <w:sz w:val="22"/>
          <w:szCs w:val="22"/>
          <w:highlight w:val="white"/>
        </w:rPr>
        <w:t xml:space="preserve">Yang, D. and Moody, L., (2022). Challenges and opportunities for use of smart materials in designing assistive technology products with, and for older adults. </w:t>
      </w:r>
      <w:r>
        <w:rPr>
          <w:i/>
          <w:iCs/>
          <w:sz w:val="22"/>
          <w:szCs w:val="22"/>
          <w:highlight w:val="white"/>
        </w:rPr>
        <w:t xml:space="preserve">Fashion Practice, </w:t>
      </w:r>
      <w:r>
        <w:rPr>
          <w:sz w:val="22"/>
          <w:szCs w:val="22"/>
          <w:highlight w:val="white"/>
        </w:rPr>
        <w:t>14(2), pp.242-265.</w:t>
      </w:r>
    </w:p>
    <w:p w14:paraId="0CAA7898" w14:textId="77777777" w:rsidR="009E7E93" w:rsidRDefault="009E7E93">
      <w:pPr>
        <w:spacing w:after="200"/>
        <w:rPr>
          <w:highlight w:val="white"/>
        </w:rPr>
      </w:pPr>
      <w:r>
        <w:rPr>
          <w:sz w:val="22"/>
          <w:szCs w:val="22"/>
          <w:highlight w:val="white"/>
        </w:rPr>
        <w:t xml:space="preserve">Yuan, S., Coghlan, S., Lederman, R. and Waycott, J., (2023). Ethical design of social robots in aged care: A literature review using an ethics of care perspective. </w:t>
      </w:r>
      <w:r>
        <w:rPr>
          <w:i/>
          <w:iCs/>
          <w:sz w:val="22"/>
          <w:szCs w:val="22"/>
          <w:highlight w:val="white"/>
        </w:rPr>
        <w:t>International Journal of Social Robotics,</w:t>
      </w:r>
      <w:r>
        <w:rPr>
          <w:sz w:val="22"/>
          <w:szCs w:val="22"/>
          <w:highlight w:val="white"/>
        </w:rPr>
        <w:t xml:space="preserve"> 15(9), pp.1637-1654.</w:t>
      </w:r>
    </w:p>
    <w:sectPr w:rsidR="009E7E93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5F06A694-3ECF-4527-9C50-46EFF70C6C5D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2" w:fontKey="{63A6C628-D731-4151-9D9D-5C9226A60E8D}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B1437"/>
    <w:rsid w:val="000B0CDD"/>
    <w:rsid w:val="00300DC1"/>
    <w:rsid w:val="006174CE"/>
    <w:rsid w:val="009E7E93"/>
    <w:rsid w:val="00A45F66"/>
    <w:rsid w:val="00BB1437"/>
    <w:rsid w:val="00F549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51BD19"/>
  <w15:docId w15:val="{59AE2C6E-8008-4749-8BB8-CA5F7EF6A8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4"/>
        <w:szCs w:val="24"/>
        <w:lang w:val="en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iCs/>
      <w:color w:val="666666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table" w:customStyle="1" w:styleId="TableNormal1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fontTable.xml.rels><?xml version="1.0" encoding="UTF-8" standalone="yes"?>
<Relationships xmlns="http://schemas.openxmlformats.org/package/2006/relationships"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+nz7NlfJAI0lqhHK+2JCUIhnrDw==">CgMxLjA4AHIhMWdWeEw3dV8wX205S0Z6WWpsYUdaQ2N2d0tNdDVXVUxu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656</Words>
  <Characters>3745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Dorothy Kodua Tweneboah (2314173)</cp:lastModifiedBy>
  <cp:revision>4</cp:revision>
  <dcterms:created xsi:type="dcterms:W3CDTF">2026-03-15T00:55:00Z</dcterms:created>
  <dcterms:modified xsi:type="dcterms:W3CDTF">2026-03-15T00:55:00Z</dcterms:modified>
</cp:coreProperties>
</file>