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9082465" w:displacedByCustomXml="next"/>
    <w:bookmarkEnd w:id="0" w:displacedByCustomXml="next"/>
    <w:sdt>
      <w:sdtPr>
        <w:id w:val="1082031309"/>
        <w:docPartObj>
          <w:docPartGallery w:val="Cover Pages"/>
          <w:docPartUnique/>
        </w:docPartObj>
      </w:sdtPr>
      <w:sdtContent>
        <w:p w14:paraId="493C7814" w14:textId="32C78FF1"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B08C5BB" w14:textId="2CE9F242" w:rsidR="00093204" w:rsidRDefault="008F4E2C">
          <w:r>
            <w:rPr>
              <w:noProof/>
            </w:rPr>
            <mc:AlternateContent>
              <mc:Choice Requires="wps">
                <w:drawing>
                  <wp:anchor distT="0" distB="0" distL="114300" distR="114300" simplePos="0" relativeHeight="251660288" behindDoc="0" locked="0" layoutInCell="1" allowOverlap="1" wp14:anchorId="5AD481F2" wp14:editId="25FFA26C">
                    <wp:simplePos x="0" y="0"/>
                    <wp:positionH relativeFrom="page">
                      <wp:posOffset>775335</wp:posOffset>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2873BEE4" w:rsidR="00093204" w:rsidRDefault="005B5D35">
                                    <w:pPr>
                                      <w:pStyle w:val="NoSpacing"/>
                                      <w:jc w:val="right"/>
                                      <w:rPr>
                                        <w:color w:val="595959" w:themeColor="text1" w:themeTint="A6"/>
                                        <w:sz w:val="28"/>
                                        <w:szCs w:val="28"/>
                                      </w:rPr>
                                    </w:pPr>
                                    <w:r>
                                      <w:rPr>
                                        <w:color w:val="595959" w:themeColor="text1" w:themeTint="A6"/>
                                        <w:sz w:val="28"/>
                                        <w:szCs w:val="28"/>
                                      </w:rPr>
                                      <w:t>Name Carmen Tutu</w:t>
                                    </w:r>
                                  </w:p>
                                </w:sdtContent>
                              </w:sdt>
                              <w:p w14:paraId="403C690E" w14:textId="0DB0A809"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532237">
                                      <w:rPr>
                                        <w:color w:val="595959" w:themeColor="text1" w:themeTint="A6"/>
                                        <w:sz w:val="18"/>
                                        <w:szCs w:val="18"/>
                                      </w:rPr>
                                      <w:t xml:space="preserve"> </w:t>
                                    </w:r>
                                  </w:sdtContent>
                                </w:sdt>
                                <w:r w:rsidR="005B5D35">
                                  <w:rPr>
                                    <w:color w:val="595959" w:themeColor="text1" w:themeTint="A6"/>
                                    <w:sz w:val="18"/>
                                    <w:szCs w:val="18"/>
                                  </w:rPr>
                                  <w:t>2207381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61.05pt;margin-top:0;width:8in;height:1in;z-index:251660288;visibility:visible;mso-wrap-style:square;mso-width-percent:941;mso-height-percent:92;mso-wrap-distance-left:9pt;mso-wrap-distance-top:0;mso-wrap-distance-right:9pt;mso-wrap-distance-bottom:0;mso-position-horizontal:absolute;mso-position-horizontal-relative:page;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2873BEE4" w:rsidR="00093204" w:rsidRDefault="005B5D35">
                              <w:pPr>
                                <w:pStyle w:val="NoSpacing"/>
                                <w:jc w:val="right"/>
                                <w:rPr>
                                  <w:color w:val="595959" w:themeColor="text1" w:themeTint="A6"/>
                                  <w:sz w:val="28"/>
                                  <w:szCs w:val="28"/>
                                </w:rPr>
                              </w:pPr>
                              <w:r>
                                <w:rPr>
                                  <w:color w:val="595959" w:themeColor="text1" w:themeTint="A6"/>
                                  <w:sz w:val="28"/>
                                  <w:szCs w:val="28"/>
                                </w:rPr>
                                <w:t>Name Carmen Tutu</w:t>
                              </w:r>
                            </w:p>
                          </w:sdtContent>
                        </w:sdt>
                        <w:p w14:paraId="403C690E" w14:textId="0DB0A809"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532237">
                                <w:rPr>
                                  <w:color w:val="595959" w:themeColor="text1" w:themeTint="A6"/>
                                  <w:sz w:val="18"/>
                                  <w:szCs w:val="18"/>
                                </w:rPr>
                                <w:t xml:space="preserve"> </w:t>
                              </w:r>
                            </w:sdtContent>
                          </w:sdt>
                          <w:r w:rsidR="005B5D35">
                            <w:rPr>
                              <w:color w:val="595959" w:themeColor="text1" w:themeTint="A6"/>
                              <w:sz w:val="18"/>
                              <w:szCs w:val="18"/>
                            </w:rPr>
                            <w:t>2207381</w:t>
                          </w:r>
                        </w:p>
                      </w:txbxContent>
                    </v:textbox>
                    <w10:wrap type="square" anchorx="page" anchory="margin"/>
                  </v:shape>
                </w:pict>
              </mc:Fallback>
            </mc:AlternateContent>
          </w:r>
          <w:r w:rsidR="00532237">
            <w:rPr>
              <w:noProof/>
            </w:rPr>
            <mc:AlternateContent>
              <mc:Choice Requires="wps">
                <w:drawing>
                  <wp:anchor distT="0" distB="0" distL="114300" distR="114300" simplePos="0" relativeHeight="251659264" behindDoc="0" locked="0" layoutInCell="1" allowOverlap="1" wp14:anchorId="104048F8" wp14:editId="0F1DACC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66C095D0" w:rsidR="00093204" w:rsidRDefault="00093204">
                                    <w:pPr>
                                      <w:jc w:val="right"/>
                                      <w:rPr>
                                        <w:smallCaps/>
                                        <w:color w:val="404040" w:themeColor="text1" w:themeTint="BF"/>
                                        <w:sz w:val="36"/>
                                        <w:szCs w:val="36"/>
                                      </w:rPr>
                                    </w:pPr>
                                    <w:r>
                                      <w:rPr>
                                        <w:color w:val="404040" w:themeColor="text1" w:themeTint="BF"/>
                                        <w:sz w:val="36"/>
                                        <w:szCs w:val="36"/>
                                      </w:rPr>
                                      <w:t>Learning in the Digital Era–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r w:rsidR="00532237">
                                <w:rPr>
                                  <w:caps/>
                                  <w:color w:val="4472C4" w:themeColor="accent1"/>
                                  <w:sz w:val="64"/>
                                  <w:szCs w:val="64"/>
                                </w:rPr>
                                <w:br/>
                              </w:r>
                              <w:r w:rsidR="00532237">
                                <w:rPr>
                                  <w:color w:val="4472C4" w:themeColor="accent1"/>
                                  <w:sz w:val="64"/>
                                  <w:szCs w:val="64"/>
                                </w:rPr>
                                <w:t>ADRODDIAD E-BORTFFOLIO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66C095D0" w:rsidR="00093204" w:rsidRDefault="00093204">
                              <w:pPr>
                                <w:jc w:val="right"/>
                                <w:rPr>
                                  <w:smallCaps/>
                                  <w:color w:val="404040" w:themeColor="text1" w:themeTint="BF"/>
                                  <w:sz w:val="36"/>
                                  <w:szCs w:val="36"/>
                                </w:rPr>
                              </w:pPr>
                              <w:r>
                                <w:rPr>
                                  <w:color w:val="404040" w:themeColor="text1" w:themeTint="BF"/>
                                  <w:sz w:val="36"/>
                                  <w:szCs w:val="36"/>
                                </w:rPr>
                                <w:t>Learning in the Digital Era–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DF3A9C7" w:rsidR="00FA6250" w:rsidRDefault="00FA6250">
          <w:pPr>
            <w:pStyle w:val="TOCHeading"/>
          </w:pPr>
          <w:r>
            <w:t>Table of Contents</w:t>
          </w:r>
          <w:r w:rsidR="00532237">
            <w:t xml:space="preserve"> </w:t>
          </w:r>
        </w:p>
        <w:p w14:paraId="360706FD" w14:textId="77777777" w:rsidR="00FA6250" w:rsidRPr="00FA6250" w:rsidRDefault="00FA6250" w:rsidP="00FA6250">
          <w:pPr>
            <w:rPr>
              <w:lang w:val="en-US" w:eastAsia="en-US"/>
            </w:rPr>
          </w:pPr>
        </w:p>
        <w:p w14:paraId="41EE5547" w14:textId="74A0252C"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64F00436"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6A9C19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5C6F7095"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5B9AAD3"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2C5CED">
              <w:rPr>
                <w:rStyle w:val="Hyperlink"/>
                <w:noProof/>
              </w:rPr>
              <w:t xml:space="preserve"> </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686EFA7E"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bookmarkStart w:id="1" w:name="_Toc114220764"/>
    <w:p w14:paraId="4534E3E9" w14:textId="19C36F77" w:rsidR="008F4E2C" w:rsidRDefault="008F4E2C" w:rsidP="00FA6250">
      <w:pPr>
        <w:pStyle w:val="Heading1"/>
      </w:pPr>
      <w:r>
        <w:rPr>
          <w:color w:val="595959" w:themeColor="text1" w:themeTint="A6"/>
          <w:sz w:val="28"/>
          <w:szCs w:val="28"/>
        </w:rPr>
        <w:object w:dxaOrig="1530" w:dyaOrig="992" w14:anchorId="7B6EFA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4.25pt;height:93.75pt" o:ole="">
            <v:imagedata r:id="rId10" o:title=""/>
          </v:shape>
          <o:OLEObject Type="Embed" ProgID="Package" ShapeID="_x0000_i1025" DrawAspect="Icon" ObjectID="_1729716233" r:id="rId11"/>
        </w:object>
      </w:r>
      <w:r w:rsidR="00FE395A">
        <w:rPr>
          <w:color w:val="595959" w:themeColor="text1" w:themeTint="A6"/>
          <w:sz w:val="28"/>
          <w:szCs w:val="28"/>
        </w:rPr>
        <w:t xml:space="preserve">             </w:t>
      </w:r>
    </w:p>
    <w:p w14:paraId="2CAD5D3B" w14:textId="23C48527" w:rsidR="00FA6250" w:rsidRDefault="00FA6250" w:rsidP="00FA6250">
      <w:pPr>
        <w:pStyle w:val="Heading1"/>
      </w:pPr>
      <w:r>
        <w:t xml:space="preserve">Task 1 – </w:t>
      </w:r>
      <w:r w:rsidR="00216AE8">
        <w:t>W</w:t>
      </w:r>
      <w:r>
        <w:t>ritten summary</w:t>
      </w:r>
      <w:bookmarkEnd w:id="1"/>
      <w:r w:rsidR="002C5CED">
        <w:t xml:space="preserve"> </w:t>
      </w:r>
    </w:p>
    <w:p w14:paraId="659757D4"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“Preparing for Higher Education”</w:t>
      </w:r>
    </w:p>
    <w:p w14:paraId="7A113A9A"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 xml:space="preserve">As opined by von </w:t>
      </w:r>
      <w:proofErr w:type="spellStart"/>
      <w:r w:rsidRPr="003150EC">
        <w:rPr>
          <w:rFonts w:ascii="Times New Roman" w:hAnsi="Times New Roman" w:cs="Times New Roman"/>
          <w:sz w:val="24"/>
          <w:szCs w:val="24"/>
          <w:lang w:val="en-IN" w:eastAsia="en-US"/>
        </w:rPr>
        <w:t>Hoene</w:t>
      </w:r>
      <w:proofErr w:type="spellEnd"/>
      <w:r w:rsidRPr="003150EC">
        <w:rPr>
          <w:rFonts w:ascii="Times New Roman" w:hAnsi="Times New Roman" w:cs="Times New Roman"/>
          <w:sz w:val="24"/>
          <w:szCs w:val="24"/>
          <w:lang w:val="en-IN" w:eastAsia="en-US"/>
        </w:rPr>
        <w:t xml:space="preserve"> (2020, p. 20), Higher Education involves research, teaching, and exacting the applied work and activities of social services within the university. Thus, individuals need to prepare themselves for higher education by incorporating the following skills within them, such are as follows, </w:t>
      </w:r>
    </w:p>
    <w:p w14:paraId="02022554"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noProof/>
          <w:sz w:val="24"/>
          <w:szCs w:val="24"/>
          <w:lang w:val="en-IN" w:eastAsia="en-US"/>
        </w:rPr>
        <w:drawing>
          <wp:inline distT="0" distB="0" distL="0" distR="0" wp14:anchorId="25518B9D" wp14:editId="4465C1E7">
            <wp:extent cx="5495674" cy="291719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r:link="rId13">
                      <a:extLst>
                        <a:ext uri="{28A0092B-C50C-407E-A947-70E740481C1C}">
                          <a14:useLocalDpi xmlns:a14="http://schemas.microsoft.com/office/drawing/2010/main" val="0"/>
                        </a:ext>
                      </a:extLst>
                    </a:blip>
                    <a:srcRect l="1795" t="16694" r="2217" b="6823"/>
                    <a:stretch>
                      <a:fillRect/>
                    </a:stretch>
                  </pic:blipFill>
                  <pic:spPr bwMode="auto">
                    <a:xfrm>
                      <a:off x="0" y="0"/>
                      <a:ext cx="5497874" cy="2918358"/>
                    </a:xfrm>
                    <a:prstGeom prst="rect">
                      <a:avLst/>
                    </a:prstGeom>
                    <a:noFill/>
                    <a:ln>
                      <a:noFill/>
                    </a:ln>
                    <a:extLst>
                      <a:ext uri="{53640926-AAD7-44D8-BBD7-CCE9431645EC}">
                        <a14:shadowObscured xmlns:a14="http://schemas.microsoft.com/office/drawing/2010/main"/>
                      </a:ext>
                    </a:extLst>
                  </pic:spPr>
                </pic:pic>
              </a:graphicData>
            </a:graphic>
          </wp:inline>
        </w:drawing>
      </w:r>
    </w:p>
    <w:p w14:paraId="275EB2E7" w14:textId="79D3C29F" w:rsidR="003150EC" w:rsidRPr="003150EC" w:rsidRDefault="003150EC" w:rsidP="003150EC">
      <w:pPr>
        <w:spacing w:line="360" w:lineRule="auto"/>
        <w:jc w:val="center"/>
        <w:rPr>
          <w:rFonts w:ascii="Times New Roman" w:hAnsi="Times New Roman" w:cs="Times New Roman"/>
          <w:sz w:val="24"/>
          <w:szCs w:val="24"/>
          <w:lang w:val="en-IN" w:eastAsia="en-US"/>
        </w:rPr>
      </w:pPr>
      <w:r w:rsidRPr="003150EC">
        <w:rPr>
          <w:rFonts w:ascii="Times New Roman" w:hAnsi="Times New Roman" w:cs="Times New Roman"/>
          <w:b/>
          <w:bCs/>
          <w:sz w:val="24"/>
          <w:szCs w:val="24"/>
          <w:lang w:val="en-IN" w:eastAsia="en-US"/>
        </w:rPr>
        <w:t>Figure 1: Percentage of tertiary educated 25–34-year-old within the selected nations, 2008-2018</w:t>
      </w:r>
    </w:p>
    <w:p w14:paraId="770201E9" w14:textId="77777777" w:rsidR="003150EC" w:rsidRPr="003150EC" w:rsidRDefault="003150EC" w:rsidP="003150EC">
      <w:pPr>
        <w:spacing w:line="360" w:lineRule="auto"/>
        <w:jc w:val="center"/>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Source: (OECD, 2022)</w:t>
      </w:r>
    </w:p>
    <w:p w14:paraId="23104F1E"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Time management</w:t>
      </w:r>
    </w:p>
    <w:p w14:paraId="43B7F4F6"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Create a weekly calendar that accounts for classroom time, study time, events, job time, mealtime, study hours, and social activity. A full-time job equates to being a university student. The estimated preparation and study time for each lesson is several hours.</w:t>
      </w:r>
    </w:p>
    <w:p w14:paraId="033D4AA7"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Stress management</w:t>
      </w:r>
    </w:p>
    <w:p w14:paraId="61658E81"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lastRenderedPageBreak/>
        <w:t>Self-care practices that can help the student to manage stress include daily exercise, enough sleep, a healthy diet, appropriate prayer and meditation practices, and physical activity. Students would experience less stress by figuring out how to strengthen their coping mechanisms.</w:t>
      </w:r>
    </w:p>
    <w:p w14:paraId="1018E0A8"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Study skills</w:t>
      </w:r>
    </w:p>
    <w:p w14:paraId="256F45D4"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Even many of the top high schoolers have not constantly mastered effective study techniques. Students can be more effective in the classroom if they can study a textbook, maintain documents in class, access the libraries, and complete multiple-choice assessments.</w:t>
      </w:r>
    </w:p>
    <w:p w14:paraId="38D6A3B8"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Money management</w:t>
      </w:r>
    </w:p>
    <w:p w14:paraId="1D538B2F"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 xml:space="preserve">As stated by </w:t>
      </w:r>
      <w:proofErr w:type="spellStart"/>
      <w:r w:rsidRPr="003150EC">
        <w:rPr>
          <w:rFonts w:ascii="Times New Roman" w:hAnsi="Times New Roman" w:cs="Times New Roman"/>
          <w:sz w:val="24"/>
          <w:szCs w:val="24"/>
          <w:lang w:val="en-IN" w:eastAsia="en-US"/>
        </w:rPr>
        <w:t>Güngör</w:t>
      </w:r>
      <w:proofErr w:type="spellEnd"/>
      <w:r w:rsidRPr="003150EC">
        <w:rPr>
          <w:rFonts w:ascii="Times New Roman" w:hAnsi="Times New Roman" w:cs="Times New Roman"/>
          <w:sz w:val="24"/>
          <w:szCs w:val="24"/>
          <w:lang w:val="en-IN" w:eastAsia="en-US"/>
        </w:rPr>
        <w:t xml:space="preserve"> and </w:t>
      </w:r>
      <w:proofErr w:type="spellStart"/>
      <w:r w:rsidRPr="003150EC">
        <w:rPr>
          <w:rFonts w:ascii="Times New Roman" w:hAnsi="Times New Roman" w:cs="Times New Roman"/>
          <w:sz w:val="24"/>
          <w:szCs w:val="24"/>
          <w:lang w:val="en-IN" w:eastAsia="en-US"/>
        </w:rPr>
        <w:t>Erçetin</w:t>
      </w:r>
      <w:proofErr w:type="spellEnd"/>
      <w:r w:rsidRPr="003150EC">
        <w:rPr>
          <w:rFonts w:ascii="Times New Roman" w:hAnsi="Times New Roman" w:cs="Times New Roman"/>
          <w:sz w:val="24"/>
          <w:szCs w:val="24"/>
          <w:lang w:val="en-IN" w:eastAsia="en-US"/>
        </w:rPr>
        <w:t xml:space="preserve"> (2022, p. P. 700), It is crucial to gain experience managing cash by the students on their own, balancing checks, utilising an ATM, reviewing financial statements, and learning how to live within their means.</w:t>
      </w:r>
    </w:p>
    <w:p w14:paraId="290F4C8A"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Assertiveness skills</w:t>
      </w:r>
    </w:p>
    <w:p w14:paraId="4AF80207"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A student must speak up in a confident way that is neither confrontational nor allows individuals to be used as a pawn by others. Communication between roommates, study groups, teamwork, and dispute resolution all benefit from assertiveness abilities. They also entail understanding and putting into practice appropriate boundaries.</w:t>
      </w:r>
    </w:p>
    <w:p w14:paraId="2772B3B7"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b/>
          <w:bCs/>
          <w:i/>
          <w:iCs/>
          <w:sz w:val="24"/>
          <w:szCs w:val="24"/>
          <w:lang w:val="en-IN" w:eastAsia="en-US"/>
        </w:rPr>
        <w:t>Seeking assistance when required</w:t>
      </w:r>
    </w:p>
    <w:p w14:paraId="76653FE8" w14:textId="77777777" w:rsidR="003150EC" w:rsidRPr="003150EC" w:rsidRDefault="003150EC" w:rsidP="003150EC">
      <w:pPr>
        <w:spacing w:line="360" w:lineRule="auto"/>
        <w:jc w:val="both"/>
        <w:rPr>
          <w:rFonts w:ascii="Times New Roman" w:hAnsi="Times New Roman" w:cs="Times New Roman"/>
          <w:sz w:val="24"/>
          <w:szCs w:val="24"/>
          <w:lang w:val="en-IN" w:eastAsia="en-US"/>
        </w:rPr>
      </w:pPr>
      <w:r w:rsidRPr="003150EC">
        <w:rPr>
          <w:rFonts w:ascii="Times New Roman" w:hAnsi="Times New Roman" w:cs="Times New Roman"/>
          <w:sz w:val="24"/>
          <w:szCs w:val="24"/>
          <w:lang w:val="en-IN" w:eastAsia="en-US"/>
        </w:rPr>
        <w:t>Understanding when to seek assistance is a key component of standing up for oneself. In college, students can pick up new knowledge, practical skills, and perspectives on how the world works. Asking for assistance when they need it is not an acknowledgement of failure but rather a display of courage and integrity.</w:t>
      </w:r>
    </w:p>
    <w:p w14:paraId="4B36D0C3" w14:textId="10F3B87C" w:rsidR="00FA6250" w:rsidRDefault="00FA6250" w:rsidP="00FA6250">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4C120CB2" w14:textId="6B7DE4E6" w:rsidR="00FA6250" w:rsidRDefault="00FA6250" w:rsidP="00FA6250">
      <w:pPr>
        <w:rPr>
          <w:lang w:eastAsia="en-US"/>
        </w:rPr>
      </w:pPr>
    </w:p>
    <w:p w14:paraId="0BCE1ECB" w14:textId="7D7FFA47" w:rsidR="00FA6250" w:rsidRDefault="00FA6250" w:rsidP="00FA6250">
      <w:pPr>
        <w:rPr>
          <w:lang w:eastAsia="en-US"/>
        </w:rPr>
      </w:pPr>
    </w:p>
    <w:p w14:paraId="31B18043" w14:textId="24576FE6" w:rsidR="00FA6250" w:rsidRDefault="00FA6250" w:rsidP="00FA6250">
      <w:pPr>
        <w:pStyle w:val="Heading1"/>
      </w:pPr>
      <w:bookmarkStart w:id="2" w:name="_Toc114220765"/>
      <w:r>
        <w:t xml:space="preserve">Task 2 – </w:t>
      </w:r>
      <w:r w:rsidR="00216AE8">
        <w:t>M</w:t>
      </w:r>
      <w:r>
        <w:t>ind map</w:t>
      </w:r>
      <w:bookmarkEnd w:id="2"/>
      <w:r w:rsidR="002C5CED">
        <w:t xml:space="preserve"> </w:t>
      </w:r>
    </w:p>
    <w:p w14:paraId="0A6C9104"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Digital learners are generally considered to be on the go with being more diverse than ever before. They are actively seen to make use of technology for learning multiple devices; being interactive; appreciating higher value; engaging with on-demand support and materials anywhere and anytime. As per the </w:t>
      </w:r>
      <w:r w:rsidRPr="003150EC">
        <w:rPr>
          <w:rFonts w:ascii="Times New Roman" w:eastAsia="Times New Roman" w:hAnsi="Times New Roman" w:cs="Times New Roman"/>
          <w:i/>
          <w:iCs/>
          <w:color w:val="000000"/>
          <w:sz w:val="24"/>
          <w:szCs w:val="24"/>
          <w:lang w:val="en-IN" w:eastAsia="en-GB"/>
        </w:rPr>
        <w:t>Centre for Creative Leadership</w:t>
      </w:r>
      <w:r w:rsidRPr="003150EC">
        <w:rPr>
          <w:rFonts w:ascii="Times New Roman" w:eastAsia="Times New Roman" w:hAnsi="Times New Roman" w:cs="Times New Roman"/>
          <w:color w:val="000000"/>
          <w:sz w:val="24"/>
          <w:szCs w:val="24"/>
          <w:lang w:val="en-IN" w:eastAsia="en-GB"/>
        </w:rPr>
        <w:t>, there are certain key strategies as recommendations for becoming a digital learner (</w:t>
      </w:r>
      <w:r w:rsidRPr="003150EC">
        <w:rPr>
          <w:rFonts w:ascii="Times New Roman" w:eastAsia="Times New Roman" w:hAnsi="Times New Roman" w:cs="Times New Roman"/>
          <w:i/>
          <w:iCs/>
          <w:color w:val="000000"/>
          <w:sz w:val="24"/>
          <w:szCs w:val="24"/>
          <w:lang w:val="en-IN" w:eastAsia="en-GB"/>
        </w:rPr>
        <w:t>ncca.ie/media</w:t>
      </w:r>
      <w:r w:rsidRPr="003150EC">
        <w:rPr>
          <w:rFonts w:ascii="Times New Roman" w:eastAsia="Times New Roman" w:hAnsi="Times New Roman" w:cs="Times New Roman"/>
          <w:color w:val="000000"/>
          <w:sz w:val="24"/>
          <w:szCs w:val="24"/>
          <w:lang w:val="en-IN" w:eastAsia="en-GB"/>
        </w:rPr>
        <w:t>, 2022). These recommendations are mainly informed by the human-centred experiences gathered from CCL on diverse industries along with working in a technology driven learning industry.</w:t>
      </w:r>
    </w:p>
    <w:p w14:paraId="0203FC2E"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Enlisting help communicating the plan of online learning</w:t>
      </w:r>
    </w:p>
    <w:p w14:paraId="6DEE2D40"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Generally, when organisations tend to embark on an initiative of digital learning, it's important to obtain communications support through the C-suite. When people tend to work remotely, it is much more possible for an executive sponsor of the organisation to call with the team to signal senior buy-in while supporting the strategy of digital learning. This can contribute to online communication as in a time of crisis, communicating more highlights better results. </w:t>
      </w:r>
    </w:p>
    <w:p w14:paraId="654AE776"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Making leaders into teachers</w:t>
      </w:r>
    </w:p>
    <w:p w14:paraId="059E8A57"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This can be explained with an example of revamping the ultra-popular kits of the workshop to work for a live online audience. This can be done with the help of leadership tools and materials of training where they can deliver a skill-oriented virtual workshop. </w:t>
      </w:r>
    </w:p>
    <w:p w14:paraId="2E2DD15F"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Using learner-centred design</w:t>
      </w:r>
    </w:p>
    <w:p w14:paraId="2EC5F1F8"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This is an idea to deliver customised leadership development programs for organisational clients where an expert responds within 24 hours which gives freedom to learn anytime (</w:t>
      </w:r>
      <w:r w:rsidRPr="003150EC">
        <w:rPr>
          <w:rFonts w:ascii="Times New Roman" w:eastAsia="Times New Roman" w:hAnsi="Times New Roman" w:cs="Times New Roman"/>
          <w:i/>
          <w:iCs/>
          <w:color w:val="000000"/>
          <w:sz w:val="24"/>
          <w:szCs w:val="24"/>
          <w:lang w:val="en-IN" w:eastAsia="en-GB"/>
        </w:rPr>
        <w:t>www.ccl.org</w:t>
      </w:r>
      <w:r w:rsidRPr="003150EC">
        <w:rPr>
          <w:rFonts w:ascii="Times New Roman" w:eastAsia="Times New Roman" w:hAnsi="Times New Roman" w:cs="Times New Roman"/>
          <w:color w:val="000000"/>
          <w:sz w:val="24"/>
          <w:szCs w:val="24"/>
          <w:lang w:val="en-IN" w:eastAsia="en-GB"/>
        </w:rPr>
        <w:t>, 2022). This evaluates coaching or expert advice. </w:t>
      </w:r>
    </w:p>
    <w:p w14:paraId="7AE0835E"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Power of learning partnerships</w:t>
      </w:r>
    </w:p>
    <w:p w14:paraId="121CA9E8"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lastRenderedPageBreak/>
        <w:t xml:space="preserve">This resembles making the employees feel connected which can be more effective when working remotely. Training classes can be organised to motivate learners as virtual coaches can provide feedback for the application of new ideas and skills. </w:t>
      </w:r>
    </w:p>
    <w:p w14:paraId="70AEED63"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Measuring the impact</w:t>
      </w:r>
    </w:p>
    <w:p w14:paraId="01D5F371" w14:textId="77777777" w:rsidR="003150EC" w:rsidRPr="003150EC" w:rsidRDefault="003150EC" w:rsidP="003150EC">
      <w:pPr>
        <w:spacing w:line="360" w:lineRule="auto"/>
        <w:jc w:val="both"/>
        <w:rPr>
          <w:rFonts w:ascii="Times New Roman" w:eastAsia="Times New Roman" w:hAnsi="Times New Roman" w:cs="Times New Roman"/>
          <w:color w:val="000000"/>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Measuring impact tends to provide data for refining and strengthening ongoing efforts. This involves metrics like participation and outcomes for adjusting the approach that can eventually contribute to the corporate culture of an organisation.  </w:t>
      </w:r>
    </w:p>
    <w:p w14:paraId="07E8EEED" w14:textId="77777777" w:rsidR="003150EC" w:rsidRPr="00DC7845" w:rsidRDefault="003150EC" w:rsidP="003150EC">
      <w:pPr>
        <w:spacing w:line="360" w:lineRule="auto"/>
        <w:jc w:val="both"/>
        <w:rPr>
          <w:rFonts w:ascii="Times New Roman" w:eastAsia="Times New Roman" w:hAnsi="Times New Roman" w:cs="Times New Roman"/>
          <w:sz w:val="24"/>
          <w:szCs w:val="24"/>
          <w:lang w:val="en-IN" w:eastAsia="en-IN"/>
        </w:rPr>
      </w:pPr>
    </w:p>
    <w:p w14:paraId="0E22A869" w14:textId="77777777" w:rsidR="003150EC" w:rsidRPr="003150EC" w:rsidRDefault="003150EC" w:rsidP="003150EC">
      <w:pPr>
        <w:spacing w:line="360" w:lineRule="auto"/>
        <w:jc w:val="center"/>
        <w:rPr>
          <w:rFonts w:ascii="Times New Roman" w:eastAsia="Times New Roman" w:hAnsi="Times New Roman" w:cs="Times New Roman"/>
          <w:sz w:val="24"/>
          <w:szCs w:val="24"/>
          <w:lang w:val="en-IN" w:eastAsia="en-GB"/>
        </w:rPr>
      </w:pPr>
      <w:r w:rsidRPr="003150EC">
        <w:rPr>
          <w:rFonts w:ascii="Times New Roman" w:hAnsi="Times New Roman" w:cs="Times New Roman"/>
          <w:noProof/>
          <w:color w:val="000000"/>
          <w:sz w:val="24"/>
          <w:szCs w:val="24"/>
          <w:bdr w:val="none" w:sz="0" w:space="0" w:color="auto" w:frame="1"/>
        </w:rPr>
        <w:drawing>
          <wp:inline distT="0" distB="0" distL="0" distR="0" wp14:anchorId="75B5649F" wp14:editId="4AE21DC6">
            <wp:extent cx="1516380" cy="524585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8391" cy="5252812"/>
                    </a:xfrm>
                    <a:prstGeom prst="rect">
                      <a:avLst/>
                    </a:prstGeom>
                    <a:noFill/>
                    <a:ln>
                      <a:noFill/>
                    </a:ln>
                  </pic:spPr>
                </pic:pic>
              </a:graphicData>
            </a:graphic>
          </wp:inline>
        </w:drawing>
      </w:r>
    </w:p>
    <w:p w14:paraId="62A371FD" w14:textId="77777777" w:rsidR="003150EC" w:rsidRPr="00DC7845" w:rsidRDefault="003150EC" w:rsidP="003150EC">
      <w:pPr>
        <w:spacing w:line="360" w:lineRule="auto"/>
        <w:jc w:val="center"/>
        <w:rPr>
          <w:rFonts w:ascii="Times New Roman" w:eastAsia="Times New Roman" w:hAnsi="Times New Roman" w:cs="Times New Roman"/>
          <w:sz w:val="24"/>
          <w:szCs w:val="24"/>
          <w:lang w:val="en-IN" w:eastAsia="en-GB"/>
        </w:rPr>
      </w:pPr>
      <w:r w:rsidRPr="00DC7845">
        <w:rPr>
          <w:rFonts w:ascii="Times New Roman" w:eastAsia="Times New Roman" w:hAnsi="Times New Roman" w:cs="Times New Roman"/>
          <w:b/>
          <w:bCs/>
          <w:sz w:val="24"/>
          <w:szCs w:val="24"/>
          <w:lang w:val="en-IN" w:eastAsia="en-GB"/>
        </w:rPr>
        <w:t>Figure 2: Mind map</w:t>
      </w:r>
    </w:p>
    <w:p w14:paraId="3358EE29" w14:textId="37ED4406" w:rsidR="003150EC" w:rsidRPr="003150EC" w:rsidRDefault="003150EC" w:rsidP="003150EC">
      <w:pPr>
        <w:spacing w:line="360" w:lineRule="auto"/>
        <w:jc w:val="center"/>
        <w:rPr>
          <w:rFonts w:ascii="Times New Roman" w:eastAsia="Times New Roman" w:hAnsi="Times New Roman" w:cs="Times New Roman"/>
          <w:sz w:val="24"/>
          <w:szCs w:val="24"/>
          <w:lang w:val="en-IN" w:eastAsia="en-GB"/>
        </w:rPr>
      </w:pPr>
      <w:r w:rsidRPr="00DC7845">
        <w:rPr>
          <w:rFonts w:ascii="Times New Roman" w:eastAsia="Times New Roman" w:hAnsi="Times New Roman" w:cs="Times New Roman"/>
          <w:sz w:val="24"/>
          <w:szCs w:val="24"/>
          <w:lang w:val="en-IN" w:eastAsia="en-GB"/>
        </w:rPr>
        <w:t xml:space="preserve">Source: (Developed by the </w:t>
      </w:r>
      <w:r w:rsidR="009265B6">
        <w:rPr>
          <w:rFonts w:ascii="Times New Roman" w:eastAsia="Times New Roman" w:hAnsi="Times New Roman" w:cs="Times New Roman"/>
          <w:sz w:val="24"/>
          <w:szCs w:val="24"/>
          <w:lang w:val="en-IN" w:eastAsia="en-GB"/>
        </w:rPr>
        <w:t>Carmen Tutu</w:t>
      </w:r>
      <w:r w:rsidRPr="00DC7845">
        <w:rPr>
          <w:rFonts w:ascii="Times New Roman" w:eastAsia="Times New Roman" w:hAnsi="Times New Roman" w:cs="Times New Roman"/>
          <w:sz w:val="24"/>
          <w:szCs w:val="24"/>
          <w:lang w:val="en-IN" w:eastAsia="en-GB"/>
        </w:rPr>
        <w:t>)</w:t>
      </w:r>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0E5776CA" w14:textId="4C74D19E" w:rsidR="00FA6250" w:rsidRDefault="00FA6250" w:rsidP="00FA6250">
      <w:pPr>
        <w:rPr>
          <w:lang w:eastAsia="en-US"/>
        </w:rPr>
      </w:pPr>
    </w:p>
    <w:p w14:paraId="4D734B28" w14:textId="3AC6ECD2" w:rsidR="00FA6250" w:rsidRDefault="00FA6250" w:rsidP="00FA6250">
      <w:pPr>
        <w:pStyle w:val="Heading1"/>
      </w:pPr>
      <w:bookmarkStart w:id="3" w:name="_Toc114220766"/>
      <w:r>
        <w:t xml:space="preserve">Task 3 – </w:t>
      </w:r>
      <w:r w:rsidR="00216AE8">
        <w:t>P</w:t>
      </w:r>
      <w:r>
        <w:t>resentation</w:t>
      </w:r>
      <w:bookmarkEnd w:id="3"/>
      <w:r w:rsidR="002C5CED">
        <w:t xml:space="preserve"> </w:t>
      </w:r>
    </w:p>
    <w:p w14:paraId="1DB05871" w14:textId="09DCBF36" w:rsidR="00FA6250" w:rsidRDefault="00FA6250" w:rsidP="00FA6250">
      <w:pPr>
        <w:rPr>
          <w:lang w:eastAsia="en-US"/>
        </w:rPr>
      </w:pPr>
      <w:r>
        <w:rPr>
          <w:lang w:eastAsia="en-US"/>
        </w:rPr>
        <w:t>Please follow this link to view my presentation</w:t>
      </w:r>
    </w:p>
    <w:p w14:paraId="088D9AF8"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“Becoming a Team Player” </w:t>
      </w:r>
    </w:p>
    <w:p w14:paraId="3B7ED783"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Introduction</w:t>
      </w:r>
    </w:p>
    <w:p w14:paraId="0C1E9801"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In an organisation, as opined by </w:t>
      </w:r>
      <w:proofErr w:type="spellStart"/>
      <w:r w:rsidRPr="003150EC">
        <w:rPr>
          <w:rFonts w:ascii="Times New Roman" w:eastAsia="Times New Roman" w:hAnsi="Times New Roman" w:cs="Times New Roman"/>
          <w:color w:val="000000"/>
          <w:sz w:val="24"/>
          <w:szCs w:val="24"/>
          <w:shd w:val="clear" w:color="auto" w:fill="FFFFFF"/>
          <w:lang w:val="en-IN" w:eastAsia="en-GB"/>
        </w:rPr>
        <w:t>Su</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w:t>
      </w:r>
      <w:r w:rsidRPr="003150EC">
        <w:rPr>
          <w:rFonts w:ascii="Times New Roman" w:eastAsia="Times New Roman" w:hAnsi="Times New Roman" w:cs="Times New Roman"/>
          <w:i/>
          <w:iCs/>
          <w:color w:val="000000"/>
          <w:sz w:val="24"/>
          <w:szCs w:val="24"/>
          <w:shd w:val="clear" w:color="auto" w:fill="FFFFFF"/>
          <w:lang w:val="en-IN" w:eastAsia="en-GB"/>
        </w:rPr>
        <w:t xml:space="preserve">et al., </w:t>
      </w:r>
      <w:r w:rsidRPr="003150EC">
        <w:rPr>
          <w:rFonts w:ascii="Times New Roman" w:eastAsia="Times New Roman" w:hAnsi="Times New Roman" w:cs="Times New Roman"/>
          <w:color w:val="000000"/>
          <w:sz w:val="24"/>
          <w:szCs w:val="24"/>
          <w:lang w:val="en-IN" w:eastAsia="en-GB"/>
        </w:rPr>
        <w:t xml:space="preserve">(2021, p. 5), team players possess strong collaboration, active communication and listening skills along with problem-solving abilities. Thus, the present video presentation highlights reflection regarding how an individual through the sense of place, belief and values could become a team player. </w:t>
      </w:r>
    </w:p>
    <w:p w14:paraId="0CBA28EC"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Discussion</w:t>
      </w:r>
    </w:p>
    <w:p w14:paraId="5CC08EF2"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Personal identity </w:t>
      </w:r>
    </w:p>
    <w:p w14:paraId="6238B001"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I believe that reflecting upon becoming a team player leads to an opportunity for expressing my thoughts, opinions, feelings and ideas regarding the shared experience. This increases the efficiency and possibility within work along with building trust within the teams that draw out insights and learning that the team could build upon in the future. Thus, it leads to greater performance with higher outcomes and if one member's performance turns out to be weak then it gets compensated by the other's productivity. </w:t>
      </w:r>
    </w:p>
    <w:p w14:paraId="33C50B41"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Sense of place, beliefs and values in becoming a team player</w:t>
      </w:r>
    </w:p>
    <w:p w14:paraId="294D7DE1"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In my views, a team player needs to possess certain characteristics and qualities that identify them and are as follows, </w:t>
      </w:r>
    </w:p>
    <w:p w14:paraId="1CE2DC3C"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i/>
          <w:iCs/>
          <w:color w:val="000000"/>
          <w:sz w:val="24"/>
          <w:szCs w:val="24"/>
          <w:lang w:val="en-IN" w:eastAsia="en-GB"/>
        </w:rPr>
        <w:t>Being reliable </w:t>
      </w:r>
    </w:p>
    <w:p w14:paraId="4627A5D0"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As stated by </w:t>
      </w:r>
      <w:proofErr w:type="spellStart"/>
      <w:r w:rsidRPr="003150EC">
        <w:rPr>
          <w:rFonts w:ascii="Times New Roman" w:eastAsia="Times New Roman" w:hAnsi="Times New Roman" w:cs="Times New Roman"/>
          <w:color w:val="000000"/>
          <w:sz w:val="24"/>
          <w:szCs w:val="24"/>
          <w:shd w:val="clear" w:color="auto" w:fill="FFFFFF"/>
          <w:lang w:val="en-IN" w:eastAsia="en-GB"/>
        </w:rPr>
        <w:t>Drossman</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w:t>
      </w:r>
      <w:r w:rsidRPr="003150EC">
        <w:rPr>
          <w:rFonts w:ascii="Times New Roman" w:eastAsia="Times New Roman" w:hAnsi="Times New Roman" w:cs="Times New Roman"/>
          <w:i/>
          <w:iCs/>
          <w:color w:val="000000"/>
          <w:sz w:val="24"/>
          <w:szCs w:val="24"/>
          <w:shd w:val="clear" w:color="auto" w:fill="FFFFFF"/>
          <w:lang w:val="en-IN" w:eastAsia="en-GB"/>
        </w:rPr>
        <w:t xml:space="preserve">et al., </w:t>
      </w:r>
      <w:r w:rsidRPr="003150EC">
        <w:rPr>
          <w:rFonts w:ascii="Times New Roman" w:eastAsia="Times New Roman" w:hAnsi="Times New Roman" w:cs="Times New Roman"/>
          <w:color w:val="000000"/>
          <w:sz w:val="24"/>
          <w:szCs w:val="24"/>
          <w:lang w:val="en-IN" w:eastAsia="en-GB"/>
        </w:rPr>
        <w:t>(2021, p. 1680), being dependable is a key characteristic of team members and a team must establish their dependability. As I know organisations expect their members to be accountable for their team activities, which is a sign of dependability. Although keeping commitments can seem insignificant, if a team member fails to do so, the group suffers. Therefore, team members must be trustworthy and available when required.</w:t>
      </w:r>
    </w:p>
    <w:p w14:paraId="7A11095B"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i/>
          <w:iCs/>
          <w:color w:val="000000"/>
          <w:sz w:val="24"/>
          <w:szCs w:val="24"/>
          <w:lang w:val="en-IN" w:eastAsia="en-GB"/>
        </w:rPr>
        <w:lastRenderedPageBreak/>
        <w:t>Commitment</w:t>
      </w:r>
    </w:p>
    <w:p w14:paraId="7AA0DE5E"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According to my view, another essential trait of a team member is commitment. Inside a team, commitment is the willingness of the participants to carry out their responsibilities without looking for rewards. Therefore, I believe people who are uninterested in incentives are most suited to analyse team members who are dedicated to a team. I must remember that being a dedicated team member supports the causes to which I would devote my effort and time. Hence, people's opinions regarding their contributions to their teams could be changed.</w:t>
      </w:r>
    </w:p>
    <w:p w14:paraId="087FB529"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i/>
          <w:iCs/>
          <w:color w:val="000000"/>
          <w:sz w:val="24"/>
          <w:szCs w:val="24"/>
          <w:lang w:val="en-IN" w:eastAsia="en-GB"/>
        </w:rPr>
        <w:t>Communication </w:t>
      </w:r>
    </w:p>
    <w:p w14:paraId="2655A6DC" w14:textId="51490F29"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As evidenced by </w:t>
      </w:r>
      <w:r w:rsidRPr="003150EC">
        <w:rPr>
          <w:rFonts w:ascii="Times New Roman" w:eastAsia="Times New Roman" w:hAnsi="Times New Roman" w:cs="Times New Roman"/>
          <w:color w:val="000000"/>
          <w:sz w:val="24"/>
          <w:szCs w:val="24"/>
          <w:shd w:val="clear" w:color="auto" w:fill="FFFFFF"/>
          <w:lang w:val="en-IN" w:eastAsia="en-GB"/>
        </w:rPr>
        <w:t xml:space="preserve">Phillips </w:t>
      </w:r>
      <w:r w:rsidRPr="003150EC">
        <w:rPr>
          <w:rFonts w:ascii="Times New Roman" w:eastAsia="Times New Roman" w:hAnsi="Times New Roman" w:cs="Times New Roman"/>
          <w:i/>
          <w:iCs/>
          <w:color w:val="000000"/>
          <w:sz w:val="24"/>
          <w:szCs w:val="24"/>
          <w:shd w:val="clear" w:color="auto" w:fill="FFFFFF"/>
          <w:lang w:val="en-IN" w:eastAsia="en-GB"/>
        </w:rPr>
        <w:t xml:space="preserve">et al., </w:t>
      </w:r>
      <w:r w:rsidRPr="003150EC">
        <w:rPr>
          <w:rFonts w:ascii="Times New Roman" w:eastAsia="Times New Roman" w:hAnsi="Times New Roman" w:cs="Times New Roman"/>
          <w:color w:val="000000"/>
          <w:sz w:val="24"/>
          <w:szCs w:val="24"/>
          <w:lang w:val="en-IN" w:eastAsia="en-GB"/>
        </w:rPr>
        <w:t xml:space="preserve">(2021, p. 30), team players must be effective communicators and must stay informed of one another's activities, and they may do this via communicating. Additionally, when members of a team connect, it may be a sign that their team's project would be successful. In my view, success in a project is always correlated with effective communication; failure is correlated with poor communication. Thus, my communication skills amongst teammates increase the likelihood that they would trust </w:t>
      </w:r>
      <w:r w:rsidR="009265B6" w:rsidRPr="003150EC">
        <w:rPr>
          <w:rFonts w:ascii="Times New Roman" w:eastAsia="Times New Roman" w:hAnsi="Times New Roman" w:cs="Times New Roman"/>
          <w:color w:val="000000"/>
          <w:sz w:val="24"/>
          <w:szCs w:val="24"/>
          <w:lang w:val="en-IN" w:eastAsia="en-GB"/>
        </w:rPr>
        <w:t>me,</w:t>
      </w:r>
      <w:r w:rsidRPr="003150EC">
        <w:rPr>
          <w:rFonts w:ascii="Times New Roman" w:eastAsia="Times New Roman" w:hAnsi="Times New Roman" w:cs="Times New Roman"/>
          <w:color w:val="000000"/>
          <w:sz w:val="24"/>
          <w:szCs w:val="24"/>
          <w:lang w:val="en-IN" w:eastAsia="en-GB"/>
        </w:rPr>
        <w:t xml:space="preserve"> and we could cooperate to accomplish the team's main goals.</w:t>
      </w:r>
    </w:p>
    <w:p w14:paraId="3EEF0BE8"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Conclusion</w:t>
      </w:r>
    </w:p>
    <w:p w14:paraId="73A88FC8"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To conclude, the present video presentation highlights the reflection upon becoming a team member, where my identity and idea about being a team player are discussed. Moreover, the sense, place, values and beliefs in becoming a team player are also elaborated. </w:t>
      </w:r>
    </w:p>
    <w:p w14:paraId="58052FD2" w14:textId="5A086B59" w:rsidR="00FA6250" w:rsidRDefault="00FA6250" w:rsidP="00FA6250">
      <w:pPr>
        <w:rPr>
          <w:lang w:eastAsia="en-US"/>
        </w:rPr>
      </w:pPr>
    </w:p>
    <w:p w14:paraId="100B09EE" w14:textId="1288A5B6" w:rsidR="00FA6250" w:rsidRDefault="00FA6250"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2DDD402" w14:textId="731B3B6C" w:rsidR="00FA6250" w:rsidRDefault="00FA6250" w:rsidP="00FA6250">
      <w:pPr>
        <w:rPr>
          <w:lang w:eastAsia="en-US"/>
        </w:rPr>
      </w:pPr>
    </w:p>
    <w:p w14:paraId="168EB601" w14:textId="6E3304D1" w:rsidR="00FA6250" w:rsidRDefault="00FA6250" w:rsidP="00FA6250">
      <w:pPr>
        <w:pStyle w:val="Heading1"/>
      </w:pPr>
      <w:bookmarkStart w:id="4" w:name="_Toc114220767"/>
      <w:r>
        <w:t xml:space="preserve">Task 4 – </w:t>
      </w:r>
      <w:r w:rsidR="00216AE8">
        <w:t>R</w:t>
      </w:r>
      <w:r>
        <w:t>eflection</w:t>
      </w:r>
      <w:bookmarkEnd w:id="4"/>
      <w:r w:rsidR="002C5CED">
        <w:t xml:space="preserve"> </w:t>
      </w:r>
    </w:p>
    <w:p w14:paraId="5889DC46"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This task evaluates a reflection on my experience of starting university while being accustomed to online resources and learning along with the process of writing assignments (</w:t>
      </w:r>
      <w:r w:rsidRPr="003150EC">
        <w:rPr>
          <w:rFonts w:ascii="Times New Roman" w:eastAsia="Times New Roman" w:hAnsi="Times New Roman" w:cs="Times New Roman"/>
          <w:i/>
          <w:iCs/>
          <w:color w:val="000000"/>
          <w:sz w:val="24"/>
          <w:szCs w:val="24"/>
          <w:lang w:val="en-IN" w:eastAsia="en-GB"/>
        </w:rPr>
        <w:t>International Journal on Innovations in Online Education</w:t>
      </w:r>
      <w:r w:rsidRPr="003150EC">
        <w:rPr>
          <w:rFonts w:ascii="Times New Roman" w:eastAsia="Times New Roman" w:hAnsi="Times New Roman" w:cs="Times New Roman"/>
          <w:color w:val="000000"/>
          <w:sz w:val="24"/>
          <w:szCs w:val="24"/>
          <w:lang w:val="en-IN" w:eastAsia="en-GB"/>
        </w:rPr>
        <w:t>, 2022). This can be better explained with the use of Borton’s reflective model. </w:t>
      </w:r>
    </w:p>
    <w:p w14:paraId="3BD45A92"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What?</w:t>
      </w:r>
    </w:p>
    <w:p w14:paraId="5CA37784" w14:textId="7A72540B"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Twenty-five students with me, from four online courses, were found to participate in a research project in my first year of university. The first year enlightened me with different classes and programs where I also had the opportunity to participate in seminars and discussions. I had a lot of different experiences considering my commute; the people I met and the freedom I gained this year. On the other hand, I also experienced the transition from offline to online classes and accessing online resources as well. This was done without failing any schedule and my professors were very eager and approachable for helping (</w:t>
      </w:r>
      <w:r w:rsidRPr="003150EC">
        <w:rPr>
          <w:rFonts w:ascii="Times New Roman" w:eastAsia="Times New Roman" w:hAnsi="Times New Roman" w:cs="Times New Roman"/>
          <w:i/>
          <w:iCs/>
          <w:color w:val="000000"/>
          <w:sz w:val="24"/>
          <w:szCs w:val="24"/>
          <w:lang w:val="en-IN" w:eastAsia="en-GB"/>
        </w:rPr>
        <w:t>Files.eric.ed.gov.</w:t>
      </w:r>
      <w:r w:rsidRPr="003150EC">
        <w:rPr>
          <w:rFonts w:ascii="Times New Roman" w:eastAsia="Times New Roman" w:hAnsi="Times New Roman" w:cs="Times New Roman"/>
          <w:color w:val="000000"/>
          <w:sz w:val="24"/>
          <w:szCs w:val="24"/>
          <w:lang w:val="en-IN" w:eastAsia="en-GB"/>
        </w:rPr>
        <w:t xml:space="preserve"> 2022). Here I had to go through online learning platforms like a canvas to access the reading materials and resources of the course. This contributed to writing online assignments which I was able to make with the help of my peers and my professors.       </w:t>
      </w:r>
      <w:r w:rsidRPr="003150EC">
        <w:rPr>
          <w:rFonts w:ascii="Times New Roman" w:eastAsia="Times New Roman" w:hAnsi="Times New Roman" w:cs="Times New Roman"/>
          <w:b/>
          <w:bCs/>
          <w:i/>
          <w:iCs/>
          <w:color w:val="000000"/>
          <w:sz w:val="24"/>
          <w:szCs w:val="24"/>
          <w:lang w:val="en-IN" w:eastAsia="en-GB"/>
        </w:rPr>
        <w:t> </w:t>
      </w:r>
    </w:p>
    <w:p w14:paraId="062CF30D"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So what?</w:t>
      </w:r>
    </w:p>
    <w:p w14:paraId="0574E303"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The shift into online learning in the first year of my university has provided me with time flexibility. This has also allowed me to consider my extracurricular projects which have helped me to develop self-discipline. However, while writing assignments online, I have faced small complications like technical issues and a lack of expertise in IT skills, for instance, during the upload of presentations, however, I found quick solutions on the platform as the program directors and professors of mine have been very helpful.  </w:t>
      </w:r>
    </w:p>
    <w:p w14:paraId="7035A0C9" w14:textId="77777777" w:rsidR="003150EC"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b/>
          <w:bCs/>
          <w:i/>
          <w:iCs/>
          <w:color w:val="000000"/>
          <w:sz w:val="24"/>
          <w:szCs w:val="24"/>
          <w:lang w:val="en-IN" w:eastAsia="en-GB"/>
        </w:rPr>
        <w:t>Now what? </w:t>
      </w:r>
    </w:p>
    <w:p w14:paraId="303D96F6" w14:textId="7114AB71" w:rsidR="00FA6250" w:rsidRPr="003150EC" w:rsidRDefault="003150EC" w:rsidP="003150EC">
      <w:pPr>
        <w:spacing w:line="360" w:lineRule="auto"/>
        <w:jc w:val="both"/>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As per my above experience, I truly appreciate the commitment and effort of my university as they have provided us with the necessary tools for our studies while accessing the online course materials from the dashboard of the university and other online platforms. I loved the process </w:t>
      </w:r>
      <w:r w:rsidRPr="003150EC">
        <w:rPr>
          <w:rFonts w:ascii="Times New Roman" w:eastAsia="Times New Roman" w:hAnsi="Times New Roman" w:cs="Times New Roman"/>
          <w:color w:val="000000"/>
          <w:sz w:val="24"/>
          <w:szCs w:val="24"/>
          <w:lang w:val="en-IN" w:eastAsia="en-GB"/>
        </w:rPr>
        <w:lastRenderedPageBreak/>
        <w:t xml:space="preserve">of the web-conferencing platform which has allowed me to gain proper IT skills while providing a flexible learning environment. On the other hand, this has also enabled me to improve my time management skills </w:t>
      </w:r>
      <w:proofErr w:type="gramStart"/>
      <w:r w:rsidRPr="003150EC">
        <w:rPr>
          <w:rFonts w:ascii="Times New Roman" w:eastAsia="Times New Roman" w:hAnsi="Times New Roman" w:cs="Times New Roman"/>
          <w:color w:val="000000"/>
          <w:sz w:val="24"/>
          <w:szCs w:val="24"/>
          <w:lang w:val="en-IN" w:eastAsia="en-GB"/>
        </w:rPr>
        <w:t>and also</w:t>
      </w:r>
      <w:proofErr w:type="gramEnd"/>
      <w:r w:rsidRPr="003150EC">
        <w:rPr>
          <w:rFonts w:ascii="Times New Roman" w:eastAsia="Times New Roman" w:hAnsi="Times New Roman" w:cs="Times New Roman"/>
          <w:color w:val="000000"/>
          <w:sz w:val="24"/>
          <w:szCs w:val="24"/>
          <w:lang w:val="en-IN" w:eastAsia="en-GB"/>
        </w:rPr>
        <w:t xml:space="preserve"> identified my love for writing online assignments. </w:t>
      </w:r>
    </w:p>
    <w:p w14:paraId="659567B4" w14:textId="7AD76990" w:rsidR="00FA6250" w:rsidRDefault="00FA6250" w:rsidP="009265B6">
      <w:pPr>
        <w:pStyle w:val="Heading1"/>
      </w:pPr>
      <w:bookmarkStart w:id="5" w:name="_Toc114220768"/>
      <w:r>
        <w:t>Reference list</w:t>
      </w:r>
      <w:bookmarkEnd w:id="5"/>
      <w:r w:rsidR="002C5CED">
        <w:t xml:space="preserve"> </w:t>
      </w:r>
    </w:p>
    <w:p w14:paraId="48859B19" w14:textId="5A8A93AA"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Being a digital learner (2022) </w:t>
      </w:r>
      <w:proofErr w:type="spellStart"/>
      <w:r w:rsidRPr="003150EC">
        <w:rPr>
          <w:rFonts w:ascii="Times New Roman" w:eastAsia="Times New Roman" w:hAnsi="Times New Roman" w:cs="Times New Roman"/>
          <w:color w:val="000000"/>
          <w:sz w:val="24"/>
          <w:szCs w:val="24"/>
          <w:lang w:val="en-IN" w:eastAsia="en-GB"/>
        </w:rPr>
        <w:t>Ncca</w:t>
      </w:r>
      <w:proofErr w:type="spellEnd"/>
      <w:r w:rsidRPr="003150EC">
        <w:rPr>
          <w:rFonts w:ascii="Times New Roman" w:eastAsia="Times New Roman" w:hAnsi="Times New Roman" w:cs="Times New Roman"/>
          <w:color w:val="000000"/>
          <w:sz w:val="24"/>
          <w:szCs w:val="24"/>
          <w:lang w:val="en-IN" w:eastAsia="en-GB"/>
        </w:rPr>
        <w:t xml:space="preserve">. </w:t>
      </w:r>
      <w:proofErr w:type="spellStart"/>
      <w:r w:rsidRPr="003150EC">
        <w:rPr>
          <w:rFonts w:ascii="Times New Roman" w:eastAsia="Times New Roman" w:hAnsi="Times New Roman" w:cs="Times New Roman"/>
          <w:color w:val="000000"/>
          <w:sz w:val="24"/>
          <w:szCs w:val="24"/>
          <w:lang w:val="en-IN" w:eastAsia="en-GB"/>
        </w:rPr>
        <w:t>ie</w:t>
      </w:r>
      <w:proofErr w:type="spellEnd"/>
      <w:r w:rsidRPr="003150EC">
        <w:rPr>
          <w:rFonts w:ascii="Times New Roman" w:eastAsia="Times New Roman" w:hAnsi="Times New Roman" w:cs="Times New Roman"/>
          <w:color w:val="000000"/>
          <w:sz w:val="24"/>
          <w:szCs w:val="24"/>
          <w:lang w:val="en-IN" w:eastAsia="en-GB"/>
        </w:rPr>
        <w:t xml:space="preserve">. Available at: </w:t>
      </w:r>
      <w:hyperlink r:id="rId15" w:history="1">
        <w:r w:rsidR="009265B6" w:rsidRPr="005D2180">
          <w:rPr>
            <w:rStyle w:val="Hyperlink"/>
            <w:rFonts w:ascii="Times New Roman" w:eastAsia="Times New Roman" w:hAnsi="Times New Roman" w:cs="Times New Roman"/>
            <w:sz w:val="24"/>
            <w:szCs w:val="24"/>
            <w:lang w:val="en-IN" w:eastAsia="en-GB"/>
          </w:rPr>
          <w:t>https://ncca.ie/media/5574/digital-technology-being-a-digital-learner.pdf</w:t>
        </w:r>
      </w:hyperlink>
      <w:r w:rsidR="009265B6">
        <w:rPr>
          <w:rFonts w:ascii="Times New Roman" w:eastAsia="Times New Roman" w:hAnsi="Times New Roman" w:cs="Times New Roman"/>
          <w:color w:val="000000"/>
          <w:sz w:val="24"/>
          <w:szCs w:val="24"/>
          <w:lang w:val="en-IN" w:eastAsia="en-GB"/>
        </w:rPr>
        <w:t xml:space="preserve"> </w:t>
      </w:r>
      <w:r w:rsidRPr="003150EC">
        <w:rPr>
          <w:rFonts w:ascii="Times New Roman" w:eastAsia="Times New Roman" w:hAnsi="Times New Roman" w:cs="Times New Roman"/>
          <w:color w:val="000000"/>
          <w:sz w:val="24"/>
          <w:szCs w:val="24"/>
          <w:lang w:val="en-IN" w:eastAsia="en-GB"/>
        </w:rPr>
        <w:t xml:space="preserve"> (Accessed: 11 November 2022). </w:t>
      </w:r>
    </w:p>
    <w:p w14:paraId="489BECDE" w14:textId="77777777" w:rsidR="003150EC" w:rsidRPr="003150EC" w:rsidRDefault="003150EC" w:rsidP="009265B6">
      <w:pPr>
        <w:spacing w:line="360" w:lineRule="auto"/>
        <w:rPr>
          <w:rFonts w:ascii="Times New Roman" w:eastAsia="Times New Roman" w:hAnsi="Times New Roman" w:cs="Times New Roman"/>
          <w:sz w:val="24"/>
          <w:szCs w:val="24"/>
          <w:lang w:val="en-IN" w:eastAsia="en-GB"/>
        </w:rPr>
      </w:pPr>
      <w:proofErr w:type="spellStart"/>
      <w:r w:rsidRPr="003150EC">
        <w:rPr>
          <w:rFonts w:ascii="Times New Roman" w:eastAsia="Times New Roman" w:hAnsi="Times New Roman" w:cs="Times New Roman"/>
          <w:color w:val="000000"/>
          <w:sz w:val="24"/>
          <w:szCs w:val="24"/>
          <w:shd w:val="clear" w:color="auto" w:fill="FFFFFF"/>
          <w:lang w:val="en-IN" w:eastAsia="en-GB"/>
        </w:rPr>
        <w:t>Drossman</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D.A., Chang, L., Deutsch, J.K., Ford, A.C., </w:t>
      </w:r>
      <w:proofErr w:type="spellStart"/>
      <w:r w:rsidRPr="003150EC">
        <w:rPr>
          <w:rFonts w:ascii="Times New Roman" w:eastAsia="Times New Roman" w:hAnsi="Times New Roman" w:cs="Times New Roman"/>
          <w:color w:val="000000"/>
          <w:sz w:val="24"/>
          <w:szCs w:val="24"/>
          <w:shd w:val="clear" w:color="auto" w:fill="FFFFFF"/>
          <w:lang w:val="en-IN" w:eastAsia="en-GB"/>
        </w:rPr>
        <w:t>Halpert</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A., Kroenke, K., </w:t>
      </w:r>
      <w:proofErr w:type="spellStart"/>
      <w:r w:rsidRPr="003150EC">
        <w:rPr>
          <w:rFonts w:ascii="Times New Roman" w:eastAsia="Times New Roman" w:hAnsi="Times New Roman" w:cs="Times New Roman"/>
          <w:color w:val="000000"/>
          <w:sz w:val="24"/>
          <w:szCs w:val="24"/>
          <w:shd w:val="clear" w:color="auto" w:fill="FFFFFF"/>
          <w:lang w:val="en-IN" w:eastAsia="en-GB"/>
        </w:rPr>
        <w:t>Nurko</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S., Ruddy, J., Snyder, J. and Sperber, A., 2021. A Review of the Evidence and Recommendations on Communication Skills and the Patient–Provider Relationship: A Rome Foundation Working Team Report. Gastroenterology, 161(5), pp.1670-1688. </w:t>
      </w:r>
      <w:hyperlink r:id="rId16" w:history="1">
        <w:r w:rsidRPr="003150EC">
          <w:rPr>
            <w:rFonts w:ascii="Times New Roman" w:eastAsia="Times New Roman" w:hAnsi="Times New Roman" w:cs="Times New Roman"/>
            <w:color w:val="1A73E8"/>
            <w:sz w:val="24"/>
            <w:szCs w:val="24"/>
            <w:u w:val="single"/>
            <w:shd w:val="clear" w:color="auto" w:fill="FFFFFF"/>
            <w:lang w:val="en-IN" w:eastAsia="en-GB"/>
          </w:rPr>
          <w:t>https://www.sciencedirect.com/science/article/pii/S0016508521033205</w:t>
        </w:r>
      </w:hyperlink>
    </w:p>
    <w:p w14:paraId="20DAD1DF" w14:textId="77777777" w:rsidR="003150EC" w:rsidRPr="003150EC" w:rsidRDefault="003150EC" w:rsidP="009265B6">
      <w:pPr>
        <w:spacing w:line="360" w:lineRule="auto"/>
        <w:rPr>
          <w:rFonts w:ascii="Times New Roman" w:eastAsia="Times New Roman" w:hAnsi="Times New Roman" w:cs="Times New Roman"/>
          <w:sz w:val="24"/>
          <w:szCs w:val="24"/>
          <w:lang w:val="en-IN" w:eastAsia="en-GB"/>
        </w:rPr>
      </w:pPr>
      <w:proofErr w:type="spellStart"/>
      <w:r w:rsidRPr="003150EC">
        <w:rPr>
          <w:rFonts w:ascii="Times New Roman" w:eastAsia="Times New Roman" w:hAnsi="Times New Roman" w:cs="Times New Roman"/>
          <w:color w:val="000000"/>
          <w:sz w:val="24"/>
          <w:szCs w:val="24"/>
          <w:shd w:val="clear" w:color="auto" w:fill="FFFFFF"/>
          <w:lang w:val="en-IN" w:eastAsia="en-GB"/>
        </w:rPr>
        <w:t>Güngör</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H. and </w:t>
      </w:r>
      <w:proofErr w:type="spellStart"/>
      <w:r w:rsidRPr="003150EC">
        <w:rPr>
          <w:rFonts w:ascii="Times New Roman" w:eastAsia="Times New Roman" w:hAnsi="Times New Roman" w:cs="Times New Roman"/>
          <w:color w:val="000000"/>
          <w:sz w:val="24"/>
          <w:szCs w:val="24"/>
          <w:shd w:val="clear" w:color="auto" w:fill="FFFFFF"/>
          <w:lang w:val="en-IN" w:eastAsia="en-GB"/>
        </w:rPr>
        <w:t>Erçetin</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Ş.Ş., School-Related Factors Affecting 12th Grade Students' Academic Success While Preparing for Higher Education. </w:t>
      </w:r>
      <w:proofErr w:type="spellStart"/>
      <w:r w:rsidRPr="003150EC">
        <w:rPr>
          <w:rFonts w:ascii="Times New Roman" w:eastAsia="Times New Roman" w:hAnsi="Times New Roman" w:cs="Times New Roman"/>
          <w:color w:val="000000"/>
          <w:sz w:val="24"/>
          <w:szCs w:val="24"/>
          <w:shd w:val="clear" w:color="auto" w:fill="FFFFFF"/>
          <w:lang w:val="en-IN" w:eastAsia="en-GB"/>
        </w:rPr>
        <w:t>Kastamonu</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w:t>
      </w:r>
      <w:proofErr w:type="spellStart"/>
      <w:r w:rsidRPr="003150EC">
        <w:rPr>
          <w:rFonts w:ascii="Times New Roman" w:eastAsia="Times New Roman" w:hAnsi="Times New Roman" w:cs="Times New Roman"/>
          <w:color w:val="000000"/>
          <w:sz w:val="24"/>
          <w:szCs w:val="24"/>
          <w:shd w:val="clear" w:color="auto" w:fill="FFFFFF"/>
          <w:lang w:val="en-IN" w:eastAsia="en-GB"/>
        </w:rPr>
        <w:t>Eğitim</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w:t>
      </w:r>
      <w:proofErr w:type="spellStart"/>
      <w:r w:rsidRPr="003150EC">
        <w:rPr>
          <w:rFonts w:ascii="Times New Roman" w:eastAsia="Times New Roman" w:hAnsi="Times New Roman" w:cs="Times New Roman"/>
          <w:color w:val="000000"/>
          <w:sz w:val="24"/>
          <w:szCs w:val="24"/>
          <w:shd w:val="clear" w:color="auto" w:fill="FFFFFF"/>
          <w:lang w:val="en-IN" w:eastAsia="en-GB"/>
        </w:rPr>
        <w:t>Dergisi</w:t>
      </w:r>
      <w:proofErr w:type="spellEnd"/>
      <w:r w:rsidRPr="003150EC">
        <w:rPr>
          <w:rFonts w:ascii="Times New Roman" w:eastAsia="Times New Roman" w:hAnsi="Times New Roman" w:cs="Times New Roman"/>
          <w:color w:val="000000"/>
          <w:sz w:val="24"/>
          <w:szCs w:val="24"/>
          <w:shd w:val="clear" w:color="auto" w:fill="FFFFFF"/>
          <w:lang w:val="en-IN" w:eastAsia="en-GB"/>
        </w:rPr>
        <w:t>, 30(3), pp.691-704.</w:t>
      </w:r>
    </w:p>
    <w:p w14:paraId="1F99D098" w14:textId="0BC450F2"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shd w:val="clear" w:color="auto" w:fill="FFFFFF"/>
          <w:lang w:val="en-IN" w:eastAsia="en-GB"/>
        </w:rPr>
        <w:t xml:space="preserve">Higher education needs to step up efforts to prepare students for the future - OECD (2022). Available at: </w:t>
      </w:r>
      <w:hyperlink r:id="rId17" w:history="1">
        <w:r w:rsidRPr="003150EC">
          <w:rPr>
            <w:rFonts w:ascii="Times New Roman" w:eastAsia="Times New Roman" w:hAnsi="Times New Roman" w:cs="Times New Roman"/>
            <w:color w:val="1A73E8"/>
            <w:sz w:val="24"/>
            <w:szCs w:val="24"/>
            <w:u w:val="single"/>
            <w:shd w:val="clear" w:color="auto" w:fill="FFFFFF"/>
            <w:lang w:val="en-IN" w:eastAsia="en-GB"/>
          </w:rPr>
          <w:t>https://www.oecd.org/newsroom/higher-education-needs-to-step-up-efforts-to-prepare-students-for-the-future.htm</w:t>
        </w:r>
      </w:hyperlink>
      <w:r w:rsidRPr="003150EC">
        <w:rPr>
          <w:rFonts w:ascii="Times New Roman" w:eastAsia="Times New Roman" w:hAnsi="Times New Roman" w:cs="Times New Roman"/>
          <w:color w:val="000000"/>
          <w:sz w:val="24"/>
          <w:szCs w:val="24"/>
          <w:shd w:val="clear" w:color="auto" w:fill="FFFFFF"/>
          <w:lang w:val="en-IN" w:eastAsia="en-GB"/>
        </w:rPr>
        <w:t xml:space="preserve"> (Accessed: 11 November 2022).</w:t>
      </w:r>
      <w:r w:rsidRPr="003150EC">
        <w:rPr>
          <w:rFonts w:ascii="Times New Roman" w:eastAsia="Times New Roman" w:hAnsi="Times New Roman" w:cs="Times New Roman"/>
          <w:sz w:val="24"/>
          <w:szCs w:val="24"/>
          <w:lang w:val="en-IN" w:eastAsia="en-GB"/>
        </w:rPr>
        <w:t xml:space="preserve"> </w:t>
      </w:r>
      <w:hyperlink r:id="rId18" w:history="1">
        <w:r w:rsidRPr="003150EC">
          <w:rPr>
            <w:rStyle w:val="Hyperlink"/>
            <w:rFonts w:ascii="Times New Roman" w:eastAsia="Times New Roman" w:hAnsi="Times New Roman" w:cs="Times New Roman"/>
            <w:sz w:val="24"/>
            <w:szCs w:val="24"/>
            <w:shd w:val="clear" w:color="auto" w:fill="FFFFFF"/>
            <w:lang w:val="en-IN" w:eastAsia="en-GB"/>
          </w:rPr>
          <w:t>https://dergipark.org.tr/en/pub/kefdergi/issue/71560/774717</w:t>
        </w:r>
      </w:hyperlink>
    </w:p>
    <w:p w14:paraId="6AE420B9" w14:textId="77777777" w:rsidR="003150EC" w:rsidRPr="003150EC" w:rsidRDefault="00000000" w:rsidP="009265B6">
      <w:pPr>
        <w:spacing w:line="360" w:lineRule="auto"/>
        <w:rPr>
          <w:rFonts w:ascii="Times New Roman" w:eastAsia="Times New Roman" w:hAnsi="Times New Roman" w:cs="Times New Roman"/>
          <w:sz w:val="24"/>
          <w:szCs w:val="24"/>
          <w:lang w:val="en-IN" w:eastAsia="en-GB"/>
        </w:rPr>
      </w:pPr>
      <w:hyperlink r:id="rId19" w:history="1">
        <w:r w:rsidR="003150EC" w:rsidRPr="003150EC">
          <w:rPr>
            <w:rFonts w:ascii="Times New Roman" w:eastAsia="Times New Roman" w:hAnsi="Times New Roman" w:cs="Times New Roman"/>
            <w:color w:val="1A73E8"/>
            <w:sz w:val="24"/>
            <w:szCs w:val="24"/>
            <w:u w:val="single"/>
            <w:shd w:val="clear" w:color="auto" w:fill="FFFFFF"/>
            <w:lang w:val="en-IN" w:eastAsia="en-GB"/>
          </w:rPr>
          <w:t>https://dl.acm.org/doi/abs/10.1145/3437914.3437976</w:t>
        </w:r>
      </w:hyperlink>
    </w:p>
    <w:p w14:paraId="4CC83A50" w14:textId="77777777" w:rsidR="003150EC" w:rsidRPr="003150EC" w:rsidRDefault="00000000" w:rsidP="009265B6">
      <w:pPr>
        <w:spacing w:line="360" w:lineRule="auto"/>
        <w:rPr>
          <w:rFonts w:ascii="Times New Roman" w:eastAsia="Times New Roman" w:hAnsi="Times New Roman" w:cs="Times New Roman"/>
          <w:sz w:val="24"/>
          <w:szCs w:val="24"/>
          <w:lang w:val="en-IN" w:eastAsia="en-GB"/>
        </w:rPr>
      </w:pPr>
      <w:hyperlink r:id="rId20" w:history="1">
        <w:r w:rsidR="003150EC" w:rsidRPr="003150EC">
          <w:rPr>
            <w:rFonts w:ascii="Times New Roman" w:eastAsia="Times New Roman" w:hAnsi="Times New Roman" w:cs="Times New Roman"/>
            <w:color w:val="1A73E8"/>
            <w:sz w:val="24"/>
            <w:szCs w:val="24"/>
            <w:u w:val="single"/>
            <w:shd w:val="clear" w:color="auto" w:fill="FFFFFF"/>
            <w:lang w:val="en-IN" w:eastAsia="en-GB"/>
          </w:rPr>
          <w:t>https://onlinelibrary.wiley.com/doi/abs/10.1002/tl.20406</w:t>
        </w:r>
      </w:hyperlink>
    </w:p>
    <w:p w14:paraId="3871F87D" w14:textId="3556CFE7"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Kabir, S. and </w:t>
      </w:r>
      <w:proofErr w:type="spellStart"/>
      <w:r w:rsidRPr="003150EC">
        <w:rPr>
          <w:rFonts w:ascii="Times New Roman" w:eastAsia="Times New Roman" w:hAnsi="Times New Roman" w:cs="Times New Roman"/>
          <w:color w:val="000000"/>
          <w:sz w:val="24"/>
          <w:szCs w:val="24"/>
          <w:lang w:val="en-IN" w:eastAsia="en-GB"/>
        </w:rPr>
        <w:t>Hasnat</w:t>
      </w:r>
      <w:proofErr w:type="spellEnd"/>
      <w:r w:rsidRPr="003150EC">
        <w:rPr>
          <w:rFonts w:ascii="Times New Roman" w:eastAsia="Times New Roman" w:hAnsi="Times New Roman" w:cs="Times New Roman"/>
          <w:color w:val="000000"/>
          <w:sz w:val="24"/>
          <w:szCs w:val="24"/>
          <w:lang w:val="en-IN" w:eastAsia="en-GB"/>
        </w:rPr>
        <w:t>, M. (2021) "</w:t>
      </w:r>
      <w:r w:rsidRPr="009265B6">
        <w:rPr>
          <w:rFonts w:ascii="Times New Roman" w:eastAsia="Times New Roman" w:hAnsi="Times New Roman" w:cs="Times New Roman"/>
          <w:i/>
          <w:iCs/>
          <w:color w:val="000000"/>
          <w:sz w:val="24"/>
          <w:szCs w:val="24"/>
          <w:lang w:val="en-IN" w:eastAsia="en-GB"/>
        </w:rPr>
        <w:t>teachers’ reflection on online classes during and after the covid-19 crisis: an empirical study</w:t>
      </w:r>
      <w:r w:rsidRPr="003150EC">
        <w:rPr>
          <w:rFonts w:ascii="Times New Roman" w:eastAsia="Times New Roman" w:hAnsi="Times New Roman" w:cs="Times New Roman"/>
          <w:color w:val="000000"/>
          <w:sz w:val="24"/>
          <w:szCs w:val="24"/>
          <w:lang w:val="en-IN" w:eastAsia="en-GB"/>
        </w:rPr>
        <w:t xml:space="preserve">", International Journal on Innovations in Online Education, 5(3). </w:t>
      </w:r>
      <w:proofErr w:type="spellStart"/>
      <w:r w:rsidRPr="003150EC">
        <w:rPr>
          <w:rFonts w:ascii="Times New Roman" w:eastAsia="Times New Roman" w:hAnsi="Times New Roman" w:cs="Times New Roman"/>
          <w:color w:val="000000"/>
          <w:sz w:val="24"/>
          <w:szCs w:val="24"/>
          <w:lang w:val="en-IN" w:eastAsia="en-GB"/>
        </w:rPr>
        <w:t>doi</w:t>
      </w:r>
      <w:proofErr w:type="spellEnd"/>
      <w:r w:rsidRPr="003150EC">
        <w:rPr>
          <w:rFonts w:ascii="Times New Roman" w:eastAsia="Times New Roman" w:hAnsi="Times New Roman" w:cs="Times New Roman"/>
          <w:color w:val="000000"/>
          <w:sz w:val="24"/>
          <w:szCs w:val="24"/>
          <w:lang w:val="en-IN" w:eastAsia="en-GB"/>
        </w:rPr>
        <w:t>: 10.1615/intjinnovonlineedu.202103903</w:t>
      </w:r>
      <w:r w:rsidR="009265B6">
        <w:rPr>
          <w:rFonts w:ascii="Times New Roman" w:eastAsia="Times New Roman" w:hAnsi="Times New Roman" w:cs="Times New Roman"/>
          <w:color w:val="000000"/>
          <w:sz w:val="24"/>
          <w:szCs w:val="24"/>
          <w:lang w:val="en-IN" w:eastAsia="en-GB"/>
        </w:rPr>
        <w:t xml:space="preserve">2 </w:t>
      </w:r>
    </w:p>
    <w:p w14:paraId="07569CB2" w14:textId="3A5028B6"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shd w:val="clear" w:color="auto" w:fill="FFFFFF"/>
          <w:lang w:val="en-IN" w:eastAsia="en-GB"/>
        </w:rPr>
        <w:t>Phillips, H., Ivins, W., Prickett, T., Walters, J. and Strachan, R., 2021</w:t>
      </w:r>
      <w:r w:rsidR="009265B6">
        <w:rPr>
          <w:rFonts w:ascii="Times New Roman" w:eastAsia="Times New Roman" w:hAnsi="Times New Roman" w:cs="Times New Roman"/>
          <w:color w:val="000000"/>
          <w:sz w:val="24"/>
          <w:szCs w:val="24"/>
          <w:shd w:val="clear" w:color="auto" w:fill="FFFFFF"/>
          <w:lang w:val="en-IN" w:eastAsia="en-GB"/>
        </w:rPr>
        <w:t>)</w:t>
      </w:r>
      <w:r w:rsidRPr="003150EC">
        <w:rPr>
          <w:rFonts w:ascii="Times New Roman" w:eastAsia="Times New Roman" w:hAnsi="Times New Roman" w:cs="Times New Roman"/>
          <w:color w:val="000000"/>
          <w:sz w:val="24"/>
          <w:szCs w:val="24"/>
          <w:shd w:val="clear" w:color="auto" w:fill="FFFFFF"/>
          <w:lang w:val="en-IN" w:eastAsia="en-GB"/>
        </w:rPr>
        <w:t xml:space="preserve"> </w:t>
      </w:r>
      <w:r w:rsidRPr="009265B6">
        <w:rPr>
          <w:rFonts w:ascii="Times New Roman" w:eastAsia="Times New Roman" w:hAnsi="Times New Roman" w:cs="Times New Roman"/>
          <w:i/>
          <w:iCs/>
          <w:color w:val="000000"/>
          <w:sz w:val="24"/>
          <w:szCs w:val="24"/>
          <w:shd w:val="clear" w:color="auto" w:fill="FFFFFF"/>
          <w:lang w:val="en-IN" w:eastAsia="en-GB"/>
        </w:rPr>
        <w:t xml:space="preserve">Using contributing student pedagogy to enhance support for teamworking in computer science </w:t>
      </w:r>
      <w:r w:rsidR="009265B6" w:rsidRPr="009265B6">
        <w:rPr>
          <w:rFonts w:ascii="Times New Roman" w:eastAsia="Times New Roman" w:hAnsi="Times New Roman" w:cs="Times New Roman"/>
          <w:i/>
          <w:iCs/>
          <w:color w:val="000000"/>
          <w:sz w:val="24"/>
          <w:szCs w:val="24"/>
          <w:shd w:val="clear" w:color="auto" w:fill="FFFFFF"/>
          <w:lang w:val="en-IN" w:eastAsia="en-GB"/>
        </w:rPr>
        <w:t>projects</w:t>
      </w:r>
      <w:r w:rsidR="009265B6">
        <w:rPr>
          <w:rFonts w:ascii="Times New Roman" w:eastAsia="Times New Roman" w:hAnsi="Times New Roman" w:cs="Times New Roman"/>
          <w:color w:val="000000"/>
          <w:sz w:val="24"/>
          <w:szCs w:val="24"/>
          <w:shd w:val="clear" w:color="auto" w:fill="FFFFFF"/>
          <w:lang w:val="en-IN" w:eastAsia="en-GB"/>
        </w:rPr>
        <w:t>,</w:t>
      </w:r>
      <w:r w:rsidR="009265B6" w:rsidRPr="003150EC">
        <w:rPr>
          <w:rFonts w:ascii="Times New Roman" w:eastAsia="Times New Roman" w:hAnsi="Times New Roman" w:cs="Times New Roman"/>
          <w:color w:val="000000"/>
          <w:sz w:val="24"/>
          <w:szCs w:val="24"/>
          <w:shd w:val="clear" w:color="auto" w:fill="FFFFFF"/>
          <w:lang w:val="en-IN" w:eastAsia="en-GB"/>
        </w:rPr>
        <w:t xml:space="preserve"> In</w:t>
      </w:r>
      <w:r w:rsidRPr="003150EC">
        <w:rPr>
          <w:rFonts w:ascii="Times New Roman" w:eastAsia="Times New Roman" w:hAnsi="Times New Roman" w:cs="Times New Roman"/>
          <w:color w:val="000000"/>
          <w:sz w:val="24"/>
          <w:szCs w:val="24"/>
          <w:shd w:val="clear" w:color="auto" w:fill="FFFFFF"/>
          <w:lang w:val="en-IN" w:eastAsia="en-GB"/>
        </w:rPr>
        <w:t xml:space="preserve"> Computing Education Practice 2021 (pp. 29-32). </w:t>
      </w:r>
    </w:p>
    <w:p w14:paraId="20C5FE81" w14:textId="77777777"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Reflection in Learning (2022) Files.eric.ed.gov. Available at: https://files.eric.ed.gov/fulltext/EJ1210944.pdf (Accessed: 11 November 2022).</w:t>
      </w:r>
    </w:p>
    <w:p w14:paraId="66C16A49" w14:textId="35F140C9" w:rsidR="003150EC" w:rsidRPr="003150EC" w:rsidRDefault="003150EC" w:rsidP="009265B6">
      <w:pPr>
        <w:spacing w:line="360" w:lineRule="auto"/>
        <w:rPr>
          <w:rFonts w:ascii="Times New Roman" w:eastAsia="Times New Roman" w:hAnsi="Times New Roman" w:cs="Times New Roman"/>
          <w:sz w:val="24"/>
          <w:szCs w:val="24"/>
          <w:lang w:val="en-IN" w:eastAsia="en-GB"/>
        </w:rPr>
      </w:pPr>
      <w:proofErr w:type="spellStart"/>
      <w:r w:rsidRPr="003150EC">
        <w:rPr>
          <w:rFonts w:ascii="Times New Roman" w:eastAsia="Times New Roman" w:hAnsi="Times New Roman" w:cs="Times New Roman"/>
          <w:color w:val="000000"/>
          <w:sz w:val="24"/>
          <w:szCs w:val="24"/>
          <w:shd w:val="clear" w:color="auto" w:fill="FFFFFF"/>
          <w:lang w:val="en-IN" w:eastAsia="en-GB"/>
        </w:rPr>
        <w:lastRenderedPageBreak/>
        <w:t>Su</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K., Bonnet, E. and </w:t>
      </w:r>
      <w:proofErr w:type="spellStart"/>
      <w:r w:rsidRPr="003150EC">
        <w:rPr>
          <w:rFonts w:ascii="Times New Roman" w:eastAsia="Times New Roman" w:hAnsi="Times New Roman" w:cs="Times New Roman"/>
          <w:color w:val="000000"/>
          <w:sz w:val="24"/>
          <w:szCs w:val="24"/>
          <w:shd w:val="clear" w:color="auto" w:fill="FFFFFF"/>
          <w:lang w:val="en-IN" w:eastAsia="en-GB"/>
        </w:rPr>
        <w:t>Mondada</w:t>
      </w:r>
      <w:proofErr w:type="spellEnd"/>
      <w:r w:rsidRPr="003150EC">
        <w:rPr>
          <w:rFonts w:ascii="Times New Roman" w:eastAsia="Times New Roman" w:hAnsi="Times New Roman" w:cs="Times New Roman"/>
          <w:color w:val="000000"/>
          <w:sz w:val="24"/>
          <w:szCs w:val="24"/>
          <w:shd w:val="clear" w:color="auto" w:fill="FFFFFF"/>
          <w:lang w:val="en-IN" w:eastAsia="en-GB"/>
        </w:rPr>
        <w:t xml:space="preserve">, F., 2021, September. Developing STEM and Team-working Skills Through Collaborative Space Robotics Missions. In 2021 IEEE AFRICON (pp. 1-6). IEEE. </w:t>
      </w:r>
      <w:hyperlink r:id="rId21" w:history="1">
        <w:r w:rsidRPr="003150EC">
          <w:rPr>
            <w:rFonts w:ascii="Times New Roman" w:eastAsia="Times New Roman" w:hAnsi="Times New Roman" w:cs="Times New Roman"/>
            <w:color w:val="1A73E8"/>
            <w:sz w:val="24"/>
            <w:szCs w:val="24"/>
            <w:u w:val="single"/>
            <w:shd w:val="clear" w:color="auto" w:fill="FFFFFF"/>
            <w:lang w:val="en-IN" w:eastAsia="en-GB"/>
          </w:rPr>
          <w:t>https://ieeexplore.ieee.org/abstract/document/9570851</w:t>
        </w:r>
      </w:hyperlink>
    </w:p>
    <w:p w14:paraId="2517610A" w14:textId="77777777"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shd w:val="clear" w:color="auto" w:fill="FFFFFF"/>
          <w:lang w:val="en-IN" w:eastAsia="en-GB"/>
        </w:rPr>
        <w:t xml:space="preserve">von </w:t>
      </w:r>
      <w:proofErr w:type="spellStart"/>
      <w:r w:rsidRPr="003150EC">
        <w:rPr>
          <w:rFonts w:ascii="Times New Roman" w:eastAsia="Times New Roman" w:hAnsi="Times New Roman" w:cs="Times New Roman"/>
          <w:color w:val="000000"/>
          <w:sz w:val="24"/>
          <w:szCs w:val="24"/>
          <w:shd w:val="clear" w:color="auto" w:fill="FFFFFF"/>
          <w:lang w:val="en-IN" w:eastAsia="en-GB"/>
        </w:rPr>
        <w:t>Hoene</w:t>
      </w:r>
      <w:proofErr w:type="spellEnd"/>
      <w:r w:rsidRPr="003150EC">
        <w:rPr>
          <w:rFonts w:ascii="Times New Roman" w:eastAsia="Times New Roman" w:hAnsi="Times New Roman" w:cs="Times New Roman"/>
          <w:color w:val="000000"/>
          <w:sz w:val="24"/>
          <w:szCs w:val="24"/>
          <w:shd w:val="clear" w:color="auto" w:fill="FFFFFF"/>
          <w:lang w:val="en-IN" w:eastAsia="en-GB"/>
        </w:rPr>
        <w:t>, L.M., 2020. From Orientations to Outcomes: Articulating a Comprehensive and Systematic Approach to Preparing Future Higher Education Instructors. New Directions for Teaching and Learning, 2020(163), pp.13-23.</w:t>
      </w:r>
    </w:p>
    <w:p w14:paraId="0CF29367" w14:textId="4C81CD43" w:rsidR="003150EC" w:rsidRPr="003150EC" w:rsidRDefault="003150EC" w:rsidP="009265B6">
      <w:pPr>
        <w:spacing w:line="360" w:lineRule="auto"/>
        <w:rPr>
          <w:rFonts w:ascii="Times New Roman" w:eastAsia="Times New Roman" w:hAnsi="Times New Roman" w:cs="Times New Roman"/>
          <w:sz w:val="24"/>
          <w:szCs w:val="24"/>
          <w:lang w:val="en-IN" w:eastAsia="en-GB"/>
        </w:rPr>
      </w:pPr>
      <w:r w:rsidRPr="003150EC">
        <w:rPr>
          <w:rFonts w:ascii="Times New Roman" w:eastAsia="Times New Roman" w:hAnsi="Times New Roman" w:cs="Times New Roman"/>
          <w:color w:val="000000"/>
          <w:sz w:val="24"/>
          <w:szCs w:val="24"/>
          <w:lang w:val="en-IN" w:eastAsia="en-GB"/>
        </w:rPr>
        <w:t xml:space="preserve">Ways to Strengthen Your Digital Learning Strategy (2022). Available at: </w:t>
      </w:r>
      <w:hyperlink r:id="rId22" w:history="1">
        <w:r w:rsidR="009265B6" w:rsidRPr="005D2180">
          <w:rPr>
            <w:rStyle w:val="Hyperlink"/>
            <w:rFonts w:ascii="Times New Roman" w:eastAsia="Times New Roman" w:hAnsi="Times New Roman" w:cs="Times New Roman"/>
            <w:sz w:val="24"/>
            <w:szCs w:val="24"/>
            <w:lang w:val="en-IN" w:eastAsia="en-GB"/>
          </w:rPr>
          <w:t>https://www.ccl.org/articles/leading-effectively-articles/6-strategies-to-make-digital-learning-work/</w:t>
        </w:r>
      </w:hyperlink>
      <w:r w:rsidR="009265B6">
        <w:rPr>
          <w:rFonts w:ascii="Times New Roman" w:eastAsia="Times New Roman" w:hAnsi="Times New Roman" w:cs="Times New Roman"/>
          <w:color w:val="000000"/>
          <w:sz w:val="24"/>
          <w:szCs w:val="24"/>
          <w:lang w:val="en-IN" w:eastAsia="en-GB"/>
        </w:rPr>
        <w:t xml:space="preserve"> </w:t>
      </w:r>
      <w:r w:rsidRPr="003150EC">
        <w:rPr>
          <w:rFonts w:ascii="Times New Roman" w:eastAsia="Times New Roman" w:hAnsi="Times New Roman" w:cs="Times New Roman"/>
          <w:color w:val="000000"/>
          <w:sz w:val="24"/>
          <w:szCs w:val="24"/>
          <w:lang w:val="en-IN" w:eastAsia="en-GB"/>
        </w:rPr>
        <w:t xml:space="preserve"> (Accessed: 11 November 2022).   </w:t>
      </w:r>
    </w:p>
    <w:p w14:paraId="71E92A7E" w14:textId="77777777" w:rsidR="003150EC" w:rsidRPr="003150EC" w:rsidRDefault="003150EC" w:rsidP="009265B6">
      <w:pPr>
        <w:rPr>
          <w:lang w:eastAsia="en-US"/>
        </w:rPr>
      </w:pPr>
    </w:p>
    <w:p w14:paraId="2DC9E825" w14:textId="77777777" w:rsidR="00FA6250" w:rsidRPr="00FA6250" w:rsidRDefault="00FA6250" w:rsidP="009265B6">
      <w:pPr>
        <w:rPr>
          <w:lang w:eastAsia="en-US"/>
        </w:rPr>
      </w:pPr>
    </w:p>
    <w:p w14:paraId="05A3080A" w14:textId="77777777" w:rsidR="00FA6250" w:rsidRPr="00FA6250" w:rsidRDefault="00FA6250" w:rsidP="009265B6">
      <w:pPr>
        <w:rPr>
          <w:lang w:eastAsia="en-US"/>
        </w:rPr>
      </w:pPr>
    </w:p>
    <w:sectPr w:rsidR="00FA6250" w:rsidRPr="00FA6250" w:rsidSect="0009320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8E402" w14:textId="77777777" w:rsidR="006D16C1" w:rsidRDefault="006D16C1" w:rsidP="00FA6250">
      <w:pPr>
        <w:spacing w:after="0" w:line="240" w:lineRule="auto"/>
      </w:pPr>
      <w:r>
        <w:separator/>
      </w:r>
    </w:p>
  </w:endnote>
  <w:endnote w:type="continuationSeparator" w:id="0">
    <w:p w14:paraId="4848C7EF" w14:textId="77777777" w:rsidR="006D16C1" w:rsidRDefault="006D16C1"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6CD476" w14:textId="77777777" w:rsidR="006D16C1" w:rsidRDefault="006D16C1" w:rsidP="00FA6250">
      <w:pPr>
        <w:spacing w:after="0" w:line="240" w:lineRule="auto"/>
      </w:pPr>
      <w:r>
        <w:separator/>
      </w:r>
    </w:p>
  </w:footnote>
  <w:footnote w:type="continuationSeparator" w:id="0">
    <w:p w14:paraId="7301DFFD" w14:textId="77777777" w:rsidR="006D16C1" w:rsidRDefault="006D16C1"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060F"/>
    <w:rsid w:val="00093204"/>
    <w:rsid w:val="000F56B2"/>
    <w:rsid w:val="001E0863"/>
    <w:rsid w:val="00216AE8"/>
    <w:rsid w:val="002C5CED"/>
    <w:rsid w:val="003150EC"/>
    <w:rsid w:val="00406958"/>
    <w:rsid w:val="00532237"/>
    <w:rsid w:val="0054717F"/>
    <w:rsid w:val="005B5D35"/>
    <w:rsid w:val="006D16C1"/>
    <w:rsid w:val="0072651B"/>
    <w:rsid w:val="00841D01"/>
    <w:rsid w:val="008F4E2C"/>
    <w:rsid w:val="009265B6"/>
    <w:rsid w:val="009776FA"/>
    <w:rsid w:val="00A20199"/>
    <w:rsid w:val="00AC37A3"/>
    <w:rsid w:val="00D977B7"/>
    <w:rsid w:val="00E737F2"/>
    <w:rsid w:val="00FA6250"/>
    <w:rsid w:val="00FE1DFA"/>
    <w:rsid w:val="00FE39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character" w:styleId="UnresolvedMention">
    <w:name w:val="Unresolved Mention"/>
    <w:basedOn w:val="DefaultParagraphFont"/>
    <w:uiPriority w:val="99"/>
    <w:semiHidden/>
    <w:unhideWhenUsed/>
    <w:rsid w:val="00315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https://lh3.googleusercontent.com/oUAOJCQh4imIoCnyQs2KS7HXN-8o10q7GBlzZbQJda6-xW7Xj-DQ1Fe3xdTIGp5ZN0vEAbb1UHaYc8WqycI_D_9shLOSLiIjLcnXjQDqiTHPcIXwTpoXXI8jgwqwd2CGnrhV8FJVZmpyeNZgSFEfHqz5GQ990He48Ma-zgTYL7hPYTE26hr-DGAm92XO6g" TargetMode="External"/><Relationship Id="rId18" Type="http://schemas.openxmlformats.org/officeDocument/2006/relationships/hyperlink" Target="https://dergipark.org.tr/en/pub/kefdergi/issue/71560/774717" TargetMode="External"/><Relationship Id="rId3" Type="http://schemas.openxmlformats.org/officeDocument/2006/relationships/styles" Target="styles.xml"/><Relationship Id="rId21" Type="http://schemas.openxmlformats.org/officeDocument/2006/relationships/hyperlink" Target="https://ieeexplore.ieee.org/abstract/document/9570851"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oecd.org/newsroom/higher-education-needs-to-step-up-efforts-to-prepare-students-for-the-future.ht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ciencedirect.com/science/article/pii/S0016508521033205" TargetMode="External"/><Relationship Id="rId20" Type="http://schemas.openxmlformats.org/officeDocument/2006/relationships/hyperlink" Target="https://onlinelibrary.wiley.com/doi/abs/10.1002/tl.204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cca.ie/media/5574/digital-technology-being-a-digital-learner.pdf" TargetMode="External"/><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dl.acm.org/doi/abs/10.1145/3437914.343797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www.ccl.org/articles/leading-effectively-articles/6-strategies-to-make-digital-learning-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BMPL4007/BMPS4009</dc:subject>
  <dc:creator>Name Carmen Tutu</dc:creator>
  <cp:keywords/>
  <dc:description/>
  <cp:lastModifiedBy>Carmen Tutu (2207381)</cp:lastModifiedBy>
  <cp:revision>4</cp:revision>
  <dcterms:created xsi:type="dcterms:W3CDTF">2022-11-11T23:46:00Z</dcterms:created>
  <dcterms:modified xsi:type="dcterms:W3CDTF">2022-11-11T23:57:00Z</dcterms:modified>
</cp:coreProperties>
</file>