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EFBDC" w14:textId="77777777" w:rsidR="009F6CDA" w:rsidRDefault="009F6CDA" w:rsidP="009F6CDA">
      <w:r>
        <w:rPr>
          <w:noProof/>
        </w:rPr>
        <w:drawing>
          <wp:anchor distT="0" distB="0" distL="114300" distR="114300" simplePos="0" relativeHeight="251659264" behindDoc="0" locked="0" layoutInCell="1" allowOverlap="1" wp14:anchorId="2DDB48E9" wp14:editId="5088D242">
            <wp:simplePos x="0" y="0"/>
            <wp:positionH relativeFrom="column">
              <wp:posOffset>1386840</wp:posOffset>
            </wp:positionH>
            <wp:positionV relativeFrom="paragraph">
              <wp:posOffset>0</wp:posOffset>
            </wp:positionV>
            <wp:extent cx="3381375" cy="1352550"/>
            <wp:effectExtent l="0" t="0" r="9525" b="0"/>
            <wp:wrapSquare wrapText="bothSides"/>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anchor>
        </w:drawing>
      </w:r>
      <w:r>
        <w:br w:type="textWrapping" w:clear="all"/>
      </w:r>
    </w:p>
    <w:p w14:paraId="25B0EA5C" w14:textId="77777777" w:rsidR="009F6CDA" w:rsidRDefault="009F6CDA" w:rsidP="009F6CDA">
      <w:pPr>
        <w:jc w:val="both"/>
      </w:pPr>
    </w:p>
    <w:p w14:paraId="0F1B912F" w14:textId="77777777" w:rsidR="009F6CDA" w:rsidRDefault="009F6CDA" w:rsidP="009F6CDA">
      <w:pPr>
        <w:jc w:val="both"/>
      </w:pPr>
    </w:p>
    <w:p w14:paraId="2F9D6FAC" w14:textId="77777777" w:rsidR="009F6CDA" w:rsidRDefault="009F6CDA" w:rsidP="009F6CDA">
      <w:pPr>
        <w:jc w:val="both"/>
      </w:pPr>
    </w:p>
    <w:p w14:paraId="45D1EAC8" w14:textId="77777777" w:rsidR="009F6CDA" w:rsidRDefault="009F6CDA" w:rsidP="009F6CDA">
      <w:pPr>
        <w:jc w:val="center"/>
        <w:rPr>
          <w:rFonts w:ascii="Arial" w:hAnsi="Arial" w:cs="Arial"/>
          <w:b/>
          <w:bCs/>
        </w:rPr>
      </w:pPr>
      <w:r w:rsidRPr="00024C42">
        <w:rPr>
          <w:rFonts w:ascii="Arial" w:hAnsi="Arial" w:cs="Arial"/>
          <w:b/>
          <w:bCs/>
        </w:rPr>
        <w:t xml:space="preserve">Course Title: </w:t>
      </w:r>
      <w:r w:rsidRPr="00024C42">
        <w:rPr>
          <w:rFonts w:ascii="Arial" w:hAnsi="Arial" w:cs="Arial"/>
        </w:rPr>
        <w:t xml:space="preserve">MBA </w:t>
      </w:r>
      <w:r>
        <w:rPr>
          <w:rFonts w:ascii="Arial" w:hAnsi="Arial" w:cs="Arial"/>
        </w:rPr>
        <w:t>-</w:t>
      </w:r>
      <w:r w:rsidRPr="00024C42">
        <w:rPr>
          <w:rFonts w:ascii="Arial" w:hAnsi="Arial" w:cs="Arial"/>
        </w:rPr>
        <w:t xml:space="preserve"> International Business</w:t>
      </w:r>
    </w:p>
    <w:p w14:paraId="2128D792" w14:textId="77777777" w:rsidR="009F6CDA" w:rsidRPr="00646406" w:rsidRDefault="009F6CDA" w:rsidP="009F6CDA">
      <w:pPr>
        <w:jc w:val="center"/>
        <w:rPr>
          <w:rFonts w:ascii="Arial" w:hAnsi="Arial" w:cs="Arial"/>
          <w:b/>
          <w:bCs/>
        </w:rPr>
      </w:pPr>
      <w:r w:rsidRPr="00646406">
        <w:rPr>
          <w:rFonts w:ascii="Arial" w:hAnsi="Arial" w:cs="Arial"/>
          <w:b/>
          <w:bCs/>
        </w:rPr>
        <w:t>Term 1</w:t>
      </w:r>
    </w:p>
    <w:p w14:paraId="36E2B882" w14:textId="77777777" w:rsidR="009F6CDA" w:rsidRDefault="009F6CDA" w:rsidP="009F6CDA">
      <w:pPr>
        <w:jc w:val="center"/>
        <w:rPr>
          <w:rFonts w:ascii="Arial" w:hAnsi="Arial" w:cs="Arial"/>
          <w:b/>
          <w:bCs/>
        </w:rPr>
      </w:pPr>
    </w:p>
    <w:p w14:paraId="32CD1D1B" w14:textId="77777777" w:rsidR="009F6CDA" w:rsidRDefault="009F6CDA" w:rsidP="009F6CDA">
      <w:pPr>
        <w:jc w:val="center"/>
        <w:rPr>
          <w:rFonts w:ascii="Arial" w:hAnsi="Arial" w:cs="Arial"/>
          <w:b/>
          <w:bCs/>
        </w:rPr>
      </w:pPr>
    </w:p>
    <w:p w14:paraId="01E27266" w14:textId="77777777" w:rsidR="009F6CDA" w:rsidRDefault="009F6CDA" w:rsidP="009F6CDA">
      <w:pPr>
        <w:jc w:val="center"/>
        <w:rPr>
          <w:rFonts w:ascii="Arial" w:hAnsi="Arial" w:cs="Arial"/>
          <w:b/>
          <w:bCs/>
        </w:rPr>
      </w:pPr>
    </w:p>
    <w:p w14:paraId="674B6182" w14:textId="77777777" w:rsidR="009F6CDA" w:rsidRPr="00646406" w:rsidRDefault="009F6CDA" w:rsidP="009F6CDA">
      <w:pPr>
        <w:jc w:val="center"/>
        <w:rPr>
          <w:rFonts w:ascii="Arial" w:hAnsi="Arial" w:cs="Arial"/>
          <w:b/>
          <w:bCs/>
        </w:rPr>
      </w:pPr>
      <w:r w:rsidRPr="00646406">
        <w:rPr>
          <w:rFonts w:ascii="Arial" w:hAnsi="Arial" w:cs="Arial"/>
          <w:b/>
          <w:bCs/>
        </w:rPr>
        <w:t>Student Name:</w:t>
      </w:r>
      <w:r>
        <w:rPr>
          <w:rFonts w:ascii="Arial" w:hAnsi="Arial" w:cs="Arial"/>
          <w:b/>
          <w:bCs/>
        </w:rPr>
        <w:t xml:space="preserve"> CHARU GAUTAM</w:t>
      </w:r>
    </w:p>
    <w:p w14:paraId="51E8A9BF" w14:textId="77777777" w:rsidR="009F6CDA" w:rsidRPr="00646406" w:rsidRDefault="009F6CDA" w:rsidP="009F6CDA">
      <w:pPr>
        <w:jc w:val="center"/>
        <w:rPr>
          <w:rFonts w:ascii="Arial" w:hAnsi="Arial" w:cs="Arial"/>
          <w:b/>
          <w:bCs/>
        </w:rPr>
      </w:pPr>
      <w:r w:rsidRPr="00646406">
        <w:rPr>
          <w:rFonts w:ascii="Arial" w:hAnsi="Arial" w:cs="Arial"/>
          <w:b/>
          <w:bCs/>
        </w:rPr>
        <w:t>Student ID:</w:t>
      </w:r>
      <w:r>
        <w:rPr>
          <w:rFonts w:ascii="Arial" w:hAnsi="Arial" w:cs="Arial"/>
          <w:b/>
          <w:bCs/>
        </w:rPr>
        <w:t xml:space="preserve"> 2432997</w:t>
      </w:r>
    </w:p>
    <w:p w14:paraId="65C4D5FB" w14:textId="77777777" w:rsidR="009F6CDA" w:rsidRDefault="009F6CDA" w:rsidP="009F6CDA">
      <w:pPr>
        <w:jc w:val="center"/>
        <w:rPr>
          <w:rFonts w:ascii="Arial" w:hAnsi="Arial" w:cs="Arial"/>
          <w:b/>
          <w:bCs/>
        </w:rPr>
      </w:pPr>
    </w:p>
    <w:p w14:paraId="4B51F6F8" w14:textId="77777777" w:rsidR="009F6CDA" w:rsidRDefault="009F6CDA" w:rsidP="009F6CDA">
      <w:pPr>
        <w:jc w:val="center"/>
        <w:rPr>
          <w:rFonts w:ascii="Arial" w:hAnsi="Arial" w:cs="Arial"/>
          <w:b/>
          <w:bCs/>
        </w:rPr>
      </w:pPr>
    </w:p>
    <w:p w14:paraId="227C5A71" w14:textId="77777777" w:rsidR="009F6CDA" w:rsidRPr="00646406" w:rsidRDefault="009F6CDA" w:rsidP="009F6CDA">
      <w:pPr>
        <w:jc w:val="center"/>
        <w:rPr>
          <w:rFonts w:ascii="Arial" w:hAnsi="Arial" w:cs="Arial"/>
        </w:rPr>
      </w:pPr>
    </w:p>
    <w:p w14:paraId="17A66C6E" w14:textId="77777777" w:rsidR="009F6CDA" w:rsidRPr="00646406" w:rsidRDefault="009F6CDA" w:rsidP="009F6CDA">
      <w:pPr>
        <w:jc w:val="center"/>
        <w:rPr>
          <w:rFonts w:ascii="Arial" w:hAnsi="Arial" w:cs="Arial"/>
          <w:b/>
          <w:bCs/>
        </w:rPr>
      </w:pPr>
      <w:r w:rsidRPr="00646406">
        <w:rPr>
          <w:rFonts w:ascii="Arial" w:hAnsi="Arial" w:cs="Arial"/>
          <w:b/>
          <w:bCs/>
        </w:rPr>
        <w:t xml:space="preserve">Module Name: </w:t>
      </w:r>
      <w:r w:rsidRPr="000E18FD">
        <w:rPr>
          <w:rFonts w:ascii="Arial" w:hAnsi="Arial" w:cs="Arial"/>
        </w:rPr>
        <w:t>Marketing Management</w:t>
      </w:r>
    </w:p>
    <w:p w14:paraId="669A8775" w14:textId="77777777" w:rsidR="009F6CDA" w:rsidRPr="00421088" w:rsidRDefault="009F6CDA" w:rsidP="009F6CDA">
      <w:pPr>
        <w:jc w:val="center"/>
        <w:rPr>
          <w:rFonts w:ascii="Arial" w:hAnsi="Arial" w:cs="Arial"/>
        </w:rPr>
      </w:pPr>
      <w:r w:rsidRPr="00646406">
        <w:rPr>
          <w:rFonts w:ascii="Arial" w:hAnsi="Arial" w:cs="Arial"/>
          <w:b/>
          <w:bCs/>
        </w:rPr>
        <w:t xml:space="preserve">Module Code: </w:t>
      </w:r>
      <w:r w:rsidRPr="000E18FD">
        <w:rPr>
          <w:rFonts w:ascii="Arial" w:hAnsi="Arial" w:cs="Arial"/>
        </w:rPr>
        <w:t>LCMB7024</w:t>
      </w:r>
    </w:p>
    <w:p w14:paraId="514B88FE" w14:textId="77777777" w:rsidR="009F6CDA" w:rsidRDefault="009F6CDA" w:rsidP="009F6CDA">
      <w:pPr>
        <w:jc w:val="center"/>
        <w:rPr>
          <w:rFonts w:ascii="Arial" w:hAnsi="Arial" w:cs="Arial"/>
          <w:b/>
          <w:bCs/>
        </w:rPr>
      </w:pPr>
    </w:p>
    <w:p w14:paraId="59D34AEB" w14:textId="77777777" w:rsidR="009F6CDA" w:rsidRDefault="009F6CDA" w:rsidP="009F6CDA">
      <w:pPr>
        <w:jc w:val="center"/>
        <w:rPr>
          <w:rFonts w:ascii="Arial" w:hAnsi="Arial" w:cs="Arial"/>
          <w:b/>
          <w:bCs/>
        </w:rPr>
      </w:pPr>
    </w:p>
    <w:p w14:paraId="19EE00A0" w14:textId="77777777" w:rsidR="009F6CDA" w:rsidRPr="00646406" w:rsidRDefault="009F6CDA" w:rsidP="009F6CDA">
      <w:pPr>
        <w:jc w:val="center"/>
        <w:rPr>
          <w:rFonts w:ascii="Arial" w:hAnsi="Arial" w:cs="Arial"/>
          <w:b/>
          <w:bCs/>
        </w:rPr>
      </w:pPr>
    </w:p>
    <w:p w14:paraId="5A9AB923" w14:textId="77777777" w:rsidR="009F6CDA" w:rsidRPr="0021135E" w:rsidRDefault="009F6CDA" w:rsidP="009F6CDA">
      <w:pPr>
        <w:jc w:val="center"/>
        <w:rPr>
          <w:rFonts w:ascii="Arial" w:hAnsi="Arial" w:cs="Arial"/>
        </w:rPr>
      </w:pPr>
      <w:r w:rsidRPr="00646406">
        <w:rPr>
          <w:rFonts w:ascii="Arial" w:hAnsi="Arial" w:cs="Arial"/>
          <w:b/>
          <w:bCs/>
        </w:rPr>
        <w:t>Lecturer’s Name:</w:t>
      </w:r>
      <w:r>
        <w:rPr>
          <w:rFonts w:ascii="Arial" w:hAnsi="Arial" w:cs="Arial"/>
          <w:b/>
          <w:bCs/>
        </w:rPr>
        <w:t xml:space="preserve"> </w:t>
      </w:r>
      <w:r w:rsidRPr="00BB6553">
        <w:rPr>
          <w:rFonts w:ascii="Arial" w:hAnsi="Arial" w:cs="Arial"/>
        </w:rPr>
        <w:t>Dr Laila Maazouz</w:t>
      </w:r>
    </w:p>
    <w:p w14:paraId="7CBD6AB3" w14:textId="163D437C" w:rsidR="009F6CDA" w:rsidRDefault="009F6CDA" w:rsidP="009F6CDA">
      <w:pPr>
        <w:jc w:val="center"/>
        <w:rPr>
          <w:rFonts w:ascii="Arial" w:hAnsi="Arial" w:cs="Arial"/>
          <w:b/>
          <w:bCs/>
        </w:rPr>
      </w:pPr>
      <w:r w:rsidRPr="00646406">
        <w:rPr>
          <w:rFonts w:ascii="Arial" w:hAnsi="Arial" w:cs="Arial"/>
          <w:b/>
          <w:bCs/>
        </w:rPr>
        <w:t>Wor</w:t>
      </w:r>
      <w:r>
        <w:rPr>
          <w:rFonts w:ascii="Arial" w:hAnsi="Arial" w:cs="Arial"/>
          <w:b/>
          <w:bCs/>
        </w:rPr>
        <w:t>d</w:t>
      </w:r>
      <w:r w:rsidRPr="00646406">
        <w:rPr>
          <w:rFonts w:ascii="Arial" w:hAnsi="Arial" w:cs="Arial"/>
          <w:b/>
          <w:bCs/>
        </w:rPr>
        <w:t xml:space="preserve"> Count:</w:t>
      </w:r>
      <w:r>
        <w:rPr>
          <w:rFonts w:ascii="Arial" w:hAnsi="Arial" w:cs="Arial"/>
          <w:b/>
          <w:bCs/>
        </w:rPr>
        <w:t xml:space="preserve"> </w:t>
      </w:r>
      <w:r w:rsidR="003C2510">
        <w:rPr>
          <w:rFonts w:ascii="Arial" w:hAnsi="Arial" w:cs="Arial"/>
          <w:b/>
          <w:bCs/>
        </w:rPr>
        <w:t>2</w:t>
      </w:r>
      <w:r w:rsidR="001B268F">
        <w:rPr>
          <w:rFonts w:ascii="Arial" w:hAnsi="Arial" w:cs="Arial"/>
          <w:b/>
          <w:bCs/>
        </w:rPr>
        <w:t>519</w:t>
      </w:r>
      <w:r w:rsidR="008C6F12">
        <w:rPr>
          <w:rFonts w:ascii="Arial" w:hAnsi="Arial" w:cs="Arial"/>
          <w:b/>
          <w:bCs/>
        </w:rPr>
        <w:t>/2500</w:t>
      </w:r>
    </w:p>
    <w:p w14:paraId="09B33FF4" w14:textId="77777777" w:rsidR="009F6CDA" w:rsidRDefault="009F6CDA" w:rsidP="009F6CDA">
      <w:pPr>
        <w:jc w:val="center"/>
        <w:rPr>
          <w:rFonts w:ascii="Arial" w:hAnsi="Arial" w:cs="Arial"/>
          <w:b/>
          <w:bCs/>
        </w:rPr>
      </w:pPr>
    </w:p>
    <w:p w14:paraId="3CA92EE9" w14:textId="77777777" w:rsidR="009F6CDA" w:rsidRDefault="009F6CDA" w:rsidP="009F6CDA">
      <w:pPr>
        <w:jc w:val="center"/>
        <w:rPr>
          <w:rFonts w:ascii="Arial" w:hAnsi="Arial" w:cs="Arial"/>
          <w:b/>
          <w:bCs/>
        </w:rPr>
      </w:pPr>
    </w:p>
    <w:p w14:paraId="41796E1F" w14:textId="77777777" w:rsidR="009F6CDA" w:rsidRDefault="009F6CDA" w:rsidP="009F6CDA">
      <w:pPr>
        <w:jc w:val="center"/>
        <w:rPr>
          <w:rFonts w:ascii="Arial" w:hAnsi="Arial" w:cs="Arial"/>
          <w:b/>
          <w:bCs/>
        </w:rPr>
      </w:pPr>
    </w:p>
    <w:p w14:paraId="6A826E0E" w14:textId="77777777" w:rsidR="009F6CDA" w:rsidRDefault="009F6CDA" w:rsidP="009F6CDA">
      <w:pPr>
        <w:jc w:val="center"/>
        <w:rPr>
          <w:rFonts w:ascii="Arial" w:hAnsi="Arial" w:cs="Arial"/>
          <w:b/>
          <w:bCs/>
        </w:rPr>
      </w:pPr>
    </w:p>
    <w:p w14:paraId="28C50447" w14:textId="77777777" w:rsidR="009F6CDA" w:rsidRDefault="009F6CDA" w:rsidP="009F6CDA">
      <w:pPr>
        <w:jc w:val="center"/>
        <w:rPr>
          <w:rFonts w:ascii="Arial" w:hAnsi="Arial" w:cs="Arial"/>
          <w:b/>
          <w:bCs/>
        </w:rPr>
      </w:pPr>
    </w:p>
    <w:p w14:paraId="2941CE91" w14:textId="77777777" w:rsidR="009F6CDA" w:rsidRDefault="009F6CDA" w:rsidP="009F6CDA">
      <w:pPr>
        <w:jc w:val="center"/>
        <w:rPr>
          <w:rFonts w:ascii="Arial" w:hAnsi="Arial" w:cs="Arial"/>
          <w:b/>
          <w:bCs/>
        </w:rPr>
      </w:pPr>
    </w:p>
    <w:p w14:paraId="5C9E620C" w14:textId="77777777" w:rsidR="009F6CDA" w:rsidRDefault="009F6CDA" w:rsidP="009F6CDA">
      <w:pPr>
        <w:jc w:val="center"/>
        <w:rPr>
          <w:rFonts w:ascii="Arial" w:hAnsi="Arial" w:cs="Arial"/>
          <w:b/>
          <w:bCs/>
        </w:rPr>
      </w:pPr>
    </w:p>
    <w:p w14:paraId="43244A3D" w14:textId="77777777" w:rsidR="009F6CDA" w:rsidRDefault="009F6CDA" w:rsidP="009F6CDA">
      <w:pPr>
        <w:jc w:val="center"/>
        <w:rPr>
          <w:rFonts w:ascii="Arial" w:hAnsi="Arial" w:cs="Arial"/>
          <w:b/>
          <w:bCs/>
        </w:rPr>
      </w:pPr>
    </w:p>
    <w:p w14:paraId="6240E4DE" w14:textId="77777777" w:rsidR="009F6CDA" w:rsidRDefault="009F6CDA" w:rsidP="009F6CDA">
      <w:pPr>
        <w:jc w:val="center"/>
        <w:rPr>
          <w:rFonts w:ascii="Arial" w:hAnsi="Arial" w:cs="Arial"/>
          <w:b/>
          <w:bCs/>
        </w:rPr>
      </w:pPr>
    </w:p>
    <w:p w14:paraId="6E990943" w14:textId="77777777" w:rsidR="009F6CDA" w:rsidRDefault="009F6CDA" w:rsidP="009F6CDA">
      <w:pPr>
        <w:jc w:val="center"/>
        <w:rPr>
          <w:rFonts w:ascii="Arial" w:hAnsi="Arial" w:cs="Arial"/>
          <w:b/>
          <w:bCs/>
        </w:rPr>
      </w:pPr>
    </w:p>
    <w:p w14:paraId="00054FC5" w14:textId="77777777" w:rsidR="009F6CDA" w:rsidRDefault="009F6CDA" w:rsidP="009F6CDA">
      <w:pPr>
        <w:jc w:val="center"/>
        <w:rPr>
          <w:rFonts w:ascii="Arial" w:hAnsi="Arial" w:cs="Arial"/>
          <w:b/>
          <w:bCs/>
        </w:rPr>
      </w:pPr>
    </w:p>
    <w:p w14:paraId="66D1F8EE" w14:textId="77777777" w:rsidR="009F6CDA" w:rsidRDefault="009F6CDA" w:rsidP="009F6CDA">
      <w:pPr>
        <w:jc w:val="center"/>
        <w:rPr>
          <w:rFonts w:ascii="Arial" w:hAnsi="Arial" w:cs="Arial"/>
          <w:b/>
          <w:bCs/>
        </w:rPr>
      </w:pPr>
    </w:p>
    <w:p w14:paraId="20479D6D" w14:textId="77777777" w:rsidR="009F6CDA" w:rsidRDefault="009F6CDA" w:rsidP="009F6CDA">
      <w:pPr>
        <w:jc w:val="center"/>
        <w:rPr>
          <w:rFonts w:ascii="Arial" w:hAnsi="Arial" w:cs="Arial"/>
          <w:b/>
          <w:bCs/>
        </w:rPr>
      </w:pPr>
    </w:p>
    <w:p w14:paraId="766F3390" w14:textId="77777777" w:rsidR="009F6CDA" w:rsidRDefault="009F6CDA" w:rsidP="009F6CDA">
      <w:pPr>
        <w:jc w:val="center"/>
        <w:rPr>
          <w:rFonts w:ascii="Arial" w:hAnsi="Arial" w:cs="Arial"/>
          <w:b/>
          <w:bCs/>
        </w:rPr>
      </w:pPr>
    </w:p>
    <w:p w14:paraId="231A1AC5" w14:textId="77777777" w:rsidR="009F6CDA" w:rsidRDefault="009F6CDA" w:rsidP="009F6CDA">
      <w:pPr>
        <w:jc w:val="center"/>
        <w:rPr>
          <w:rFonts w:ascii="Arial" w:hAnsi="Arial" w:cs="Arial"/>
          <w:b/>
          <w:bCs/>
        </w:rPr>
      </w:pPr>
    </w:p>
    <w:p w14:paraId="3B81A9FE" w14:textId="77777777" w:rsidR="009F6CDA" w:rsidRDefault="009F6CDA" w:rsidP="009F6CDA">
      <w:pPr>
        <w:jc w:val="center"/>
        <w:rPr>
          <w:rFonts w:ascii="Arial" w:hAnsi="Arial" w:cs="Arial"/>
          <w:b/>
          <w:bCs/>
        </w:rPr>
      </w:pPr>
    </w:p>
    <w:p w14:paraId="7863587A" w14:textId="77777777" w:rsidR="009F6CDA" w:rsidRDefault="009F6CDA" w:rsidP="009F6CDA">
      <w:pPr>
        <w:jc w:val="center"/>
        <w:rPr>
          <w:rFonts w:ascii="Arial" w:hAnsi="Arial" w:cs="Arial"/>
          <w:b/>
          <w:bCs/>
        </w:rPr>
      </w:pPr>
    </w:p>
    <w:p w14:paraId="16462D0B" w14:textId="77777777" w:rsidR="009F6CDA" w:rsidRDefault="009F6CDA" w:rsidP="009F6CDA">
      <w:pPr>
        <w:jc w:val="center"/>
        <w:rPr>
          <w:rFonts w:ascii="Arial" w:hAnsi="Arial" w:cs="Arial"/>
          <w:b/>
          <w:bCs/>
        </w:rPr>
      </w:pPr>
    </w:p>
    <w:p w14:paraId="1D3AC80E" w14:textId="77777777" w:rsidR="009F6CDA" w:rsidRDefault="009F6CDA" w:rsidP="009F6CDA">
      <w:pPr>
        <w:jc w:val="center"/>
        <w:rPr>
          <w:rFonts w:ascii="Arial" w:hAnsi="Arial" w:cs="Arial"/>
          <w:b/>
          <w:bCs/>
        </w:rPr>
      </w:pPr>
    </w:p>
    <w:p w14:paraId="73197861" w14:textId="77777777" w:rsidR="009F6CDA" w:rsidRDefault="009F6CDA" w:rsidP="009F6CDA">
      <w:pPr>
        <w:rPr>
          <w:rFonts w:ascii="Arial" w:hAnsi="Arial" w:cs="Arial"/>
          <w:b/>
          <w:bCs/>
        </w:rPr>
      </w:pPr>
    </w:p>
    <w:p w14:paraId="332C2364" w14:textId="77777777" w:rsidR="009F6CDA" w:rsidRDefault="009F6CDA" w:rsidP="009F6CDA">
      <w:pPr>
        <w:rPr>
          <w:rFonts w:ascii="Arial" w:hAnsi="Arial" w:cs="Arial"/>
          <w:b/>
          <w:bCs/>
        </w:rPr>
      </w:pPr>
    </w:p>
    <w:p w14:paraId="3F567A6F" w14:textId="77777777" w:rsidR="009F6CDA" w:rsidRPr="009F6CDA" w:rsidRDefault="009F6CDA" w:rsidP="009F6CDA">
      <w:pPr>
        <w:spacing w:line="360" w:lineRule="auto"/>
        <w:jc w:val="center"/>
        <w:rPr>
          <w:rFonts w:ascii="Times New Roman" w:hAnsi="Times New Roman" w:cs="Times New Roman"/>
          <w:b/>
          <w:bCs/>
          <w:sz w:val="36"/>
          <w:szCs w:val="36"/>
        </w:rPr>
      </w:pPr>
      <w:r w:rsidRPr="009F6CDA">
        <w:rPr>
          <w:rFonts w:ascii="Times New Roman" w:hAnsi="Times New Roman" w:cs="Times New Roman"/>
          <w:b/>
          <w:bCs/>
          <w:sz w:val="36"/>
          <w:szCs w:val="36"/>
        </w:rPr>
        <w:lastRenderedPageBreak/>
        <w:t>Marketing Environmental Analysis for Pioneers and Followers in the Global Fashion and Apparel Industry</w:t>
      </w:r>
    </w:p>
    <w:p w14:paraId="73A3DC9F" w14:textId="77777777" w:rsidR="009F6CDA" w:rsidRDefault="009F6CDA" w:rsidP="009F6CDA">
      <w:pPr>
        <w:rPr>
          <w:rFonts w:ascii="Arial" w:hAnsi="Arial" w:cs="Arial"/>
          <w:b/>
          <w:bCs/>
        </w:rPr>
      </w:pPr>
    </w:p>
    <w:p w14:paraId="7053B9F8" w14:textId="77777777" w:rsidR="009F6CDA" w:rsidRDefault="009F6CDA" w:rsidP="009F6CDA">
      <w:pPr>
        <w:jc w:val="center"/>
        <w:rPr>
          <w:rFonts w:ascii="Arial" w:hAnsi="Arial" w:cs="Arial"/>
          <w:b/>
          <w:bCs/>
        </w:rPr>
      </w:pPr>
    </w:p>
    <w:p w14:paraId="571242D2" w14:textId="77777777" w:rsidR="009F6CDA" w:rsidRPr="00A77816" w:rsidRDefault="009F6CDA" w:rsidP="009F6CDA">
      <w:pPr>
        <w:jc w:val="center"/>
        <w:rPr>
          <w:rFonts w:ascii="Arial" w:hAnsi="Arial" w:cs="Arial"/>
        </w:rPr>
      </w:pPr>
    </w:p>
    <w:p w14:paraId="729A697F" w14:textId="77777777" w:rsidR="009F6CDA" w:rsidRDefault="009F6CDA" w:rsidP="009F6CDA">
      <w:pPr>
        <w:jc w:val="both"/>
        <w:rPr>
          <w:rFonts w:ascii="Arial" w:hAnsi="Arial" w:cs="Arial"/>
          <w:b/>
          <w:bCs/>
        </w:rPr>
      </w:pPr>
    </w:p>
    <w:p w14:paraId="28CE2CF7" w14:textId="77777777" w:rsidR="009F6CDA" w:rsidRDefault="009F6CDA" w:rsidP="009F6CDA">
      <w:pPr>
        <w:jc w:val="both"/>
        <w:rPr>
          <w:rFonts w:ascii="Arial" w:hAnsi="Arial" w:cs="Arial"/>
          <w:b/>
          <w:bCs/>
        </w:rPr>
      </w:pPr>
    </w:p>
    <w:p w14:paraId="089FD514" w14:textId="77777777" w:rsidR="001143E9" w:rsidRDefault="001143E9"/>
    <w:p w14:paraId="76BE0F78" w14:textId="77777777" w:rsidR="009F6CDA" w:rsidRDefault="009F6CDA"/>
    <w:p w14:paraId="74645910" w14:textId="77777777" w:rsidR="009F6CDA" w:rsidRDefault="009F6CDA"/>
    <w:p w14:paraId="48B9BF5C" w14:textId="77777777" w:rsidR="009F6CDA" w:rsidRDefault="009F6CDA"/>
    <w:p w14:paraId="18EF12B4" w14:textId="77777777" w:rsidR="009F6CDA" w:rsidRDefault="009F6CDA"/>
    <w:p w14:paraId="26AD348C" w14:textId="77777777" w:rsidR="009F6CDA" w:rsidRDefault="009F6CDA"/>
    <w:p w14:paraId="5DC59854" w14:textId="77777777" w:rsidR="009F6CDA" w:rsidRDefault="009F6CDA"/>
    <w:p w14:paraId="0071B492" w14:textId="77777777" w:rsidR="009F6CDA" w:rsidRDefault="009F6CDA"/>
    <w:p w14:paraId="252907A7" w14:textId="77777777" w:rsidR="009F6CDA" w:rsidRDefault="009F6CDA"/>
    <w:p w14:paraId="32175781" w14:textId="77777777" w:rsidR="009F6CDA" w:rsidRDefault="009F6CDA"/>
    <w:p w14:paraId="4484B9EE" w14:textId="77777777" w:rsidR="009F6CDA" w:rsidRDefault="009F6CDA"/>
    <w:p w14:paraId="32DDBB49" w14:textId="77777777" w:rsidR="009F6CDA" w:rsidRDefault="009F6CDA"/>
    <w:p w14:paraId="7F66BD2D" w14:textId="77777777" w:rsidR="009F6CDA" w:rsidRDefault="009F6CDA"/>
    <w:p w14:paraId="23746980" w14:textId="77777777" w:rsidR="009F6CDA" w:rsidRDefault="009F6CDA"/>
    <w:p w14:paraId="44001A9B" w14:textId="77777777" w:rsidR="009F6CDA" w:rsidRDefault="009F6CDA"/>
    <w:p w14:paraId="5309949C" w14:textId="77777777" w:rsidR="009F6CDA" w:rsidRDefault="009F6CDA"/>
    <w:p w14:paraId="3196F885" w14:textId="77777777" w:rsidR="009F6CDA" w:rsidRDefault="009F6CDA"/>
    <w:p w14:paraId="07C8C39D" w14:textId="77777777" w:rsidR="009F6CDA" w:rsidRDefault="009F6CDA"/>
    <w:p w14:paraId="3C05017A" w14:textId="77777777" w:rsidR="009F6CDA" w:rsidRDefault="009F6CDA"/>
    <w:p w14:paraId="27167BF0" w14:textId="77777777" w:rsidR="009F6CDA" w:rsidRDefault="009F6CDA"/>
    <w:p w14:paraId="249D7F21" w14:textId="77777777" w:rsidR="009F6CDA" w:rsidRDefault="009F6CDA"/>
    <w:p w14:paraId="4922DFC4" w14:textId="77777777" w:rsidR="009F6CDA" w:rsidRDefault="009F6CDA"/>
    <w:p w14:paraId="59EF46AE" w14:textId="77777777" w:rsidR="009F6CDA" w:rsidRDefault="009F6CDA"/>
    <w:p w14:paraId="4B77714E" w14:textId="77777777" w:rsidR="009F6CDA" w:rsidRDefault="009F6CDA"/>
    <w:p w14:paraId="40428CFC" w14:textId="77777777" w:rsidR="009F6CDA" w:rsidRDefault="009F6CDA"/>
    <w:p w14:paraId="54277C9B" w14:textId="77777777" w:rsidR="009F6CDA" w:rsidRDefault="009F6CDA"/>
    <w:p w14:paraId="09E43714" w14:textId="77777777" w:rsidR="009F6CDA" w:rsidRDefault="009F6CDA"/>
    <w:p w14:paraId="1321BBE8" w14:textId="77777777" w:rsidR="009F6CDA" w:rsidRDefault="009F6CDA"/>
    <w:p w14:paraId="10326B42" w14:textId="77777777" w:rsidR="009F6CDA" w:rsidRDefault="009F6CDA"/>
    <w:p w14:paraId="79496A63" w14:textId="77777777" w:rsidR="009F6CDA" w:rsidRDefault="009F6CDA"/>
    <w:p w14:paraId="108346A3" w14:textId="77777777" w:rsidR="009F6CDA" w:rsidRDefault="009F6CDA"/>
    <w:p w14:paraId="173999A2" w14:textId="77777777" w:rsidR="009F6CDA" w:rsidRDefault="009F6CDA"/>
    <w:p w14:paraId="17C79B18" w14:textId="77777777" w:rsidR="009F6CDA" w:rsidRDefault="009F6CDA"/>
    <w:p w14:paraId="5F95A6E2" w14:textId="77777777" w:rsidR="009F6CDA" w:rsidRDefault="009F6CDA"/>
    <w:p w14:paraId="0B300AAA" w14:textId="77777777" w:rsidR="009F6CDA" w:rsidRDefault="009F6CDA"/>
    <w:p w14:paraId="4D15D813" w14:textId="77777777" w:rsidR="009F6CDA" w:rsidRDefault="009F6CDA"/>
    <w:p w14:paraId="5A0F3335" w14:textId="77777777" w:rsidR="009F6CDA" w:rsidRDefault="009F6CDA"/>
    <w:p w14:paraId="142C5E16" w14:textId="77777777" w:rsidR="009F6CDA" w:rsidRDefault="009F6CDA"/>
    <w:p w14:paraId="05221FB4" w14:textId="77777777" w:rsidR="009F6CDA" w:rsidRPr="009F0493" w:rsidRDefault="009F6CDA" w:rsidP="009F6CDA">
      <w:pPr>
        <w:pStyle w:val="Heading1"/>
      </w:pPr>
      <w:bookmarkStart w:id="0" w:name="_Toc213499660"/>
      <w:r w:rsidRPr="009F0493">
        <w:lastRenderedPageBreak/>
        <w:t>Executive Summary</w:t>
      </w:r>
      <w:bookmarkEnd w:id="0"/>
    </w:p>
    <w:p w14:paraId="0926E83A" w14:textId="77777777" w:rsidR="009F6CDA" w:rsidRPr="009F0493" w:rsidRDefault="009F6CDA" w:rsidP="009F6CDA">
      <w:pPr>
        <w:spacing w:line="360" w:lineRule="auto"/>
        <w:jc w:val="both"/>
        <w:rPr>
          <w:rFonts w:ascii="Times New Roman" w:hAnsi="Times New Roman" w:cs="Times New Roman"/>
        </w:rPr>
      </w:pPr>
      <w:r>
        <w:rPr>
          <w:rFonts w:ascii="Times New Roman" w:hAnsi="Times New Roman" w:cs="Times New Roman"/>
        </w:rPr>
        <w:t xml:space="preserve">This is </w:t>
      </w:r>
      <w:proofErr w:type="gramStart"/>
      <w:r>
        <w:rPr>
          <w:rFonts w:ascii="Times New Roman" w:hAnsi="Times New Roman" w:cs="Times New Roman"/>
        </w:rPr>
        <w:t>a critical research</w:t>
      </w:r>
      <w:proofErr w:type="gramEnd"/>
      <w:r>
        <w:rPr>
          <w:rFonts w:ascii="Times New Roman" w:hAnsi="Times New Roman" w:cs="Times New Roman"/>
        </w:rPr>
        <w:t xml:space="preserve"> that are based </w:t>
      </w:r>
      <w:proofErr w:type="spellStart"/>
      <w:r>
        <w:rPr>
          <w:rFonts w:ascii="Times New Roman" w:hAnsi="Times New Roman" w:cs="Times New Roman"/>
        </w:rPr>
        <w:t>of</w:t>
      </w:r>
      <w:proofErr w:type="spellEnd"/>
      <w:r>
        <w:rPr>
          <w:rFonts w:ascii="Times New Roman" w:hAnsi="Times New Roman" w:cs="Times New Roman"/>
        </w:rPr>
        <w:t xml:space="preserve"> the environment of macro marketing. </w:t>
      </w:r>
      <w:r w:rsidRPr="009F0493">
        <w:rPr>
          <w:rFonts w:ascii="Times New Roman" w:hAnsi="Times New Roman" w:cs="Times New Roman"/>
        </w:rPr>
        <w:t>Based on the PESTEL model, the report identifies two key external forces, including technological and social forces, as the most significant changers of the circumstance. The introduction of the new technologies, including AI, AR/VR, and online shopping, has changed the design, production, and interaction with the customer, and the social aspects of the new generation like sustainability, inclusiveness, and responsible consumption have reshaped the consumer expectations. Proactive organisations use innovation and differentiation to dictate market trends and this is illustrated in the real-time information-driven design of Zara and the brand positioning of Patagonia leveraging on sustainability. Follower firms, on the other hand, have adaptive strategies, which are cost efficiency, digitalisation, and incremental innovation, which enable them to keep up with rivals. The evaluation of these strategic responses was done using analytical models like the Growth Matrix and Generic Strategies of Ansoff and Porter. The results show that the first-mover advantages are innovation leadership with a high cost of doing business and the second-mover advantages are scalability with a risk of brand watering down. On the whole, to be successful and resilient in the quickly changing international fashion environment, constant environmental scanning, agility, and responsiveness to technological and social changes should be important.</w:t>
      </w:r>
    </w:p>
    <w:p w14:paraId="34A7B683" w14:textId="77777777" w:rsidR="009F6CDA" w:rsidRDefault="009F6CDA"/>
    <w:p w14:paraId="21119755" w14:textId="77777777" w:rsidR="009F6CDA" w:rsidRDefault="009F6CDA"/>
    <w:p w14:paraId="3AE76641" w14:textId="77777777" w:rsidR="009F6CDA" w:rsidRDefault="009F6CDA"/>
    <w:p w14:paraId="5A4AA54D" w14:textId="77777777" w:rsidR="009F6CDA" w:rsidRDefault="009F6CDA"/>
    <w:p w14:paraId="7CB46511" w14:textId="77777777" w:rsidR="009F6CDA" w:rsidRDefault="009F6CDA"/>
    <w:p w14:paraId="2F96452C" w14:textId="77777777" w:rsidR="009F6CDA" w:rsidRDefault="009F6CDA"/>
    <w:p w14:paraId="32E87689" w14:textId="77777777" w:rsidR="009F6CDA" w:rsidRDefault="009F6CDA"/>
    <w:p w14:paraId="1B183F89" w14:textId="77777777" w:rsidR="009F6CDA" w:rsidRDefault="009F6CDA"/>
    <w:p w14:paraId="0C4A357A" w14:textId="77777777" w:rsidR="009F6CDA" w:rsidRDefault="009F6CDA"/>
    <w:p w14:paraId="15F24078" w14:textId="77777777" w:rsidR="009F6CDA" w:rsidRDefault="009F6CDA"/>
    <w:p w14:paraId="09A00973" w14:textId="77777777" w:rsidR="009F6CDA" w:rsidRDefault="009F6CDA"/>
    <w:p w14:paraId="5B9729B0" w14:textId="77777777" w:rsidR="009F6CDA" w:rsidRDefault="009F6CDA"/>
    <w:p w14:paraId="51272585" w14:textId="77777777" w:rsidR="009F6CDA" w:rsidRDefault="009F6CDA"/>
    <w:p w14:paraId="65D73E53" w14:textId="77777777" w:rsidR="009F6CDA" w:rsidRDefault="009F6CDA"/>
    <w:p w14:paraId="0D7EDC48" w14:textId="77777777" w:rsidR="009F6CDA" w:rsidRDefault="009F6CDA"/>
    <w:p w14:paraId="56D57FBC" w14:textId="77777777" w:rsidR="009F6CDA" w:rsidRDefault="009F6CDA"/>
    <w:p w14:paraId="5792375F" w14:textId="77777777" w:rsidR="009F6CDA" w:rsidRDefault="009F6CDA"/>
    <w:p w14:paraId="1F631CD1" w14:textId="77777777" w:rsidR="009F6CDA" w:rsidRDefault="009F6CDA"/>
    <w:p w14:paraId="38554795" w14:textId="77777777" w:rsidR="009F6CDA" w:rsidRDefault="009F6CDA"/>
    <w:p w14:paraId="3AA7E7CF" w14:textId="77777777" w:rsidR="009F6CDA" w:rsidRDefault="009F6CDA"/>
    <w:p w14:paraId="5674D161" w14:textId="77777777" w:rsidR="009F6CDA" w:rsidRDefault="009F6CDA"/>
    <w:sdt>
      <w:sdtPr>
        <w:rPr>
          <w:rFonts w:asciiTheme="minorHAnsi" w:eastAsiaTheme="minorHAnsi" w:hAnsiTheme="minorHAnsi" w:cstheme="minorBidi"/>
          <w:color w:val="auto"/>
          <w:kern w:val="2"/>
          <w:sz w:val="22"/>
          <w:szCs w:val="22"/>
          <w:lang w:val="en-IN"/>
          <w14:ligatures w14:val="standardContextual"/>
        </w:rPr>
        <w:id w:val="-993323631"/>
        <w:docPartObj>
          <w:docPartGallery w:val="Table of Contents"/>
          <w:docPartUnique/>
        </w:docPartObj>
      </w:sdtPr>
      <w:sdtEndPr>
        <w:rPr>
          <w:rFonts w:ascii="Times New Roman" w:hAnsi="Times New Roman" w:cs="Times New Roman"/>
          <w:b/>
          <w:bCs/>
          <w:noProof/>
          <w:sz w:val="24"/>
          <w:szCs w:val="24"/>
          <w:lang w:val="en-GB"/>
        </w:rPr>
      </w:sdtEndPr>
      <w:sdtContent>
        <w:p w14:paraId="5A9166A1" w14:textId="77777777" w:rsidR="009F6CDA" w:rsidRPr="009F0493" w:rsidRDefault="009F6CDA" w:rsidP="009F6CDA">
          <w:pPr>
            <w:pStyle w:val="TOCHeading"/>
            <w:rPr>
              <w:rFonts w:ascii="Times New Roman" w:hAnsi="Times New Roman" w:cs="Times New Roman"/>
              <w:b/>
              <w:bCs/>
              <w:color w:val="auto"/>
              <w:sz w:val="24"/>
              <w:szCs w:val="24"/>
            </w:rPr>
          </w:pPr>
          <w:r w:rsidRPr="009F0493">
            <w:rPr>
              <w:rFonts w:ascii="Times New Roman" w:hAnsi="Times New Roman" w:cs="Times New Roman"/>
              <w:b/>
              <w:bCs/>
              <w:color w:val="auto"/>
              <w:sz w:val="24"/>
              <w:szCs w:val="24"/>
            </w:rPr>
            <w:t>Table of Contents</w:t>
          </w:r>
        </w:p>
        <w:p w14:paraId="171B1A03" w14:textId="3A03911D"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r w:rsidRPr="009F0493">
            <w:rPr>
              <w:rFonts w:ascii="Times New Roman" w:hAnsi="Times New Roman" w:cs="Times New Roman"/>
              <w:sz w:val="24"/>
              <w:szCs w:val="24"/>
            </w:rPr>
            <w:fldChar w:fldCharType="begin"/>
          </w:r>
          <w:r w:rsidRPr="009F0493">
            <w:rPr>
              <w:rFonts w:ascii="Times New Roman" w:hAnsi="Times New Roman" w:cs="Times New Roman"/>
              <w:sz w:val="24"/>
              <w:szCs w:val="24"/>
            </w:rPr>
            <w:instrText xml:space="preserve"> TOC \o "1-3" \h \z \u </w:instrText>
          </w:r>
          <w:r w:rsidRPr="009F0493">
            <w:rPr>
              <w:rFonts w:ascii="Times New Roman" w:hAnsi="Times New Roman" w:cs="Times New Roman"/>
              <w:sz w:val="24"/>
              <w:szCs w:val="24"/>
            </w:rPr>
            <w:fldChar w:fldCharType="separate"/>
          </w:r>
          <w:hyperlink w:anchor="_Toc213499660" w:history="1">
            <w:r w:rsidRPr="009F0493">
              <w:rPr>
                <w:rStyle w:val="Hyperlink"/>
                <w:rFonts w:ascii="Times New Roman" w:hAnsi="Times New Roman" w:cs="Times New Roman"/>
                <w:noProof/>
                <w:sz w:val="24"/>
                <w:szCs w:val="24"/>
              </w:rPr>
              <w:t>Executive Summary</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_Toc213499660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3</w:t>
            </w:r>
            <w:r w:rsidRPr="009F0493">
              <w:rPr>
                <w:rFonts w:ascii="Times New Roman" w:hAnsi="Times New Roman" w:cs="Times New Roman"/>
                <w:noProof/>
                <w:webHidden/>
                <w:sz w:val="24"/>
                <w:szCs w:val="24"/>
              </w:rPr>
              <w:fldChar w:fldCharType="end"/>
            </w:r>
          </w:hyperlink>
        </w:p>
        <w:p w14:paraId="05C1B1AC" w14:textId="0C50E631"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61" w:history="1">
            <w:r w:rsidRPr="009F0493">
              <w:rPr>
                <w:rStyle w:val="Hyperlink"/>
                <w:rFonts w:ascii="Times New Roman" w:hAnsi="Times New Roman" w:cs="Times New Roman"/>
                <w:noProof/>
                <w:sz w:val="24"/>
                <w:szCs w:val="24"/>
              </w:rPr>
              <w:t>1. Introduction</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_Toc213499661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72C9B905" w14:textId="214B9B6E"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2" w:history="1">
            <w:r w:rsidRPr="009F0493">
              <w:rPr>
                <w:rStyle w:val="Hyperlink"/>
                <w:rFonts w:ascii="Times New Roman" w:hAnsi="Times New Roman" w:cs="Times New Roman"/>
                <w:noProof/>
                <w:sz w:val="24"/>
                <w:szCs w:val="24"/>
              </w:rPr>
              <w:t>1.1 Purpose and Focus of the Report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_Toc213499662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3FCBF518" w14:textId="12A22CC9"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3" w:history="1">
            <w:r w:rsidRPr="009F0493">
              <w:rPr>
                <w:rStyle w:val="Hyperlink"/>
                <w:rFonts w:ascii="Times New Roman" w:hAnsi="Times New Roman" w:cs="Times New Roman"/>
                <w:noProof/>
                <w:sz w:val="24"/>
                <w:szCs w:val="24"/>
              </w:rPr>
              <w:t>1.2 Importance of Analysing the Macro Marketing Environment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_Toc213499663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0E86725D" w14:textId="5574C50A"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4" w:history="1">
            <w:r w:rsidRPr="009F0493">
              <w:rPr>
                <w:rStyle w:val="Hyperlink"/>
                <w:rFonts w:ascii="Times New Roman" w:hAnsi="Times New Roman" w:cs="Times New Roman"/>
                <w:noProof/>
                <w:sz w:val="24"/>
                <w:szCs w:val="24"/>
              </w:rPr>
              <w:t>1.3 Structure and Scope of the Report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_Toc213499664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56DE08B0" w14:textId="7564C14A"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65" w:history="1">
            <w:r w:rsidRPr="009F0493">
              <w:rPr>
                <w:rStyle w:val="Hyperlink"/>
                <w:rFonts w:ascii="Times New Roman" w:hAnsi="Times New Roman" w:cs="Times New Roman"/>
                <w:noProof/>
                <w:sz w:val="24"/>
                <w:szCs w:val="24"/>
              </w:rPr>
              <w:t>2. Task 1: Critical Analysis of the Macro Marketing Environment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_Toc213499665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1F003CE7" w14:textId="49F93CAF"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6" w:history="1">
            <w:r w:rsidRPr="009F0493">
              <w:rPr>
                <w:rStyle w:val="Hyperlink"/>
                <w:rFonts w:ascii="Times New Roman" w:hAnsi="Times New Roman" w:cs="Times New Roman"/>
                <w:noProof/>
                <w:sz w:val="24"/>
                <w:szCs w:val="24"/>
              </w:rPr>
              <w:t>2.1 Overview of the Macro Marketing Environment</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_Toc213499666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5</w:t>
            </w:r>
            <w:r w:rsidRPr="009F0493">
              <w:rPr>
                <w:rFonts w:ascii="Times New Roman" w:hAnsi="Times New Roman" w:cs="Times New Roman"/>
                <w:noProof/>
                <w:webHidden/>
                <w:sz w:val="24"/>
                <w:szCs w:val="24"/>
              </w:rPr>
              <w:fldChar w:fldCharType="end"/>
            </w:r>
          </w:hyperlink>
        </w:p>
        <w:p w14:paraId="672D3226" w14:textId="71D8DE75"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7" w:history="1">
            <w:r w:rsidRPr="009F0493">
              <w:rPr>
                <w:rStyle w:val="Hyperlink"/>
                <w:rFonts w:ascii="Times New Roman" w:hAnsi="Times New Roman" w:cs="Times New Roman"/>
                <w:noProof/>
                <w:sz w:val="24"/>
                <w:szCs w:val="24"/>
              </w:rPr>
              <w:t>2.2 Selection of Two External Macro Marketing Actors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_Toc213499667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7</w:t>
            </w:r>
            <w:r w:rsidRPr="009F0493">
              <w:rPr>
                <w:rFonts w:ascii="Times New Roman" w:hAnsi="Times New Roman" w:cs="Times New Roman"/>
                <w:noProof/>
                <w:webHidden/>
                <w:sz w:val="24"/>
                <w:szCs w:val="24"/>
              </w:rPr>
              <w:fldChar w:fldCharType="end"/>
            </w:r>
          </w:hyperlink>
        </w:p>
        <w:p w14:paraId="4BE9B98A" w14:textId="09A13486"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68" w:history="1">
            <w:r w:rsidRPr="009F0493">
              <w:rPr>
                <w:rStyle w:val="Hyperlink"/>
                <w:rFonts w:ascii="Times New Roman" w:hAnsi="Times New Roman" w:cs="Times New Roman"/>
                <w:noProof/>
                <w:sz w:val="24"/>
                <w:szCs w:val="24"/>
              </w:rPr>
              <w:t>2.3 Critical Analysis of Each Actor</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_Toc213499668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8</w:t>
            </w:r>
            <w:r w:rsidRPr="009F0493">
              <w:rPr>
                <w:rFonts w:ascii="Times New Roman" w:hAnsi="Times New Roman" w:cs="Times New Roman"/>
                <w:noProof/>
                <w:webHidden/>
                <w:sz w:val="24"/>
                <w:szCs w:val="24"/>
              </w:rPr>
              <w:fldChar w:fldCharType="end"/>
            </w:r>
          </w:hyperlink>
        </w:p>
        <w:p w14:paraId="607FC5E3" w14:textId="68D40EA1"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69" w:history="1">
            <w:r w:rsidRPr="009F0493">
              <w:rPr>
                <w:rStyle w:val="Hyperlink"/>
                <w:rFonts w:ascii="Times New Roman" w:hAnsi="Times New Roman" w:cs="Times New Roman"/>
                <w:noProof/>
                <w:sz w:val="24"/>
                <w:szCs w:val="24"/>
              </w:rPr>
              <w:t>3. Task 2: Strategic Responses of Pioneering and Follower Organisations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_Toc213499669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9</w:t>
            </w:r>
            <w:r w:rsidRPr="009F0493">
              <w:rPr>
                <w:rFonts w:ascii="Times New Roman" w:hAnsi="Times New Roman" w:cs="Times New Roman"/>
                <w:noProof/>
                <w:webHidden/>
                <w:sz w:val="24"/>
                <w:szCs w:val="24"/>
              </w:rPr>
              <w:fldChar w:fldCharType="end"/>
            </w:r>
          </w:hyperlink>
        </w:p>
        <w:p w14:paraId="20D77EBE" w14:textId="16DFDB75"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70" w:history="1">
            <w:r w:rsidRPr="009F0493">
              <w:rPr>
                <w:rStyle w:val="Hyperlink"/>
                <w:rFonts w:ascii="Times New Roman" w:hAnsi="Times New Roman" w:cs="Times New Roman"/>
                <w:noProof/>
                <w:sz w:val="24"/>
                <w:szCs w:val="24"/>
              </w:rPr>
              <w:t>3.1 Pioneering Organisations’ Strategic Responses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_Toc213499670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9</w:t>
            </w:r>
            <w:r w:rsidRPr="009F0493">
              <w:rPr>
                <w:rFonts w:ascii="Times New Roman" w:hAnsi="Times New Roman" w:cs="Times New Roman"/>
                <w:noProof/>
                <w:webHidden/>
                <w:sz w:val="24"/>
                <w:szCs w:val="24"/>
              </w:rPr>
              <w:fldChar w:fldCharType="end"/>
            </w:r>
          </w:hyperlink>
        </w:p>
        <w:p w14:paraId="0625FA5F" w14:textId="028515D8" w:rsidR="009F6CDA" w:rsidRPr="009F0493" w:rsidRDefault="009F6CDA" w:rsidP="009F6CDA">
          <w:pPr>
            <w:pStyle w:val="TOC2"/>
            <w:tabs>
              <w:tab w:val="right" w:leader="dot" w:pos="9016"/>
            </w:tabs>
            <w:rPr>
              <w:rFonts w:ascii="Times New Roman" w:eastAsiaTheme="minorEastAsia" w:hAnsi="Times New Roman" w:cs="Times New Roman"/>
              <w:noProof/>
              <w:sz w:val="24"/>
              <w:szCs w:val="24"/>
              <w:lang w:eastAsia="en-IN"/>
            </w:rPr>
          </w:pPr>
          <w:hyperlink w:anchor="_Toc213499671" w:history="1">
            <w:r w:rsidRPr="009F0493">
              <w:rPr>
                <w:rStyle w:val="Hyperlink"/>
                <w:rFonts w:ascii="Times New Roman" w:hAnsi="Times New Roman" w:cs="Times New Roman"/>
                <w:noProof/>
                <w:sz w:val="24"/>
                <w:szCs w:val="24"/>
              </w:rPr>
              <w:t>3.2 Follower Organisations’ Strategic Responses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_Toc213499671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11</w:t>
            </w:r>
            <w:r w:rsidRPr="009F0493">
              <w:rPr>
                <w:rFonts w:ascii="Times New Roman" w:hAnsi="Times New Roman" w:cs="Times New Roman"/>
                <w:noProof/>
                <w:webHidden/>
                <w:sz w:val="24"/>
                <w:szCs w:val="24"/>
              </w:rPr>
              <w:fldChar w:fldCharType="end"/>
            </w:r>
          </w:hyperlink>
        </w:p>
        <w:p w14:paraId="7A02BC97" w14:textId="44083810"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72" w:history="1">
            <w:r w:rsidRPr="009F0493">
              <w:rPr>
                <w:rStyle w:val="Hyperlink"/>
                <w:rFonts w:ascii="Times New Roman" w:hAnsi="Times New Roman" w:cs="Times New Roman"/>
                <w:noProof/>
                <w:sz w:val="24"/>
                <w:szCs w:val="24"/>
              </w:rPr>
              <w:t>4. Conclusion</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_Toc213499672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13</w:t>
            </w:r>
            <w:r w:rsidRPr="009F0493">
              <w:rPr>
                <w:rFonts w:ascii="Times New Roman" w:hAnsi="Times New Roman" w:cs="Times New Roman"/>
                <w:noProof/>
                <w:webHidden/>
                <w:sz w:val="24"/>
                <w:szCs w:val="24"/>
              </w:rPr>
              <w:fldChar w:fldCharType="end"/>
            </w:r>
          </w:hyperlink>
        </w:p>
        <w:p w14:paraId="5609E1E4" w14:textId="4E3348AF"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73" w:history="1">
            <w:r w:rsidRPr="009F0493">
              <w:rPr>
                <w:rStyle w:val="Hyperlink"/>
                <w:rFonts w:ascii="Times New Roman" w:hAnsi="Times New Roman" w:cs="Times New Roman"/>
                <w:noProof/>
                <w:sz w:val="24"/>
                <w:szCs w:val="24"/>
              </w:rPr>
              <w:t>References</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_Toc213499673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15</w:t>
            </w:r>
            <w:r w:rsidRPr="009F0493">
              <w:rPr>
                <w:rFonts w:ascii="Times New Roman" w:hAnsi="Times New Roman" w:cs="Times New Roman"/>
                <w:noProof/>
                <w:webHidden/>
                <w:sz w:val="24"/>
                <w:szCs w:val="24"/>
              </w:rPr>
              <w:fldChar w:fldCharType="end"/>
            </w:r>
          </w:hyperlink>
        </w:p>
        <w:p w14:paraId="542BDD8A" w14:textId="7A563715" w:rsidR="009F6CDA" w:rsidRPr="009F0493" w:rsidRDefault="009F6CDA" w:rsidP="009F6CDA">
          <w:pPr>
            <w:pStyle w:val="TOC1"/>
            <w:tabs>
              <w:tab w:val="right" w:leader="dot" w:pos="9016"/>
            </w:tabs>
            <w:rPr>
              <w:rFonts w:ascii="Times New Roman" w:eastAsiaTheme="minorEastAsia" w:hAnsi="Times New Roman" w:cs="Times New Roman"/>
              <w:noProof/>
              <w:sz w:val="24"/>
              <w:szCs w:val="24"/>
              <w:lang w:eastAsia="en-IN"/>
            </w:rPr>
          </w:pPr>
          <w:hyperlink w:anchor="_Toc213499674" w:history="1">
            <w:r w:rsidRPr="009F0493">
              <w:rPr>
                <w:rStyle w:val="Hyperlink"/>
                <w:rFonts w:ascii="Times New Roman" w:hAnsi="Times New Roman" w:cs="Times New Roman"/>
                <w:noProof/>
                <w:sz w:val="24"/>
                <w:szCs w:val="24"/>
              </w:rPr>
              <w:t>Appendix</w:t>
            </w:r>
            <w:r w:rsidRPr="009F0493">
              <w:rPr>
                <w:rFonts w:ascii="Times New Roman" w:hAnsi="Times New Roman" w:cs="Times New Roman"/>
                <w:noProof/>
                <w:webHidden/>
                <w:sz w:val="24"/>
                <w:szCs w:val="24"/>
              </w:rPr>
              <w:tab/>
            </w:r>
            <w:r w:rsidRPr="009F0493">
              <w:rPr>
                <w:rFonts w:ascii="Times New Roman" w:hAnsi="Times New Roman" w:cs="Times New Roman"/>
                <w:noProof/>
                <w:webHidden/>
                <w:sz w:val="24"/>
                <w:szCs w:val="24"/>
              </w:rPr>
              <w:fldChar w:fldCharType="begin"/>
            </w:r>
            <w:r w:rsidRPr="009F0493">
              <w:rPr>
                <w:rFonts w:ascii="Times New Roman" w:hAnsi="Times New Roman" w:cs="Times New Roman"/>
                <w:noProof/>
                <w:webHidden/>
                <w:sz w:val="24"/>
                <w:szCs w:val="24"/>
              </w:rPr>
              <w:instrText xml:space="preserve"> PAGEREF _Toc213499674 \h </w:instrText>
            </w:r>
            <w:r w:rsidRPr="009F0493">
              <w:rPr>
                <w:rFonts w:ascii="Times New Roman" w:hAnsi="Times New Roman" w:cs="Times New Roman"/>
                <w:noProof/>
                <w:webHidden/>
                <w:sz w:val="24"/>
                <w:szCs w:val="24"/>
              </w:rPr>
            </w:r>
            <w:r w:rsidRPr="009F0493">
              <w:rPr>
                <w:rFonts w:ascii="Times New Roman" w:hAnsi="Times New Roman" w:cs="Times New Roman"/>
                <w:noProof/>
                <w:webHidden/>
                <w:sz w:val="24"/>
                <w:szCs w:val="24"/>
              </w:rPr>
              <w:fldChar w:fldCharType="separate"/>
            </w:r>
            <w:r w:rsidR="003C2510">
              <w:rPr>
                <w:rFonts w:ascii="Times New Roman" w:hAnsi="Times New Roman" w:cs="Times New Roman"/>
                <w:noProof/>
                <w:webHidden/>
                <w:sz w:val="24"/>
                <w:szCs w:val="24"/>
              </w:rPr>
              <w:t>17</w:t>
            </w:r>
            <w:r w:rsidRPr="009F0493">
              <w:rPr>
                <w:rFonts w:ascii="Times New Roman" w:hAnsi="Times New Roman" w:cs="Times New Roman"/>
                <w:noProof/>
                <w:webHidden/>
                <w:sz w:val="24"/>
                <w:szCs w:val="24"/>
              </w:rPr>
              <w:fldChar w:fldCharType="end"/>
            </w:r>
          </w:hyperlink>
        </w:p>
        <w:p w14:paraId="31DEDEAF" w14:textId="77777777" w:rsidR="009F6CDA" w:rsidRDefault="009F6CDA" w:rsidP="009F6CDA">
          <w:pPr>
            <w:rPr>
              <w:rFonts w:ascii="Times New Roman" w:hAnsi="Times New Roman" w:cs="Times New Roman"/>
              <w:b/>
              <w:bCs/>
              <w:noProof/>
            </w:rPr>
          </w:pPr>
          <w:r w:rsidRPr="009F0493">
            <w:rPr>
              <w:rFonts w:ascii="Times New Roman" w:hAnsi="Times New Roman" w:cs="Times New Roman"/>
              <w:b/>
              <w:bCs/>
              <w:noProof/>
            </w:rPr>
            <w:fldChar w:fldCharType="end"/>
          </w:r>
        </w:p>
      </w:sdtContent>
    </w:sdt>
    <w:p w14:paraId="4E11BA76" w14:textId="77777777" w:rsidR="009F6CDA" w:rsidRDefault="009F6CDA"/>
    <w:p w14:paraId="192B275F" w14:textId="77777777" w:rsidR="009F6CDA" w:rsidRDefault="009F6CDA"/>
    <w:p w14:paraId="27922D92" w14:textId="77777777" w:rsidR="009F6CDA" w:rsidRDefault="009F6CDA"/>
    <w:p w14:paraId="2DEB0D83" w14:textId="77777777" w:rsidR="009F6CDA" w:rsidRDefault="009F6CDA"/>
    <w:p w14:paraId="2D721B67" w14:textId="77777777" w:rsidR="009F6CDA" w:rsidRDefault="009F6CDA"/>
    <w:p w14:paraId="0D921CD5" w14:textId="77777777" w:rsidR="009F6CDA" w:rsidRDefault="009F6CDA"/>
    <w:p w14:paraId="3968C5C3" w14:textId="77777777" w:rsidR="009F6CDA" w:rsidRDefault="009F6CDA"/>
    <w:p w14:paraId="03778E07" w14:textId="77777777" w:rsidR="009F6CDA" w:rsidRDefault="009F6CDA"/>
    <w:p w14:paraId="1C906143" w14:textId="77777777" w:rsidR="009F6CDA" w:rsidRDefault="009F6CDA"/>
    <w:p w14:paraId="69EFFC16" w14:textId="77777777" w:rsidR="009F6CDA" w:rsidRDefault="009F6CDA"/>
    <w:p w14:paraId="36A6D366" w14:textId="77777777" w:rsidR="009F6CDA" w:rsidRDefault="009F6CDA"/>
    <w:p w14:paraId="3908D01D" w14:textId="77777777" w:rsidR="009F6CDA" w:rsidRDefault="009F6CDA"/>
    <w:p w14:paraId="2224BD22" w14:textId="77777777" w:rsidR="009F6CDA" w:rsidRDefault="009F6CDA"/>
    <w:p w14:paraId="76787799" w14:textId="77777777" w:rsidR="009F6CDA" w:rsidRDefault="009F6CDA"/>
    <w:p w14:paraId="069115E8" w14:textId="77777777" w:rsidR="009F6CDA" w:rsidRDefault="009F6CDA"/>
    <w:p w14:paraId="0702195C" w14:textId="77777777" w:rsidR="009F6CDA" w:rsidRDefault="009F6CDA"/>
    <w:p w14:paraId="76939B1C" w14:textId="77777777" w:rsidR="009F6CDA" w:rsidRDefault="009F6CDA"/>
    <w:p w14:paraId="17B28652" w14:textId="77777777" w:rsidR="009F6CDA" w:rsidRDefault="009F6CDA"/>
    <w:p w14:paraId="36D7C916" w14:textId="77777777" w:rsidR="009F6CDA" w:rsidRDefault="009F6CDA"/>
    <w:p w14:paraId="0F4A2DE8" w14:textId="77777777" w:rsidR="009F6CDA" w:rsidRDefault="009F6CDA"/>
    <w:p w14:paraId="2BCFD9C0" w14:textId="77777777" w:rsidR="009F6CDA" w:rsidRDefault="009F6CDA"/>
    <w:p w14:paraId="5FE164A1" w14:textId="77777777" w:rsidR="009F6CDA" w:rsidRDefault="009F6CDA"/>
    <w:p w14:paraId="64DE5212" w14:textId="77777777" w:rsidR="009F6CDA" w:rsidRDefault="009F6CDA"/>
    <w:p w14:paraId="3FFF77B9" w14:textId="77777777" w:rsidR="009F6CDA" w:rsidRDefault="009F6CDA"/>
    <w:p w14:paraId="46A0BF5C" w14:textId="77777777" w:rsidR="009F6CDA" w:rsidRDefault="009F6CDA"/>
    <w:p w14:paraId="6D958CCD" w14:textId="77777777" w:rsidR="0066180B" w:rsidRPr="001058F7" w:rsidRDefault="0066180B" w:rsidP="0066180B">
      <w:pPr>
        <w:pStyle w:val="Heading1"/>
      </w:pPr>
      <w:bookmarkStart w:id="1" w:name="_Toc213499661"/>
      <w:r w:rsidRPr="001058F7">
        <w:lastRenderedPageBreak/>
        <w:t>1. Introduction</w:t>
      </w:r>
      <w:bookmarkEnd w:id="1"/>
      <w:r w:rsidRPr="001058F7">
        <w:t xml:space="preserve"> </w:t>
      </w:r>
    </w:p>
    <w:p w14:paraId="1D47828B" w14:textId="77777777" w:rsidR="0066180B" w:rsidRPr="001058F7" w:rsidRDefault="0066180B" w:rsidP="0066180B">
      <w:pPr>
        <w:pStyle w:val="Heading2"/>
      </w:pPr>
      <w:bookmarkStart w:id="2" w:name="_Toc213499662"/>
      <w:r>
        <w:t xml:space="preserve">1.1 </w:t>
      </w:r>
      <w:r w:rsidRPr="001058F7">
        <w:t>Purpose and Focus of the Report</w:t>
      </w:r>
      <w:bookmarkEnd w:id="2"/>
    </w:p>
    <w:p w14:paraId="5B67E1E4"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This report aims at critically examining the effects of the macro marketing environment in strategic marketing management in the global fashion and apparel industry. The fashion industry is one of the most dynamic and competitive industries, which is burdened by the fast technological innovation, the changing consumerism, and increased demands of sustainability (</w:t>
      </w:r>
      <w:proofErr w:type="spellStart"/>
      <w:r w:rsidRPr="001058F7">
        <w:rPr>
          <w:rFonts w:ascii="Times New Roman" w:hAnsi="Times New Roman" w:cs="Times New Roman"/>
        </w:rPr>
        <w:t>Brooksworth</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Mogaji</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Bosah</w:t>
      </w:r>
      <w:proofErr w:type="spellEnd"/>
      <w:r w:rsidRPr="001058F7">
        <w:rPr>
          <w:rFonts w:ascii="Times New Roman" w:hAnsi="Times New Roman" w:cs="Times New Roman"/>
        </w:rPr>
        <w:t xml:space="preserve">, 2022). This report is aimed at contrasting the responses of pioneering organisations (Zara, Patagonia) and follower organisations (H&amp;M, Uniqlo) to the changes in the external environmental factors to remain competitive. </w:t>
      </w:r>
    </w:p>
    <w:p w14:paraId="3B51C809" w14:textId="77777777" w:rsidR="0066180B" w:rsidRPr="001058F7" w:rsidRDefault="0066180B" w:rsidP="0066180B">
      <w:pPr>
        <w:pStyle w:val="Heading2"/>
      </w:pPr>
      <w:bookmarkStart w:id="3" w:name="_Toc213499663"/>
      <w:r>
        <w:t xml:space="preserve">1.2 </w:t>
      </w:r>
      <w:r w:rsidRPr="001058F7">
        <w:t>Importance of Analysing the Macro Marketing Environment</w:t>
      </w:r>
      <w:bookmarkEnd w:id="3"/>
    </w:p>
    <w:p w14:paraId="4B73E3CD"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The macro marketing environment is a component of strategic decision making that is essential because it makes organisations predict and react efficiently to the forces that are not under their direct influence. Marketers can analyse the impact of political, economic, social, technological, environmental, and legal environments using tools like PESTEL to assess the opportunities presented by the market (</w:t>
      </w:r>
      <w:proofErr w:type="spellStart"/>
      <w:r w:rsidRPr="001058F7">
        <w:rPr>
          <w:rFonts w:ascii="Times New Roman" w:hAnsi="Times New Roman" w:cs="Times New Roman"/>
        </w:rPr>
        <w:t>Brooksworth</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Mogaji</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Bosah</w:t>
      </w:r>
      <w:proofErr w:type="spellEnd"/>
      <w:r w:rsidRPr="001058F7">
        <w:rPr>
          <w:rFonts w:ascii="Times New Roman" w:hAnsi="Times New Roman" w:cs="Times New Roman"/>
        </w:rPr>
        <w:t>, 2022). This environmental scanning assists organisations in their proactive formulation of strategies by ensuring that they recognise opportunities that are emerging, handle threats and stay relevant in the dynamic markets.</w:t>
      </w:r>
    </w:p>
    <w:p w14:paraId="37F703D8" w14:textId="77777777" w:rsidR="0066180B" w:rsidRPr="001058F7" w:rsidRDefault="0066180B" w:rsidP="0066180B">
      <w:pPr>
        <w:pStyle w:val="Heading2"/>
      </w:pPr>
      <w:bookmarkStart w:id="4" w:name="_Toc213499664"/>
      <w:r>
        <w:t xml:space="preserve">1.3 </w:t>
      </w:r>
      <w:r w:rsidRPr="001058F7">
        <w:t>Structure and Scope of the Report</w:t>
      </w:r>
      <w:bookmarkEnd w:id="4"/>
    </w:p>
    <w:p w14:paraId="1A5B3D2E"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The report is divided into two tasks. Task 1 critically looks at two macro marketing actors technological and social and its implications to pioneers and followers. Task 2 analysis will assess how these organisations have strategic response to such factors with the help of the applicable marketing models such as Ansoff Growth Matrix and Porters Generic Strategies after which a summary of the key strategic insights shall be provided in the conclusion (</w:t>
      </w:r>
      <w:proofErr w:type="spellStart"/>
      <w:r w:rsidRPr="001058F7">
        <w:rPr>
          <w:rFonts w:ascii="Times New Roman" w:hAnsi="Times New Roman" w:cs="Times New Roman"/>
        </w:rPr>
        <w:t>Mitterfellner</w:t>
      </w:r>
      <w:proofErr w:type="spellEnd"/>
      <w:r w:rsidRPr="001058F7">
        <w:rPr>
          <w:rFonts w:ascii="Times New Roman" w:hAnsi="Times New Roman" w:cs="Times New Roman"/>
        </w:rPr>
        <w:t>, 2024).</w:t>
      </w:r>
    </w:p>
    <w:p w14:paraId="3946BAAB" w14:textId="77777777" w:rsidR="0066180B" w:rsidRPr="001058F7" w:rsidRDefault="0066180B" w:rsidP="0066180B">
      <w:pPr>
        <w:pStyle w:val="Heading1"/>
      </w:pPr>
      <w:bookmarkStart w:id="5" w:name="_Toc213499665"/>
      <w:r w:rsidRPr="001058F7">
        <w:t>2. Task 1: Critical Analysis of the Macro Marketing Environment</w:t>
      </w:r>
      <w:bookmarkEnd w:id="5"/>
      <w:r w:rsidRPr="001058F7">
        <w:t xml:space="preserve"> </w:t>
      </w:r>
    </w:p>
    <w:p w14:paraId="69740B5C" w14:textId="77777777" w:rsidR="0066180B" w:rsidRPr="001058F7" w:rsidRDefault="0066180B" w:rsidP="0066180B">
      <w:pPr>
        <w:pStyle w:val="Heading2"/>
      </w:pPr>
      <w:bookmarkStart w:id="6" w:name="_Toc213499666"/>
      <w:r w:rsidRPr="001058F7">
        <w:t>2.1 Overview of the Macro Marketing Environment</w:t>
      </w:r>
      <w:bookmarkEnd w:id="6"/>
    </w:p>
    <w:p w14:paraId="23E4AF13"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Macro marketing environment is a set of general external environment forces that determine the environment under which businesses are conducted. These are forces that can be controlled </w:t>
      </w:r>
      <w:r w:rsidRPr="001058F7">
        <w:rPr>
          <w:rFonts w:ascii="Times New Roman" w:hAnsi="Times New Roman" w:cs="Times New Roman"/>
        </w:rPr>
        <w:lastRenderedPageBreak/>
        <w:t xml:space="preserve">to a great extent but the effects of these forces on the strategic decision, performance and the </w:t>
      </w:r>
      <w:proofErr w:type="gramStart"/>
      <w:r w:rsidRPr="001058F7">
        <w:rPr>
          <w:rFonts w:ascii="Times New Roman" w:hAnsi="Times New Roman" w:cs="Times New Roman"/>
        </w:rPr>
        <w:t>long term</w:t>
      </w:r>
      <w:proofErr w:type="gramEnd"/>
      <w:r w:rsidRPr="001058F7">
        <w:rPr>
          <w:rFonts w:ascii="Times New Roman" w:hAnsi="Times New Roman" w:cs="Times New Roman"/>
        </w:rPr>
        <w:t xml:space="preserve"> survival of the organisation are very significant. The macro environment is critical in the strategic marketing management since the firm can predict trends, opportunities and react to any threats (</w:t>
      </w:r>
      <w:proofErr w:type="spellStart"/>
      <w:r w:rsidRPr="001058F7">
        <w:rPr>
          <w:rFonts w:ascii="Times New Roman" w:hAnsi="Times New Roman" w:cs="Times New Roman"/>
        </w:rPr>
        <w:t>Mitterfellner</w:t>
      </w:r>
      <w:proofErr w:type="spellEnd"/>
      <w:r w:rsidRPr="001058F7">
        <w:rPr>
          <w:rFonts w:ascii="Times New Roman" w:hAnsi="Times New Roman" w:cs="Times New Roman"/>
        </w:rPr>
        <w:t>, 2024). The macro environment has an extensive impact on businesses in the fashion and apparel segment because the industry is very reliant on global supply chain, dynamic consumer tastes and preferences, and the development of technology. The PESTEL framework offers a systematic method of analysing these factors and investigates six dimensions: Political, Economic, Social, Technological, Environmental, and Legal. All these elements are major change drivers that influence the manner in which fashion companies design, manufacture, distribute and market their products (</w:t>
      </w:r>
      <w:proofErr w:type="spellStart"/>
      <w:r w:rsidRPr="001058F7">
        <w:rPr>
          <w:rFonts w:ascii="Times New Roman" w:hAnsi="Times New Roman" w:cs="Times New Roman"/>
        </w:rPr>
        <w:t>Vehbi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Farmanesh</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Solati</w:t>
      </w:r>
      <w:proofErr w:type="spellEnd"/>
      <w:r w:rsidRPr="001058F7">
        <w:rPr>
          <w:rFonts w:ascii="Times New Roman" w:hAnsi="Times New Roman" w:cs="Times New Roman"/>
        </w:rPr>
        <w:t xml:space="preserve"> Dehkordi, 2025). When these external dimensions are systematically scanned, the business gets a better insight into the environment in which it operates enabling it to match the internal strengths with the external demands.</w:t>
      </w:r>
    </w:p>
    <w:p w14:paraId="171D3FE6"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When applied to the fashion business, the PESTEL is a tool of vital strategic planning. Some of the political issues might encompass trade regulations and importation laws, whereas some of the economic factors are global inflation rates, consumer expenditure and currency variations. The social issues include changes in the lifestyle, the attitude to sustainability, and the changing cultural values (</w:t>
      </w:r>
      <w:proofErr w:type="spellStart"/>
      <w:r w:rsidRPr="001058F7">
        <w:rPr>
          <w:rFonts w:ascii="Times New Roman" w:hAnsi="Times New Roman" w:cs="Times New Roman"/>
        </w:rPr>
        <w:t>Vehbi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Farmanesh</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Solati</w:t>
      </w:r>
      <w:proofErr w:type="spellEnd"/>
      <w:r w:rsidRPr="001058F7">
        <w:rPr>
          <w:rFonts w:ascii="Times New Roman" w:hAnsi="Times New Roman" w:cs="Times New Roman"/>
        </w:rPr>
        <w:t xml:space="preserve"> Dehkordi, 2025). The forces of technology influence the mode of production, electronic commerce, and online marketing tools. Environmental factors are concerned with environmental sustainability, sourcing ethics and climate change pressures and legal factors include labour, intellectual property and adherence to sustainability, regulations. To the fashion firms, the aggregate impact of these macro forces includes product innovation, the structure of the supply chain, pricing, and brand communication</w:t>
      </w:r>
      <w:r>
        <w:rPr>
          <w:rFonts w:ascii="Times New Roman" w:hAnsi="Times New Roman" w:cs="Times New Roman"/>
        </w:rPr>
        <w:t xml:space="preserve"> </w:t>
      </w:r>
      <w:r w:rsidRPr="001058F7">
        <w:rPr>
          <w:rFonts w:ascii="Times New Roman" w:hAnsi="Times New Roman" w:cs="Times New Roman"/>
        </w:rPr>
        <w:t>(</w:t>
      </w:r>
      <w:proofErr w:type="spellStart"/>
      <w:r w:rsidRPr="001058F7">
        <w:rPr>
          <w:rFonts w:ascii="Times New Roman" w:hAnsi="Times New Roman" w:cs="Times New Roman"/>
        </w:rPr>
        <w:t>Vehbi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Farmanesh</w:t>
      </w:r>
      <w:proofErr w:type="spellEnd"/>
      <w:r w:rsidRPr="001058F7">
        <w:rPr>
          <w:rFonts w:ascii="Times New Roman" w:hAnsi="Times New Roman" w:cs="Times New Roman"/>
        </w:rPr>
        <w:t xml:space="preserve"> and </w:t>
      </w:r>
      <w:proofErr w:type="spellStart"/>
      <w:r w:rsidRPr="001058F7">
        <w:rPr>
          <w:rFonts w:ascii="Times New Roman" w:hAnsi="Times New Roman" w:cs="Times New Roman"/>
        </w:rPr>
        <w:t>Solati</w:t>
      </w:r>
      <w:proofErr w:type="spellEnd"/>
      <w:r w:rsidRPr="001058F7">
        <w:rPr>
          <w:rFonts w:ascii="Times New Roman" w:hAnsi="Times New Roman" w:cs="Times New Roman"/>
        </w:rPr>
        <w:t xml:space="preserve"> Dehkordi, 2025).</w:t>
      </w:r>
    </w:p>
    <w:p w14:paraId="582925C8" w14:textId="77777777" w:rsidR="0066180B" w:rsidRDefault="0066180B" w:rsidP="0066180B">
      <w:pPr>
        <w:pStyle w:val="Heading2"/>
      </w:pPr>
      <w:bookmarkStart w:id="7" w:name="_Toc213499667"/>
      <w:r w:rsidRPr="001058F7">
        <w:t xml:space="preserve">2.2 Selection of Two External Macro Marketing </w:t>
      </w:r>
      <w:bookmarkEnd w:id="7"/>
      <w:r>
        <w:t>Factors</w:t>
      </w:r>
    </w:p>
    <w:p w14:paraId="3D9B5195" w14:textId="77777777" w:rsidR="0066180B" w:rsidRDefault="0066180B" w:rsidP="0066180B">
      <w:r>
        <w:rPr>
          <w:noProof/>
        </w:rPr>
        <w:drawing>
          <wp:inline distT="0" distB="0" distL="0" distR="0" wp14:anchorId="44AE515A" wp14:editId="6E73BFA3">
            <wp:extent cx="3445510" cy="1938052"/>
            <wp:effectExtent l="0" t="0" r="2540" b="5080"/>
            <wp:docPr id="944528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49645" cy="1940378"/>
                    </a:xfrm>
                    <a:prstGeom prst="rect">
                      <a:avLst/>
                    </a:prstGeom>
                    <a:noFill/>
                    <a:ln>
                      <a:noFill/>
                    </a:ln>
                  </pic:spPr>
                </pic:pic>
              </a:graphicData>
            </a:graphic>
          </wp:inline>
        </w:drawing>
      </w:r>
    </w:p>
    <w:p w14:paraId="0A959880" w14:textId="77777777" w:rsidR="0066180B" w:rsidRPr="00D86F77" w:rsidRDefault="0066180B" w:rsidP="0066180B">
      <w:pPr>
        <w:rPr>
          <w:rFonts w:ascii="Times New Roman" w:hAnsi="Times New Roman" w:cs="Times New Roman"/>
        </w:rPr>
      </w:pPr>
      <w:r w:rsidRPr="00D86F77">
        <w:rPr>
          <w:rFonts w:ascii="Times New Roman" w:hAnsi="Times New Roman" w:cs="Times New Roman"/>
        </w:rPr>
        <w:t>Figure: External Macro Marketing Factors</w:t>
      </w:r>
    </w:p>
    <w:p w14:paraId="28081209" w14:textId="77777777" w:rsidR="0066180B" w:rsidRPr="00D86F77" w:rsidRDefault="0066180B" w:rsidP="0066180B">
      <w:pPr>
        <w:rPr>
          <w:rFonts w:ascii="Times New Roman" w:hAnsi="Times New Roman" w:cs="Times New Roman"/>
        </w:rPr>
      </w:pPr>
      <w:r w:rsidRPr="00D86F77">
        <w:rPr>
          <w:rFonts w:ascii="Times New Roman" w:hAnsi="Times New Roman" w:cs="Times New Roman"/>
        </w:rPr>
        <w:lastRenderedPageBreak/>
        <w:t>Source: (Vladimirova et al., 2023)</w:t>
      </w:r>
    </w:p>
    <w:p w14:paraId="58A8AB33" w14:textId="77777777" w:rsidR="0066180B"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Technological Factors:</w:t>
      </w:r>
    </w:p>
    <w:p w14:paraId="59BCABC0"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Technological revolution has changed the fashion industry so deeply with the emergence of e-commerce, artificial intelligence (AI), augmented and virtual reality (AR/VR), and supply chain digitalisation. These trends have re-invented the way fashion firms design, manufacture and market their goods (Vladimirova et al., 2023). Retail online platforms are now necessary to reach the global audience, and trend prediction, personalisation, and inventory management are now managed with the assistance of AI-based analytics. The customer experience has also been improved with virtual try-on, and digital fashion shows, helping the brands to interact with consumers in the immersive way. Innovation and leadership in the market is a trigger of technology, especially in case of pioneering organisations such as Zara and Nike (Vladimirova et al., 2023).</w:t>
      </w:r>
    </w:p>
    <w:p w14:paraId="3615D7FE" w14:textId="77777777" w:rsidR="0066180B"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Social Factors:</w:t>
      </w:r>
    </w:p>
    <w:p w14:paraId="7F0BECAF" w14:textId="77777777" w:rsidR="0066180B"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Social world also has implications of a great significance to fashion brands. Market expectations have changed owing to a change in consumer attitudes toward ethical consumption, inclusivity, and sustainability. The new generation of consumers, especially millennials and Gen Z, require fashion companies to be transparent and responsible. The emergence of slow fashion and the reaction against the practice of fast fashion demonstrate the increased recognition of the industry in terms of environmental and social influence (Vladimirova et al., 2023). </w:t>
      </w:r>
    </w:p>
    <w:p w14:paraId="0783E55F" w14:textId="77777777" w:rsidR="0066180B" w:rsidRPr="001058F7" w:rsidRDefault="0066180B" w:rsidP="0066180B">
      <w:pPr>
        <w:pStyle w:val="Heading2"/>
      </w:pPr>
      <w:bookmarkStart w:id="8" w:name="_Toc213499668"/>
      <w:r w:rsidRPr="001058F7">
        <w:t>2.3 Critical Analysis of Each Actor</w:t>
      </w:r>
      <w:bookmarkEnd w:id="8"/>
    </w:p>
    <w:p w14:paraId="6A032149"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(a) Technological Actor</w:t>
      </w:r>
    </w:p>
    <w:p w14:paraId="1520DB11"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The fashion industry has been one of the most disrupted industries by technological innovation. Combination of AI, AR/VR and automation has transformed the interaction with customers, efficiency in production and marketing. With the help of AI, predictive analytics allow brands to predict future trends and customise their recommendations to customers (Singh and Shrestha, 2022). AR/VR enables customers to make virtual tries of products, which increases online shopping experience and decreases returns. Industrial and logistic automation increases cost and time efficiency and decreases lead times.</w:t>
      </w:r>
    </w:p>
    <w:p w14:paraId="2880E415" w14:textId="77777777" w:rsidR="0066180B"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Opportunities for Pioneers:</w:t>
      </w:r>
    </w:p>
    <w:p w14:paraId="73BAC95A" w14:textId="77777777" w:rsidR="0066180B" w:rsidRPr="001058F7" w:rsidRDefault="0066180B" w:rsidP="0066180B">
      <w:pPr>
        <w:spacing w:line="360" w:lineRule="auto"/>
        <w:jc w:val="both"/>
        <w:rPr>
          <w:rFonts w:ascii="Times New Roman" w:hAnsi="Times New Roman" w:cs="Times New Roman"/>
        </w:rPr>
      </w:pPr>
      <w:r>
        <w:rPr>
          <w:rFonts w:ascii="Times New Roman" w:hAnsi="Times New Roman" w:cs="Times New Roman"/>
        </w:rPr>
        <w:t>Technology innovation</w:t>
      </w:r>
      <w:r w:rsidRPr="001058F7">
        <w:rPr>
          <w:rFonts w:ascii="Times New Roman" w:hAnsi="Times New Roman" w:cs="Times New Roman"/>
        </w:rPr>
        <w:t xml:space="preserve"> is a significant competitive edge of such pioneering organisations like Zara and Nike. Zara has data-driven design process and real time analytics that enables the company to detect trends quickly and change collections in weeks. Nike leverages high-tech </w:t>
      </w:r>
      <w:r w:rsidRPr="001058F7">
        <w:rPr>
          <w:rFonts w:ascii="Times New Roman" w:hAnsi="Times New Roman" w:cs="Times New Roman"/>
        </w:rPr>
        <w:lastRenderedPageBreak/>
        <w:t xml:space="preserve">digital platforms to improve customer experiences by using Nike App and virtual design tools (Singh and Shrestha, 2022). </w:t>
      </w:r>
    </w:p>
    <w:p w14:paraId="5FCB65B9" w14:textId="77777777" w:rsidR="0066180B"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Threats for Followers:</w:t>
      </w:r>
    </w:p>
    <w:p w14:paraId="190A56EE"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The follower organisations like H&amp;M and Uniqlo struggle to keep up with technological innovation. Resources may be stretched by the cost of implementation of advanced systems, the complexity of the digital supply chain integration and the skills and expertise of technical talent. Also, excessive use of third-party platforms can subject followers to cybersecurity and data privacy risks (Singh and Shrestha, 2022). </w:t>
      </w:r>
    </w:p>
    <w:p w14:paraId="3CB5B171"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(b) Social Actor</w:t>
      </w:r>
    </w:p>
    <w:p w14:paraId="216512BF" w14:textId="5C528D38"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Social factors include the cultural, demographic, and lifestyle trends which influence consumer values and behaviour. The last couple of years have resulted in a powerful change in the fashion</w:t>
      </w:r>
      <w:r>
        <w:rPr>
          <w:rFonts w:ascii="Times New Roman" w:hAnsi="Times New Roman" w:cs="Times New Roman"/>
        </w:rPr>
        <w:t xml:space="preserve"> </w:t>
      </w:r>
      <w:r w:rsidRPr="001058F7">
        <w:rPr>
          <w:rFonts w:ascii="Times New Roman" w:hAnsi="Times New Roman" w:cs="Times New Roman"/>
        </w:rPr>
        <w:t xml:space="preserve">industry where sustainability, inclusivity, and ethical consumption have become the new reality (Jane </w:t>
      </w:r>
      <w:proofErr w:type="spellStart"/>
      <w:r w:rsidRPr="001058F7">
        <w:rPr>
          <w:rFonts w:ascii="Times New Roman" w:hAnsi="Times New Roman" w:cs="Times New Roman"/>
        </w:rPr>
        <w:t>Owoloyi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Obonyilo</w:t>
      </w:r>
      <w:proofErr w:type="spellEnd"/>
      <w:r w:rsidRPr="001058F7">
        <w:rPr>
          <w:rFonts w:ascii="Times New Roman" w:hAnsi="Times New Roman" w:cs="Times New Roman"/>
        </w:rPr>
        <w:t xml:space="preserve"> and Marciniak, 2023). The new generation of consumers wants brands to be responsible, regardless of their environmental impact, labour standards, and diversity.</w:t>
      </w:r>
    </w:p>
    <w:p w14:paraId="3D8CE2EF" w14:textId="77777777" w:rsidR="0066180B"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Opportunities for Pioneers:</w:t>
      </w:r>
    </w:p>
    <w:p w14:paraId="60EAB17B"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Such brands like Patagonia have successfully established themselves as agents of social and environmental responsibility. The campaign Patagonia used to promote mindful consumption: Don’t Buy This Jacket prompted the company to focus on waste reduction. Likewise, Zara has incorporated environmentally conscious merchandise and the use of the circular design effort into its promotion strategy, which conforms to the demands of consumers of sustainable apparel (Jane </w:t>
      </w:r>
      <w:proofErr w:type="spellStart"/>
      <w:r w:rsidRPr="001058F7">
        <w:rPr>
          <w:rFonts w:ascii="Times New Roman" w:hAnsi="Times New Roman" w:cs="Times New Roman"/>
        </w:rPr>
        <w:t>Owoloyi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Obonyilo</w:t>
      </w:r>
      <w:proofErr w:type="spellEnd"/>
      <w:r w:rsidRPr="001058F7">
        <w:rPr>
          <w:rFonts w:ascii="Times New Roman" w:hAnsi="Times New Roman" w:cs="Times New Roman"/>
        </w:rPr>
        <w:t xml:space="preserve"> and Marciniak, 2023). </w:t>
      </w:r>
    </w:p>
    <w:p w14:paraId="26A7A08A" w14:textId="77777777" w:rsidR="0066180B"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Threats for Followers:</w:t>
      </w:r>
    </w:p>
    <w:p w14:paraId="07C69458"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H&amp;M and Uniqlo are followers organisations that have more difficulties in adjusting to social requirements. Although the company has initiated their projects such as the H&amp;M conscious collection, their people are accused of resorting to greenwashing when their activities are not in tandem with the sustainability statements (Jane </w:t>
      </w:r>
      <w:proofErr w:type="spellStart"/>
      <w:r w:rsidRPr="001058F7">
        <w:rPr>
          <w:rFonts w:ascii="Times New Roman" w:hAnsi="Times New Roman" w:cs="Times New Roman"/>
        </w:rPr>
        <w:t>Owoloyi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Obonyilo</w:t>
      </w:r>
      <w:proofErr w:type="spellEnd"/>
      <w:r w:rsidRPr="001058F7">
        <w:rPr>
          <w:rFonts w:ascii="Times New Roman" w:hAnsi="Times New Roman" w:cs="Times New Roman"/>
        </w:rPr>
        <w:t xml:space="preserve"> and Marciniak, 2023). The compliance with ethical standards needs significant investments in the supply chains transparency, fair labour practices, and sustainable materials, which may be costly. </w:t>
      </w:r>
    </w:p>
    <w:p w14:paraId="6835AF03" w14:textId="77777777" w:rsidR="0066180B" w:rsidRPr="001058F7" w:rsidRDefault="0066180B" w:rsidP="0066180B">
      <w:pPr>
        <w:pStyle w:val="Heading1"/>
      </w:pPr>
      <w:bookmarkStart w:id="9" w:name="_Toc213499669"/>
      <w:r w:rsidRPr="001058F7">
        <w:lastRenderedPageBreak/>
        <w:t>3. Task 2: Strategic Responses of Pioneering and Follower Organisations</w:t>
      </w:r>
      <w:bookmarkEnd w:id="9"/>
      <w:r w:rsidRPr="001058F7">
        <w:t xml:space="preserve"> </w:t>
      </w:r>
    </w:p>
    <w:p w14:paraId="6E87E505" w14:textId="77777777" w:rsidR="0066180B" w:rsidRPr="001058F7" w:rsidRDefault="0066180B" w:rsidP="0066180B">
      <w:pPr>
        <w:pStyle w:val="Heading1"/>
      </w:pPr>
      <w:bookmarkStart w:id="10" w:name="_Toc213499670"/>
      <w:r w:rsidRPr="001058F7">
        <w:t>3.1 Pioneering Organisations’ Strategic Responses</w:t>
      </w:r>
      <w:bookmarkEnd w:id="10"/>
    </w:p>
    <w:p w14:paraId="6E69F656"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Proactive Innovation and Market Leadership</w:t>
      </w:r>
    </w:p>
    <w:p w14:paraId="721C3574"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The innovators in the style and clothing sector are those organisations that are the first to innovate and disrupt the business creatively, as well as to adopt new trends. Fashion retailers like Zara or Patagonia are classical examples of the leaders who act proactively in response to external macro-environmental threats (like a change in technology or social change) by introducing innovative standards of business in a particular industry (Tolstoy, </w:t>
      </w:r>
      <w:proofErr w:type="spellStart"/>
      <w:r w:rsidRPr="001058F7">
        <w:rPr>
          <w:rFonts w:ascii="Times New Roman" w:hAnsi="Times New Roman" w:cs="Times New Roman"/>
        </w:rPr>
        <w:t>Hånell</w:t>
      </w:r>
      <w:proofErr w:type="spellEnd"/>
      <w:r w:rsidRPr="001058F7">
        <w:rPr>
          <w:rFonts w:ascii="Times New Roman" w:hAnsi="Times New Roman" w:cs="Times New Roman"/>
        </w:rPr>
        <w:t xml:space="preserve"> and Ghauri, 2024). These companies take innovation-related strategies that allow them to influence, as opposed to follow, the market trends. Zara being a member of the Inditex Group has transformed the fast-fashion industry in a way that it has reorganised the supply chain and digitalisation, which makes it take weeks to bring designs into the stores. With the help of real-time data and consumer insights, Zara reacts to technological trends and social trends in a speedy manner to develop a model combining responsiveness and the ability to innovate (Tolstoy, </w:t>
      </w:r>
      <w:proofErr w:type="spellStart"/>
      <w:r w:rsidRPr="001058F7">
        <w:rPr>
          <w:rFonts w:ascii="Times New Roman" w:hAnsi="Times New Roman" w:cs="Times New Roman"/>
        </w:rPr>
        <w:t>Hånell</w:t>
      </w:r>
      <w:proofErr w:type="spellEnd"/>
      <w:r w:rsidRPr="001058F7">
        <w:rPr>
          <w:rFonts w:ascii="Times New Roman" w:hAnsi="Times New Roman" w:cs="Times New Roman"/>
        </w:rPr>
        <w:t xml:space="preserve"> and Ghauri, 2024).</w:t>
      </w:r>
    </w:p>
    <w:p w14:paraId="3F3B98DA"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Application of Ansoff’s Growth Matrix</w:t>
      </w:r>
    </w:p>
    <w:p w14:paraId="6C63CAD2"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Product Development:</w:t>
      </w:r>
      <w:r w:rsidRPr="001058F7">
        <w:rPr>
          <w:rFonts w:ascii="Times New Roman" w:hAnsi="Times New Roman" w:cs="Times New Roman"/>
        </w:rPr>
        <w:t xml:space="preserve"> Zara is an example of such strategy as it continuously changes the product lines in accordance with the real time preferences of consumers. Its vertically integrated company operations allow quick designing, manufacturing, and delivery, which assures keeping in touch with the developing trends in the market. Zara maintains interest and makes repeat buying through the introduction of new collections every week (Bogg and Edberg, 2022).</w:t>
      </w:r>
    </w:p>
    <w:p w14:paraId="4B68BC25"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Market Development:</w:t>
      </w:r>
      <w:r w:rsidRPr="001058F7">
        <w:rPr>
          <w:rFonts w:ascii="Times New Roman" w:hAnsi="Times New Roman" w:cs="Times New Roman"/>
        </w:rPr>
        <w:t xml:space="preserve"> Patagonia is using this approach by entering new geographical markets without changing its ethical identity. Its sustainability policy appeals to the consumers who care about the environment across the globe, which puts the brand in a good position in areas where the demand of products focused on the environment is increasing (Bogg and Edberg, 2022).</w:t>
      </w:r>
    </w:p>
    <w:p w14:paraId="0C06B9FA"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Application of Porter’s Generic Strategies</w:t>
      </w:r>
    </w:p>
    <w:p w14:paraId="791959D3"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noProof/>
        </w:rPr>
        <w:lastRenderedPageBreak/>
        <w:drawing>
          <wp:inline distT="0" distB="0" distL="0" distR="0" wp14:anchorId="698BB72A" wp14:editId="3A1A210F">
            <wp:extent cx="3738972" cy="2103120"/>
            <wp:effectExtent l="0" t="0" r="0" b="0"/>
            <wp:docPr id="858411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42374" cy="2105034"/>
                    </a:xfrm>
                    <a:prstGeom prst="rect">
                      <a:avLst/>
                    </a:prstGeom>
                    <a:noFill/>
                    <a:ln>
                      <a:noFill/>
                    </a:ln>
                  </pic:spPr>
                </pic:pic>
              </a:graphicData>
            </a:graphic>
          </wp:inline>
        </w:drawing>
      </w:r>
    </w:p>
    <w:p w14:paraId="5C97E1B8"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Figure: Porter’s Generic Strategies</w:t>
      </w:r>
    </w:p>
    <w:p w14:paraId="49BB499A"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rPr>
        <w:t>Source:</w:t>
      </w:r>
      <w:r w:rsidRPr="001058F7">
        <w:rPr>
          <w:rFonts w:ascii="Times New Roman" w:hAnsi="Times New Roman" w:cs="Times New Roman"/>
          <w:b/>
          <w:bCs/>
        </w:rPr>
        <w:t xml:space="preserve"> </w:t>
      </w:r>
      <w:r w:rsidRPr="001058F7">
        <w:rPr>
          <w:rFonts w:ascii="Times New Roman" w:hAnsi="Times New Roman" w:cs="Times New Roman"/>
        </w:rPr>
        <w:t>(Reksoprodjo, Rifqi and Khadijah, 2022)</w:t>
      </w:r>
    </w:p>
    <w:p w14:paraId="31037928"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Zara’s Differentiation</w:t>
      </w:r>
      <w:proofErr w:type="gramStart"/>
      <w:r w:rsidRPr="001058F7">
        <w:rPr>
          <w:rFonts w:ascii="Times New Roman" w:hAnsi="Times New Roman" w:cs="Times New Roman"/>
          <w:b/>
          <w:bCs/>
        </w:rPr>
        <w:t>:</w:t>
      </w:r>
      <w:r w:rsidRPr="001058F7">
        <w:rPr>
          <w:rFonts w:ascii="Times New Roman" w:hAnsi="Times New Roman" w:cs="Times New Roman"/>
        </w:rPr>
        <w:t xml:space="preserve"> :</w:t>
      </w:r>
      <w:proofErr w:type="gramEnd"/>
      <w:r w:rsidRPr="001058F7">
        <w:rPr>
          <w:rFonts w:ascii="Times New Roman" w:hAnsi="Times New Roman" w:cs="Times New Roman"/>
        </w:rPr>
        <w:t xml:space="preserve"> Zara differentiates based on speed, data-driven design and accessibility of fashion. Its fast fashion model enables it to offer runaway inspired designs at low costs and in brief production cycles. The operational efficiency and customer satisfaction of Zara are increased with technological innovation, including trend forecasting through the use of AI and digital inventory management that includes everything (</w:t>
      </w:r>
      <w:proofErr w:type="spellStart"/>
      <w:r w:rsidRPr="001058F7">
        <w:rPr>
          <w:rFonts w:ascii="Times New Roman" w:hAnsi="Times New Roman" w:cs="Times New Roman"/>
        </w:rPr>
        <w:t>Reksoprodjo</w:t>
      </w:r>
      <w:proofErr w:type="spellEnd"/>
      <w:r w:rsidRPr="001058F7">
        <w:rPr>
          <w:rFonts w:ascii="Times New Roman" w:hAnsi="Times New Roman" w:cs="Times New Roman"/>
        </w:rPr>
        <w:t>, Rifqi and Khadijah, 2022). The combination of affordability and design exclusiveness provides Zara with sustainable competitive advantage.</w:t>
      </w:r>
    </w:p>
    <w:p w14:paraId="6D4BAFB2"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Patagonia’s Differentiation:</w:t>
      </w:r>
      <w:r w:rsidRPr="001058F7">
        <w:rPr>
          <w:rFonts w:ascii="Times New Roman" w:hAnsi="Times New Roman" w:cs="Times New Roman"/>
        </w:rPr>
        <w:t xml:space="preserve"> Patagonia uses authenticity, sustainability, and ethical leadership as a way of differentiation. Its environmental agenda, which includes its campaigns such as the one named Don’t Buy This Jacket, makes the brand an agent of conscious consumption. By incorporating the environmental and social responsibility in its brand name, Patagonia transforms social macro pressures into brand equity and consumer loyalty (Reksoprodjo, Rifqi and Khadijah, 2022).</w:t>
      </w:r>
    </w:p>
    <w:p w14:paraId="0BA03A66" w14:textId="77777777" w:rsidR="0066180B" w:rsidRPr="001058F7" w:rsidRDefault="0066180B" w:rsidP="0066180B">
      <w:pPr>
        <w:pStyle w:val="Heading2"/>
      </w:pPr>
      <w:bookmarkStart w:id="11" w:name="_Toc213499671"/>
      <w:r w:rsidRPr="001058F7">
        <w:t>3.2 Follower Organisations’ Strategic Responses</w:t>
      </w:r>
      <w:bookmarkEnd w:id="11"/>
    </w:p>
    <w:p w14:paraId="1CED22EA" w14:textId="77777777" w:rsidR="0066180B"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Adaptive and Competitive Approaches</w:t>
      </w:r>
    </w:p>
    <w:p w14:paraId="506125E7" w14:textId="77777777" w:rsidR="0066180B" w:rsidRDefault="0066180B" w:rsidP="0066180B">
      <w:pPr>
        <w:spacing w:line="360" w:lineRule="auto"/>
        <w:jc w:val="both"/>
        <w:rPr>
          <w:rFonts w:ascii="Times New Roman" w:hAnsi="Times New Roman" w:cs="Times New Roman"/>
          <w:b/>
          <w:bCs/>
        </w:rPr>
      </w:pPr>
      <w:r w:rsidRPr="00D86F77">
        <w:rPr>
          <w:rFonts w:ascii="Times New Roman" w:hAnsi="Times New Roman" w:cs="Times New Roman"/>
          <w:b/>
          <w:bCs/>
          <w:noProof/>
        </w:rPr>
        <w:lastRenderedPageBreak/>
        <w:drawing>
          <wp:inline distT="0" distB="0" distL="0" distR="0" wp14:anchorId="59A38A79" wp14:editId="72042523">
            <wp:extent cx="5115639" cy="4286848"/>
            <wp:effectExtent l="0" t="0" r="8890" b="0"/>
            <wp:docPr id="1526248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48186" name=""/>
                    <pic:cNvPicPr/>
                  </pic:nvPicPr>
                  <pic:blipFill>
                    <a:blip r:embed="rId7"/>
                    <a:stretch>
                      <a:fillRect/>
                    </a:stretch>
                  </pic:blipFill>
                  <pic:spPr>
                    <a:xfrm>
                      <a:off x="0" y="0"/>
                      <a:ext cx="5115639" cy="4286848"/>
                    </a:xfrm>
                    <a:prstGeom prst="rect">
                      <a:avLst/>
                    </a:prstGeom>
                  </pic:spPr>
                </pic:pic>
              </a:graphicData>
            </a:graphic>
          </wp:inline>
        </w:drawing>
      </w:r>
    </w:p>
    <w:p w14:paraId="39F7DFEB" w14:textId="77777777" w:rsidR="0066180B" w:rsidRDefault="0066180B" w:rsidP="0066180B">
      <w:pPr>
        <w:spacing w:line="360" w:lineRule="auto"/>
        <w:jc w:val="both"/>
        <w:rPr>
          <w:rFonts w:ascii="Times New Roman" w:hAnsi="Times New Roman" w:cs="Times New Roman"/>
          <w:b/>
          <w:bCs/>
        </w:rPr>
      </w:pPr>
    </w:p>
    <w:p w14:paraId="7555FB68" w14:textId="77777777" w:rsidR="0066180B" w:rsidRPr="00D86F77" w:rsidRDefault="0066180B" w:rsidP="0066180B">
      <w:pPr>
        <w:spacing w:line="360" w:lineRule="auto"/>
        <w:jc w:val="both"/>
        <w:rPr>
          <w:rFonts w:ascii="Times New Roman" w:hAnsi="Times New Roman" w:cs="Times New Roman"/>
        </w:rPr>
      </w:pPr>
      <w:r w:rsidRPr="00D86F77">
        <w:rPr>
          <w:rFonts w:ascii="Times New Roman" w:hAnsi="Times New Roman" w:cs="Times New Roman"/>
        </w:rPr>
        <w:t>Figure:</w:t>
      </w:r>
      <w:r>
        <w:rPr>
          <w:rFonts w:ascii="Times New Roman" w:hAnsi="Times New Roman" w:cs="Times New Roman"/>
        </w:rPr>
        <w:t xml:space="preserve"> </w:t>
      </w:r>
      <w:r w:rsidRPr="00D86F77">
        <w:rPr>
          <w:rFonts w:ascii="Times New Roman" w:hAnsi="Times New Roman" w:cs="Times New Roman"/>
        </w:rPr>
        <w:t>Competitive Approaches</w:t>
      </w:r>
    </w:p>
    <w:p w14:paraId="7E9AB818" w14:textId="77777777" w:rsidR="0066180B" w:rsidRPr="001058F7" w:rsidRDefault="0066180B" w:rsidP="0066180B">
      <w:pPr>
        <w:spacing w:line="360" w:lineRule="auto"/>
        <w:jc w:val="both"/>
        <w:rPr>
          <w:rFonts w:ascii="Times New Roman" w:hAnsi="Times New Roman" w:cs="Times New Roman"/>
          <w:b/>
          <w:bCs/>
        </w:rPr>
      </w:pPr>
      <w:r w:rsidRPr="00D86F77">
        <w:rPr>
          <w:rFonts w:ascii="Times New Roman" w:hAnsi="Times New Roman" w:cs="Times New Roman"/>
        </w:rPr>
        <w:t>Source:</w:t>
      </w:r>
      <w:r>
        <w:rPr>
          <w:rFonts w:ascii="Times New Roman" w:hAnsi="Times New Roman" w:cs="Times New Roman"/>
          <w:b/>
          <w:bCs/>
        </w:rPr>
        <w:t xml:space="preserve"> </w:t>
      </w:r>
      <w:r w:rsidRPr="001058F7">
        <w:rPr>
          <w:rFonts w:ascii="Times New Roman" w:hAnsi="Times New Roman" w:cs="Times New Roman"/>
        </w:rPr>
        <w:t>(Gurnani and Gupta, 2024</w:t>
      </w:r>
      <w:r>
        <w:rPr>
          <w:rFonts w:ascii="Times New Roman" w:hAnsi="Times New Roman" w:cs="Times New Roman"/>
        </w:rPr>
        <w:t>)</w:t>
      </w:r>
    </w:p>
    <w:p w14:paraId="10955F8A" w14:textId="77777777" w:rsidR="0066180B" w:rsidRPr="001058F7" w:rsidRDefault="0066180B" w:rsidP="0066180B">
      <w:pPr>
        <w:spacing w:line="360" w:lineRule="auto"/>
        <w:jc w:val="both"/>
        <w:rPr>
          <w:rFonts w:ascii="Times New Roman" w:hAnsi="Times New Roman" w:cs="Times New Roman"/>
        </w:rPr>
      </w:pPr>
      <w:proofErr w:type="gramStart"/>
      <w:r w:rsidRPr="001058F7">
        <w:rPr>
          <w:rFonts w:ascii="Times New Roman" w:hAnsi="Times New Roman" w:cs="Times New Roman"/>
        </w:rPr>
        <w:t>Followers</w:t>
      </w:r>
      <w:proofErr w:type="gramEnd"/>
      <w:r w:rsidRPr="001058F7">
        <w:rPr>
          <w:rFonts w:ascii="Times New Roman" w:hAnsi="Times New Roman" w:cs="Times New Roman"/>
        </w:rPr>
        <w:t xml:space="preserve"> organisations normally move in or react to markets when pioneers have developed workable models. Follower brands in the fashion and apparel business include H&amp;M and Uniqlo, which are companies that strategically use their adaptability to remain competitive. Though first movers, such as Zara and Patagonia, are innovative, this is done by followers who strive to modify, improve and expand on current strategies to attract larger consumer markets. They put pressure on followers to ensure that they work under the rapid technological changes and also changing social expectations of sustainability and inclusiveness. </w:t>
      </w:r>
    </w:p>
    <w:p w14:paraId="4D7EFD7C"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Application of Ansoff’s Growth Matrix</w:t>
      </w:r>
    </w:p>
    <w:p w14:paraId="1BCF5B69" w14:textId="77777777" w:rsidR="0066180B" w:rsidRPr="001058F7" w:rsidRDefault="0066180B" w:rsidP="0066180B">
      <w:pPr>
        <w:spacing w:line="360" w:lineRule="auto"/>
        <w:jc w:val="both"/>
        <w:rPr>
          <w:rFonts w:ascii="Times New Roman" w:hAnsi="Times New Roman" w:cs="Times New Roman"/>
          <w:noProof/>
        </w:rPr>
      </w:pPr>
    </w:p>
    <w:p w14:paraId="7CF28B0E"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noProof/>
        </w:rPr>
        <w:lastRenderedPageBreak/>
        <w:drawing>
          <wp:inline distT="0" distB="0" distL="0" distR="0" wp14:anchorId="2411A01C" wp14:editId="53381754">
            <wp:extent cx="4291330" cy="3077529"/>
            <wp:effectExtent l="0" t="0" r="0" b="8890"/>
            <wp:docPr id="17499054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51" cy="3080699"/>
                    </a:xfrm>
                    <a:prstGeom prst="rect">
                      <a:avLst/>
                    </a:prstGeom>
                    <a:noFill/>
                    <a:ln>
                      <a:noFill/>
                    </a:ln>
                  </pic:spPr>
                </pic:pic>
              </a:graphicData>
            </a:graphic>
          </wp:inline>
        </w:drawing>
      </w:r>
    </w:p>
    <w:p w14:paraId="7FCD95F6"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Figure: Ansoff’s Growth Matrix</w:t>
      </w:r>
    </w:p>
    <w:p w14:paraId="0CFF0491"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rPr>
        <w:t>Source: (Gurnani and Gupta, 2024)</w:t>
      </w:r>
    </w:p>
    <w:p w14:paraId="2E5EEE71"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Market Penetration:</w:t>
      </w:r>
      <w:r w:rsidRPr="001058F7">
        <w:rPr>
          <w:rFonts w:ascii="Times New Roman" w:hAnsi="Times New Roman" w:cs="Times New Roman"/>
        </w:rPr>
        <w:t xml:space="preserve"> The expansion strategy of H&amp;M is heavily dependent on gaining sales in the already existing markets through provision of fashionable products at a competitive price. Through digital marketing and influencer partnerships, H&amp;M builds its position among a variety of demographics without being costly (Gurnani and Gupta, 2024).</w:t>
      </w:r>
    </w:p>
    <w:p w14:paraId="0AEE2EA2"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Product Development:</w:t>
      </w:r>
      <w:r w:rsidRPr="001058F7">
        <w:rPr>
          <w:rFonts w:ascii="Times New Roman" w:hAnsi="Times New Roman" w:cs="Times New Roman"/>
        </w:rPr>
        <w:t xml:space="preserve"> Uniqlo dwells on constant product development by innovating fabric. Some of its lines such as its signature HEATTECH and AIRism lends and examples of incremental technological innovation to make daily life more comfortable (Gurnani and Gupta, 2024). Uniqlo focuses on long-lasting, practical and functional clothing as opposed to the trend turnover that Zara upholds.</w:t>
      </w:r>
    </w:p>
    <w:p w14:paraId="6E7FBE90"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Market Development:</w:t>
      </w:r>
      <w:r w:rsidRPr="001058F7">
        <w:rPr>
          <w:rFonts w:ascii="Times New Roman" w:hAnsi="Times New Roman" w:cs="Times New Roman"/>
        </w:rPr>
        <w:t xml:space="preserve"> H&amp;M as well as Uniqlo develop into emergent economies like India and Southeast Asia to access the emerging middle-class consumer. They customize product collections and pricing policies to the domestic tastes, which can be viewed to demonstrate the adaptive reaction to globalisation and socio-economic changes (Gurnani and Gupta, 2024).</w:t>
      </w:r>
    </w:p>
    <w:p w14:paraId="35BE7F9E"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Application of Porter’s Generic Strategies</w:t>
      </w:r>
    </w:p>
    <w:p w14:paraId="68329A0D"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Cost Leadership:</w:t>
      </w:r>
      <w:r w:rsidRPr="001058F7">
        <w:rPr>
          <w:rFonts w:ascii="Times New Roman" w:hAnsi="Times New Roman" w:cs="Times New Roman"/>
        </w:rPr>
        <w:t xml:space="preserve"> H&amp;M takes advantage of scale production and effective global sourcing to keep the costs down. Through this approach, it will be able to provide trendy merchandise at affordable prices that are appealing to price-sensitive customers (Alnoor et al., 2022). Cost leadership, however, also brings its own issues, with growing social pressures on ethical </w:t>
      </w:r>
      <w:proofErr w:type="spellStart"/>
      <w:r w:rsidRPr="001058F7">
        <w:rPr>
          <w:rFonts w:ascii="Times New Roman" w:hAnsi="Times New Roman" w:cs="Times New Roman"/>
        </w:rPr>
        <w:lastRenderedPageBreak/>
        <w:t>behavior</w:t>
      </w:r>
      <w:proofErr w:type="spellEnd"/>
      <w:r w:rsidRPr="001058F7">
        <w:rPr>
          <w:rFonts w:ascii="Times New Roman" w:hAnsi="Times New Roman" w:cs="Times New Roman"/>
        </w:rPr>
        <w:t xml:space="preserve"> requiring more investments in making their operations green, thus narrowing the margins.</w:t>
      </w:r>
    </w:p>
    <w:p w14:paraId="784CD3C3"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b/>
          <w:bCs/>
        </w:rPr>
        <w:t>Focused Differentiation:</w:t>
      </w:r>
      <w:r w:rsidRPr="001058F7">
        <w:rPr>
          <w:rFonts w:ascii="Times New Roman" w:hAnsi="Times New Roman" w:cs="Times New Roman"/>
        </w:rPr>
        <w:t xml:space="preserve"> Uniqlo, in its turn, focuses on differentiation based on functionality and minimalism, but not fashion cycles. It has been able to differentiate itself in the mass-market segment because of its emphasis on technologically-enhanced fabrics and high-quality construction. Marketing of Uniqlo focuses not on fashion but on basicness and comfortability which makes Uniqlo attractive to the people of various ages (Alnoor et al., 2022).</w:t>
      </w:r>
    </w:p>
    <w:p w14:paraId="3664E763"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Strategic Adaptation to Technological and Social Trends</w:t>
      </w:r>
    </w:p>
    <w:p w14:paraId="580D8B11"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H&amp;M and Uniqlo are both smart to changes in the macro-environment by means of digitalisation and sustainability-driven marketing. In order to mitigate wastage and overproduction, H&amp;M invests in AI-powered inventory management, online dressing rooms, and eBay resale platforms. Uniqlo uses the e-commerce integration and digital design processes to simplify the operations and enhance the consumer </w:t>
      </w:r>
      <w:proofErr w:type="gramStart"/>
      <w:r w:rsidRPr="001058F7">
        <w:rPr>
          <w:rFonts w:ascii="Times New Roman" w:hAnsi="Times New Roman" w:cs="Times New Roman"/>
        </w:rPr>
        <w:t>interaction(</w:t>
      </w:r>
      <w:proofErr w:type="gramEnd"/>
      <w:r w:rsidRPr="001058F7">
        <w:rPr>
          <w:rFonts w:ascii="Times New Roman" w:hAnsi="Times New Roman" w:cs="Times New Roman"/>
        </w:rPr>
        <w:t xml:space="preserve">Aji and </w:t>
      </w:r>
      <w:proofErr w:type="spellStart"/>
      <w:r w:rsidRPr="001058F7">
        <w:rPr>
          <w:rFonts w:ascii="Times New Roman" w:hAnsi="Times New Roman" w:cs="Times New Roman"/>
        </w:rPr>
        <w:t>Muharam</w:t>
      </w:r>
      <w:proofErr w:type="spellEnd"/>
      <w:r w:rsidRPr="001058F7">
        <w:rPr>
          <w:rFonts w:ascii="Times New Roman" w:hAnsi="Times New Roman" w:cs="Times New Roman"/>
        </w:rPr>
        <w:t xml:space="preserve">, 2023). </w:t>
      </w:r>
    </w:p>
    <w:p w14:paraId="1A9CFDAB"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t>Comparative Evaluation and Strategic Implications</w:t>
      </w:r>
    </w:p>
    <w:p w14:paraId="13BC5194"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The difference between innovators and imitators points to different strategic thinking. Such disruptive innovation and brand differentiation pioneers as Zara and Patagonia turn technological and social threats into a competitive advantage. Adaptive efficiency, scaling the innovations to mass market, cost and value balancing are the targets of followers, including H&amp;M and Uniqlo (Aji and </w:t>
      </w:r>
      <w:proofErr w:type="spellStart"/>
      <w:r w:rsidRPr="001058F7">
        <w:rPr>
          <w:rFonts w:ascii="Times New Roman" w:hAnsi="Times New Roman" w:cs="Times New Roman"/>
        </w:rPr>
        <w:t>Muharam</w:t>
      </w:r>
      <w:proofErr w:type="spellEnd"/>
      <w:r w:rsidRPr="001058F7">
        <w:rPr>
          <w:rFonts w:ascii="Times New Roman" w:hAnsi="Times New Roman" w:cs="Times New Roman"/>
        </w:rPr>
        <w:t xml:space="preserve">, 2023). Pioneers enjoy the advantage of being trendsetters but have high costs and pressures of remaining leading. </w:t>
      </w:r>
    </w:p>
    <w:p w14:paraId="3A92670B" w14:textId="77777777" w:rsidR="0066180B" w:rsidRPr="001058F7" w:rsidRDefault="0066180B" w:rsidP="0066180B">
      <w:pPr>
        <w:pStyle w:val="Heading1"/>
      </w:pPr>
      <w:bookmarkStart w:id="12" w:name="_Toc213499672"/>
      <w:r w:rsidRPr="001058F7">
        <w:t>4. Conclusion</w:t>
      </w:r>
      <w:bookmarkEnd w:id="12"/>
      <w:r w:rsidRPr="001058F7">
        <w:t xml:space="preserve"> </w:t>
      </w:r>
    </w:p>
    <w:p w14:paraId="1D87E764"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The discussion indicates that macro marketing environment is important in terms of strategy marketing management in the fashion and apparel sector in the global market. Task 1 has unveiled that the impact of technology and social actors are the strongest macro players in the industry. The emergence of new technologies like AI, e-commerce, and digitalisation of the supply chain has opened the door to innovation and efficiency of operations, especially among such pioneers as Zara and Patagonia. Consumer demands have changed through social changes to sustainability, inclusivity, and ethical consumption, which are either forcing organisations to focus their strategic plans on spreading environmental and social responsibility.</w:t>
      </w:r>
    </w:p>
    <w:p w14:paraId="01C4AB5E"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Task 2 has brought out the difference in response to these macro-environmental pressures by pioneer and follower organisations. Innovation-driven and differentiation strategies are used by pioneers like Zara and Patagonia, with the help of such tools as the Growth Matrix, created </w:t>
      </w:r>
      <w:r w:rsidRPr="001058F7">
        <w:rPr>
          <w:rFonts w:ascii="Times New Roman" w:hAnsi="Times New Roman" w:cs="Times New Roman"/>
        </w:rPr>
        <w:lastRenderedPageBreak/>
        <w:t>by Ansoff, and the Generic Strategies, developed by Porter to remain on the top of the market and preserve the authenticity of the brand. Conversely, in the case of follower organisations, like H&amp;M and Uniqlo, the adaptive strategies revolve around penetrating the markets, developing products in the incremental fashion, and efficiency in costs to stay competitive.</w:t>
      </w:r>
      <w:r>
        <w:rPr>
          <w:rFonts w:ascii="Times New Roman" w:hAnsi="Times New Roman" w:cs="Times New Roman"/>
        </w:rPr>
        <w:t>\</w:t>
      </w:r>
      <w:r w:rsidRPr="001058F7">
        <w:rPr>
          <w:rFonts w:ascii="Times New Roman" w:hAnsi="Times New Roman" w:cs="Times New Roman"/>
        </w:rPr>
        <w:t xml:space="preserve"> </w:t>
      </w:r>
    </w:p>
    <w:p w14:paraId="70EEE5ED"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br w:type="page"/>
      </w:r>
    </w:p>
    <w:p w14:paraId="17F79875" w14:textId="77777777" w:rsidR="0066180B" w:rsidRPr="001058F7" w:rsidRDefault="0066180B" w:rsidP="0066180B">
      <w:pPr>
        <w:pStyle w:val="Heading1"/>
      </w:pPr>
      <w:bookmarkStart w:id="13" w:name="_Toc213499673"/>
      <w:r w:rsidRPr="001058F7">
        <w:lastRenderedPageBreak/>
        <w:t>References</w:t>
      </w:r>
      <w:bookmarkEnd w:id="13"/>
    </w:p>
    <w:p w14:paraId="10A08584"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Aji, V.N.K. and </w:t>
      </w:r>
      <w:proofErr w:type="spellStart"/>
      <w:r w:rsidRPr="001058F7">
        <w:rPr>
          <w:rFonts w:ascii="Times New Roman" w:hAnsi="Times New Roman" w:cs="Times New Roman"/>
        </w:rPr>
        <w:t>Muharam</w:t>
      </w:r>
      <w:proofErr w:type="spellEnd"/>
      <w:r w:rsidRPr="001058F7">
        <w:rPr>
          <w:rFonts w:ascii="Times New Roman" w:hAnsi="Times New Roman" w:cs="Times New Roman"/>
        </w:rPr>
        <w:t xml:space="preserve">, H. (2023). A MARKETING STRATEGY ANALYSIS: MARKET ENTRY PLAN OF FLOCUS TO INDONESIAN MARKET. </w:t>
      </w:r>
      <w:proofErr w:type="spellStart"/>
      <w:r w:rsidRPr="001058F7">
        <w:rPr>
          <w:rFonts w:ascii="Times New Roman" w:hAnsi="Times New Roman" w:cs="Times New Roman"/>
          <w:i/>
          <w:iCs/>
        </w:rPr>
        <w:t>Diponegoro</w:t>
      </w:r>
      <w:proofErr w:type="spellEnd"/>
      <w:r w:rsidRPr="001058F7">
        <w:rPr>
          <w:rFonts w:ascii="Times New Roman" w:hAnsi="Times New Roman" w:cs="Times New Roman"/>
          <w:i/>
          <w:iCs/>
        </w:rPr>
        <w:t xml:space="preserve"> Journal of Management</w:t>
      </w:r>
      <w:r w:rsidRPr="001058F7">
        <w:rPr>
          <w:rFonts w:ascii="Times New Roman" w:hAnsi="Times New Roman" w:cs="Times New Roman"/>
        </w:rPr>
        <w:t xml:space="preserve">, [online] 12(3).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9" w:history="1">
        <w:r w:rsidRPr="001058F7">
          <w:rPr>
            <w:rStyle w:val="Hyperlink"/>
            <w:rFonts w:ascii="Times New Roman" w:hAnsi="Times New Roman" w:cs="Times New Roman"/>
          </w:rPr>
          <w:t>https://ejournal3.undip.ac.id/index.php/djom/article/view/41724</w:t>
        </w:r>
      </w:hyperlink>
      <w:r w:rsidRPr="001058F7">
        <w:rPr>
          <w:rFonts w:ascii="Times New Roman" w:hAnsi="Times New Roman" w:cs="Times New Roman"/>
        </w:rPr>
        <w:t xml:space="preserve">. </w:t>
      </w:r>
    </w:p>
    <w:p w14:paraId="792ED797"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Alnoor, A., Khaw, K.W., Al-</w:t>
      </w:r>
      <w:proofErr w:type="spellStart"/>
      <w:r w:rsidRPr="001058F7">
        <w:rPr>
          <w:rFonts w:ascii="Times New Roman" w:hAnsi="Times New Roman" w:cs="Times New Roman"/>
        </w:rPr>
        <w:t>Abrrow</w:t>
      </w:r>
      <w:proofErr w:type="spellEnd"/>
      <w:r w:rsidRPr="001058F7">
        <w:rPr>
          <w:rFonts w:ascii="Times New Roman" w:hAnsi="Times New Roman" w:cs="Times New Roman"/>
        </w:rPr>
        <w:t xml:space="preserve">, H. and Alharbi, R.K. (2022). The Hybrid Strategy on the Basis of Miles and Snow and Porter’s strategies: an Overview of the Current state-of-the-art of Research. </w:t>
      </w:r>
      <w:r w:rsidRPr="001058F7">
        <w:rPr>
          <w:rFonts w:ascii="Times New Roman" w:hAnsi="Times New Roman" w:cs="Times New Roman"/>
          <w:i/>
          <w:iCs/>
        </w:rPr>
        <w:t>International Journal of Engineering Business Management</w:t>
      </w:r>
      <w:r w:rsidRPr="001058F7">
        <w:rPr>
          <w:rFonts w:ascii="Times New Roman" w:hAnsi="Times New Roman" w:cs="Times New Roman"/>
        </w:rPr>
        <w:t xml:space="preserve">, [online] 14(14), p.184797902210802. </w:t>
      </w:r>
      <w:proofErr w:type="spellStart"/>
      <w:proofErr w:type="gramStart"/>
      <w:r w:rsidRPr="001058F7">
        <w:rPr>
          <w:rFonts w:ascii="Times New Roman" w:hAnsi="Times New Roman" w:cs="Times New Roman"/>
        </w:rPr>
        <w:t>doi</w:t>
      </w:r>
      <w:proofErr w:type="spellEnd"/>
      <w:r w:rsidRPr="001058F7">
        <w:rPr>
          <w:rFonts w:ascii="Times New Roman" w:hAnsi="Times New Roman" w:cs="Times New Roman"/>
        </w:rPr>
        <w:t xml:space="preserve"> :</w:t>
      </w:r>
      <w:proofErr w:type="gramEnd"/>
      <w:r w:rsidRPr="001058F7">
        <w:rPr>
          <w:rFonts w:ascii="Times New Roman" w:hAnsi="Times New Roman" w:cs="Times New Roman"/>
        </w:rPr>
        <w:t xml:space="preserve"> </w:t>
      </w:r>
      <w:hyperlink r:id="rId10" w:history="1">
        <w:r w:rsidRPr="001058F7">
          <w:rPr>
            <w:rStyle w:val="Hyperlink"/>
            <w:rFonts w:ascii="Times New Roman" w:hAnsi="Times New Roman" w:cs="Times New Roman"/>
          </w:rPr>
          <w:t>https://journals.sagepub.com/doi/full/10.1177/18479790221080214</w:t>
        </w:r>
      </w:hyperlink>
      <w:r w:rsidRPr="001058F7">
        <w:rPr>
          <w:rFonts w:ascii="Times New Roman" w:hAnsi="Times New Roman" w:cs="Times New Roman"/>
        </w:rPr>
        <w:t xml:space="preserve">. </w:t>
      </w:r>
    </w:p>
    <w:p w14:paraId="1511B65E"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Bogg, M. and Edberg, A. (2022). </w:t>
      </w:r>
      <w:r w:rsidRPr="001058F7">
        <w:rPr>
          <w:rFonts w:ascii="Times New Roman" w:hAnsi="Times New Roman" w:cs="Times New Roman"/>
          <w:i/>
          <w:iCs/>
        </w:rPr>
        <w:t>The Creation of an Influencer Marketing Strategy to Favour Growth</w:t>
      </w:r>
      <w:r w:rsidRPr="001058F7">
        <w:rPr>
          <w:rFonts w:ascii="Times New Roman" w:hAnsi="Times New Roman" w:cs="Times New Roman"/>
        </w:rPr>
        <w:t xml:space="preserve">. [online] </w:t>
      </w:r>
      <w:r w:rsidRPr="001058F7">
        <w:rPr>
          <w:rFonts w:ascii="Times New Roman" w:hAnsi="Times New Roman" w:cs="Times New Roman"/>
          <w:i/>
          <w:iCs/>
        </w:rPr>
        <w:t>www.diva-portal.org</w:t>
      </w:r>
      <w:r w:rsidRPr="001058F7">
        <w:rPr>
          <w:rFonts w:ascii="Times New Roman" w:hAnsi="Times New Roman" w:cs="Times New Roman"/>
        </w:rPr>
        <w:t xml:space="preserve">. </w:t>
      </w:r>
      <w:proofErr w:type="spellStart"/>
      <w:proofErr w:type="gramStart"/>
      <w:r w:rsidRPr="001058F7">
        <w:rPr>
          <w:rFonts w:ascii="Times New Roman" w:hAnsi="Times New Roman" w:cs="Times New Roman"/>
        </w:rPr>
        <w:t>doi</w:t>
      </w:r>
      <w:proofErr w:type="spellEnd"/>
      <w:r w:rsidRPr="001058F7">
        <w:rPr>
          <w:rFonts w:ascii="Times New Roman" w:hAnsi="Times New Roman" w:cs="Times New Roman"/>
        </w:rPr>
        <w:t xml:space="preserve"> :</w:t>
      </w:r>
      <w:proofErr w:type="gramEnd"/>
      <w:r w:rsidRPr="001058F7">
        <w:rPr>
          <w:rFonts w:ascii="Times New Roman" w:hAnsi="Times New Roman" w:cs="Times New Roman"/>
        </w:rPr>
        <w:t xml:space="preserve"> </w:t>
      </w:r>
      <w:hyperlink r:id="rId11" w:history="1">
        <w:r w:rsidRPr="001058F7">
          <w:rPr>
            <w:rStyle w:val="Hyperlink"/>
            <w:rFonts w:ascii="Times New Roman" w:hAnsi="Times New Roman" w:cs="Times New Roman"/>
          </w:rPr>
          <w:t>https://www.diva-portal.org/smash/record.jsf?pid=diva2:1695955</w:t>
        </w:r>
      </w:hyperlink>
      <w:r w:rsidRPr="001058F7">
        <w:rPr>
          <w:rFonts w:ascii="Times New Roman" w:hAnsi="Times New Roman" w:cs="Times New Roman"/>
        </w:rPr>
        <w:t xml:space="preserve">. </w:t>
      </w:r>
    </w:p>
    <w:p w14:paraId="638DE706" w14:textId="77777777" w:rsidR="0066180B" w:rsidRPr="001058F7" w:rsidRDefault="0066180B" w:rsidP="0066180B">
      <w:pPr>
        <w:spacing w:line="360" w:lineRule="auto"/>
        <w:jc w:val="both"/>
        <w:rPr>
          <w:rFonts w:ascii="Times New Roman" w:hAnsi="Times New Roman" w:cs="Times New Roman"/>
        </w:rPr>
      </w:pPr>
      <w:proofErr w:type="spellStart"/>
      <w:r w:rsidRPr="001058F7">
        <w:rPr>
          <w:rFonts w:ascii="Times New Roman" w:hAnsi="Times New Roman" w:cs="Times New Roman"/>
        </w:rPr>
        <w:t>Brooksworth</w:t>
      </w:r>
      <w:proofErr w:type="spellEnd"/>
      <w:r w:rsidRPr="001058F7">
        <w:rPr>
          <w:rFonts w:ascii="Times New Roman" w:hAnsi="Times New Roman" w:cs="Times New Roman"/>
        </w:rPr>
        <w:t xml:space="preserve">, F., </w:t>
      </w:r>
      <w:proofErr w:type="spellStart"/>
      <w:r w:rsidRPr="001058F7">
        <w:rPr>
          <w:rFonts w:ascii="Times New Roman" w:hAnsi="Times New Roman" w:cs="Times New Roman"/>
        </w:rPr>
        <w:t>Mogaji</w:t>
      </w:r>
      <w:proofErr w:type="spellEnd"/>
      <w:r w:rsidRPr="001058F7">
        <w:rPr>
          <w:rFonts w:ascii="Times New Roman" w:hAnsi="Times New Roman" w:cs="Times New Roman"/>
        </w:rPr>
        <w:t xml:space="preserve">, E. and </w:t>
      </w:r>
      <w:proofErr w:type="spellStart"/>
      <w:r w:rsidRPr="001058F7">
        <w:rPr>
          <w:rFonts w:ascii="Times New Roman" w:hAnsi="Times New Roman" w:cs="Times New Roman"/>
        </w:rPr>
        <w:t>Bosah</w:t>
      </w:r>
      <w:proofErr w:type="spellEnd"/>
      <w:r w:rsidRPr="001058F7">
        <w:rPr>
          <w:rFonts w:ascii="Times New Roman" w:hAnsi="Times New Roman" w:cs="Times New Roman"/>
        </w:rPr>
        <w:t xml:space="preserve">, G. (2022). Fashion Marketing in Emerging Economies: An Introduction. </w:t>
      </w:r>
      <w:r w:rsidRPr="001058F7">
        <w:rPr>
          <w:rFonts w:ascii="Times New Roman" w:hAnsi="Times New Roman" w:cs="Times New Roman"/>
          <w:i/>
          <w:iCs/>
        </w:rPr>
        <w:t>Palgrave Studies of Marketing in Emerging Economies</w:t>
      </w:r>
      <w:r w:rsidRPr="001058F7">
        <w:rPr>
          <w:rFonts w:ascii="Times New Roman" w:hAnsi="Times New Roman" w:cs="Times New Roman"/>
        </w:rPr>
        <w:t xml:space="preserve">, pp.3–20.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2" w:history="1">
        <w:r w:rsidRPr="001058F7">
          <w:rPr>
            <w:rStyle w:val="Hyperlink"/>
            <w:rFonts w:ascii="Times New Roman" w:hAnsi="Times New Roman" w:cs="Times New Roman"/>
          </w:rPr>
          <w:t>https://doi.org/10.1007/978-3-031-07326-7_1</w:t>
        </w:r>
      </w:hyperlink>
      <w:r w:rsidRPr="001058F7">
        <w:rPr>
          <w:rFonts w:ascii="Times New Roman" w:hAnsi="Times New Roman" w:cs="Times New Roman"/>
        </w:rPr>
        <w:t xml:space="preserve">. </w:t>
      </w:r>
    </w:p>
    <w:p w14:paraId="55E4B7D5"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Gurnani, K. and Gupta, N. (2024). Factors Affecting Consumer Behaviour in Indian Fashion Retail Industry: A Study of Recent Trends and Preferences. </w:t>
      </w:r>
      <w:r w:rsidRPr="001058F7">
        <w:rPr>
          <w:rFonts w:ascii="Times New Roman" w:hAnsi="Times New Roman" w:cs="Times New Roman"/>
          <w:i/>
          <w:iCs/>
        </w:rPr>
        <w:t>IJFMR240218688</w:t>
      </w:r>
      <w:r w:rsidRPr="001058F7">
        <w:rPr>
          <w:rFonts w:ascii="Times New Roman" w:hAnsi="Times New Roman" w:cs="Times New Roman"/>
        </w:rPr>
        <w:t xml:space="preserve">, [online] 6(2).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3" w:history="1">
        <w:r w:rsidRPr="001058F7">
          <w:rPr>
            <w:rStyle w:val="Hyperlink"/>
            <w:rFonts w:ascii="Times New Roman" w:hAnsi="Times New Roman" w:cs="Times New Roman"/>
          </w:rPr>
          <w:t>https://pdfs.semanticscholar.org/317c/8279e2a4ce429dc238b5e425ea1a7b1189d2.pdf</w:t>
        </w:r>
      </w:hyperlink>
      <w:r w:rsidRPr="001058F7">
        <w:rPr>
          <w:rFonts w:ascii="Times New Roman" w:hAnsi="Times New Roman" w:cs="Times New Roman"/>
        </w:rPr>
        <w:t xml:space="preserve">. </w:t>
      </w:r>
    </w:p>
    <w:p w14:paraId="426D3A60"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Jane </w:t>
      </w:r>
      <w:proofErr w:type="spellStart"/>
      <w:r w:rsidRPr="001058F7">
        <w:rPr>
          <w:rFonts w:ascii="Times New Roman" w:hAnsi="Times New Roman" w:cs="Times New Roman"/>
        </w:rPr>
        <w:t>Owoloyi</w:t>
      </w:r>
      <w:proofErr w:type="spellEnd"/>
      <w:r w:rsidRPr="001058F7">
        <w:rPr>
          <w:rFonts w:ascii="Times New Roman" w:hAnsi="Times New Roman" w:cs="Times New Roman"/>
        </w:rPr>
        <w:t xml:space="preserve"> </w:t>
      </w:r>
      <w:proofErr w:type="spellStart"/>
      <w:r w:rsidRPr="001058F7">
        <w:rPr>
          <w:rFonts w:ascii="Times New Roman" w:hAnsi="Times New Roman" w:cs="Times New Roman"/>
        </w:rPr>
        <w:t>Obonyilo</w:t>
      </w:r>
      <w:proofErr w:type="spellEnd"/>
      <w:r w:rsidRPr="001058F7">
        <w:rPr>
          <w:rFonts w:ascii="Times New Roman" w:hAnsi="Times New Roman" w:cs="Times New Roman"/>
        </w:rPr>
        <w:t xml:space="preserve"> and Marciniak, R. (2023). Imperatives of Inclusive Policies on Growth and Challenges of the Fashion Industry in Sub-Saharan Africa. </w:t>
      </w:r>
      <w:r w:rsidRPr="001058F7">
        <w:rPr>
          <w:rFonts w:ascii="Times New Roman" w:hAnsi="Times New Roman" w:cs="Times New Roman"/>
          <w:i/>
          <w:iCs/>
        </w:rPr>
        <w:t>Emerald Publishing Limited eBooks</w:t>
      </w:r>
      <w:r w:rsidRPr="001058F7">
        <w:rPr>
          <w:rFonts w:ascii="Times New Roman" w:hAnsi="Times New Roman" w:cs="Times New Roman"/>
        </w:rPr>
        <w:t xml:space="preserve">, pp.155–170.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4" w:history="1">
        <w:r w:rsidRPr="001058F7">
          <w:rPr>
            <w:rStyle w:val="Hyperlink"/>
            <w:rFonts w:ascii="Times New Roman" w:hAnsi="Times New Roman" w:cs="Times New Roman"/>
          </w:rPr>
          <w:t>https://doi.org/10.1108/978-1-80382-345-420231013</w:t>
        </w:r>
      </w:hyperlink>
      <w:r w:rsidRPr="001058F7">
        <w:rPr>
          <w:rFonts w:ascii="Times New Roman" w:hAnsi="Times New Roman" w:cs="Times New Roman"/>
        </w:rPr>
        <w:t xml:space="preserve">. </w:t>
      </w:r>
    </w:p>
    <w:p w14:paraId="7365401A" w14:textId="77777777" w:rsidR="0066180B" w:rsidRPr="001058F7" w:rsidRDefault="0066180B" w:rsidP="0066180B">
      <w:pPr>
        <w:spacing w:line="360" w:lineRule="auto"/>
        <w:jc w:val="both"/>
        <w:rPr>
          <w:rFonts w:ascii="Times New Roman" w:hAnsi="Times New Roman" w:cs="Times New Roman"/>
        </w:rPr>
      </w:pPr>
      <w:proofErr w:type="spellStart"/>
      <w:r w:rsidRPr="001058F7">
        <w:rPr>
          <w:rFonts w:ascii="Times New Roman" w:hAnsi="Times New Roman" w:cs="Times New Roman"/>
        </w:rPr>
        <w:t>Mitterfellner</w:t>
      </w:r>
      <w:proofErr w:type="spellEnd"/>
      <w:r w:rsidRPr="001058F7">
        <w:rPr>
          <w:rFonts w:ascii="Times New Roman" w:hAnsi="Times New Roman" w:cs="Times New Roman"/>
        </w:rPr>
        <w:t xml:space="preserve">, O. (2024). Fashion Marketing and Communications.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5" w:history="1">
        <w:r w:rsidRPr="001058F7">
          <w:rPr>
            <w:rStyle w:val="Hyperlink"/>
            <w:rFonts w:ascii="Times New Roman" w:hAnsi="Times New Roman" w:cs="Times New Roman"/>
          </w:rPr>
          <w:t>https://doi.org/10.4324/9781003449157</w:t>
        </w:r>
      </w:hyperlink>
      <w:r w:rsidRPr="001058F7">
        <w:rPr>
          <w:rFonts w:ascii="Times New Roman" w:hAnsi="Times New Roman" w:cs="Times New Roman"/>
        </w:rPr>
        <w:t xml:space="preserve">. </w:t>
      </w:r>
    </w:p>
    <w:p w14:paraId="0E590D60"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Reksoprodjo, A., Rifqi, H. and Khadijah, M. (2022). </w:t>
      </w:r>
      <w:r w:rsidRPr="001058F7">
        <w:rPr>
          <w:rFonts w:ascii="Times New Roman" w:hAnsi="Times New Roman" w:cs="Times New Roman"/>
          <w:i/>
          <w:iCs/>
        </w:rPr>
        <w:t>Comparison of Porter’s Generic Strategies in Indonesia’s Fashion Retail Companies: A Case Study</w:t>
      </w:r>
      <w:r w:rsidRPr="001058F7">
        <w:rPr>
          <w:rFonts w:ascii="Times New Roman" w:hAnsi="Times New Roman" w:cs="Times New Roman"/>
        </w:rPr>
        <w:t xml:space="preserve">. [online]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6" w:history="1">
        <w:r w:rsidRPr="001058F7">
          <w:rPr>
            <w:rStyle w:val="Hyperlink"/>
            <w:rFonts w:ascii="Times New Roman" w:hAnsi="Times New Roman" w:cs="Times New Roman"/>
          </w:rPr>
          <w:t>https://ieomsociety.org/proceedings/2022rome/161.pdf</w:t>
        </w:r>
      </w:hyperlink>
      <w:r w:rsidRPr="001058F7">
        <w:rPr>
          <w:rFonts w:ascii="Times New Roman" w:hAnsi="Times New Roman" w:cs="Times New Roman"/>
        </w:rPr>
        <w:t xml:space="preserve">. </w:t>
      </w:r>
    </w:p>
    <w:p w14:paraId="0962CCF5"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Singh, R. and Shrestha, A. (2022). Namuna College of Fashion Technology: Pioneering in Fashion and Textile Education in Nepal. </w:t>
      </w:r>
      <w:r w:rsidRPr="001058F7">
        <w:rPr>
          <w:rFonts w:ascii="Times New Roman" w:hAnsi="Times New Roman" w:cs="Times New Roman"/>
          <w:i/>
          <w:iCs/>
        </w:rPr>
        <w:t>Textile science and clothing technology</w:t>
      </w:r>
      <w:r w:rsidRPr="001058F7">
        <w:rPr>
          <w:rFonts w:ascii="Times New Roman" w:hAnsi="Times New Roman" w:cs="Times New Roman"/>
        </w:rPr>
        <w:t xml:space="preserve">, pp.103–118.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7" w:history="1">
        <w:r w:rsidRPr="001058F7">
          <w:rPr>
            <w:rStyle w:val="Hyperlink"/>
            <w:rFonts w:ascii="Times New Roman" w:hAnsi="Times New Roman" w:cs="Times New Roman"/>
          </w:rPr>
          <w:t>https://doi.org/10.1007/978-981-16-8854-6_6</w:t>
        </w:r>
      </w:hyperlink>
      <w:r w:rsidRPr="001058F7">
        <w:rPr>
          <w:rFonts w:ascii="Times New Roman" w:hAnsi="Times New Roman" w:cs="Times New Roman"/>
        </w:rPr>
        <w:t xml:space="preserve">. </w:t>
      </w:r>
    </w:p>
    <w:p w14:paraId="2E5D8582"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Tolstoy, D., </w:t>
      </w:r>
      <w:proofErr w:type="spellStart"/>
      <w:r w:rsidRPr="001058F7">
        <w:rPr>
          <w:rFonts w:ascii="Times New Roman" w:hAnsi="Times New Roman" w:cs="Times New Roman"/>
        </w:rPr>
        <w:t>Hånell</w:t>
      </w:r>
      <w:proofErr w:type="spellEnd"/>
      <w:r w:rsidRPr="001058F7">
        <w:rPr>
          <w:rFonts w:ascii="Times New Roman" w:hAnsi="Times New Roman" w:cs="Times New Roman"/>
        </w:rPr>
        <w:t xml:space="preserve">, S.M. and Ghauri, P.N. (2024). EXPRESS: Unpacking the Role of Ethical Leadership in the Era of Sustainable Development Goals and Values-based Marketing. </w:t>
      </w:r>
      <w:r w:rsidRPr="001058F7">
        <w:rPr>
          <w:rFonts w:ascii="Times New Roman" w:hAnsi="Times New Roman" w:cs="Times New Roman"/>
          <w:i/>
          <w:iCs/>
        </w:rPr>
        <w:t>Journal of International Marketing</w:t>
      </w:r>
      <w:r w:rsidRPr="001058F7">
        <w:rPr>
          <w:rFonts w:ascii="Times New Roman" w:hAnsi="Times New Roman" w:cs="Times New Roman"/>
        </w:rPr>
        <w:t xml:space="preserve">, 33(2).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8" w:history="1">
        <w:r w:rsidRPr="001058F7">
          <w:rPr>
            <w:rStyle w:val="Hyperlink"/>
            <w:rFonts w:ascii="Times New Roman" w:hAnsi="Times New Roman" w:cs="Times New Roman"/>
          </w:rPr>
          <w:t>https://doi.org/10.1177/1069031x241296468</w:t>
        </w:r>
      </w:hyperlink>
      <w:r w:rsidRPr="001058F7">
        <w:rPr>
          <w:rFonts w:ascii="Times New Roman" w:hAnsi="Times New Roman" w:cs="Times New Roman"/>
        </w:rPr>
        <w:t xml:space="preserve">. </w:t>
      </w:r>
    </w:p>
    <w:p w14:paraId="54D79009" w14:textId="77777777" w:rsidR="0066180B" w:rsidRPr="001058F7" w:rsidRDefault="0066180B" w:rsidP="0066180B">
      <w:pPr>
        <w:spacing w:line="360" w:lineRule="auto"/>
        <w:jc w:val="both"/>
        <w:rPr>
          <w:rFonts w:ascii="Times New Roman" w:hAnsi="Times New Roman" w:cs="Times New Roman"/>
        </w:rPr>
      </w:pPr>
      <w:proofErr w:type="spellStart"/>
      <w:r w:rsidRPr="001058F7">
        <w:rPr>
          <w:rFonts w:ascii="Times New Roman" w:hAnsi="Times New Roman" w:cs="Times New Roman"/>
        </w:rPr>
        <w:lastRenderedPageBreak/>
        <w:t>Vehbi</w:t>
      </w:r>
      <w:proofErr w:type="spellEnd"/>
      <w:r w:rsidRPr="001058F7">
        <w:rPr>
          <w:rFonts w:ascii="Times New Roman" w:hAnsi="Times New Roman" w:cs="Times New Roman"/>
        </w:rPr>
        <w:t xml:space="preserve">, A., </w:t>
      </w:r>
      <w:proofErr w:type="spellStart"/>
      <w:r w:rsidRPr="001058F7">
        <w:rPr>
          <w:rFonts w:ascii="Times New Roman" w:hAnsi="Times New Roman" w:cs="Times New Roman"/>
        </w:rPr>
        <w:t>Farmanesh</w:t>
      </w:r>
      <w:proofErr w:type="spellEnd"/>
      <w:r w:rsidRPr="001058F7">
        <w:rPr>
          <w:rFonts w:ascii="Times New Roman" w:hAnsi="Times New Roman" w:cs="Times New Roman"/>
        </w:rPr>
        <w:t xml:space="preserve">, P. and </w:t>
      </w:r>
      <w:proofErr w:type="spellStart"/>
      <w:r w:rsidRPr="001058F7">
        <w:rPr>
          <w:rFonts w:ascii="Times New Roman" w:hAnsi="Times New Roman" w:cs="Times New Roman"/>
        </w:rPr>
        <w:t>Solati</w:t>
      </w:r>
      <w:proofErr w:type="spellEnd"/>
      <w:r w:rsidRPr="001058F7">
        <w:rPr>
          <w:rFonts w:ascii="Times New Roman" w:hAnsi="Times New Roman" w:cs="Times New Roman"/>
        </w:rPr>
        <w:t xml:space="preserve"> Dehkordi, N. (2025). Nexus Amid Green Marketing, Green Business Strategy, and Competitive Business Among the Fashion Industry: Does Environmental Turbulence Matter? </w:t>
      </w:r>
      <w:r w:rsidRPr="001058F7">
        <w:rPr>
          <w:rFonts w:ascii="Times New Roman" w:hAnsi="Times New Roman" w:cs="Times New Roman"/>
          <w:i/>
          <w:iCs/>
        </w:rPr>
        <w:t>Sustainability</w:t>
      </w:r>
      <w:r w:rsidRPr="001058F7">
        <w:rPr>
          <w:rFonts w:ascii="Times New Roman" w:hAnsi="Times New Roman" w:cs="Times New Roman"/>
        </w:rPr>
        <w:t xml:space="preserve">, [online] 17(5), p.1769.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19" w:history="1">
        <w:r w:rsidRPr="001058F7">
          <w:rPr>
            <w:rStyle w:val="Hyperlink"/>
            <w:rFonts w:ascii="Times New Roman" w:hAnsi="Times New Roman" w:cs="Times New Roman"/>
          </w:rPr>
          <w:t>https://doi.org/10.3390/su17051769</w:t>
        </w:r>
      </w:hyperlink>
      <w:r w:rsidRPr="001058F7">
        <w:rPr>
          <w:rFonts w:ascii="Times New Roman" w:hAnsi="Times New Roman" w:cs="Times New Roman"/>
        </w:rPr>
        <w:t xml:space="preserve">. </w:t>
      </w:r>
    </w:p>
    <w:p w14:paraId="6CBD91DE" w14:textId="77777777" w:rsidR="0066180B" w:rsidRPr="001058F7" w:rsidRDefault="0066180B" w:rsidP="0066180B">
      <w:pPr>
        <w:spacing w:line="360" w:lineRule="auto"/>
        <w:jc w:val="both"/>
        <w:rPr>
          <w:rFonts w:ascii="Times New Roman" w:hAnsi="Times New Roman" w:cs="Times New Roman"/>
        </w:rPr>
      </w:pPr>
      <w:r w:rsidRPr="001058F7">
        <w:rPr>
          <w:rFonts w:ascii="Times New Roman" w:hAnsi="Times New Roman" w:cs="Times New Roman"/>
        </w:rPr>
        <w:t xml:space="preserve">Vladimirova, K., Henninger, C.E., Alosaimi, S., Brydges, T., </w:t>
      </w:r>
      <w:proofErr w:type="spellStart"/>
      <w:r w:rsidRPr="001058F7">
        <w:rPr>
          <w:rFonts w:ascii="Times New Roman" w:hAnsi="Times New Roman" w:cs="Times New Roman"/>
        </w:rPr>
        <w:t>Choopani</w:t>
      </w:r>
      <w:proofErr w:type="spellEnd"/>
      <w:r w:rsidRPr="001058F7">
        <w:rPr>
          <w:rFonts w:ascii="Times New Roman" w:hAnsi="Times New Roman" w:cs="Times New Roman"/>
        </w:rPr>
        <w:t xml:space="preserve">, H., Hanlon, M., Iran, S., McCormick, H. and Zhou, S. (2023). Exploring the Influence of </w:t>
      </w:r>
      <w:proofErr w:type="gramStart"/>
      <w:r w:rsidRPr="001058F7">
        <w:rPr>
          <w:rFonts w:ascii="Times New Roman" w:hAnsi="Times New Roman" w:cs="Times New Roman"/>
        </w:rPr>
        <w:t>Social Media</w:t>
      </w:r>
      <w:proofErr w:type="gramEnd"/>
      <w:r w:rsidRPr="001058F7">
        <w:rPr>
          <w:rFonts w:ascii="Times New Roman" w:hAnsi="Times New Roman" w:cs="Times New Roman"/>
        </w:rPr>
        <w:t xml:space="preserve"> on Sustainable Fashion consumption: a Systematic Literature Review and Future Research Agenda. </w:t>
      </w:r>
      <w:r w:rsidRPr="001058F7">
        <w:rPr>
          <w:rFonts w:ascii="Times New Roman" w:hAnsi="Times New Roman" w:cs="Times New Roman"/>
          <w:i/>
          <w:iCs/>
        </w:rPr>
        <w:t>Journal of Global Fashion Marketing</w:t>
      </w:r>
      <w:r w:rsidRPr="001058F7">
        <w:rPr>
          <w:rFonts w:ascii="Times New Roman" w:hAnsi="Times New Roman" w:cs="Times New Roman"/>
        </w:rPr>
        <w:t xml:space="preserve">, 15(2), pp.181–202. </w:t>
      </w:r>
      <w:proofErr w:type="spellStart"/>
      <w:r w:rsidRPr="001058F7">
        <w:rPr>
          <w:rFonts w:ascii="Times New Roman" w:hAnsi="Times New Roman" w:cs="Times New Roman"/>
        </w:rPr>
        <w:t>doi</w:t>
      </w:r>
      <w:proofErr w:type="spellEnd"/>
      <w:r w:rsidRPr="001058F7">
        <w:rPr>
          <w:rFonts w:ascii="Times New Roman" w:hAnsi="Times New Roman" w:cs="Times New Roman"/>
        </w:rPr>
        <w:t xml:space="preserve">: </w:t>
      </w:r>
      <w:hyperlink r:id="rId20" w:history="1">
        <w:r w:rsidRPr="001058F7">
          <w:rPr>
            <w:rStyle w:val="Hyperlink"/>
            <w:rFonts w:ascii="Times New Roman" w:hAnsi="Times New Roman" w:cs="Times New Roman"/>
          </w:rPr>
          <w:t>https://doi.org/10.1080/20932685.2023.2237978</w:t>
        </w:r>
      </w:hyperlink>
      <w:r w:rsidRPr="001058F7">
        <w:rPr>
          <w:rFonts w:ascii="Times New Roman" w:hAnsi="Times New Roman" w:cs="Times New Roman"/>
        </w:rPr>
        <w:t xml:space="preserve">. </w:t>
      </w:r>
    </w:p>
    <w:p w14:paraId="3F91E15E" w14:textId="77777777" w:rsidR="0066180B" w:rsidRPr="001058F7" w:rsidRDefault="0066180B" w:rsidP="0066180B">
      <w:pPr>
        <w:spacing w:line="360" w:lineRule="auto"/>
        <w:jc w:val="both"/>
        <w:rPr>
          <w:rFonts w:ascii="Times New Roman" w:hAnsi="Times New Roman" w:cs="Times New Roman"/>
          <w:b/>
          <w:bCs/>
        </w:rPr>
      </w:pPr>
      <w:r w:rsidRPr="001058F7">
        <w:rPr>
          <w:rFonts w:ascii="Times New Roman" w:hAnsi="Times New Roman" w:cs="Times New Roman"/>
          <w:b/>
          <w:bCs/>
        </w:rPr>
        <w:br w:type="page"/>
      </w:r>
    </w:p>
    <w:p w14:paraId="5A7FA664" w14:textId="77777777" w:rsidR="0066180B" w:rsidRPr="001058F7" w:rsidRDefault="0066180B" w:rsidP="0066180B">
      <w:pPr>
        <w:pStyle w:val="Heading1"/>
      </w:pPr>
      <w:bookmarkStart w:id="14" w:name="_Toc213499674"/>
      <w:r w:rsidRPr="001058F7">
        <w:lastRenderedPageBreak/>
        <w:t>Appendix</w:t>
      </w:r>
      <w:bookmarkEnd w:id="14"/>
    </w:p>
    <w:p w14:paraId="6E1F42F6" w14:textId="77777777" w:rsidR="0066180B" w:rsidRPr="001058F7" w:rsidRDefault="0066180B" w:rsidP="0066180B">
      <w:pPr>
        <w:spacing w:line="360" w:lineRule="auto"/>
        <w:jc w:val="both"/>
        <w:rPr>
          <w:rFonts w:ascii="Times New Roman" w:hAnsi="Times New Roman" w:cs="Times New Roman"/>
          <w:noProof/>
        </w:rPr>
      </w:pPr>
    </w:p>
    <w:p w14:paraId="4058C224" w14:textId="77777777" w:rsidR="0066180B" w:rsidRDefault="0066180B" w:rsidP="0066180B">
      <w:pPr>
        <w:spacing w:line="360" w:lineRule="auto"/>
        <w:jc w:val="both"/>
        <w:rPr>
          <w:rFonts w:ascii="Times New Roman" w:hAnsi="Times New Roman" w:cs="Times New Roman"/>
        </w:rPr>
      </w:pPr>
      <w:r w:rsidRPr="001058F7">
        <w:rPr>
          <w:rFonts w:ascii="Times New Roman" w:hAnsi="Times New Roman" w:cs="Times New Roman"/>
          <w:noProof/>
        </w:rPr>
        <w:drawing>
          <wp:inline distT="0" distB="0" distL="0" distR="0" wp14:anchorId="29E3E475" wp14:editId="660071C9">
            <wp:extent cx="3738972" cy="2103120"/>
            <wp:effectExtent l="0" t="0" r="0" b="0"/>
            <wp:docPr id="1820566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42374" cy="2105034"/>
                    </a:xfrm>
                    <a:prstGeom prst="rect">
                      <a:avLst/>
                    </a:prstGeom>
                    <a:noFill/>
                    <a:ln>
                      <a:noFill/>
                    </a:ln>
                  </pic:spPr>
                </pic:pic>
              </a:graphicData>
            </a:graphic>
          </wp:inline>
        </w:drawing>
      </w:r>
      <w:r w:rsidRPr="001058F7">
        <w:rPr>
          <w:rFonts w:ascii="Times New Roman" w:hAnsi="Times New Roman" w:cs="Times New Roman"/>
          <w:noProof/>
        </w:rPr>
        <w:drawing>
          <wp:inline distT="0" distB="0" distL="0" distR="0" wp14:anchorId="34DAF7B2" wp14:editId="4F5D404E">
            <wp:extent cx="4291330" cy="3077529"/>
            <wp:effectExtent l="0" t="0" r="0" b="8890"/>
            <wp:docPr id="2991922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51" cy="3080699"/>
                    </a:xfrm>
                    <a:prstGeom prst="rect">
                      <a:avLst/>
                    </a:prstGeom>
                    <a:noFill/>
                    <a:ln>
                      <a:noFill/>
                    </a:ln>
                  </pic:spPr>
                </pic:pic>
              </a:graphicData>
            </a:graphic>
          </wp:inline>
        </w:drawing>
      </w:r>
    </w:p>
    <w:p w14:paraId="281CB2C6" w14:textId="77777777" w:rsidR="0066180B" w:rsidRPr="001058F7" w:rsidRDefault="0066180B" w:rsidP="0066180B">
      <w:pPr>
        <w:spacing w:line="360" w:lineRule="auto"/>
        <w:jc w:val="both"/>
        <w:rPr>
          <w:rFonts w:ascii="Times New Roman" w:hAnsi="Times New Roman" w:cs="Times New Roman"/>
        </w:rPr>
      </w:pPr>
      <w:r>
        <w:rPr>
          <w:noProof/>
        </w:rPr>
        <w:lastRenderedPageBreak/>
        <w:drawing>
          <wp:inline distT="0" distB="0" distL="0" distR="0" wp14:anchorId="4778C59B" wp14:editId="7F4199E8">
            <wp:extent cx="3445510" cy="1938052"/>
            <wp:effectExtent l="0" t="0" r="2540" b="5080"/>
            <wp:docPr id="1824594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49645" cy="1940378"/>
                    </a:xfrm>
                    <a:prstGeom prst="rect">
                      <a:avLst/>
                    </a:prstGeom>
                    <a:noFill/>
                    <a:ln>
                      <a:noFill/>
                    </a:ln>
                  </pic:spPr>
                </pic:pic>
              </a:graphicData>
            </a:graphic>
          </wp:inline>
        </w:drawing>
      </w:r>
      <w:r w:rsidRPr="00D86F77">
        <w:rPr>
          <w:rFonts w:ascii="Times New Roman" w:hAnsi="Times New Roman" w:cs="Times New Roman"/>
          <w:b/>
          <w:bCs/>
          <w:noProof/>
        </w:rPr>
        <w:drawing>
          <wp:inline distT="0" distB="0" distL="0" distR="0" wp14:anchorId="12BA47E1" wp14:editId="0F643A1D">
            <wp:extent cx="5115639" cy="4286848"/>
            <wp:effectExtent l="0" t="0" r="8890" b="0"/>
            <wp:docPr id="633653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48186" name=""/>
                    <pic:cNvPicPr/>
                  </pic:nvPicPr>
                  <pic:blipFill>
                    <a:blip r:embed="rId7"/>
                    <a:stretch>
                      <a:fillRect/>
                    </a:stretch>
                  </pic:blipFill>
                  <pic:spPr>
                    <a:xfrm>
                      <a:off x="0" y="0"/>
                      <a:ext cx="5115639" cy="4286848"/>
                    </a:xfrm>
                    <a:prstGeom prst="rect">
                      <a:avLst/>
                    </a:prstGeom>
                  </pic:spPr>
                </pic:pic>
              </a:graphicData>
            </a:graphic>
          </wp:inline>
        </w:drawing>
      </w:r>
    </w:p>
    <w:p w14:paraId="70032BA5" w14:textId="77777777" w:rsidR="0066180B" w:rsidRPr="001058F7" w:rsidRDefault="0066180B" w:rsidP="0066180B">
      <w:pPr>
        <w:spacing w:line="360" w:lineRule="auto"/>
        <w:jc w:val="both"/>
        <w:rPr>
          <w:rFonts w:ascii="Times New Roman" w:hAnsi="Times New Roman" w:cs="Times New Roman"/>
        </w:rPr>
      </w:pPr>
    </w:p>
    <w:p w14:paraId="6C9F1451" w14:textId="77777777" w:rsidR="009F6CDA" w:rsidRDefault="009F6CDA"/>
    <w:sectPr w:rsidR="009F6C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CDA"/>
    <w:rsid w:val="00072641"/>
    <w:rsid w:val="001143E9"/>
    <w:rsid w:val="00115E71"/>
    <w:rsid w:val="001B268F"/>
    <w:rsid w:val="003C2510"/>
    <w:rsid w:val="006073B8"/>
    <w:rsid w:val="0066180B"/>
    <w:rsid w:val="006B6FF8"/>
    <w:rsid w:val="008C6F12"/>
    <w:rsid w:val="009F6CDA"/>
    <w:rsid w:val="00B10A01"/>
    <w:rsid w:val="00CA1F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B6D1D"/>
  <w15:chartTrackingRefBased/>
  <w15:docId w15:val="{4E5133D7-A305-418A-805D-BAC54C437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CDA"/>
    <w:pPr>
      <w:spacing w:after="0" w:line="240" w:lineRule="auto"/>
    </w:pPr>
    <w:rPr>
      <w:sz w:val="24"/>
      <w:szCs w:val="24"/>
      <w:lang w:val="en-GB"/>
    </w:rPr>
  </w:style>
  <w:style w:type="paragraph" w:styleId="Heading1">
    <w:name w:val="heading 1"/>
    <w:basedOn w:val="Normal"/>
    <w:next w:val="Normal"/>
    <w:link w:val="Heading1Char"/>
    <w:uiPriority w:val="9"/>
    <w:qFormat/>
    <w:rsid w:val="009F6CDA"/>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n-IN"/>
    </w:rPr>
  </w:style>
  <w:style w:type="paragraph" w:styleId="Heading2">
    <w:name w:val="heading 2"/>
    <w:basedOn w:val="Normal"/>
    <w:next w:val="Normal"/>
    <w:link w:val="Heading2Char"/>
    <w:uiPriority w:val="9"/>
    <w:semiHidden/>
    <w:unhideWhenUsed/>
    <w:qFormat/>
    <w:rsid w:val="009F6CDA"/>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n-IN"/>
    </w:rPr>
  </w:style>
  <w:style w:type="paragraph" w:styleId="Heading3">
    <w:name w:val="heading 3"/>
    <w:basedOn w:val="Normal"/>
    <w:next w:val="Normal"/>
    <w:link w:val="Heading3Char"/>
    <w:uiPriority w:val="9"/>
    <w:semiHidden/>
    <w:unhideWhenUsed/>
    <w:qFormat/>
    <w:rsid w:val="009F6CDA"/>
    <w:pPr>
      <w:keepNext/>
      <w:keepLines/>
      <w:spacing w:before="160" w:after="80" w:line="259" w:lineRule="auto"/>
      <w:outlineLvl w:val="2"/>
    </w:pPr>
    <w:rPr>
      <w:rFonts w:eastAsiaTheme="majorEastAsia" w:cstheme="majorBidi"/>
      <w:color w:val="2F5496" w:themeColor="accent1" w:themeShade="BF"/>
      <w:sz w:val="28"/>
      <w:szCs w:val="28"/>
      <w:lang w:val="en-IN"/>
    </w:rPr>
  </w:style>
  <w:style w:type="paragraph" w:styleId="Heading4">
    <w:name w:val="heading 4"/>
    <w:basedOn w:val="Normal"/>
    <w:next w:val="Normal"/>
    <w:link w:val="Heading4Char"/>
    <w:uiPriority w:val="9"/>
    <w:semiHidden/>
    <w:unhideWhenUsed/>
    <w:qFormat/>
    <w:rsid w:val="009F6CDA"/>
    <w:pPr>
      <w:keepNext/>
      <w:keepLines/>
      <w:spacing w:before="80" w:after="40" w:line="259" w:lineRule="auto"/>
      <w:outlineLvl w:val="3"/>
    </w:pPr>
    <w:rPr>
      <w:rFonts w:eastAsiaTheme="majorEastAsia" w:cstheme="majorBidi"/>
      <w:i/>
      <w:iCs/>
      <w:color w:val="2F5496" w:themeColor="accent1" w:themeShade="BF"/>
      <w:sz w:val="22"/>
      <w:szCs w:val="22"/>
      <w:lang w:val="en-IN"/>
    </w:rPr>
  </w:style>
  <w:style w:type="paragraph" w:styleId="Heading5">
    <w:name w:val="heading 5"/>
    <w:basedOn w:val="Normal"/>
    <w:next w:val="Normal"/>
    <w:link w:val="Heading5Char"/>
    <w:uiPriority w:val="9"/>
    <w:semiHidden/>
    <w:unhideWhenUsed/>
    <w:qFormat/>
    <w:rsid w:val="009F6CDA"/>
    <w:pPr>
      <w:keepNext/>
      <w:keepLines/>
      <w:spacing w:before="80" w:after="40" w:line="259" w:lineRule="auto"/>
      <w:outlineLvl w:val="4"/>
    </w:pPr>
    <w:rPr>
      <w:rFonts w:eastAsiaTheme="majorEastAsia" w:cstheme="majorBidi"/>
      <w:color w:val="2F5496" w:themeColor="accent1" w:themeShade="BF"/>
      <w:sz w:val="22"/>
      <w:szCs w:val="22"/>
      <w:lang w:val="en-IN"/>
    </w:rPr>
  </w:style>
  <w:style w:type="paragraph" w:styleId="Heading6">
    <w:name w:val="heading 6"/>
    <w:basedOn w:val="Normal"/>
    <w:next w:val="Normal"/>
    <w:link w:val="Heading6Char"/>
    <w:uiPriority w:val="9"/>
    <w:semiHidden/>
    <w:unhideWhenUsed/>
    <w:qFormat/>
    <w:rsid w:val="009F6CDA"/>
    <w:pPr>
      <w:keepNext/>
      <w:keepLines/>
      <w:spacing w:before="40" w:line="259" w:lineRule="auto"/>
      <w:outlineLvl w:val="5"/>
    </w:pPr>
    <w:rPr>
      <w:rFonts w:eastAsiaTheme="majorEastAsia" w:cstheme="majorBidi"/>
      <w:i/>
      <w:iCs/>
      <w:color w:val="595959" w:themeColor="text1" w:themeTint="A6"/>
      <w:sz w:val="22"/>
      <w:szCs w:val="22"/>
      <w:lang w:val="en-IN"/>
    </w:rPr>
  </w:style>
  <w:style w:type="paragraph" w:styleId="Heading7">
    <w:name w:val="heading 7"/>
    <w:basedOn w:val="Normal"/>
    <w:next w:val="Normal"/>
    <w:link w:val="Heading7Char"/>
    <w:uiPriority w:val="9"/>
    <w:semiHidden/>
    <w:unhideWhenUsed/>
    <w:qFormat/>
    <w:rsid w:val="009F6CDA"/>
    <w:pPr>
      <w:keepNext/>
      <w:keepLines/>
      <w:spacing w:before="40" w:line="259" w:lineRule="auto"/>
      <w:outlineLvl w:val="6"/>
    </w:pPr>
    <w:rPr>
      <w:rFonts w:eastAsiaTheme="majorEastAsia" w:cstheme="majorBidi"/>
      <w:color w:val="595959" w:themeColor="text1" w:themeTint="A6"/>
      <w:sz w:val="22"/>
      <w:szCs w:val="22"/>
      <w:lang w:val="en-IN"/>
    </w:rPr>
  </w:style>
  <w:style w:type="paragraph" w:styleId="Heading8">
    <w:name w:val="heading 8"/>
    <w:basedOn w:val="Normal"/>
    <w:next w:val="Normal"/>
    <w:link w:val="Heading8Char"/>
    <w:uiPriority w:val="9"/>
    <w:semiHidden/>
    <w:unhideWhenUsed/>
    <w:qFormat/>
    <w:rsid w:val="009F6CDA"/>
    <w:pPr>
      <w:keepNext/>
      <w:keepLines/>
      <w:spacing w:line="259" w:lineRule="auto"/>
      <w:outlineLvl w:val="7"/>
    </w:pPr>
    <w:rPr>
      <w:rFonts w:eastAsiaTheme="majorEastAsia" w:cstheme="majorBidi"/>
      <w:i/>
      <w:iCs/>
      <w:color w:val="272727" w:themeColor="text1" w:themeTint="D8"/>
      <w:sz w:val="22"/>
      <w:szCs w:val="22"/>
      <w:lang w:val="en-IN"/>
    </w:rPr>
  </w:style>
  <w:style w:type="paragraph" w:styleId="Heading9">
    <w:name w:val="heading 9"/>
    <w:basedOn w:val="Normal"/>
    <w:next w:val="Normal"/>
    <w:link w:val="Heading9Char"/>
    <w:uiPriority w:val="9"/>
    <w:semiHidden/>
    <w:unhideWhenUsed/>
    <w:qFormat/>
    <w:rsid w:val="009F6CDA"/>
    <w:pPr>
      <w:keepNext/>
      <w:keepLines/>
      <w:spacing w:line="259" w:lineRule="auto"/>
      <w:outlineLvl w:val="8"/>
    </w:pPr>
    <w:rPr>
      <w:rFonts w:eastAsiaTheme="majorEastAsia" w:cstheme="majorBidi"/>
      <w:color w:val="272727" w:themeColor="text1" w:themeTint="D8"/>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C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6C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6C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6C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6C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6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CDA"/>
    <w:rPr>
      <w:rFonts w:eastAsiaTheme="majorEastAsia" w:cstheme="majorBidi"/>
      <w:color w:val="272727" w:themeColor="text1" w:themeTint="D8"/>
    </w:rPr>
  </w:style>
  <w:style w:type="paragraph" w:styleId="Title">
    <w:name w:val="Title"/>
    <w:basedOn w:val="Normal"/>
    <w:next w:val="Normal"/>
    <w:link w:val="TitleChar"/>
    <w:uiPriority w:val="10"/>
    <w:qFormat/>
    <w:rsid w:val="009F6CDA"/>
    <w:pPr>
      <w:spacing w:after="80"/>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9F6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CDA"/>
    <w:pPr>
      <w:numPr>
        <w:ilvl w:val="1"/>
      </w:numPr>
      <w:spacing w:after="160" w:line="259" w:lineRule="auto"/>
    </w:pPr>
    <w:rPr>
      <w:rFonts w:eastAsiaTheme="majorEastAsia" w:cstheme="majorBidi"/>
      <w:color w:val="595959" w:themeColor="text1" w:themeTint="A6"/>
      <w:spacing w:val="15"/>
      <w:sz w:val="28"/>
      <w:szCs w:val="28"/>
      <w:lang w:val="en-IN"/>
    </w:rPr>
  </w:style>
  <w:style w:type="character" w:customStyle="1" w:styleId="SubtitleChar">
    <w:name w:val="Subtitle Char"/>
    <w:basedOn w:val="DefaultParagraphFont"/>
    <w:link w:val="Subtitle"/>
    <w:uiPriority w:val="11"/>
    <w:rsid w:val="009F6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CDA"/>
    <w:pPr>
      <w:spacing w:before="160" w:after="160" w:line="259" w:lineRule="auto"/>
      <w:jc w:val="center"/>
    </w:pPr>
    <w:rPr>
      <w:i/>
      <w:iCs/>
      <w:color w:val="404040" w:themeColor="text1" w:themeTint="BF"/>
      <w:sz w:val="22"/>
      <w:szCs w:val="22"/>
      <w:lang w:val="en-IN"/>
    </w:rPr>
  </w:style>
  <w:style w:type="character" w:customStyle="1" w:styleId="QuoteChar">
    <w:name w:val="Quote Char"/>
    <w:basedOn w:val="DefaultParagraphFont"/>
    <w:link w:val="Quote"/>
    <w:uiPriority w:val="29"/>
    <w:rsid w:val="009F6CDA"/>
    <w:rPr>
      <w:i/>
      <w:iCs/>
      <w:color w:val="404040" w:themeColor="text1" w:themeTint="BF"/>
    </w:rPr>
  </w:style>
  <w:style w:type="paragraph" w:styleId="ListParagraph">
    <w:name w:val="List Paragraph"/>
    <w:basedOn w:val="Normal"/>
    <w:uiPriority w:val="34"/>
    <w:qFormat/>
    <w:rsid w:val="009F6CDA"/>
    <w:pPr>
      <w:spacing w:after="160" w:line="259" w:lineRule="auto"/>
      <w:ind w:left="720"/>
      <w:contextualSpacing/>
    </w:pPr>
    <w:rPr>
      <w:sz w:val="22"/>
      <w:szCs w:val="22"/>
      <w:lang w:val="en-IN"/>
    </w:rPr>
  </w:style>
  <w:style w:type="character" w:styleId="IntenseEmphasis">
    <w:name w:val="Intense Emphasis"/>
    <w:basedOn w:val="DefaultParagraphFont"/>
    <w:uiPriority w:val="21"/>
    <w:qFormat/>
    <w:rsid w:val="009F6CDA"/>
    <w:rPr>
      <w:i/>
      <w:iCs/>
      <w:color w:val="2F5496" w:themeColor="accent1" w:themeShade="BF"/>
    </w:rPr>
  </w:style>
  <w:style w:type="paragraph" w:styleId="IntenseQuote">
    <w:name w:val="Intense Quote"/>
    <w:basedOn w:val="Normal"/>
    <w:next w:val="Normal"/>
    <w:link w:val="IntenseQuoteChar"/>
    <w:uiPriority w:val="30"/>
    <w:qFormat/>
    <w:rsid w:val="009F6CDA"/>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sz w:val="22"/>
      <w:szCs w:val="22"/>
      <w:lang w:val="en-IN"/>
    </w:rPr>
  </w:style>
  <w:style w:type="character" w:customStyle="1" w:styleId="IntenseQuoteChar">
    <w:name w:val="Intense Quote Char"/>
    <w:basedOn w:val="DefaultParagraphFont"/>
    <w:link w:val="IntenseQuote"/>
    <w:uiPriority w:val="30"/>
    <w:rsid w:val="009F6CDA"/>
    <w:rPr>
      <w:i/>
      <w:iCs/>
      <w:color w:val="2F5496" w:themeColor="accent1" w:themeShade="BF"/>
    </w:rPr>
  </w:style>
  <w:style w:type="character" w:styleId="IntenseReference">
    <w:name w:val="Intense Reference"/>
    <w:basedOn w:val="DefaultParagraphFont"/>
    <w:uiPriority w:val="32"/>
    <w:qFormat/>
    <w:rsid w:val="009F6CDA"/>
    <w:rPr>
      <w:b/>
      <w:bCs/>
      <w:smallCaps/>
      <w:color w:val="2F5496" w:themeColor="accent1" w:themeShade="BF"/>
      <w:spacing w:val="5"/>
    </w:rPr>
  </w:style>
  <w:style w:type="character" w:styleId="Hyperlink">
    <w:name w:val="Hyperlink"/>
    <w:basedOn w:val="DefaultParagraphFont"/>
    <w:uiPriority w:val="99"/>
    <w:unhideWhenUsed/>
    <w:rsid w:val="009F6CDA"/>
    <w:rPr>
      <w:color w:val="0563C1" w:themeColor="hyperlink"/>
      <w:u w:val="single"/>
    </w:rPr>
  </w:style>
  <w:style w:type="paragraph" w:styleId="TOCHeading">
    <w:name w:val="TOC Heading"/>
    <w:basedOn w:val="Heading1"/>
    <w:next w:val="Normal"/>
    <w:uiPriority w:val="39"/>
    <w:unhideWhenUsed/>
    <w:qFormat/>
    <w:rsid w:val="009F6CD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F6CDA"/>
    <w:pPr>
      <w:spacing w:after="100" w:line="259" w:lineRule="auto"/>
    </w:pPr>
    <w:rPr>
      <w:sz w:val="22"/>
      <w:szCs w:val="22"/>
      <w:lang w:val="en-IN"/>
    </w:rPr>
  </w:style>
  <w:style w:type="paragraph" w:styleId="TOC2">
    <w:name w:val="toc 2"/>
    <w:basedOn w:val="Normal"/>
    <w:next w:val="Normal"/>
    <w:autoRedefine/>
    <w:uiPriority w:val="39"/>
    <w:unhideWhenUsed/>
    <w:rsid w:val="009F6CDA"/>
    <w:pPr>
      <w:spacing w:after="100" w:line="259" w:lineRule="auto"/>
      <w:ind w:left="220"/>
    </w:pPr>
    <w:rPr>
      <w:sz w:val="22"/>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pdfs.semanticscholar.org/317c/8279e2a4ce429dc238b5e425ea1a7b1189d2.pdf" TargetMode="External"/><Relationship Id="rId18" Type="http://schemas.openxmlformats.org/officeDocument/2006/relationships/hyperlink" Target="https://doi.org/10.1177/1069031x241296468"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hyperlink" Target="https://doi.org/10.1007/978-3-031-07326-7_1" TargetMode="External"/><Relationship Id="rId17" Type="http://schemas.openxmlformats.org/officeDocument/2006/relationships/hyperlink" Target="https://doi.org/10.1007/978-981-16-8854-6_6" TargetMode="External"/><Relationship Id="rId2" Type="http://schemas.openxmlformats.org/officeDocument/2006/relationships/settings" Target="settings.xml"/><Relationship Id="rId16" Type="http://schemas.openxmlformats.org/officeDocument/2006/relationships/hyperlink" Target="https://ieomsociety.org/proceedings/2022rome/161.pdf" TargetMode="External"/><Relationship Id="rId20" Type="http://schemas.openxmlformats.org/officeDocument/2006/relationships/hyperlink" Target="https://doi.org/10.1080/20932685.2023.2237978"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diva-portal.org/smash/record.jsf?pid=diva2:1695955" TargetMode="External"/><Relationship Id="rId5" Type="http://schemas.openxmlformats.org/officeDocument/2006/relationships/image" Target="media/image2.png"/><Relationship Id="rId15" Type="http://schemas.openxmlformats.org/officeDocument/2006/relationships/hyperlink" Target="https://doi.org/10.4324/9781003449157" TargetMode="External"/><Relationship Id="rId10" Type="http://schemas.openxmlformats.org/officeDocument/2006/relationships/hyperlink" Target="https://journals.sagepub.com/doi/full/10.1177/18479790221080214" TargetMode="External"/><Relationship Id="rId19" Type="http://schemas.openxmlformats.org/officeDocument/2006/relationships/hyperlink" Target="https://doi.org/10.3390/su17051769" TargetMode="External"/><Relationship Id="rId4" Type="http://schemas.openxmlformats.org/officeDocument/2006/relationships/image" Target="media/image1.png"/><Relationship Id="rId9" Type="http://schemas.openxmlformats.org/officeDocument/2006/relationships/hyperlink" Target="https://ejournal3.undip.ac.id/index.php/djom/article/view/41724" TargetMode="External"/><Relationship Id="rId14" Type="http://schemas.openxmlformats.org/officeDocument/2006/relationships/hyperlink" Target="https://doi.org/10.1108/978-1-80382-345-4202310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3750</Words>
  <Characters>21381</Characters>
  <Application>Microsoft Office Word</Application>
  <DocSecurity>0</DocSecurity>
  <Lines>178</Lines>
  <Paragraphs>50</Paragraphs>
  <ScaleCrop>false</ScaleCrop>
  <Company/>
  <LinksUpToDate>false</LinksUpToDate>
  <CharactersWithSpaces>25081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Charu</dc:creator>
  <cp:keywords/>
  <dc:description/>
  <cp:lastModifiedBy>charugautam152001@gmail.com</cp:lastModifiedBy>
  <cp:revision>5</cp:revision>
  <dcterms:created xsi:type="dcterms:W3CDTF">2025-11-19T21:47:00Z</dcterms:created>
  <dcterms:modified xsi:type="dcterms:W3CDTF">2025-11-20T21:01:00Z</dcterms:modified>
</cp:coreProperties>
</file>