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before="0" w:lineRule="auto"/>
        <w:rPr>
          <w:color w:val="000000"/>
        </w:rPr>
      </w:pPr>
      <w:r w:rsidDel="00000000" w:rsidR="00000000" w:rsidRPr="00000000">
        <w:rPr>
          <w:rtl w:val="0"/>
        </w:rPr>
      </w:r>
    </w:p>
    <w:p w:rsidR="00000000" w:rsidDel="00000000" w:rsidP="00000000" w:rsidRDefault="00000000" w:rsidRPr="00000000" w14:paraId="00000002">
      <w:pPr>
        <w:spacing w:after="0" w:before="0" w:lineRule="auto"/>
        <w:ind w:firstLine="0"/>
        <w:rPr>
          <w:color w:val="000000"/>
        </w:rPr>
      </w:pPr>
      <w:r w:rsidDel="00000000" w:rsidR="00000000" w:rsidRPr="00000000">
        <w:rPr>
          <w:rtl w:val="0"/>
        </w:rPr>
      </w:r>
    </w:p>
    <w:p w:rsidR="00000000" w:rsidDel="00000000" w:rsidP="00000000" w:rsidRDefault="00000000" w:rsidRPr="00000000" w14:paraId="00000003">
      <w:pPr>
        <w:spacing w:after="0" w:before="0" w:lineRule="auto"/>
        <w:rPr>
          <w:color w:val="000000"/>
        </w:rPr>
      </w:pPr>
      <w:r w:rsidDel="00000000" w:rsidR="00000000" w:rsidRPr="00000000">
        <w:rPr>
          <w:rtl w:val="0"/>
        </w:rPr>
      </w:r>
    </w:p>
    <w:p w:rsidR="00000000" w:rsidDel="00000000" w:rsidP="00000000" w:rsidRDefault="00000000" w:rsidRPr="00000000" w14:paraId="00000004">
      <w:pPr>
        <w:spacing w:after="0" w:before="0" w:lineRule="auto"/>
        <w:rPr>
          <w:color w:val="000000"/>
        </w:rPr>
      </w:pPr>
      <w:r w:rsidDel="00000000" w:rsidR="00000000" w:rsidRPr="00000000">
        <w:rPr>
          <w:rtl w:val="0"/>
        </w:rPr>
      </w:r>
    </w:p>
    <w:p w:rsidR="00000000" w:rsidDel="00000000" w:rsidP="00000000" w:rsidRDefault="00000000" w:rsidRPr="00000000" w14:paraId="00000005">
      <w:pPr>
        <w:spacing w:after="0" w:before="0" w:lineRule="auto"/>
        <w:jc w:val="center"/>
        <w:rPr>
          <w:color w:val="000000"/>
        </w:rPr>
      </w:pPr>
      <w:r w:rsidDel="00000000" w:rsidR="00000000" w:rsidRPr="00000000">
        <w:rPr>
          <w:rtl w:val="0"/>
        </w:rPr>
      </w:r>
    </w:p>
    <w:p w:rsidR="00000000" w:rsidDel="00000000" w:rsidP="00000000" w:rsidRDefault="00000000" w:rsidRPr="00000000" w14:paraId="00000006">
      <w:pPr>
        <w:spacing w:after="0" w:before="0" w:lineRule="auto"/>
        <w:jc w:val="center"/>
        <w:rPr>
          <w:b w:val="1"/>
          <w:color w:val="000000"/>
        </w:rPr>
      </w:pPr>
      <w:r w:rsidDel="00000000" w:rsidR="00000000" w:rsidRPr="00000000">
        <w:rPr>
          <w:b w:val="1"/>
          <w:color w:val="000000"/>
          <w:rtl w:val="0"/>
        </w:rPr>
        <w:t xml:space="preserve">Professional and Career development- BMSW 4005</w:t>
      </w:r>
    </w:p>
    <w:p w:rsidR="00000000" w:rsidDel="00000000" w:rsidP="00000000" w:rsidRDefault="00000000" w:rsidRPr="00000000" w14:paraId="00000007">
      <w:pPr>
        <w:spacing w:after="0" w:before="0" w:lineRule="auto"/>
        <w:jc w:val="center"/>
        <w:rPr>
          <w:b w:val="1"/>
          <w:color w:val="000000"/>
        </w:rPr>
      </w:pPr>
      <w:r w:rsidDel="00000000" w:rsidR="00000000" w:rsidRPr="00000000">
        <w:rPr>
          <w:b w:val="1"/>
          <w:color w:val="000000"/>
          <w:rtl w:val="0"/>
        </w:rPr>
        <w:t xml:space="preserve">Task 3 – Reflective Portfolio</w:t>
      </w:r>
    </w:p>
    <w:p w:rsidR="00000000" w:rsidDel="00000000" w:rsidP="00000000" w:rsidRDefault="00000000" w:rsidRPr="00000000" w14:paraId="00000008">
      <w:pPr>
        <w:spacing w:after="0" w:before="0" w:lineRule="auto"/>
        <w:jc w:val="center"/>
        <w:rPr>
          <w:color w:val="000000"/>
        </w:rPr>
      </w:pPr>
      <w:r w:rsidDel="00000000" w:rsidR="00000000" w:rsidRPr="00000000">
        <w:rPr>
          <w:rtl w:val="0"/>
        </w:rPr>
      </w:r>
    </w:p>
    <w:p w:rsidR="00000000" w:rsidDel="00000000" w:rsidP="00000000" w:rsidRDefault="00000000" w:rsidRPr="00000000" w14:paraId="00000009">
      <w:pPr>
        <w:numPr>
          <w:ilvl w:val="0"/>
          <w:numId w:val="2"/>
        </w:numPr>
        <w:spacing w:after="0" w:before="0" w:lineRule="auto"/>
        <w:ind w:left="1440" w:hanging="360"/>
        <w:jc w:val="center"/>
        <w:rPr>
          <w:color w:val="000000"/>
          <w:u w:val="none"/>
        </w:rPr>
      </w:pPr>
      <w:r w:rsidDel="00000000" w:rsidR="00000000" w:rsidRPr="00000000">
        <w:rPr>
          <w:rtl w:val="0"/>
        </w:rPr>
        <w:t xml:space="preserve">Ana-Maria Lemnariu</w:t>
      </w:r>
    </w:p>
    <w:p w:rsidR="00000000" w:rsidDel="00000000" w:rsidP="00000000" w:rsidRDefault="00000000" w:rsidRPr="00000000" w14:paraId="0000000A">
      <w:pPr>
        <w:numPr>
          <w:ilvl w:val="0"/>
          <w:numId w:val="2"/>
        </w:numPr>
        <w:spacing w:after="0" w:before="0" w:lineRule="auto"/>
        <w:ind w:left="1440" w:hanging="360"/>
        <w:jc w:val="center"/>
        <w:rPr>
          <w:u w:val="none"/>
        </w:rPr>
      </w:pPr>
      <w:r w:rsidDel="00000000" w:rsidR="00000000" w:rsidRPr="00000000">
        <w:rPr>
          <w:rtl w:val="0"/>
        </w:rPr>
        <w:t xml:space="preserve">Student ID : 2120848</w:t>
      </w:r>
    </w:p>
    <w:p w:rsidR="00000000" w:rsidDel="00000000" w:rsidP="00000000" w:rsidRDefault="00000000" w:rsidRPr="00000000" w14:paraId="0000000B">
      <w:pPr>
        <w:numPr>
          <w:ilvl w:val="0"/>
          <w:numId w:val="2"/>
        </w:numPr>
        <w:spacing w:after="0" w:before="0" w:lineRule="auto"/>
        <w:ind w:left="1440" w:hanging="360"/>
        <w:jc w:val="center"/>
        <w:rPr>
          <w:u w:val="none"/>
        </w:rPr>
      </w:pPr>
      <w:r w:rsidDel="00000000" w:rsidR="00000000" w:rsidRPr="00000000">
        <w:rPr>
          <w:rtl w:val="0"/>
        </w:rPr>
        <w:t xml:space="preserve">Lecturer name : Ade Adegbite</w:t>
      </w:r>
    </w:p>
    <w:p w:rsidR="00000000" w:rsidDel="00000000" w:rsidP="00000000" w:rsidRDefault="00000000" w:rsidRPr="00000000" w14:paraId="0000000C">
      <w:pPr>
        <w:spacing w:after="0" w:before="0" w:lineRule="auto"/>
        <w:jc w:val="center"/>
        <w:rPr>
          <w:color w:val="000000"/>
        </w:rPr>
      </w:pPr>
      <w:r w:rsidDel="00000000" w:rsidR="00000000" w:rsidRPr="00000000">
        <w:rPr>
          <w:rtl w:val="0"/>
        </w:rPr>
      </w:r>
    </w:p>
    <w:p w:rsidR="00000000" w:rsidDel="00000000" w:rsidP="00000000" w:rsidRDefault="00000000" w:rsidRPr="00000000" w14:paraId="0000000D">
      <w:pPr>
        <w:spacing w:after="0" w:before="0" w:lineRule="auto"/>
        <w:jc w:val="cente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after="0" w:before="0" w:lineRule="auto"/>
        <w:rPr>
          <w:color w:val="000000"/>
        </w:rPr>
      </w:pPr>
      <w:r w:rsidDel="00000000" w:rsidR="00000000" w:rsidRPr="00000000">
        <w:rPr>
          <w:rtl w:val="0"/>
        </w:rPr>
      </w:r>
    </w:p>
    <w:p w:rsidR="00000000" w:rsidDel="00000000" w:rsidP="00000000" w:rsidRDefault="00000000" w:rsidRPr="00000000" w14:paraId="0000000F">
      <w:pPr>
        <w:spacing w:after="0" w:before="0" w:lineRule="auto"/>
        <w:ind w:right="198" w:firstLine="0"/>
        <w:jc w:val="center"/>
        <w:rPr>
          <w:b w:val="1"/>
          <w:color w:val="000000"/>
        </w:rPr>
      </w:pPr>
      <w:r w:rsidDel="00000000" w:rsidR="00000000" w:rsidRPr="00000000">
        <w:rPr>
          <w:b w:val="1"/>
          <w:color w:val="000000"/>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and Personal Development Plan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Needed to be a Real Manager in the sector of Health and Social Care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Interpersonal Skills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Problem Solving and Decision-making</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Time Management Skills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Learned Concepts via the Module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Setting Goals and Purposes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Employment law in Great Britain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Theories of Learning</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8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Methods of Self-Awareness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198"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D">
          <w:pPr>
            <w:spacing w:after="0" w:before="0" w:lineRule="auto"/>
            <w:ind w:right="198" w:firstLine="0"/>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after="0" w:before="0" w:lineRule="auto"/>
        <w:rPr>
          <w:color w:val="000000"/>
        </w:rPr>
      </w:pPr>
      <w:r w:rsidDel="00000000" w:rsidR="00000000" w:rsidRPr="00000000">
        <w:rPr>
          <w:rtl w:val="0"/>
        </w:rPr>
      </w:r>
    </w:p>
    <w:p w:rsidR="00000000" w:rsidDel="00000000" w:rsidP="00000000" w:rsidRDefault="00000000" w:rsidRPr="00000000" w14:paraId="0000001F">
      <w:pPr>
        <w:spacing w:after="0" w:before="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color w:val="000000"/>
        </w:rPr>
      </w:pPr>
      <w:bookmarkStart w:colFirst="0" w:colLast="0" w:name="_gjdgxs" w:id="0"/>
      <w:bookmarkEnd w:id="0"/>
      <w:r w:rsidDel="00000000" w:rsidR="00000000" w:rsidRPr="00000000">
        <w:rPr>
          <w:color w:val="000000"/>
          <w:rtl w:val="0"/>
        </w:rPr>
        <w:t xml:space="preserve">Introduction</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reflective portfolio is one of the most well-known educational tools for reflecting on major life events and evaluating one's own strengths and weaknesses. One is able to look back on prior events, reflect on those experiences, and gain new life lessons via reflection (Román-Caballero et al., 2021). The goals of this reflective portfolio include creating a SWOT analysis and a personal growth plan, as well as researching the competencies essential for success as a health and social care manager. In addition, this portfolio will cover the most important concepts and abilities I have gained from studying this topic.</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pStyle w:val="Heading1"/>
        <w:rPr>
          <w:color w:val="000000"/>
        </w:rPr>
      </w:pPr>
      <w:bookmarkStart w:colFirst="0" w:colLast="0" w:name="_30j0zll" w:id="1"/>
      <w:bookmarkEnd w:id="1"/>
      <w:r w:rsidDel="00000000" w:rsidR="00000000" w:rsidRPr="00000000">
        <w:rPr>
          <w:color w:val="000000"/>
          <w:rtl w:val="0"/>
        </w:rPr>
        <w:t xml:space="preserve">SWOT Analysis and Personal Development Plan</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stands for Strengths, Weaknesses, Opportunities, and Opportunities. The purpose of this examination is to analyse a candidate's personal qualities, weaknesses, and potential in a certain field. This application assists in the dissemination of information on the obstacles one may face while following their intended career route (Román-Caballero et al., 2021). The results of my personal SWOT analysis are shown in the following table:</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1"/>
        <w:tblW w:w="764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85"/>
        <w:gridCol w:w="3960"/>
        <w:tblGridChange w:id="0">
          <w:tblGrid>
            <w:gridCol w:w="3685"/>
            <w:gridCol w:w="3960"/>
          </w:tblGrid>
        </w:tblGridChange>
      </w:tblGrid>
      <w:tr>
        <w:trPr>
          <w:cantSplit w:val="0"/>
          <w:tblHeader w:val="0"/>
        </w:trPr>
        <w:tc>
          <w:tcPr>
            <w:shd w:fill="ededed" w:val="clear"/>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119" w:firstLine="72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Strength</w:t>
            </w:r>
          </w:p>
        </w:tc>
        <w:tc>
          <w:tcPr>
            <w:shd w:fill="ededed" w:val="clear"/>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119" w:firstLine="72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w:t>
            </w:r>
          </w:p>
        </w:tc>
      </w:tr>
      <w:tr>
        <w:trPr>
          <w:cantSplit w:val="0"/>
          <w:trHeight w:val="989" w:hRule="atLeast"/>
          <w:tblHeader w:val="0"/>
        </w:trPr>
        <w:tc>
          <w:tcPr/>
          <w:p w:rsidR="00000000" w:rsidDel="00000000" w:rsidP="00000000" w:rsidRDefault="00000000" w:rsidRPr="00000000" w14:paraId="0000002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Effective skills in communication </w:t>
            </w:r>
          </w:p>
          <w:p w:rsidR="00000000" w:rsidDel="00000000" w:rsidP="00000000" w:rsidRDefault="00000000" w:rsidRPr="00000000" w14:paraId="0000002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Significant skills in time management (Eppich and Cheng, 2015).</w:t>
            </w:r>
          </w:p>
          <w:p w:rsidR="00000000" w:rsidDel="00000000" w:rsidP="00000000" w:rsidRDefault="00000000" w:rsidRPr="00000000" w14:paraId="0000002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Strong skills in research </w:t>
            </w:r>
          </w:p>
        </w:tc>
        <w:tc>
          <w:tcPr/>
          <w:p w:rsidR="00000000" w:rsidDel="00000000" w:rsidP="00000000" w:rsidRDefault="00000000" w:rsidRPr="00000000" w14:paraId="0000002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Weak in taking inventiveness</w:t>
            </w:r>
          </w:p>
          <w:p w:rsidR="00000000" w:rsidDel="00000000" w:rsidP="00000000" w:rsidRDefault="00000000" w:rsidRPr="00000000" w14:paraId="0000002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Lack of experience in social and health care work (Redmond, 2017).</w:t>
            </w:r>
          </w:p>
          <w:p w:rsidR="00000000" w:rsidDel="00000000" w:rsidP="00000000" w:rsidRDefault="00000000" w:rsidRPr="00000000" w14:paraId="0000002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Lack of concentration on self-governing tasks</w:t>
            </w:r>
          </w:p>
        </w:tc>
      </w:tr>
      <w:tr>
        <w:trPr>
          <w:cantSplit w:val="0"/>
          <w:tblHeader w:val="0"/>
        </w:trPr>
        <w:tc>
          <w:tcPr>
            <w:shd w:fill="ededed" w:val="clear"/>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119" w:firstLine="72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Opportunities</w:t>
            </w:r>
          </w:p>
        </w:tc>
        <w:tc>
          <w:tcPr>
            <w:shd w:fill="ededed" w:val="clear"/>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119" w:firstLine="72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Threats</w:t>
            </w:r>
          </w:p>
        </w:tc>
      </w:tr>
      <w:tr>
        <w:trPr>
          <w:cantSplit w:val="0"/>
          <w:trHeight w:val="638" w:hRule="atLeast"/>
          <w:tblHeader w:val="0"/>
        </w:trPr>
        <w:tc>
          <w:tcPr/>
          <w:p w:rsidR="00000000" w:rsidDel="00000000" w:rsidP="00000000" w:rsidRDefault="00000000" w:rsidRPr="00000000" w14:paraId="00000030">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Vital trends in social and health care setting </w:t>
            </w:r>
          </w:p>
          <w:p w:rsidR="00000000" w:rsidDel="00000000" w:rsidP="00000000" w:rsidRDefault="00000000" w:rsidRPr="00000000" w14:paraId="00000031">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Skills can be used in effective manners (Rabiner et al., 2016).</w:t>
            </w:r>
          </w:p>
          <w:p w:rsidR="00000000" w:rsidDel="00000000" w:rsidP="00000000" w:rsidRDefault="00000000" w:rsidRPr="00000000" w14:paraId="00000032">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Attainment of key knowledge </w:t>
            </w:r>
          </w:p>
        </w:tc>
        <w:tc>
          <w:tcPr/>
          <w:p w:rsidR="00000000" w:rsidDel="00000000" w:rsidP="00000000" w:rsidRDefault="00000000" w:rsidRPr="00000000" w14:paraId="00000033">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 limited number of related jobs in the market</w:t>
            </w:r>
          </w:p>
          <w:p w:rsidR="00000000" w:rsidDel="00000000" w:rsidP="00000000" w:rsidRDefault="00000000" w:rsidRPr="00000000" w14:paraId="0000003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Strong competition in the health and social care sector</w:t>
            </w:r>
          </w:p>
          <w:p w:rsidR="00000000" w:rsidDel="00000000" w:rsidP="00000000" w:rsidRDefault="00000000" w:rsidRPr="00000000" w14:paraId="0000003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119" w:hanging="360"/>
              <w:jc w:val="both"/>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Obstacles in education and training (Helyer, 2015).</w:t>
            </w:r>
          </w:p>
        </w:tc>
      </w:tr>
    </w:tbl>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personal development plan, on the other hand, is a technique that involves the creation of a future action plan within the context of a certain profession (Rabiner et al., 2016). The following are my personal growth objectives:</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2"/>
        <w:tblW w:w="926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3151"/>
        <w:gridCol w:w="1440"/>
        <w:tblGridChange w:id="0">
          <w:tblGrid>
            <w:gridCol w:w="2337"/>
            <w:gridCol w:w="2337"/>
            <w:gridCol w:w="3151"/>
            <w:gridCol w:w="1440"/>
          </w:tblGrid>
        </w:tblGridChange>
      </w:tblGrid>
      <w:tr>
        <w:trPr>
          <w:cantSplit w:val="0"/>
          <w:tblHeader w:val="0"/>
        </w:trPr>
        <w:tc>
          <w:tcPr>
            <w:shd w:fill="d9e2f3" w:val="clear"/>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Skills required to be developed</w:t>
            </w:r>
          </w:p>
        </w:tc>
        <w:tc>
          <w:tcPr>
            <w:shd w:fill="d9e2f3" w:val="clear"/>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Needed actions</w:t>
            </w:r>
          </w:p>
        </w:tc>
        <w:tc>
          <w:tcPr>
            <w:shd w:fill="d9e2f3" w:val="clear"/>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Criteria of success</w:t>
            </w:r>
          </w:p>
        </w:tc>
        <w:tc>
          <w:tcPr>
            <w:shd w:fill="d9e2f3" w:val="clear"/>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Deadline</w:t>
            </w:r>
          </w:p>
        </w:tc>
      </w:tr>
      <w:tr>
        <w:trPr>
          <w:cantSplit w:val="0"/>
          <w:tblHeader w:val="0"/>
        </w:trPr>
        <w:tc>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Job designation </w:t>
            </w:r>
          </w:p>
        </w:tc>
        <w:tc>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-Hard work</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-Learning abilities</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-Improvement</w:t>
            </w:r>
          </w:p>
        </w:tc>
        <w:tc>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-Appointing as a Manager in an apparent social or healthcare organisation (Redmond, 2017)</w:t>
            </w:r>
          </w:p>
        </w:tc>
        <w:tc>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1/1/2023</w:t>
            </w:r>
          </w:p>
        </w:tc>
      </w:tr>
      <w:tr>
        <w:trPr>
          <w:cantSplit w:val="0"/>
          <w:tblHeader w:val="0"/>
        </w:trPr>
        <w:tc>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Attention on work</w:t>
            </w:r>
          </w:p>
        </w:tc>
        <w:tc>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-Setting minor goals</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-Eradicate distractions</w:t>
            </w:r>
          </w:p>
        </w:tc>
        <w:tc>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-Working self-sufficiently on dissimilar projects deprived of getting unfocussed</w:t>
            </w:r>
          </w:p>
        </w:tc>
        <w:tc>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1/2/2023</w:t>
            </w:r>
          </w:p>
        </w:tc>
      </w:tr>
      <w:tr>
        <w:trPr>
          <w:cantSplit w:val="0"/>
          <w:trHeight w:val="134" w:hRule="atLeast"/>
          <w:tblHeader w:val="0"/>
        </w:trPr>
        <w:tc>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of Decision-making </w:t>
            </w:r>
          </w:p>
        </w:tc>
        <w:tc>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-Contributing activities of module activities-Development</w:t>
            </w:r>
          </w:p>
        </w:tc>
        <w:tc>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-Being capable to s elf-govern initiative (Gould and Taylor, 2017)</w:t>
            </w:r>
          </w:p>
        </w:tc>
        <w:tc>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1/3/2023</w:t>
            </w:r>
          </w:p>
        </w:tc>
      </w:tr>
    </w:tbl>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bookmarkStart w:colFirst="0" w:colLast="0" w:name="lnxbz9" w:id="2"/>
    <w:bookmarkEnd w:id="2"/>
    <w:p w:rsidR="00000000" w:rsidDel="00000000" w:rsidP="00000000" w:rsidRDefault="00000000" w:rsidRPr="00000000" w14:paraId="0000004D">
      <w:pPr>
        <w:pStyle w:val="Heading1"/>
        <w:rPr>
          <w:color w:val="000000"/>
        </w:rPr>
      </w:pPr>
      <w:bookmarkStart w:colFirst="0" w:colLast="0" w:name="_35nkun2" w:id="3"/>
      <w:bookmarkEnd w:id="3"/>
      <w:r w:rsidDel="00000000" w:rsidR="00000000" w:rsidRPr="00000000">
        <w:rPr>
          <w:color w:val="000000"/>
          <w:rtl w:val="0"/>
        </w:rPr>
        <w:t xml:space="preserve">Skills Needed to be a Real Manager in the sector of Health and Social Care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attain the necessary degree of professional success in today's climate, one must master a variety of competencies pertinent to their field of work (Rabiner et al., 2016). Due to the rising competition for diverse professions in the health and social care business, those who wish to be successful managers must acquire the abilities essential for great management. The fight for certain seats is intensifying. In order to fulfil the business's goals and objectives, a manager must not only oversee a single position but also assume the tasks of many positions. The following competencies are required to perform managerial tasks in the health and social care sectors with proficiency (Duckworth et al., 2019).</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pStyle w:val="Heading2"/>
        <w:rPr>
          <w:color w:val="000000"/>
        </w:rPr>
      </w:pPr>
      <w:bookmarkStart w:colFirst="0" w:colLast="0" w:name="_3znysh7" w:id="4"/>
      <w:bookmarkEnd w:id="4"/>
      <w:r w:rsidDel="00000000" w:rsidR="00000000" w:rsidRPr="00000000">
        <w:rPr>
          <w:color w:val="000000"/>
          <w:rtl w:val="0"/>
        </w:rPr>
        <w:t xml:space="preserve">Interpersonal Skills</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the fact that organisations do not operate in a vacuum, it is necessary for managers to interact with all of the workers. Essential to the manager's job is working with a broad set of persons from varying backgrounds and educational levels (Mukhalalati and Taylor, 2019). Since they must collaborate with their teams to accomplish the business's goals and objectives, managers must develop good relationships with their co-workers and teammates in order to be successful in their positions. Successful managers must interact effectively with every team member in order to identify the challenges and hurdles each team member is encountering. This allows employees to contribute successfully to the success of the organisation (Rabiner et al., 2016).</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Successful managers must have good relationships not just with their staff but also with their customers and the organisation's upper management. It is insufficient for them to just emphasise their relationships with workers. To build deep ties with all of the many stakeholders in a certain health and social care institution, one must possess exceptional communication and interpersonal skills (Mukhalalati and Taylor, 2019). A great manager must establish his or her authority inside a particular organisation, but this cannot be accomplished without strong interpersonal and communication abilities. To successfully interact with the many stakeholders of a specific health and social care organisation, a manager must be conversant with the several communication channels accessible. To become a good manager in the health and social care industry, one of the most important criteria is to acquire excellent interpersonal and communication skills (Lin and Magnuson,2018).</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bookmarkStart w:colFirst="0" w:colLast="0" w:name="1ksv4uv" w:id="5"/>
    <w:bookmarkEnd w:id="5"/>
    <w:p w:rsidR="00000000" w:rsidDel="00000000" w:rsidP="00000000" w:rsidRDefault="00000000" w:rsidRPr="00000000" w14:paraId="00000054">
      <w:pPr>
        <w:pStyle w:val="Heading3"/>
        <w:spacing w:before="0" w:lineRule="auto"/>
        <w:rPr>
          <w:color w:val="000000"/>
        </w:rPr>
      </w:pPr>
      <w:bookmarkStart w:colFirst="0" w:colLast="0" w:name="_44sinio" w:id="6"/>
      <w:bookmarkEnd w:id="6"/>
      <w:r w:rsidDel="00000000" w:rsidR="00000000" w:rsidRPr="00000000">
        <w:rPr>
          <w:color w:val="000000"/>
          <w:rtl w:val="0"/>
        </w:rPr>
        <w:t xml:space="preserve">Problem Solving and Decision-making</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most crucial part of management is decision-making since a manager may be needed to pick from a variety of options for his organisation while working under time and resource restrictions. People must enhance their problem-solving and decision-making skills if they want to be effective managers throughout their careers (Gordon and Steele, 2015). The manager's role is equivalent to that of an organisational leader in that he or she is accountable for both motivating the employees under his or her supervision and making crucial decisions that will benefit the organisation. An effective manager must be able to swiftly and lawfully implement decisions that are advantageous to the organisation he supervises. A manager may be compelled to use the available resources while considering what is best for his organisation. A competent manager in the health and social sector may be required to make vital decisions for the organisation he controls on a daily basis (Duckworth et al., 2019).</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Therefore, it is necessary for a savvy manager to pay close attention to the particulars while making key decisions impacting the organisation. It would be considerably easier for managers in the health and social care business to make a range of judgements if they paid close attention to the particulars (Gordon and Steele, 2015). Competent managers must retain their cool since the capacity to handle circumstances and make judgments under pressure is vital. If a person is under pressure and that pressure is not handled, they will be unable to make vital decisions for the good of the organisation. A competent manager must establish the organisation's future trajectory for all other workers. Therefore, in order to correctly advise others to follow in their footsteps, the manager must be able to determine the most efficient method for completing a specific task (Brockbank et al., 2017).</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pStyle w:val="Heading3"/>
        <w:spacing w:before="0" w:lineRule="auto"/>
        <w:rPr>
          <w:color w:val="000000"/>
        </w:rPr>
      </w:pPr>
      <w:bookmarkStart w:colFirst="0" w:colLast="0" w:name="_tyjcwt" w:id="7"/>
      <w:bookmarkEnd w:id="7"/>
      <w:r w:rsidDel="00000000" w:rsidR="00000000" w:rsidRPr="00000000">
        <w:rPr>
          <w:color w:val="000000"/>
          <w:rtl w:val="0"/>
        </w:rPr>
        <w:t xml:space="preserve">Time Management Skills</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time management is one of the most critical skills a person must have in order to be successful in academic and professional endeavours. To be successful as a manager in a company, one must strengthen their time management skills. This is required for the role. The organisation's leadership will assign a group of individuals a variety of tasks and responsibilities that will assist the organisation in achieving its goals and objectives over a predetermined period of time (Brockbank et al., 2017). Managers are frequently responsible for ensuring that organisational objectives and goals are met within the allotted time frame. As previously stated, a competent manager may be required to perform multiple tasks and functions simultaneously within a particular organisation. Therefore, for employees to successfully complete the organisation's goals and objectives within the established time frame, it is essential that they develop time management skills (Baumert et al., 2017).</w:t>
      </w:r>
    </w:p>
    <w:p w:rsidR="00000000" w:rsidDel="00000000" w:rsidP="00000000" w:rsidRDefault="00000000" w:rsidRPr="00000000" w14:paraId="0000005A">
      <w:pPr>
        <w:pStyle w:val="Heading2"/>
        <w:rPr>
          <w:color w:val="000000"/>
        </w:rPr>
      </w:pPr>
      <w:r w:rsidDel="00000000" w:rsidR="00000000" w:rsidRPr="00000000">
        <w:rPr>
          <w:rtl w:val="0"/>
        </w:rPr>
      </w:r>
    </w:p>
    <w:p w:rsidR="00000000" w:rsidDel="00000000" w:rsidP="00000000" w:rsidRDefault="00000000" w:rsidRPr="00000000" w14:paraId="0000005B">
      <w:pPr>
        <w:pStyle w:val="Heading1"/>
        <w:rPr>
          <w:color w:val="000000"/>
        </w:rPr>
      </w:pPr>
      <w:bookmarkStart w:colFirst="0" w:colLast="0" w:name="_3dy6vkm" w:id="8"/>
      <w:bookmarkEnd w:id="8"/>
      <w:r w:rsidDel="00000000" w:rsidR="00000000" w:rsidRPr="00000000">
        <w:rPr>
          <w:color w:val="000000"/>
          <w:rtl w:val="0"/>
        </w:rPr>
        <w:t xml:space="preserve">Learned Concepts via the Module</w:t>
      </w:r>
    </w:p>
    <w:p w:rsidR="00000000" w:rsidDel="00000000" w:rsidP="00000000" w:rsidRDefault="00000000" w:rsidRPr="00000000" w14:paraId="0000005C">
      <w:pPr>
        <w:spacing w:after="0" w:before="0" w:lineRule="auto"/>
        <w:rPr>
          <w:color w:val="000000"/>
        </w:rPr>
      </w:pPr>
      <w:r w:rsidDel="00000000" w:rsidR="00000000" w:rsidRPr="00000000">
        <w:rPr>
          <w:color w:val="000000"/>
          <w:rtl w:val="0"/>
        </w:rPr>
        <w:t xml:space="preserve">The “BMSW 4005” module in which I enrolled allowed me to better both my personal and professional life after completing the module. This subject allowed me to recognise the talents required for the role. It also allowed me to reflect on the past in order to assess my own qualities and flaws. In addition to allowing me to strengthen my professional and personal talents, this programme showed me the significance of specific skills and traits in the contemporary workplace. Here are some of the things I have learned as a consequence of my participation in this programme (Mukhalalati and Taylor, 2019).</w:t>
      </w:r>
    </w:p>
    <w:p w:rsidR="00000000" w:rsidDel="00000000" w:rsidP="00000000" w:rsidRDefault="00000000" w:rsidRPr="00000000" w14:paraId="0000005D">
      <w:pPr>
        <w:spacing w:after="0" w:before="0" w:lineRule="auto"/>
        <w:rPr>
          <w:color w:val="000000"/>
        </w:rPr>
      </w:pPr>
      <w:r w:rsidDel="00000000" w:rsidR="00000000" w:rsidRPr="00000000">
        <w:rPr>
          <w:rtl w:val="0"/>
        </w:rPr>
      </w:r>
    </w:p>
    <w:p w:rsidR="00000000" w:rsidDel="00000000" w:rsidP="00000000" w:rsidRDefault="00000000" w:rsidRPr="00000000" w14:paraId="0000005E">
      <w:pPr>
        <w:pStyle w:val="Heading3"/>
        <w:spacing w:before="0" w:lineRule="auto"/>
        <w:rPr>
          <w:color w:val="000000"/>
        </w:rPr>
      </w:pPr>
      <w:bookmarkStart w:colFirst="0" w:colLast="0" w:name="_1t3h5sf" w:id="9"/>
      <w:bookmarkEnd w:id="9"/>
      <w:r w:rsidDel="00000000" w:rsidR="00000000" w:rsidRPr="00000000">
        <w:rPr>
          <w:color w:val="000000"/>
          <w:rtl w:val="0"/>
        </w:rPr>
        <w:t xml:space="preserve">Setting Goals and Purposes</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 consequence of completing this programme, I now see the significance of goal-setting in pursuing a professional path that interests me. If a person is serious about pursuing a certain career path, they should consider creating a list of goals and objectives to assist them in choosing the best course of action (Vicary et al., 2017). Goal-setting is a well-known strategy for preparing for the future that may be beneficial. People must articulate their life goals for the next years and then make a solid commitment to themselves that they will work diligently to achieve them. This course has taught me that making strategic plans for the future is more necessary than identifying one's own goals and ambitions (Lin and Magnuson,2018).</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adjective "clever" has the following qualities: it is specific, quantifiable, reachable, pertinent, and time-bound. When attempting to formulate proper goals and objectives, it is necessary to choose aims that can be attained. A person must carefully analyse his or her future ambitions, the methods by which he or she will achieve those goals, and the tactics by which he or she will compensate for any deficiencies while setting goals and objectives. When a person has clearly defined goals and objectives to pursue, they may develop and construct timelines for the future achievement of a certain goal (Helyer, 2015).</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bookmarkStart w:colFirst="0" w:colLast="0" w:name="2jxsxqh" w:id="10"/>
    <w:bookmarkEnd w:id="10"/>
    <w:p w:rsidR="00000000" w:rsidDel="00000000" w:rsidP="00000000" w:rsidRDefault="00000000" w:rsidRPr="00000000" w14:paraId="00000062">
      <w:pPr>
        <w:pStyle w:val="Heading3"/>
        <w:spacing w:before="0" w:lineRule="auto"/>
        <w:rPr>
          <w:color w:val="000000"/>
        </w:rPr>
      </w:pPr>
      <w:bookmarkStart w:colFirst="0" w:colLast="0" w:name="_z337ya" w:id="11"/>
      <w:bookmarkEnd w:id="11"/>
      <w:r w:rsidDel="00000000" w:rsidR="00000000" w:rsidRPr="00000000">
        <w:rPr>
          <w:color w:val="000000"/>
          <w:rtl w:val="0"/>
        </w:rPr>
        <w:t xml:space="preserve">Employment law in Great Britain</w:t>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 result of this training, I now see the need and value of having a thorough understanding of UK employment law. Companies doing business in the United Kingdom are required to comply with the country's employment laws. Thus, it is imperative that employees be aware of them (Gordon and Steele, 2015). To comply with British employment legislation, individuals, supervisors, and organisational leaders must all assume responsibility for their job. A manager must comply with all employment rules and regulations in order to avoid liability and legal complications. I am aware that employment regulations in the United Kingdom are intended to strengthen worker-employer interactions while also protecting their legal rights (Mukhalalati and Taylor, 2019).</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UK employment regulations are breached, the appropriate authorities may initiate a lawsuit against the violator. Throughout the course of this unit, I have developed an understanding of the employment regulations in effect in the United Kingdom and how adhering to them may protect an individual or organisation from unfavourable legal entanglements. Employment law in the United Kingdom makes it easy to comprehend the obligations and duties that employees owe to their employers and vice versa (Gordon and Steele, 2015).</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pStyle w:val="Heading3"/>
        <w:spacing w:before="0" w:lineRule="auto"/>
        <w:rPr>
          <w:color w:val="000000"/>
        </w:rPr>
      </w:pPr>
      <w:bookmarkStart w:colFirst="0" w:colLast="0" w:name="_2s8eyo1" w:id="12"/>
      <w:bookmarkEnd w:id="12"/>
      <w:r w:rsidDel="00000000" w:rsidR="00000000" w:rsidRPr="00000000">
        <w:rPr>
          <w:color w:val="000000"/>
          <w:rtl w:val="0"/>
        </w:rPr>
        <w:t xml:space="preserve">Theories of Learning </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Throughout this unit, I have been introduced to a range of learning theories, which has enabled me to comprehend their relevance and how they might benefit the learning process. I am acquainted with several learning theories, each of which aims to enhance an individual's educational experience in line with his or her innate propensity for learning. Inside and outside of the classroom, a student may benefit from any of the several available instructional strategies (Eppich and Cheng, 2015). Reflective practice is an essential component of education since it helps students consider prior interactions or occurrences in order to gain comprehension of a new subject. Through reflection, a person might become aware of how an activity could be accomplished more effectively. This prepares the way for the person to build novel and inventive strategies to achieve a certain goal in the future (Brockbank et al., 2017).</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119"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majority of educational institutions employ cognitive learning theories to broaden the educational options available to students. This training improved my understanding of various learning theories, such as the idea of multiple intelligences and the behaviourism learning theory (Helyer, 2015). How a person approaches learning may affect the amount of new information and skills they acquire. This module made it simpler for me to see the significance of learning theories since putting what I have learned into practice is more important than just remembering what I have learnt in a specific classroom (Lin and Magnuson,2018).</w:t>
      </w:r>
    </w:p>
    <w:bookmarkStart w:colFirst="0" w:colLast="0" w:name="3j2qqm3" w:id="13"/>
    <w:bookmarkEnd w:id="13"/>
    <w:p w:rsidR="00000000" w:rsidDel="00000000" w:rsidP="00000000" w:rsidRDefault="00000000" w:rsidRPr="00000000" w14:paraId="00000069">
      <w:pPr>
        <w:pStyle w:val="Heading2"/>
        <w:rPr>
          <w:color w:val="000000"/>
        </w:rPr>
      </w:pPr>
      <w:bookmarkStart w:colFirst="0" w:colLast="0" w:name="_1y810tw" w:id="14"/>
      <w:bookmarkEnd w:id="14"/>
      <w:r w:rsidDel="00000000" w:rsidR="00000000" w:rsidRPr="00000000">
        <w:rPr>
          <w:rtl w:val="0"/>
        </w:rPr>
      </w:r>
    </w:p>
    <w:p w:rsidR="00000000" w:rsidDel="00000000" w:rsidP="00000000" w:rsidRDefault="00000000" w:rsidRPr="00000000" w14:paraId="0000006A">
      <w:pPr>
        <w:pStyle w:val="Heading3"/>
        <w:spacing w:before="0" w:lineRule="auto"/>
        <w:rPr>
          <w:color w:val="000000"/>
        </w:rPr>
      </w:pPr>
      <w:bookmarkStart w:colFirst="0" w:colLast="0" w:name="_17dp8vu" w:id="15"/>
      <w:bookmarkEnd w:id="15"/>
      <w:r w:rsidDel="00000000" w:rsidR="00000000" w:rsidRPr="00000000">
        <w:rPr>
          <w:color w:val="000000"/>
          <w:rtl w:val="0"/>
        </w:rPr>
        <w:t xml:space="preserve">Methods of Self-Awareness </w:t>
      </w:r>
    </w:p>
    <w:p w:rsidR="00000000" w:rsidDel="00000000" w:rsidP="00000000" w:rsidRDefault="00000000" w:rsidRPr="00000000" w14:paraId="0000006B">
      <w:pPr>
        <w:spacing w:after="0" w:before="0" w:lineRule="auto"/>
        <w:rPr>
          <w:color w:val="000000"/>
        </w:rPr>
      </w:pPr>
      <w:r w:rsidDel="00000000" w:rsidR="00000000" w:rsidRPr="00000000">
        <w:rPr>
          <w:color w:val="000000"/>
          <w:rtl w:val="0"/>
        </w:rPr>
        <w:t xml:space="preserve">Individuals must develop their self-awareness to progress personally and professionally. Personal and professional development cannot occur until a person is more self-aware. This module has increased my knowledge of the importance of self-awareness practices, which enable one to reflect on prior experiences and events in order to have a better understanding of one's potential (Duckworth et al., 2019). Self-awareness enables an individual to comprehend his or her own capacities, skills, strengths, and flaws. To increase one's chances of finding suitable employment in the future, one must be aware of his or her talents and flaws. By doing so, one might attempt to enhance both in order to develop these areas further (Gordon and Steele, 2015).</w:t>
      </w:r>
    </w:p>
    <w:p w:rsidR="00000000" w:rsidDel="00000000" w:rsidP="00000000" w:rsidRDefault="00000000" w:rsidRPr="00000000" w14:paraId="0000006C">
      <w:pPr>
        <w:spacing w:after="0" w:before="0" w:lineRule="auto"/>
        <w:rPr>
          <w:color w:val="000000"/>
        </w:rPr>
      </w:pPr>
      <w:r w:rsidDel="00000000" w:rsidR="00000000" w:rsidRPr="00000000">
        <w:rPr>
          <w:color w:val="000000"/>
          <w:rtl w:val="0"/>
        </w:rPr>
        <w:t xml:space="preserve">This reflective portfolio serves as an example of what I learnt after finishing my module since it allowed me to reflect on my past experiences and analyse my talents' strengths and flaws. Consequently, my reflective portfolio offers evidence of what I learned after finishing my degree. In my reflective portfolio, I used a SWOT analysis in order to reflect on my strengths and shortcomings in a manner that would allow me to enhance my skills in the future (Eppich and Cheng, 2015).</w:t>
      </w:r>
    </w:p>
    <w:p w:rsidR="00000000" w:rsidDel="00000000" w:rsidP="00000000" w:rsidRDefault="00000000" w:rsidRPr="00000000" w14:paraId="0000006D">
      <w:pPr>
        <w:spacing w:after="0" w:before="0" w:lineRule="auto"/>
        <w:rPr>
          <w:color w:val="000000"/>
        </w:rPr>
      </w:pPr>
      <w:r w:rsidDel="00000000" w:rsidR="00000000" w:rsidRPr="00000000">
        <w:rPr>
          <w:rtl w:val="0"/>
        </w:rPr>
      </w:r>
    </w:p>
    <w:p w:rsidR="00000000" w:rsidDel="00000000" w:rsidP="00000000" w:rsidRDefault="00000000" w:rsidRPr="00000000" w14:paraId="0000006E">
      <w:pPr>
        <w:pStyle w:val="Heading1"/>
        <w:rPr>
          <w:color w:val="000000"/>
        </w:rPr>
      </w:pPr>
      <w:bookmarkStart w:colFirst="0" w:colLast="0" w:name="_3rdcrjn" w:id="16"/>
      <w:bookmarkEnd w:id="16"/>
      <w:r w:rsidDel="00000000" w:rsidR="00000000" w:rsidRPr="00000000">
        <w:rPr>
          <w:color w:val="000000"/>
          <w:rtl w:val="0"/>
        </w:rPr>
        <w:t xml:space="preserve">Conclusion</w:t>
      </w:r>
    </w:p>
    <w:p w:rsidR="00000000" w:rsidDel="00000000" w:rsidP="00000000" w:rsidRDefault="00000000" w:rsidRPr="00000000" w14:paraId="0000006F">
      <w:pPr>
        <w:spacing w:after="0" w:before="0" w:lineRule="auto"/>
        <w:rPr>
          <w:color w:val="000000"/>
        </w:rPr>
      </w:pPr>
      <w:r w:rsidDel="00000000" w:rsidR="00000000" w:rsidRPr="00000000">
        <w:rPr>
          <w:color w:val="000000"/>
          <w:rtl w:val="0"/>
        </w:rPr>
        <w:t xml:space="preserve">By reflecting on past events and gathering those reflections in a reflective portfolio, a person might gain a range of fresh insights. This portfolio allowed me to reflect on my earlier experiences with this module and provided me with the impetus to exhibit and explain what I had gained from participating in this programme. The chance to review my SWOT analysis enabled me to discover both my strengths and flaws. This analysis would be useful in developing a strategy for my own advancement in the near future. This portfolio allowed me to undertake research and study the skills required to be a good manager in the sector of health and social care.</w:t>
      </w:r>
    </w:p>
    <w:p w:rsidR="00000000" w:rsidDel="00000000" w:rsidP="00000000" w:rsidRDefault="00000000" w:rsidRPr="00000000" w14:paraId="00000070">
      <w:pPr>
        <w:spacing w:after="0" w:before="0" w:lineRule="auto"/>
        <w:rPr>
          <w:color w:val="000000"/>
        </w:rPr>
      </w:pPr>
      <w:r w:rsidDel="00000000" w:rsidR="00000000" w:rsidRPr="00000000">
        <w:rPr>
          <w:rtl w:val="0"/>
        </w:rPr>
      </w:r>
    </w:p>
    <w:p w:rsidR="00000000" w:rsidDel="00000000" w:rsidP="00000000" w:rsidRDefault="00000000" w:rsidRPr="00000000" w14:paraId="00000071">
      <w:pPr>
        <w:spacing w:after="0" w:before="0" w:lineRule="auto"/>
        <w:rPr>
          <w:color w:val="000000"/>
        </w:rPr>
      </w:pPr>
      <w:r w:rsidDel="00000000" w:rsidR="00000000" w:rsidRPr="00000000">
        <w:rPr>
          <w:rtl w:val="0"/>
        </w:rPr>
      </w:r>
    </w:p>
    <w:p w:rsidR="00000000" w:rsidDel="00000000" w:rsidP="00000000" w:rsidRDefault="00000000" w:rsidRPr="00000000" w14:paraId="00000072">
      <w:pPr>
        <w:spacing w:after="0" w:before="0" w:lineRule="auto"/>
        <w:rPr>
          <w:color w:val="000000"/>
        </w:rPr>
      </w:pPr>
      <w:r w:rsidDel="00000000" w:rsidR="00000000" w:rsidRPr="00000000">
        <w:rPr>
          <w:rtl w:val="0"/>
        </w:rPr>
      </w:r>
    </w:p>
    <w:p w:rsidR="00000000" w:rsidDel="00000000" w:rsidP="00000000" w:rsidRDefault="00000000" w:rsidRPr="00000000" w14:paraId="00000073">
      <w:pPr>
        <w:spacing w:after="0" w:before="0" w:lineRule="auto"/>
        <w:rPr>
          <w:color w:val="000000"/>
        </w:rPr>
      </w:pPr>
      <w:r w:rsidDel="00000000" w:rsidR="00000000" w:rsidRPr="00000000">
        <w:rPr>
          <w:rtl w:val="0"/>
        </w:rPr>
      </w:r>
    </w:p>
    <w:p w:rsidR="00000000" w:rsidDel="00000000" w:rsidP="00000000" w:rsidRDefault="00000000" w:rsidRPr="00000000" w14:paraId="00000074">
      <w:pPr>
        <w:spacing w:after="0" w:before="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rPr>
          <w:color w:val="000000"/>
        </w:rPr>
      </w:pPr>
      <w:bookmarkStart w:colFirst="0" w:colLast="0" w:name="_26in1rg" w:id="17"/>
      <w:bookmarkEnd w:id="17"/>
      <w:r w:rsidDel="00000000" w:rsidR="00000000" w:rsidRPr="00000000">
        <w:rPr>
          <w:color w:val="000000"/>
          <w:rtl w:val="0"/>
        </w:rPr>
        <w:t xml:space="preserve">References </w:t>
      </w:r>
    </w:p>
    <w:p w:rsidR="00000000" w:rsidDel="00000000" w:rsidP="00000000" w:rsidRDefault="00000000" w:rsidRPr="00000000" w14:paraId="00000076">
      <w:pPr>
        <w:spacing w:after="0" w:before="0" w:lineRule="auto"/>
        <w:ind w:left="720" w:hanging="720"/>
        <w:rPr>
          <w:color w:val="000000"/>
          <w:highlight w:val="white"/>
        </w:rPr>
      </w:pPr>
      <w:r w:rsidDel="00000000" w:rsidR="00000000" w:rsidRPr="00000000">
        <w:rPr>
          <w:color w:val="000000"/>
          <w:highlight w:val="white"/>
          <w:rtl w:val="0"/>
        </w:rPr>
        <w:t xml:space="preserve">Baumert, A., Schmitt, M., Perugini, M., Johnson, W., Blum, G., Borkenau, P., Costantini, G., Denissen, J.J., Fleeson, W., Grafton, B. and Jayawickreme, E., 2017. Integrating personality structure, personality process, and personality development. </w:t>
      </w:r>
      <w:r w:rsidDel="00000000" w:rsidR="00000000" w:rsidRPr="00000000">
        <w:rPr>
          <w:i w:val="1"/>
          <w:color w:val="000000"/>
          <w:highlight w:val="white"/>
          <w:rtl w:val="0"/>
        </w:rPr>
        <w:t xml:space="preserve">European Journal of Personality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31</w:t>
      </w:r>
      <w:r w:rsidDel="00000000" w:rsidR="00000000" w:rsidRPr="00000000">
        <w:rPr>
          <w:color w:val="000000"/>
          <w:highlight w:val="white"/>
          <w:rtl w:val="0"/>
        </w:rPr>
        <w:t xml:space="preserve">(5), pp.503-528.</w:t>
      </w:r>
    </w:p>
    <w:p w:rsidR="00000000" w:rsidDel="00000000" w:rsidP="00000000" w:rsidRDefault="00000000" w:rsidRPr="00000000" w14:paraId="00000077">
      <w:pPr>
        <w:spacing w:after="0" w:before="0" w:lineRule="auto"/>
        <w:ind w:left="720" w:hanging="720"/>
        <w:rPr>
          <w:color w:val="000000"/>
        </w:rPr>
      </w:pPr>
      <w:r w:rsidDel="00000000" w:rsidR="00000000" w:rsidRPr="00000000">
        <w:rPr>
          <w:color w:val="000000"/>
          <w:highlight w:val="white"/>
          <w:rtl w:val="0"/>
        </w:rPr>
        <w:t xml:space="preserve">Brockbank, A., McGill, I. and Beech, N., 2017. Reflective learning in practice. In </w:t>
      </w:r>
      <w:r w:rsidDel="00000000" w:rsidR="00000000" w:rsidRPr="00000000">
        <w:rPr>
          <w:i w:val="1"/>
          <w:color w:val="000000"/>
          <w:highlight w:val="white"/>
          <w:rtl w:val="0"/>
        </w:rPr>
        <w:t xml:space="preserve">Reflective learning in practice</w:t>
      </w:r>
      <w:r w:rsidDel="00000000" w:rsidR="00000000" w:rsidRPr="00000000">
        <w:rPr>
          <w:color w:val="000000"/>
          <w:highlight w:val="white"/>
          <w:rtl w:val="0"/>
        </w:rPr>
        <w:t xml:space="preserve"> (pp. 18-28). Routledge.</w:t>
      </w:r>
      <w:r w:rsidDel="00000000" w:rsidR="00000000" w:rsidRPr="00000000">
        <w:rPr>
          <w:rtl w:val="0"/>
        </w:rPr>
      </w:r>
    </w:p>
    <w:p w:rsidR="00000000" w:rsidDel="00000000" w:rsidP="00000000" w:rsidRDefault="00000000" w:rsidRPr="00000000" w14:paraId="00000078">
      <w:pPr>
        <w:spacing w:after="0" w:before="0" w:lineRule="auto"/>
        <w:ind w:left="720" w:hanging="720"/>
        <w:rPr>
          <w:color w:val="000000"/>
          <w:highlight w:val="white"/>
        </w:rPr>
      </w:pPr>
      <w:r w:rsidDel="00000000" w:rsidR="00000000" w:rsidRPr="00000000">
        <w:rPr>
          <w:color w:val="000000"/>
          <w:highlight w:val="white"/>
          <w:rtl w:val="0"/>
        </w:rPr>
        <w:t xml:space="preserve">Duckworth, A.L., Taxer, J.L., Eskreis-Winkler, L., Galla, B.M. and Gross, J.J., 2019. Self-control and academic achievement. </w:t>
      </w:r>
      <w:r w:rsidDel="00000000" w:rsidR="00000000" w:rsidRPr="00000000">
        <w:rPr>
          <w:i w:val="1"/>
          <w:color w:val="000000"/>
          <w:highlight w:val="white"/>
          <w:rtl w:val="0"/>
        </w:rPr>
        <w:t xml:space="preserve">Annual review of psychology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70</w:t>
      </w:r>
      <w:r w:rsidDel="00000000" w:rsidR="00000000" w:rsidRPr="00000000">
        <w:rPr>
          <w:color w:val="000000"/>
          <w:highlight w:val="white"/>
          <w:rtl w:val="0"/>
        </w:rPr>
        <w:t xml:space="preserve">(1), pp.373-399.</w:t>
      </w:r>
    </w:p>
    <w:p w:rsidR="00000000" w:rsidDel="00000000" w:rsidP="00000000" w:rsidRDefault="00000000" w:rsidRPr="00000000" w14:paraId="00000079">
      <w:pPr>
        <w:spacing w:after="0" w:before="0" w:lineRule="auto"/>
        <w:ind w:left="720" w:hanging="720"/>
        <w:rPr>
          <w:color w:val="000000"/>
          <w:highlight w:val="white"/>
        </w:rPr>
      </w:pPr>
      <w:r w:rsidDel="00000000" w:rsidR="00000000" w:rsidRPr="00000000">
        <w:rPr>
          <w:color w:val="000000"/>
          <w:highlight w:val="white"/>
          <w:rtl w:val="0"/>
        </w:rPr>
        <w:t xml:space="preserve">Eppich, W. and Cheng, A., 2015. Promoting Excellence and Reflective Learning in Simulation (PEARLS): development and rationale for a blended approach to health care simulation debriefing. </w:t>
      </w:r>
      <w:r w:rsidDel="00000000" w:rsidR="00000000" w:rsidRPr="00000000">
        <w:rPr>
          <w:i w:val="1"/>
          <w:color w:val="000000"/>
          <w:highlight w:val="white"/>
          <w:rtl w:val="0"/>
        </w:rPr>
        <w:t xml:space="preserve">Simulation in Healthcare</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10</w:t>
      </w:r>
      <w:r w:rsidDel="00000000" w:rsidR="00000000" w:rsidRPr="00000000">
        <w:rPr>
          <w:color w:val="000000"/>
          <w:highlight w:val="white"/>
          <w:rtl w:val="0"/>
        </w:rPr>
        <w:t xml:space="preserve">(2), pp.106-115.</w:t>
      </w:r>
    </w:p>
    <w:p w:rsidR="00000000" w:rsidDel="00000000" w:rsidP="00000000" w:rsidRDefault="00000000" w:rsidRPr="00000000" w14:paraId="0000007A">
      <w:pPr>
        <w:spacing w:after="0" w:before="0" w:lineRule="auto"/>
        <w:ind w:left="720" w:hanging="720"/>
        <w:rPr>
          <w:color w:val="000000"/>
          <w:highlight w:val="white"/>
        </w:rPr>
      </w:pPr>
      <w:r w:rsidDel="00000000" w:rsidR="00000000" w:rsidRPr="00000000">
        <w:rPr>
          <w:color w:val="000000"/>
          <w:highlight w:val="white"/>
          <w:rtl w:val="0"/>
        </w:rPr>
        <w:t xml:space="preserve">Gordon, V.N. and Steele, G.E., 2015. The undecided college student: An academic and career advising challenge. Charles C Thomas Publisher.</w:t>
      </w:r>
    </w:p>
    <w:p w:rsidR="00000000" w:rsidDel="00000000" w:rsidP="00000000" w:rsidRDefault="00000000" w:rsidRPr="00000000" w14:paraId="0000007B">
      <w:pPr>
        <w:spacing w:after="0" w:before="0" w:lineRule="auto"/>
        <w:ind w:left="720" w:hanging="720"/>
        <w:rPr>
          <w:color w:val="000000"/>
          <w:highlight w:val="white"/>
        </w:rPr>
      </w:pPr>
      <w:r w:rsidDel="00000000" w:rsidR="00000000" w:rsidRPr="00000000">
        <w:rPr>
          <w:color w:val="000000"/>
          <w:highlight w:val="white"/>
          <w:rtl w:val="0"/>
        </w:rPr>
        <w:t xml:space="preserve">Gould, N. and Taylor, I., 2017. Reflective learning for social work: research, theory and practice. Routledge.</w:t>
      </w:r>
    </w:p>
    <w:p w:rsidR="00000000" w:rsidDel="00000000" w:rsidP="00000000" w:rsidRDefault="00000000" w:rsidRPr="00000000" w14:paraId="0000007C">
      <w:pPr>
        <w:spacing w:after="0" w:before="0" w:lineRule="auto"/>
        <w:ind w:left="720" w:hanging="720"/>
        <w:rPr>
          <w:color w:val="000000"/>
          <w:highlight w:val="white"/>
        </w:rPr>
      </w:pPr>
      <w:r w:rsidDel="00000000" w:rsidR="00000000" w:rsidRPr="00000000">
        <w:rPr>
          <w:color w:val="000000"/>
          <w:highlight w:val="white"/>
          <w:rtl w:val="0"/>
        </w:rPr>
        <w:t xml:space="preserve">Helyer, R., 2015. Learning through reflection: the critical role of reflection in work-based learning (WBL). </w:t>
      </w:r>
      <w:r w:rsidDel="00000000" w:rsidR="00000000" w:rsidRPr="00000000">
        <w:rPr>
          <w:i w:val="1"/>
          <w:color w:val="000000"/>
          <w:highlight w:val="white"/>
          <w:rtl w:val="0"/>
        </w:rPr>
        <w:t xml:space="preserve">Journal of Work-Applied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7</w:t>
      </w:r>
      <w:r w:rsidDel="00000000" w:rsidR="00000000" w:rsidRPr="00000000">
        <w:rPr>
          <w:color w:val="000000"/>
          <w:highlight w:val="white"/>
          <w:rtl w:val="0"/>
        </w:rPr>
        <w:t xml:space="preserve">(1), pp.15-27.</w:t>
      </w:r>
    </w:p>
    <w:p w:rsidR="00000000" w:rsidDel="00000000" w:rsidP="00000000" w:rsidRDefault="00000000" w:rsidRPr="00000000" w14:paraId="0000007D">
      <w:pPr>
        <w:spacing w:after="0" w:before="0" w:lineRule="auto"/>
        <w:ind w:left="720" w:hanging="720"/>
        <w:rPr>
          <w:color w:val="000000"/>
          <w:highlight w:val="white"/>
        </w:rPr>
      </w:pPr>
      <w:r w:rsidDel="00000000" w:rsidR="00000000" w:rsidRPr="00000000">
        <w:rPr>
          <w:color w:val="000000"/>
          <w:highlight w:val="white"/>
          <w:rtl w:val="0"/>
        </w:rPr>
        <w:t xml:space="preserve">Lin, Y.C. and Magnuson, K.A., 2018. Classroom quality and children’s academic skills in child care centers: Understanding the role of teacher qualifications. </w:t>
      </w:r>
      <w:r w:rsidDel="00000000" w:rsidR="00000000" w:rsidRPr="00000000">
        <w:rPr>
          <w:i w:val="1"/>
          <w:color w:val="000000"/>
          <w:highlight w:val="white"/>
          <w:rtl w:val="0"/>
        </w:rPr>
        <w:t xml:space="preserve">Early Childhood Research Quarterly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42</w:t>
      </w:r>
      <w:r w:rsidDel="00000000" w:rsidR="00000000" w:rsidRPr="00000000">
        <w:rPr>
          <w:color w:val="000000"/>
          <w:highlight w:val="white"/>
          <w:rtl w:val="0"/>
        </w:rPr>
        <w:t xml:space="preserve">, pp.215-227.</w:t>
      </w:r>
    </w:p>
    <w:p w:rsidR="00000000" w:rsidDel="00000000" w:rsidP="00000000" w:rsidRDefault="00000000" w:rsidRPr="00000000" w14:paraId="0000007E">
      <w:pPr>
        <w:spacing w:after="0" w:before="0" w:lineRule="auto"/>
        <w:ind w:left="720" w:hanging="720"/>
        <w:rPr>
          <w:color w:val="000000"/>
          <w:highlight w:val="white"/>
        </w:rPr>
      </w:pPr>
      <w:r w:rsidDel="00000000" w:rsidR="00000000" w:rsidRPr="00000000">
        <w:rPr>
          <w:color w:val="000000"/>
          <w:highlight w:val="white"/>
          <w:rtl w:val="0"/>
        </w:rPr>
        <w:t xml:space="preserve">Mukhalalati, B.A. and Taylor, A., 2019. Adult learning theories in context: a quick guide for healthcare professional educators. </w:t>
      </w:r>
      <w:r w:rsidDel="00000000" w:rsidR="00000000" w:rsidRPr="00000000">
        <w:rPr>
          <w:i w:val="1"/>
          <w:color w:val="000000"/>
          <w:highlight w:val="white"/>
          <w:rtl w:val="0"/>
        </w:rPr>
        <w:t xml:space="preserve">Journal of medical education and curricular development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6</w:t>
      </w:r>
      <w:r w:rsidDel="00000000" w:rsidR="00000000" w:rsidRPr="00000000">
        <w:rPr>
          <w:color w:val="000000"/>
          <w:highlight w:val="white"/>
          <w:rtl w:val="0"/>
        </w:rPr>
        <w:t xml:space="preserve">, p.2382120519840332.</w:t>
      </w:r>
    </w:p>
    <w:p w:rsidR="00000000" w:rsidDel="00000000" w:rsidP="00000000" w:rsidRDefault="00000000" w:rsidRPr="00000000" w14:paraId="0000007F">
      <w:pPr>
        <w:spacing w:after="0" w:before="0" w:lineRule="auto"/>
        <w:ind w:left="720" w:hanging="720"/>
        <w:rPr>
          <w:color w:val="000000"/>
          <w:highlight w:val="white"/>
        </w:rPr>
      </w:pPr>
      <w:r w:rsidDel="00000000" w:rsidR="00000000" w:rsidRPr="00000000">
        <w:rPr>
          <w:color w:val="000000"/>
          <w:highlight w:val="white"/>
          <w:rtl w:val="0"/>
        </w:rPr>
        <w:t xml:space="preserve">Rabiner, D.L., Godwin, J. and Dodge, K.A., 2016. Predicting academic achievement and attainment: The contribution of early academic skills, attention difficulties, and social competence. </w:t>
      </w:r>
      <w:r w:rsidDel="00000000" w:rsidR="00000000" w:rsidRPr="00000000">
        <w:rPr>
          <w:i w:val="1"/>
          <w:color w:val="000000"/>
          <w:highlight w:val="white"/>
          <w:rtl w:val="0"/>
        </w:rPr>
        <w:t xml:space="preserve">School Psychology Review</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45</w:t>
      </w:r>
      <w:r w:rsidDel="00000000" w:rsidR="00000000" w:rsidRPr="00000000">
        <w:rPr>
          <w:color w:val="000000"/>
          <w:highlight w:val="white"/>
          <w:rtl w:val="0"/>
        </w:rPr>
        <w:t xml:space="preserve">(2), pp.250-267.</w:t>
      </w:r>
    </w:p>
    <w:p w:rsidR="00000000" w:rsidDel="00000000" w:rsidP="00000000" w:rsidRDefault="00000000" w:rsidRPr="00000000" w14:paraId="00000080">
      <w:pPr>
        <w:spacing w:after="0" w:before="0" w:lineRule="auto"/>
        <w:ind w:left="720" w:hanging="720"/>
        <w:rPr>
          <w:color w:val="000000"/>
          <w:highlight w:val="white"/>
        </w:rPr>
      </w:pPr>
      <w:r w:rsidDel="00000000" w:rsidR="00000000" w:rsidRPr="00000000">
        <w:rPr>
          <w:color w:val="000000"/>
          <w:highlight w:val="white"/>
          <w:rtl w:val="0"/>
        </w:rPr>
        <w:t xml:space="preserve">Redmond, B., 2017. Reflection in action: Developing reflective practice in health and social services. Routledge.</w:t>
      </w:r>
    </w:p>
    <w:p w:rsidR="00000000" w:rsidDel="00000000" w:rsidP="00000000" w:rsidRDefault="00000000" w:rsidRPr="00000000" w14:paraId="00000081">
      <w:pPr>
        <w:spacing w:after="0" w:before="0" w:lineRule="auto"/>
        <w:ind w:left="720" w:hanging="720"/>
        <w:rPr>
          <w:color w:val="000000"/>
          <w:highlight w:val="white"/>
        </w:rPr>
      </w:pPr>
      <w:r w:rsidDel="00000000" w:rsidR="00000000" w:rsidRPr="00000000">
        <w:rPr>
          <w:color w:val="000000"/>
          <w:highlight w:val="white"/>
          <w:rtl w:val="0"/>
        </w:rPr>
        <w:t xml:space="preserve">Román-Caballero, R., Vadillo, M.A., Trainor, L. and Lupiáñez, J., 2021. Please don’t stop the music: A meta-analysis of the benefits of learning to play an instrument on cognitive and academic skills.</w:t>
      </w:r>
    </w:p>
    <w:p w:rsidR="00000000" w:rsidDel="00000000" w:rsidP="00000000" w:rsidRDefault="00000000" w:rsidRPr="00000000" w14:paraId="00000082">
      <w:pPr>
        <w:spacing w:after="0" w:before="0" w:lineRule="auto"/>
        <w:ind w:left="720" w:hanging="720"/>
        <w:rPr>
          <w:color w:val="000000"/>
          <w:highlight w:val="white"/>
        </w:rPr>
      </w:pPr>
      <w:r w:rsidDel="00000000" w:rsidR="00000000" w:rsidRPr="00000000">
        <w:rPr>
          <w:color w:val="000000"/>
          <w:highlight w:val="white"/>
          <w:rtl w:val="0"/>
        </w:rPr>
        <w:t xml:space="preserve">Vicary, S., Young, A. and Hicks, S., 2017. A reflective journal as learning process and contribution to quality and validity in interpretative phenomenological analysis. </w:t>
      </w:r>
      <w:r w:rsidDel="00000000" w:rsidR="00000000" w:rsidRPr="00000000">
        <w:rPr>
          <w:i w:val="1"/>
          <w:color w:val="000000"/>
          <w:highlight w:val="white"/>
          <w:rtl w:val="0"/>
        </w:rPr>
        <w:t xml:space="preserve">Qualitative Social Work</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16</w:t>
      </w:r>
      <w:r w:rsidDel="00000000" w:rsidR="00000000" w:rsidRPr="00000000">
        <w:rPr>
          <w:color w:val="000000"/>
          <w:highlight w:val="white"/>
          <w:rtl w:val="0"/>
        </w:rPr>
        <w:t xml:space="preserve">(4), pp.550-565.</w:t>
      </w:r>
    </w:p>
    <w:p w:rsidR="00000000" w:rsidDel="00000000" w:rsidP="00000000" w:rsidRDefault="00000000" w:rsidRPr="00000000" w14:paraId="00000083">
      <w:pPr>
        <w:spacing w:after="0" w:before="0" w:lineRule="auto"/>
        <w:rPr>
          <w:color w:val="000000"/>
          <w:highlight w:val="white"/>
        </w:rPr>
      </w:pPr>
      <w:r w:rsidDel="00000000" w:rsidR="00000000" w:rsidRPr="00000000">
        <w:rPr>
          <w:rtl w:val="0"/>
        </w:rPr>
      </w:r>
    </w:p>
    <w:p w:rsidR="00000000" w:rsidDel="00000000" w:rsidP="00000000" w:rsidRDefault="00000000" w:rsidRPr="00000000" w14:paraId="00000084">
      <w:pPr>
        <w:spacing w:after="0" w:before="0" w:lineRule="auto"/>
        <w:rPr>
          <w:color w:val="000000"/>
          <w:highlight w:val="white"/>
        </w:rPr>
      </w:pPr>
      <w:r w:rsidDel="00000000" w:rsidR="00000000" w:rsidRPr="00000000">
        <w:rPr>
          <w:rtl w:val="0"/>
        </w:rPr>
      </w:r>
    </w:p>
    <w:p w:rsidR="00000000" w:rsidDel="00000000" w:rsidP="00000000" w:rsidRDefault="00000000" w:rsidRPr="00000000" w14:paraId="00000085">
      <w:pPr>
        <w:spacing w:after="0" w:before="0" w:lineRule="auto"/>
        <w:rPr>
          <w:color w:val="000000"/>
          <w:highlight w:val="white"/>
        </w:rPr>
      </w:pPr>
      <w:r w:rsidDel="00000000" w:rsidR="00000000" w:rsidRPr="00000000">
        <w:rPr>
          <w:rtl w:val="0"/>
        </w:rPr>
      </w:r>
    </w:p>
    <w:sectPr>
      <w:head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20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20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before="125" w:line="360" w:lineRule="auto"/>
        <w:ind w:right="200"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before="0" w:lineRule="auto"/>
      <w:ind w:right="202" w:firstLine="0"/>
    </w:pPr>
    <w:rPr>
      <w:b w:val="1"/>
    </w:rPr>
  </w:style>
  <w:style w:type="paragraph" w:styleId="Heading2">
    <w:name w:val="heading 2"/>
    <w:basedOn w:val="Normal"/>
    <w:next w:val="Normal"/>
    <w:pPr>
      <w:keepNext w:val="1"/>
      <w:keepLines w:val="1"/>
      <w:spacing w:after="0" w:before="0" w:lineRule="auto"/>
      <w:ind w:firstLine="0"/>
      <w:jc w:val="center"/>
    </w:pPr>
    <w:rPr>
      <w:b w:val="1"/>
    </w:rPr>
  </w:style>
  <w:style w:type="paragraph" w:styleId="Heading3">
    <w:name w:val="heading 3"/>
    <w:basedOn w:val="Normal"/>
    <w:next w:val="Normal"/>
    <w:pPr>
      <w:keepNext w:val="1"/>
      <w:keepLines w:val="1"/>
      <w:spacing w:after="0" w:before="40" w:lineRule="auto"/>
      <w:jc w:val="center"/>
    </w:pPr>
    <w:rPr>
      <w:b w:val="1"/>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