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package.core-properties+xml" PartName="/docProps/core.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1908175" cy="635635"/>
            <wp:effectExtent b="0" l="0" r="0" t="0"/>
            <wp:docPr id="103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6">
      <w:pPr>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007">
      <w:pPr>
        <w:pStyle w:val="Heading3"/>
        <w:ind w:firstLine="720"/>
        <w:jc w:val="center"/>
        <w:rPr>
          <w:vertAlign w:val="baseline"/>
        </w:rPr>
      </w:pPr>
      <w:r w:rsidDel="00000000" w:rsidR="00000000" w:rsidRPr="00000000">
        <w:rPr>
          <w:b w:val="1"/>
          <w:vertAlign w:val="baseline"/>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8">
      <w:pPr>
        <w:pStyle w:val="Heading3"/>
        <w:ind w:firstLine="720"/>
        <w:jc w:val="center"/>
        <w:rPr>
          <w:rFonts w:ascii="Trebuchet MS" w:cs="Trebuchet MS" w:eastAsia="Trebuchet MS" w:hAnsi="Trebuchet MS"/>
          <w:vertAlign w:val="baseline"/>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Name: India Sweeting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University</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Email: 1803400@student.uwtsd.ac.uk</w:t>
            </w:r>
          </w:p>
        </w:tc>
      </w:tr>
      <w:tr>
        <w:trPr>
          <w:cantSplit w:val="0"/>
          <w:trHeight w:val="849" w:hRule="atLeast"/>
          <w:tblHeader w:val="0"/>
        </w:trPr>
        <w:tc>
          <w:tcPr>
            <w:vAlign w:val="top"/>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 HPCA7016</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title: Researching Contemporary Cosmologies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vAlign w:val="top"/>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number:</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1803400</w:t>
            </w:r>
          </w:p>
        </w:tc>
        <w:tc>
          <w:tcPr>
            <w:vAlign w:val="top"/>
          </w:tcPr>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yellow"/>
                <w:u w:val="none"/>
                <w:vertAlign w:val="baseline"/>
                <w:rtl w:val="0"/>
              </w:rPr>
              <w:t xml:space="preserve">Yes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title: </w:t>
            </w:r>
            <w:r w:rsidDel="00000000" w:rsidR="00000000" w:rsidRPr="00000000">
              <w:rPr>
                <w:rFonts w:ascii="Arial" w:cs="Arial" w:eastAsia="Arial" w:hAnsi="Arial"/>
                <w:sz w:val="22"/>
                <w:szCs w:val="22"/>
                <w:rtl w:val="0"/>
              </w:rPr>
              <w:t xml:space="preserve">Research Project in Contemporary Cosmology</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due date: 2nd May 2023</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9th May </w:t>
            </w:r>
            <w:r w:rsidDel="00000000" w:rsidR="00000000" w:rsidRPr="00000000">
              <w:rPr>
                <w:rFonts w:ascii="Arial" w:cs="Arial" w:eastAsia="Arial" w:hAnsi="Arial"/>
                <w:sz w:val="22"/>
                <w:szCs w:val="22"/>
                <w:rtl w:val="0"/>
              </w:rPr>
              <w:t xml:space="preserve">with a differentiated deadline)</w:t>
            </w:r>
            <w:r w:rsidDel="00000000" w:rsidR="00000000" w:rsidRPr="00000000">
              <w:rPr>
                <w:rtl w:val="0"/>
              </w:rPr>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8">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This assignment is for the       1</w:t>
            </w:r>
            <w:r w:rsidDel="00000000" w:rsidR="00000000" w:rsidRPr="00000000">
              <w:rPr>
                <w:rFonts w:ascii="Arial" w:cs="Arial" w:eastAsia="Arial" w:hAnsi="Arial"/>
                <w:sz w:val="22"/>
                <w:szCs w:val="22"/>
                <w:vertAlign w:val="superscript"/>
                <w:rtl w:val="0"/>
              </w:rPr>
              <w:t xml:space="preserve">st </w:t>
            </w:r>
            <w:bookmarkStart w:colFirst="0" w:colLast="0" w:name="bookmark=id.gjdgxs" w:id="0"/>
            <w:bookmarkEnd w:id="0"/>
            <w:r w:rsidDel="00000000" w:rsidR="00000000" w:rsidRPr="00000000">
              <w:rPr>
                <w:rFonts w:ascii="Arial" w:cs="Arial" w:eastAsia="Arial" w:hAnsi="Arial"/>
                <w:sz w:val="22"/>
                <w:szCs w:val="22"/>
                <w:vertAlign w:val="baseline"/>
                <w:rtl w:val="0"/>
              </w:rPr>
              <w:t xml:space="preserv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vertAlign w:val="baseline"/>
                <w:rtl w:val="0"/>
              </w:rPr>
              <w:t xml:space="preserve">  </w:t>
            </w:r>
            <w:bookmarkStart w:colFirst="0" w:colLast="0" w:name="bookmark=id.30j0zll" w:id="1"/>
            <w:bookmarkEnd w:id="1"/>
            <w:r w:rsidDel="00000000" w:rsidR="00000000" w:rsidRPr="00000000">
              <w:rPr>
                <w:rFonts w:ascii="Arial" w:cs="Arial" w:eastAsia="Arial" w:hAnsi="Arial"/>
                <w:sz w:val="22"/>
                <w:szCs w:val="22"/>
                <w:vertAlign w:val="baseline"/>
                <w:rtl w:val="0"/>
              </w:rPr>
              <w:t xml:space="preserv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vertAlign w:val="baseline"/>
                <w:rtl w:val="0"/>
              </w:rPr>
              <w:t xml:space="preserve">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22"/>
                <w:szCs w:val="22"/>
                <w:vertAlign w:val="baseline"/>
                <w:rtl w:val="0"/>
              </w:rPr>
              <w:t xml:space="preserve">     4</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3znysh7" w:id="2"/>
            <w:bookmarkEnd w:id="2"/>
            <w:r w:rsidDel="00000000" w:rsidR="00000000" w:rsidRPr="00000000">
              <w:rPr>
                <w:rFonts w:ascii="Arial" w:cs="Arial" w:eastAsia="Arial" w:hAnsi="Arial"/>
                <w:sz w:val="22"/>
                <w:szCs w:val="22"/>
                <w:vertAlign w:val="baseline"/>
                <w:rtl w:val="0"/>
              </w:rPr>
              <w:t xml:space="preserve">☐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2et92p0" w:id="3"/>
            <w:bookmarkEnd w:id="3"/>
            <w:r w:rsidDel="00000000" w:rsidR="00000000" w:rsidRPr="00000000">
              <w:rPr>
                <w:rFonts w:ascii="Arial" w:cs="Arial" w:eastAsia="Arial" w:hAnsi="Arial"/>
                <w:sz w:val="22"/>
                <w:szCs w:val="22"/>
                <w:vertAlign w:val="baseline"/>
                <w:rtl w:val="0"/>
              </w:rPr>
              <w:t xml:space="preserve">☐      6</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tyjcwt" w:id="4"/>
            <w:bookmarkEnd w:id="4"/>
            <w:r w:rsidDel="00000000" w:rsidR="00000000" w:rsidRPr="00000000">
              <w:rPr>
                <w:rFonts w:ascii="Arial" w:cs="Arial" w:eastAsia="Arial" w:hAnsi="Arial"/>
                <w:sz w:val="22"/>
                <w:szCs w:val="22"/>
                <w:vertAlign w:val="baseline"/>
                <w:rtl w:val="0"/>
              </w:rPr>
              <w:t xml:space="preserve">☐</w:t>
            </w:r>
            <w:r w:rsidDel="00000000" w:rsidR="00000000" w:rsidRPr="00000000">
              <w:rPr>
                <w:rFonts w:ascii="Arial" w:cs="Arial" w:eastAsia="Arial" w:hAnsi="Arial"/>
                <w:b w:val="1"/>
                <w:sz w:val="22"/>
                <w:szCs w:val="22"/>
                <w:vertAlign w:val="baseline"/>
                <w:rtl w:val="0"/>
              </w:rPr>
              <w:t xml:space="preserve">   </w:t>
            </w:r>
            <w:r w:rsidDel="00000000" w:rsidR="00000000" w:rsidRPr="00000000">
              <w:rPr>
                <w:rFonts w:ascii="Arial" w:cs="Arial" w:eastAsia="Arial" w:hAnsi="Arial"/>
                <w:sz w:val="22"/>
                <w:szCs w:val="22"/>
                <w:vertAlign w:val="baseline"/>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Signed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5">
            <w:pPr>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vertAlign w:val="baseline"/>
              </w:rPr>
            </w:pPr>
            <w:r w:rsidDel="00000000" w:rsidR="00000000" w:rsidRPr="00000000">
              <w:rPr>
                <w:rFonts w:ascii="Arial" w:cs="Arial" w:eastAsia="Arial" w:hAnsi="Arial"/>
                <w:b w:val="1"/>
                <w:vertAlign w:val="baseline"/>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7">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8">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vertAlign w:val="baseline"/>
                      <w:rtl w:val="0"/>
                    </w:rPr>
                    <w:t xml:space="preserve"> Marker’s Provisional mark</w:t>
                  </w:r>
                </w:p>
              </w:tc>
              <w:tc>
                <w:tcPr>
                  <w:vAlign w:val="top"/>
                </w:tcPr>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A">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vertAlign w:val="baseline"/>
                      <w:rtl w:val="0"/>
                    </w:rPr>
                    <w:t xml:space="preserve"> Marker’s/Moderator’s provisional mark</w:t>
                  </w:r>
                </w:p>
              </w:tc>
              <w:tc>
                <w:tcPr>
                  <w:vAlign w:val="top"/>
                </w:tcPr>
                <w:p w:rsidR="00000000" w:rsidDel="00000000" w:rsidP="00000000" w:rsidRDefault="00000000" w:rsidRPr="00000000" w14:paraId="0000003C">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D">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E">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External Examiner’s mark (if relevant)</w:t>
                  </w:r>
                </w:p>
              </w:tc>
              <w:tc>
                <w:tcPr>
                  <w:vAlign w:val="top"/>
                </w:tcPr>
                <w:p w:rsidR="00000000" w:rsidDel="00000000" w:rsidP="00000000" w:rsidRDefault="00000000" w:rsidRPr="00000000" w14:paraId="0000003F">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0">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1">
                  <w:pPr>
                    <w:rPr>
                      <w:rFonts w:ascii="Arial" w:cs="Arial" w:eastAsia="Arial" w:hAnsi="Arial"/>
                      <w:b w:val="0"/>
                      <w:sz w:val="20"/>
                      <w:szCs w:val="20"/>
                      <w:vertAlign w:val="baseline"/>
                    </w:rPr>
                  </w:pPr>
                  <w:r w:rsidDel="00000000" w:rsidR="00000000" w:rsidRPr="00000000">
                    <w:rPr>
                      <w:rFonts w:ascii="Arial" w:cs="Arial" w:eastAsia="Arial" w:hAnsi="Arial"/>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2">
                  <w:pPr>
                    <w:rPr>
                      <w:rFonts w:ascii="Arial" w:cs="Arial" w:eastAsia="Arial" w:hAnsi="Arial"/>
                      <w:sz w:val="20"/>
                      <w:szCs w:val="20"/>
                      <w:vertAlign w:val="baseline"/>
                    </w:rPr>
                  </w:pPr>
                  <w:r w:rsidDel="00000000" w:rsidR="00000000" w:rsidRPr="00000000">
                    <w:rPr>
                      <w:rtl w:val="0"/>
                    </w:rPr>
                  </w:r>
                </w:p>
              </w:tc>
              <w:tc>
                <w:tcPr>
                  <w:vAlign w:val="top"/>
                </w:tcPr>
                <w:p w:rsidR="00000000" w:rsidDel="00000000" w:rsidP="00000000" w:rsidRDefault="00000000" w:rsidRPr="00000000" w14:paraId="00000043">
                  <w:pPr>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blHeader w:val="0"/>
        </w:trPr>
        <w:tc>
          <w:tcPr>
            <w:gridSpan w:val="5"/>
            <w:vAlign w:val="top"/>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0">
            <w:pPr>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0">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External Examiner’s Signature:</w:t>
            </w:r>
          </w:p>
        </w:tc>
        <w:tc>
          <w:tcPr>
            <w:gridSpan w:val="3"/>
            <w:vAlign w:val="top"/>
          </w:tcPr>
          <w:p w:rsidR="00000000" w:rsidDel="00000000" w:rsidP="00000000" w:rsidRDefault="00000000" w:rsidRPr="00000000" w14:paraId="00000082">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Date:</w:t>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sectPr>
          <w:headerReference r:id="rId9" w:type="default"/>
          <w:headerReference r:id="rId10" w:type="first"/>
          <w:footerReference r:id="rId11" w:type="default"/>
          <w:footerReference r:id="rId12" w:type="first"/>
          <w:pgSz w:h="15840" w:w="12240" w:orient="portrait"/>
          <w:pgMar w:bottom="567" w:top="567" w:left="1797" w:right="1797" w:header="567" w:footer="720"/>
          <w:pgNumType w:start="1"/>
        </w:sect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2">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The Effect of Social Media on the Bahamian View of Astrology</w:t>
      </w:r>
    </w:p>
    <w:p w:rsidR="00000000" w:rsidDel="00000000" w:rsidP="00000000" w:rsidRDefault="00000000" w:rsidRPr="00000000" w14:paraId="0000009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4">
      <w:pPr>
        <w:spacing w:line="276"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ab/>
        <w:t xml:space="preserve">This study seeks to explore whether Social Media Services (SNS) encourage attitudes that lead to an increase in acceptance of the belief in and practice of Astrology among their Bahamian users. Before the boom of SNS, it was published that increased interest in Astrology was driven by a decline in traditional religion. </w:t>
      </w:r>
      <w:r w:rsidDel="00000000" w:rsidR="00000000" w:rsidRPr="00000000">
        <w:rPr>
          <w:rFonts w:ascii="Arial" w:cs="Arial" w:eastAsia="Arial" w:hAnsi="Arial"/>
          <w:sz w:val="22"/>
          <w:szCs w:val="22"/>
          <w:vertAlign w:val="superscript"/>
        </w:rPr>
        <w:footnoteReference w:customMarkFollows="0" w:id="0"/>
      </w:r>
      <w:r w:rsidDel="00000000" w:rsidR="00000000" w:rsidRPr="00000000">
        <w:rPr>
          <w:rFonts w:ascii="Arial" w:cs="Arial" w:eastAsia="Arial" w:hAnsi="Arial"/>
          <w:sz w:val="22"/>
          <w:szCs w:val="22"/>
          <w:rtl w:val="0"/>
        </w:rPr>
        <w:t xml:space="preserve"> Through this, it could be assumed that in a reportedly very religious society such as The Bahamas, interest levels in Astrology may be low. However, SNS is said to spread belief strategies popular within pluralistic societies through the spread of information on varying belief systems. Through the study of Bahamian SNS users, we can see whether these ideals promoted by SNS are present in the community And whether these strategies aid in the acceptance of Astrology among Bahamian SNS users regardless of their religious background. This study used a mixed-methods approach. The primary data collection method involved an online survey, including both qualitative and quantitative questions. The participant group consisted of volunteers who self-identified as Bahamian nationals. A total of 53 completed surveys were collected, identifying 21 Facebook users and 32 Twitter users. Through this study, it will be concluded that SNS recreates a pluralistic society online and thus its users are more inclined to syncretism, secularism and pluralism. All of these attitudes proved helpful in the acceptance of Astrology regardless of religious affiliation. Also, Twitter users were proven to be more inclined to these attitudes than Facebook users. </w:t>
      </w:r>
      <w:r w:rsidDel="00000000" w:rsidR="00000000" w:rsidRPr="00000000">
        <w:rPr>
          <w:rtl w:val="0"/>
        </w:rPr>
      </w:r>
    </w:p>
    <w:p w:rsidR="00000000" w:rsidDel="00000000" w:rsidP="00000000" w:rsidRDefault="00000000" w:rsidRPr="00000000" w14:paraId="00000095">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6">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Literature Review</w:t>
      </w:r>
    </w:p>
    <w:p w:rsidR="00000000" w:rsidDel="00000000" w:rsidP="00000000" w:rsidRDefault="00000000" w:rsidRPr="00000000" w14:paraId="00000097">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8">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 In The Commonwealth of The Bahamas over 90% of the country’s residents identify themselves as adherents to a denomination of Christianity, regardless of it being a secular state.</w:t>
      </w:r>
      <w:r w:rsidDel="00000000" w:rsidR="00000000" w:rsidRPr="00000000">
        <w:rPr>
          <w:rFonts w:ascii="Arial" w:cs="Arial" w:eastAsia="Arial" w:hAnsi="Arial"/>
          <w:sz w:val="22"/>
          <w:szCs w:val="22"/>
          <w:vertAlign w:val="superscript"/>
        </w:rPr>
        <w:footnoteReference w:customMarkFollows="0" w:id="1"/>
      </w:r>
      <w:r w:rsidDel="00000000" w:rsidR="00000000" w:rsidRPr="00000000">
        <w:rPr>
          <w:rFonts w:ascii="Arial" w:cs="Arial" w:eastAsia="Arial" w:hAnsi="Arial"/>
          <w:sz w:val="22"/>
          <w:szCs w:val="22"/>
          <w:rtl w:val="0"/>
        </w:rPr>
        <w:t xml:space="preserve"> According to Dr Nicholas Campion, “Astrology assumes that there is a significant relationship between the stars or planets and affairs on earth.” or “the assumption that the stars and planets possess, or impart, meaning.”</w:t>
      </w:r>
      <w:r w:rsidDel="00000000" w:rsidR="00000000" w:rsidRPr="00000000">
        <w:rPr>
          <w:rFonts w:ascii="Arial" w:cs="Arial" w:eastAsia="Arial" w:hAnsi="Arial"/>
          <w:sz w:val="22"/>
          <w:szCs w:val="22"/>
          <w:vertAlign w:val="superscript"/>
        </w:rPr>
        <w:footnoteReference w:customMarkFollows="0" w:id="2"/>
      </w:r>
      <w:r w:rsidDel="00000000" w:rsidR="00000000" w:rsidRPr="00000000">
        <w:rPr>
          <w:rFonts w:ascii="Arial" w:cs="Arial" w:eastAsia="Arial" w:hAnsi="Arial"/>
          <w:sz w:val="22"/>
          <w:szCs w:val="22"/>
          <w:rtl w:val="0"/>
        </w:rPr>
        <w:t xml:space="preserve"> In another piece of writing, Campion discussed that Astrology is increasing in popularity, potentially due to the decline of traditional religion.</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T. L. Brink wrote that the Christian faith “presumes both the omnipotence of God and the free man, which is inconsistent with fate being determined by the stars”.</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Conclusively, the foundations of Astrology are incompatible with the foundations of Christianity and thus, Campion's hypothesis of negative correlation between traditional religion and Astrology could be supported by this fact. In comparison to the nations referenced in Campion’s study, the United Kingdom and the USA, The Bahamas report a significantly higher rate of adherence to Christianity, with the other two reporting their Christian population around 46.2%</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and 70.6%</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respectively. Therefore, if we assume that interest in Astrology is negatively correlated with traditional religious adherence, then The Bahamas should report very low levels of Astrological interest. However, since Campion’s publication in 2004, we have observed a mass increase in social media use. Therefore, the effects of Social Media could be argued to have had a hand in popularising Astrology in a modern context, independent of Campion’s religious decline theory. 2004 arguably marked “the beginning of social media as we know it”.</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Since then, we have seen an increase of over 225,600% in social media involvement, with the current top social media platform, Facebook, having 2.26 billion users in 2019. With this large increase in social media users globally, its role in the current attitudes toward Astrology comes into question.  Firstly, it can be asserted that social media encourages religious strategies that may give rise to interest in Astrology, such as syncretism and pluralism.  Online landscapes create a religiously diverse culture that functions like a virtual ‘pluralistic society’. Peter Berger defines social pluralism as the “coexistence of different ethnic, moral, and religious communities in one society”.</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 Through this example, the evidence for the existence of the pluralistic model on SNS is clear, as they provide the platform for individuals from multiple backgrounds to freely interact and coexist. Paul K.McClure stated that the increased use of SNS provides people “unprecedented access to new ideas, beliefs, and practices”.</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Thus, it can be argued that though individuals may not exist physically in a pluralistic society, the prevalence of common attitudes adopted in such societies may be observed by social media users. The common strategies applied in pluralistic societies are either syncretism or pluralism. McClure provided that social pluralism is most commonly achieved through either, exclusivism (“the idea that only one religion is true”), secularism (“ there is very little truth to any religion”) or individual pluralism (“all religions have some truth”).</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These social approaches to religion create the atmosphere of amicable coexistence between religiously diverse groups that Berger highlights. Thus, through SNS, those who adhere to traditional religion may be more inclined to accept or practice Astrology. Alternatively, if the use of social media aids in the increase of syncretism and pluralism, the level of religiosity among those users may not affect the attitudes toward alternate beliefs such as Astrology. Both syncretistic and pluralistic mindsets allow for increased tolerance of conflicting religious ideas and principles. Thus, it could be suggested that the influence of social media could overpower the predominantly exclusive, Christian culture of the physical Bahamian society. If this is the case, then it could be argued that the popularity of religion becomes less relevant when faced with the pluralistic environment that SNS provides. Therefore, the factor of declining traditional religion suggested by Campion could be classed as another byproduct of this pluralistic online community rather than an independent driving force behind the incline of Astrology’s popularity in a more modern context.  Though SNS have been generalised to promote syncretism and pluralism across the board, whether all platforms display encouragement of these views equally is questioned. With the two platforms observed in this study, Twitter and Facebook, the process by which information is spread amongst their users differs. On one hand, we see a more insulated, curated experience with Facebook. This SNS revolves around “recent friend activity” being primarily displayed to its users.</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On the other hand, “Twitter is expressly devoted to disseminating information” .</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In summary, Facebook users experience more information that is posted or reposted by other users that they have mutually agreed to be in contact with, whereas Twitter users experience a more varied and less personal feed of information. Hereof, Twitter users may be exposed to more global information in comparison to Facebook users who may have a more insulated news feed, depending on the diversity of their chosen ‘friends’ on the platform.  Appropriately, it could be discussed whether this can lead Twitter users to display more examples of the pluralistic attitudes McClure outlines than Facebook users. In conclusion, it can be argued that the use of social media can have implications that may be leading to the popularisation of Astrology in the modern day. Aside from Campion’s theory of religious decline, the creation of the pluralistic setting through SNS could be adding to the increase in interest in Astrology. SNS is said to be creating a culture of syncretism and pluralism which could cause increased acceptance of the practice of Astrology. However, whether different SNS platforms promote these ideals at different rates is questioned. With the large concentration of religious adherence in The Bahamas, studying social media users in the region may give evidence of these effects on interest in Astrology, despite religious affiliations. </w:t>
      </w:r>
    </w:p>
    <w:p w:rsidR="00000000" w:rsidDel="00000000" w:rsidP="00000000" w:rsidRDefault="00000000" w:rsidRPr="00000000" w14:paraId="0000009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Methodology </w:t>
      </w:r>
    </w:p>
    <w:p w:rsidR="00000000" w:rsidDel="00000000" w:rsidP="00000000" w:rsidRDefault="00000000" w:rsidRPr="00000000" w14:paraId="000000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study was approached through a mixed methodology. The research for this study was primarily done via an online survey. Alan Bryman notes that social surveys are “the main methods of data collection which embodies the features of quantitative research”. </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While surveys are commonly associated with quantitative methodology, the survey for this project featured long answer questions where respondents could describe their personal opinions in as much detail as they wished. Joshua D. Atkinson wrote the qualitative methodology entails methods that “help to gain insight into the processes involved in co-constructions of meaning, lived experiences, cultural rituals, and oppressive practices”.</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Through this, we can see that the opportunity to give long answers aligns more with a qualitative methodology. On the flip side, quantitative methodologies provide “measures that are quantifiable in numeric terms”</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In alignment with this methodology, the survey also included sections that provided numerical statistics such as questions about age group and social media preference. In addition, a quantitative methodology was also applied to a lot of the more qualitative questions by counting frequent response patterns. In conclusion, both quantitative and qualitative methodology was applied to this survey. Thus, this research project can be classed as using mixed methods. This methodology was selected to allow a full range of expression from respondents on their views of Astrology alongside collecting data on their various classifications. Originally, there were meant to be follow-up interviews to the survey. However, there was a small number of participants available to conduct these interviews. Three interviews were conducted but the information collected mainly backed up the findings of the survey. As a result, the data from these interviews were not included in this paper. </w:t>
      </w:r>
    </w:p>
    <w:p w:rsidR="00000000" w:rsidDel="00000000" w:rsidP="00000000" w:rsidRDefault="00000000" w:rsidRPr="00000000" w14:paraId="0000009D">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The surveyed group were all volunteers who were solicited via Social media advertisement. To reach Bahamian Facebook users, broadcasts were made in the Facebook groups entitled, “242 in the know”, “Speak Up Bahamas” and “Whatsapp Bahamas”. These groups were selected because of their high population of Bahamian members. In addition, these groups are most commonly used to share opinions among Bahamian Facebook users. Therefore, they provided access to a sample of individuals who are inclined to be open to sharing their opinions. To reach Bahamian Twitter users, the survey was advertised in the Twitter Community entitled “Bahamian Twitter”. This community was selected for its access to exclusively Bahamian Twitter users. A total of 60 surveys were submitted. However, 7 were eliminated for either not completing the survey or reporting that they do not use Twitter or Facebook. In total, 21 respondents who completed the survey identified as primarily using Facebook, while 32 respondents reported primarily using Twitter. Although the sample sizes are unequal across platforms all statistics are created in relation to the size of their group rather than in relation to one another. All of the respondents identified themselves as Bahamian nationals, however, about 20% of respondents reported that they currently reside outside of The Bahamas. Female respondents outnumbered male respondents 4.3:1.  An equal number of participants listed themselves as either 18-25 or 25-32 years of age, both making 35.8% of the sample. Age groups including 32-40, 40-50 and 60-70 reported much lower rates, 18%, 7.5%, and 1.9% respectively. No respondents recorded 50-60 or above 70. While it could be argued that this study does not cover a very wide range of age groups accurately, the sample size reflects the popular age ranges found on SNS. Reportedly, “SNS are most popular among young adults aged 18 to 29”.</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In this light, the age representation may be most appropriate to study the common beliefs among SNS users. However, there are other considerations that may affect this study. One such example is the fact that the frequency of SNS use was not recorded and therefore, the variation of use may raise questions of the effects of SNS on a case-to-case basis. Secondly, although the participants listed their preferred social media sites, there may still be frequent users of the alternate platform, potentially affecting the definition of the groups. Thirdly, Robert Wuthnow found that women were more likely to be sympathetic to Astrology than men.</w:t>
      </w:r>
      <w:r w:rsidDel="00000000" w:rsidR="00000000" w:rsidRPr="00000000">
        <w:rPr>
          <w:rFonts w:ascii="Arial" w:cs="Arial" w:eastAsia="Arial" w:hAnsi="Arial"/>
          <w:sz w:val="22"/>
          <w:szCs w:val="22"/>
          <w:vertAlign w:val="superscript"/>
        </w:rPr>
        <w:footnoteReference w:customMarkFollows="0" w:id="17"/>
      </w:r>
      <w:r w:rsidDel="00000000" w:rsidR="00000000" w:rsidRPr="00000000">
        <w:rPr>
          <w:rFonts w:ascii="Arial" w:cs="Arial" w:eastAsia="Arial" w:hAnsi="Arial"/>
          <w:sz w:val="22"/>
          <w:szCs w:val="22"/>
          <w:rtl w:val="0"/>
        </w:rPr>
        <w:t xml:space="preserve"> Additionally, McClure also noted that women are more inclined to religious pluralism than men.</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Taking these both into account, the large gap between male respondents and female respondents could have an effect on the overall findings of this study. It could be said that the levels of sympathy toward Astrology and pluralistic strategies may have been lower with a more balanced sample.</w:t>
      </w:r>
    </w:p>
    <w:p w:rsidR="00000000" w:rsidDel="00000000" w:rsidP="00000000" w:rsidRDefault="00000000" w:rsidRPr="00000000" w14:paraId="0000009E">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On the topic of reflexivity, “The status of the social researcher as 'outsider' or 'insider' is neither static nor one-dimensional”.</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Therefore, as the researcher, I am an insider to the studied sample by ways of also being a Bahamian National and an SNS user. This gives me insight into the landscape that is SNS and the exposure to the influx of ideas on such platforms as a Bahamian. I am aware of the common exclusivist mindset that exists within the Bahamian physical society and how this differs from the attitudes online. However, this may lead to biases about </w:t>
      </w:r>
      <w:r w:rsidDel="00000000" w:rsidR="00000000" w:rsidRPr="00000000">
        <w:rPr>
          <w:rFonts w:ascii="Arial" w:cs="Arial" w:eastAsia="Arial" w:hAnsi="Arial"/>
          <w:sz w:val="22"/>
          <w:szCs w:val="22"/>
          <w:rtl w:val="0"/>
        </w:rPr>
        <w:t xml:space="preserve">how the society</w:t>
      </w:r>
      <w:r w:rsidDel="00000000" w:rsidR="00000000" w:rsidRPr="00000000">
        <w:rPr>
          <w:rFonts w:ascii="Arial" w:cs="Arial" w:eastAsia="Arial" w:hAnsi="Arial"/>
          <w:sz w:val="22"/>
          <w:szCs w:val="22"/>
          <w:rtl w:val="0"/>
        </w:rPr>
        <w:t xml:space="preserve"> operates. Additionally, I am an insider to the Twitter users group, and thus an outsider to the Facebook users group. This may lead to unconscious favour and assumptions of the attitudes of this group, being a part of it myself.  I am also an outsider by way of being a practising astrologer, which the majority of the group is not. Therefore, it could be said that this could lead to an overestimation of attitudes against or for Astrology based on my personal interest in the topic. </w:t>
      </w:r>
    </w:p>
    <w:p w:rsidR="00000000" w:rsidDel="00000000" w:rsidP="00000000" w:rsidRDefault="00000000" w:rsidRPr="00000000" w14:paraId="0000009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276"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A1">
      <w:pPr>
        <w:spacing w:line="276" w:lineRule="auto"/>
        <w:jc w:val="center"/>
        <w:rPr>
          <w:rFonts w:ascii="Arial" w:cs="Arial" w:eastAsia="Arial" w:hAnsi="Arial"/>
          <w:b w:val="1"/>
          <w:u w:val="single"/>
        </w:rPr>
      </w:pPr>
      <w:r w:rsidDel="00000000" w:rsidR="00000000" w:rsidRPr="00000000">
        <w:rPr>
          <w:rFonts w:ascii="Arial" w:cs="Arial" w:eastAsia="Arial" w:hAnsi="Arial"/>
          <w:b w:val="1"/>
          <w:u w:val="single"/>
          <w:rtl w:val="0"/>
        </w:rPr>
        <w:t xml:space="preserve">Findings and Discussion</w:t>
      </w:r>
    </w:p>
    <w:p w:rsidR="00000000" w:rsidDel="00000000" w:rsidP="00000000" w:rsidRDefault="00000000" w:rsidRPr="00000000" w14:paraId="000000A2">
      <w:pPr>
        <w:spacing w:line="276" w:lineRule="auto"/>
        <w:jc w:val="center"/>
        <w:rPr>
          <w:rFonts w:ascii="Arial" w:cs="Arial" w:eastAsia="Arial" w:hAnsi="Arial"/>
          <w:b w:val="1"/>
          <w:u w:val="single"/>
        </w:rPr>
      </w:pPr>
      <w:r w:rsidDel="00000000" w:rsidR="00000000" w:rsidRPr="00000000">
        <w:rPr>
          <w:rtl w:val="0"/>
        </w:rPr>
      </w:r>
    </w:p>
    <w:p w:rsidR="00000000" w:rsidDel="00000000" w:rsidP="00000000" w:rsidRDefault="00000000" w:rsidRPr="00000000" w14:paraId="000000A3">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Syncretism</w:t>
      </w:r>
    </w:p>
    <w:p w:rsidR="00000000" w:rsidDel="00000000" w:rsidP="00000000" w:rsidRDefault="00000000" w:rsidRPr="00000000" w14:paraId="000000A4">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A5">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As we’ve established,  One of the most noticeable effects of SNS on the global landscape is the access to infinite information and the global networking opportunity now available. Through this global network, its users are exposed to a plethora of ideas, cultures and belief systems that they may have never come across in their physical environment. As a result, McClure asserts that “exposure to broader networks through social media leads to increased acceptance of syncretistic beliefs and practices”. Facebook users may be less inclined to these beliefs than Twitter users due to their interfaces. The increase in syncretism can be said to support the acceptance of Astrology among Bahamian SNS users.</w:t>
      </w:r>
    </w:p>
    <w:p w:rsidR="00000000" w:rsidDel="00000000" w:rsidP="00000000" w:rsidRDefault="00000000" w:rsidRPr="00000000" w14:paraId="000000A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Firstly, Wuthnow says that Syncretism provides the opportunity to “try out new things, considering whether or not they fit one’s lifestyle, and piecing together beliefs and practices from a variety of traditions.” </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Heidi Campbell noted that the internet provides its users with “the possibility of reinventing traditional religious practices online”.</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Furthermore, McClure wrote that those “who use SNS are more likely to think it is acceptable to pick and choose their religious beliefs and practises multiple religions independent of what their religious tradition teaches” </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 These examples support that the internet and social media can give rise to adopting and or supporting syncretic belief strategies while also providing a scope of what a syncretic belief system entails. To summarise, Syncretism pushes the idea of individuals being able to synthesise different religious ideas and practices, regardless of origin, creating a new, tailored belief system. As syncretism allows for a blending of religious ideals, stagnant categorisation of religion becomes more complicated. Jeffrey Guhin argues that with increased levels of syncretism, religious categories begin to “inevitably fail to account for the world's vast heterogeneity”.</w:t>
      </w:r>
      <w:r w:rsidDel="00000000" w:rsidR="00000000" w:rsidRPr="00000000">
        <w:rPr>
          <w:rFonts w:ascii="Arial" w:cs="Arial" w:eastAsia="Arial" w:hAnsi="Arial"/>
          <w:sz w:val="22"/>
          <w:szCs w:val="22"/>
          <w:vertAlign w:val="superscript"/>
        </w:rPr>
        <w:footnoteReference w:customMarkFollows="0" w:id="23"/>
      </w:r>
      <w:r w:rsidDel="00000000" w:rsidR="00000000" w:rsidRPr="00000000">
        <w:rPr>
          <w:rFonts w:ascii="Arial" w:cs="Arial" w:eastAsia="Arial" w:hAnsi="Arial"/>
          <w:sz w:val="22"/>
          <w:szCs w:val="22"/>
          <w:rtl w:val="0"/>
        </w:rPr>
        <w:t xml:space="preserve"> Taking this into account, in a highly pluralistic environment, individuals may be less likely to identify themself with a single religion than they would in a more homogenous religious environment such as The Bahamas. Therefore, it would be expected for Bahamian SNS users to express lower levels of religiosity than originally reported by the census. To test this, The respondents to the questionnaire were asked about their religious alignment. Across both platforms, 58.5% of respondents listed themselves as one of the Christian denominations, 13.2% listed themselves as ‘Spiritual’, 20.8% listed themselves as either ‘not sure’, ‘none’ or ‘agnostic’, and 3.8% listed themselves as ‘Atheist’. Although these statistics reflect a Christian majority as expected, the percentage in comparison to the officially recorded 90% Christian population of the nation is sizeably smaller. In addition, all of the other identities recorded on the survey were recorded to only make up less than 5% of the whole Bahamian society. </w:t>
      </w:r>
      <w:r w:rsidDel="00000000" w:rsidR="00000000" w:rsidRPr="00000000">
        <w:rPr>
          <w:rFonts w:ascii="Arial" w:cs="Arial" w:eastAsia="Arial" w:hAnsi="Arial"/>
          <w:sz w:val="22"/>
          <w:szCs w:val="22"/>
          <w:vertAlign w:val="superscript"/>
        </w:rPr>
        <w:footnoteReference w:customMarkFollows="0" w:id="24"/>
      </w:r>
      <w:r w:rsidDel="00000000" w:rsidR="00000000" w:rsidRPr="00000000">
        <w:rPr>
          <w:rFonts w:ascii="Arial" w:cs="Arial" w:eastAsia="Arial" w:hAnsi="Arial"/>
          <w:sz w:val="22"/>
          <w:szCs w:val="22"/>
          <w:rtl w:val="0"/>
        </w:rPr>
        <w:t xml:space="preserve"> Comparatively, these groups made up over 37% per cent of our sample size. These numbers indicate that although the Bahamian society as a whole reports an overwhelming majority of its citizens to be Christian, the population that are SNS users demonstrate a much lower percentage of alignment. Although there could be many considerations as to why this vast discrepancy exists, it could be argued that these numbers are a reflection of the overall religious distribution among Bahamians who are also SNS users. This could offer support to Campion’s religious decline theory. However, the discrepancy in the religious reports between Bahamian SNS users and the physical Bahamian society can serve as evidence of the effects of high levels of syncretism. If this is the case, it could be argued that the lower levels of Christianity and the higher levels of non-aligned persons are evidence of the fact that SNS users are more syncretic than the rest of the Bahamian society. Though expected that Facebook may show higher levels of Christian self-identification because of its comparatively lower pluralistic nature, its users actually reported a lower percentage than Twitter, 52.4% and 62.5% respectively. Facebook users also reported a higher percentage of individuals aligning with ‘spiritual’.  However, Twitter users were slightly more likely to choose either ‘none’, ‘not sure’ or ‘agnostic’. A higher level of non-aligned persons could further prove that there is a positive correlation between higher levels of pluralism and categorically religious outsiders. This fact could serve to further prove that Twitter’s algorithm is more pluralistic and thus promotes more strategies to cope, such as syncretism.  With this evidence of potential levels of syncretism among Bahamian SNS users, the original goal of comparing belief in Astrology against highly Christian groups becomes less prominent. However, this shift in the religious report may suggest that syncretism is causing blends in religious ideals that are leading to the rise of Astrology’s acceptance in general religious groups. </w:t>
      </w:r>
    </w:p>
    <w:p w:rsidR="00000000" w:rsidDel="00000000" w:rsidP="00000000" w:rsidRDefault="00000000" w:rsidRPr="00000000" w14:paraId="000000A7">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To continue, levels of syncretism could also be observed through the expression of the use of, or belief in conflicting religious practices such as Christianity alongside Astrology. Campion found that those who profess ‘Christianity’ as well as those who align with ‘Atheism’ are “likely to be hostile to Astrology</w:t>
      </w:r>
      <w:r w:rsidDel="00000000" w:rsidR="00000000" w:rsidRPr="00000000">
        <w:rPr>
          <w:rFonts w:ascii="Arial" w:cs="Arial" w:eastAsia="Arial" w:hAnsi="Arial"/>
          <w:sz w:val="22"/>
          <w:szCs w:val="22"/>
          <w:rtl w:val="0"/>
        </w:rPr>
        <w:t xml:space="preserve">” while</w:t>
      </w:r>
      <w:r w:rsidDel="00000000" w:rsidR="00000000" w:rsidRPr="00000000">
        <w:rPr>
          <w:rFonts w:ascii="Arial" w:cs="Arial" w:eastAsia="Arial" w:hAnsi="Arial"/>
          <w:sz w:val="22"/>
          <w:szCs w:val="22"/>
          <w:rtl w:val="0"/>
        </w:rPr>
        <w:t xml:space="preserve"> ‘Spiritual’ identifiers are “more likely to be sympathetic”.</w:t>
      </w:r>
      <w:r w:rsidDel="00000000" w:rsidR="00000000" w:rsidRPr="00000000">
        <w:rPr>
          <w:rFonts w:ascii="Arial" w:cs="Arial" w:eastAsia="Arial" w:hAnsi="Arial"/>
          <w:sz w:val="22"/>
          <w:szCs w:val="22"/>
          <w:vertAlign w:val="superscript"/>
        </w:rPr>
        <w:footnoteReference w:customMarkFollows="0" w:id="25"/>
      </w:r>
      <w:r w:rsidDel="00000000" w:rsidR="00000000" w:rsidRPr="00000000">
        <w:rPr>
          <w:rFonts w:ascii="Arial" w:cs="Arial" w:eastAsia="Arial" w:hAnsi="Arial"/>
          <w:sz w:val="22"/>
          <w:szCs w:val="22"/>
          <w:rtl w:val="0"/>
        </w:rPr>
        <w:t xml:space="preserve"> If we apply Campion’s ‘pre-SNS’ blueprint, Facebook should then display a higher number of Astrology sympathisers because it showed lower numbers of Christians and higher numbers of Spiritual individuals. To measure interest in Astrology, participants were asked if they would consider having an Astrology reading done by an astrologer. About 85.7% of persons who identified as ‘spiritual’ reported that they would.  Comparatively, only 33% of Christians said yes. This shows that Campion’s model still holds weight even within the SNS sphere. Yet, there are disparities between Christians who use Facebook and those who use Twitter. Twitter users who identify as Christian, reported they would consider having an Astrology reading at a higher rate than their Facebook-using counterparts. These statistics hint at the fact that although Campion’s found that Christians are more likely to be opposed to Astrology, those who use Twitter may show an increased affinity to its use. This aligns with the idea that the more pluralistic the SNS is, the more syncretic the users. In this case, higher levels of syncretism support the promotion of Astrology. To continue, out of the group of Christian SNS users who said they would be open to an Astrology reading, 27.3% agreed that it was against their religion. This shows that even though they recognise that the two belief systems may be opposing, they are open to combining the two. One such respondent commented, ‘</w:t>
      </w:r>
      <w:r w:rsidDel="00000000" w:rsidR="00000000" w:rsidRPr="00000000">
        <w:rPr>
          <w:rFonts w:ascii="Arial" w:cs="Arial" w:eastAsia="Arial" w:hAnsi="Arial"/>
          <w:sz w:val="22"/>
          <w:szCs w:val="22"/>
          <w:highlight w:val="white"/>
          <w:rtl w:val="0"/>
        </w:rPr>
        <w:t xml:space="preserve">It’s just another tool/study/sector; you can use it or not. Also, if using both you could pray about certain things in Astrology (praying and asking for help through astrological events)’.</w:t>
      </w:r>
      <w:r w:rsidDel="00000000" w:rsidR="00000000" w:rsidRPr="00000000">
        <w:rPr>
          <w:rFonts w:ascii="Arial" w:cs="Arial" w:eastAsia="Arial" w:hAnsi="Arial"/>
          <w:sz w:val="18"/>
          <w:szCs w:val="18"/>
          <w:highlight w:val="white"/>
          <w:rtl w:val="0"/>
        </w:rPr>
        <w:t xml:space="preserve"> </w:t>
      </w:r>
      <w:r w:rsidDel="00000000" w:rsidR="00000000" w:rsidRPr="00000000">
        <w:rPr>
          <w:rFonts w:ascii="Arial" w:cs="Arial" w:eastAsia="Arial" w:hAnsi="Arial"/>
          <w:sz w:val="22"/>
          <w:szCs w:val="22"/>
          <w:rtl w:val="0"/>
        </w:rPr>
        <w:t xml:space="preserve"> This displays an account of how one of the respondents synthesises the belief in Christianity and Astrology. Another expressed that she “believes God created all energies to interlace”, providing another example of syncing the two belief systems. These examples provide evidence of SNS users actively practising syncretism. In conclusion, syncretism is proven among Bahamians In conclusion, syncretism allows individuals to blend different religious ideas and create personalised belief systems. As a result, traditional religious categorisations are being redefined and thus leading to lower levels of religious identification within the Bahamian online community. These SNS users demonstrated a discrepancy in religious alignment compared to the broader population, indicating the influence of syncretism. Furthermore, There was evidence for the synthesis of conflicting practices, like Christianity and Astrology by some SNS users, showcasing the blending of these beliefs. These examples highlight the active practice of syncretism among SNS users in adapting and combining religious elements to suit their preferences. </w:t>
      </w:r>
    </w:p>
    <w:p w:rsidR="00000000" w:rsidDel="00000000" w:rsidP="00000000" w:rsidRDefault="00000000" w:rsidRPr="00000000" w14:paraId="000000A8">
      <w:pPr>
        <w:spacing w:line="276" w:lineRule="auto"/>
        <w:ind w:firstLine="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276" w:lineRule="auto"/>
        <w:ind w:firstLine="720"/>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Strategies for Societal Pluralism</w:t>
      </w:r>
    </w:p>
    <w:p w:rsidR="00000000" w:rsidDel="00000000" w:rsidP="00000000" w:rsidRDefault="00000000" w:rsidRPr="00000000" w14:paraId="000000AA">
      <w:pPr>
        <w:spacing w:line="276" w:lineRule="auto"/>
        <w:ind w:firstLine="720"/>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AB">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As It can be argued that SNS creates pluralistic pseudo-societies, it can encourage its users to adopt religious strategies popular in such an environment. Through this pluralistic exposure, according to McClure, we should also expect common pluralistic strategies such as exclusivism, secularism, or individual pluralism. </w:t>
      </w:r>
      <w:r w:rsidDel="00000000" w:rsidR="00000000" w:rsidRPr="00000000">
        <w:rPr>
          <w:rFonts w:ascii="Arial" w:cs="Arial" w:eastAsia="Arial" w:hAnsi="Arial"/>
          <w:sz w:val="22"/>
          <w:szCs w:val="22"/>
          <w:vertAlign w:val="superscript"/>
        </w:rPr>
        <w:footnoteReference w:customMarkFollows="0" w:id="26"/>
      </w:r>
      <w:r w:rsidDel="00000000" w:rsidR="00000000" w:rsidRPr="00000000">
        <w:rPr>
          <w:rFonts w:ascii="Arial" w:cs="Arial" w:eastAsia="Arial" w:hAnsi="Arial"/>
          <w:sz w:val="22"/>
          <w:szCs w:val="22"/>
          <w:rtl w:val="0"/>
        </w:rPr>
        <w:t xml:space="preserve"> We can observe a range of these strategies amongst the social media users of the Bahamian Society and compare the popularity and frequency of these across these Twitter and Facebook users. All of these strategies may assist in the spread of Astrology among SNS users. First, “secularism seeks to protect the rights and freedoms of individuals to hold and express their religious beliefs (or lack thereof) without privileging one particular religion or worldview over others”.</w:t>
      </w:r>
      <w:r w:rsidDel="00000000" w:rsidR="00000000" w:rsidRPr="00000000">
        <w:rPr>
          <w:rFonts w:ascii="Arial" w:cs="Arial" w:eastAsia="Arial" w:hAnsi="Arial"/>
          <w:sz w:val="22"/>
          <w:szCs w:val="22"/>
          <w:vertAlign w:val="superscript"/>
        </w:rPr>
        <w:footnoteReference w:customMarkFollows="0" w:id="27"/>
      </w:r>
      <w:r w:rsidDel="00000000" w:rsidR="00000000" w:rsidRPr="00000000">
        <w:rPr>
          <w:rFonts w:ascii="Arial" w:cs="Arial" w:eastAsia="Arial" w:hAnsi="Arial"/>
          <w:sz w:val="22"/>
          <w:szCs w:val="22"/>
          <w:rtl w:val="0"/>
        </w:rPr>
        <w:t xml:space="preserve"> Therefore, to prove secularist attitudes toward Astrology among Bahamian SNS users, we must observe individuals expressing acceptance of others practising or studying Astrologers, regardless of their own belief systems. To measure this, respondents were asked if they believed other Bahamians should study Astrology. Across both platforms, instead of providing a definite yes or no answer, just over a third of persons gave an answer that signalled that they believe that other Bahamians should be free to study whatever they feel called to. These answers included; ‘To each their own’, ‘I think we should allow people to study and find purpose in whatever it is that they want’ and ‘If they want to, Bahamians should be free to make up their own minds’. This displays a significant percentage of Bahamian SNS users believe that individuals should be free to follow whichever belief that they feel called to. This displays secular attitudes toward Astrology, showing that they believe that individuals should be accepted regardless of their practices and alignments. The group that took this stance included 40.6% of all Twitter users. In contrast, only 23.8% of Facebook users aligned with this idea. This shows that even though Twitter users were reportedly more religiously aligned, they were also significantly more open to others being free to choose their own paths. This aligns with the idea discussed previously, that Twitter users may be more inclined to pluralistic strategies than Facebook users, as in this case, they showcase a higher frequency of secularism toward Astrology. In this context, these secular attitudes serve to support the popularity of Astrology by decreasing resistance against its practice. In addition, this goes against Campion’s model of Christians being less sympathetic to Astrology. Because of this, it can be asserted that the use of SNS had a direct effect on the respondents and their sympathies toward Astrology. </w:t>
      </w:r>
    </w:p>
    <w:p w:rsidR="00000000" w:rsidDel="00000000" w:rsidP="00000000" w:rsidRDefault="00000000" w:rsidRPr="00000000" w14:paraId="000000AC">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To continue, McClure listed secularism as a popular approach to societal pluralism. According to Kevin Meeker, "Pluralism is the view that there are many different basic ways to understand the world that cannot be reduced to a single, more fundamental way of understanding. From the pluralist perspective, the world is complex and multifaceted, and there are many distinct and incommensurable approaches to making sense of it." </w:t>
      </w:r>
      <w:r w:rsidDel="00000000" w:rsidR="00000000" w:rsidRPr="00000000">
        <w:rPr>
          <w:rFonts w:ascii="Arial" w:cs="Arial" w:eastAsia="Arial" w:hAnsi="Arial"/>
          <w:sz w:val="22"/>
          <w:szCs w:val="22"/>
          <w:vertAlign w:val="superscript"/>
        </w:rPr>
        <w:footnoteReference w:customMarkFollows="0" w:id="28"/>
      </w:r>
      <w:r w:rsidDel="00000000" w:rsidR="00000000" w:rsidRPr="00000000">
        <w:rPr>
          <w:rFonts w:ascii="Arial" w:cs="Arial" w:eastAsia="Arial" w:hAnsi="Arial"/>
          <w:sz w:val="22"/>
          <w:szCs w:val="22"/>
          <w:rtl w:val="0"/>
        </w:rPr>
        <w:t xml:space="preserve"> McClure said “Pluralism means that all religions have some truth to them and the major world religions each give partial expression to that divine truth”.</w:t>
      </w:r>
      <w:r w:rsidDel="00000000" w:rsidR="00000000" w:rsidRPr="00000000">
        <w:rPr>
          <w:rFonts w:ascii="Arial" w:cs="Arial" w:eastAsia="Arial" w:hAnsi="Arial"/>
          <w:sz w:val="22"/>
          <w:szCs w:val="22"/>
          <w:vertAlign w:val="superscript"/>
        </w:rPr>
        <w:footnoteReference w:customMarkFollows="0" w:id="29"/>
      </w:r>
      <w:r w:rsidDel="00000000" w:rsidR="00000000" w:rsidRPr="00000000">
        <w:rPr>
          <w:rFonts w:ascii="Arial" w:cs="Arial" w:eastAsia="Arial" w:hAnsi="Arial"/>
          <w:sz w:val="22"/>
          <w:szCs w:val="22"/>
          <w:rtl w:val="0"/>
        </w:rPr>
        <w:t xml:space="preserve"> Therefore, we can conclude that individual pluralism asserts that all religions have some truth to them and therefore all religious practices deserve equal amounts of respect. This attitude could give rise to Astrology because if Bahamian SNS users believe that all beliefs contain some truth, then Astrology must do as well. Therefore, SNS users may not only respect others practising it but also may be inclined to practise and/or study it themselves if they believe that it has truth to it. When asked if the practice of Astrology may be helpful in any way, 71.6% of Bahamian SNS users responded positively and listed a way in which they thought it may be helpful, regardless of their own religious beliefs or willingness to have a reading done themselves.  Through this, it can be argued that the grand majority of these SNS users display a belief in some level of truth to Astrology. This group was inclusive of 63.6% of the Christian respondents. Because of this common expression of belief in Astrology’s potential helpfulness among the Christian respondents, despite this practice being foundationally incompatible with their own religion, we can conclude that Christian SNS users accept that Astrology may hold some truth alongside their own. This high level of agreement among the Christian SNS users suggests that a pluralistic outlook to Astrology is quite popular among Bahamian SNS users. This display of pluralistic values backs McClure’s idea of popular strategies for pluralism being mirrored by online landscapes, even among religious groups. Furthermore, about 13.2% of Bahamian SNS users specified that although it may not be a helpful tool for them, it may be helpful for others. This was measured by the use of language such as “it is helpful to those who believe in it” or specifically mentioning how it is helpful to “other people”. This implies that though they do not find it helpful for themselves, they do not dismiss the possibility of it being a helpful practice for others.  Although this is a small percentage of persons, this still provides evidence of individual pluralistic attitudes toward Astrology among Bahamian SNS users. In summary, individual pluralism asserts the idea that all religious practices may have some truth to them and therefore require respect. We can observe this in the Bahamian SNS community as it pertains to the belief in Astrology’s helpfulness. The majority of respondents found Astrology helpful to some degree, regardless of their religious background and own use of it. This seeks to prove that the use of Astrology may be advanced through SNS due to the promotion of pluralistic ideals.</w:t>
      </w:r>
    </w:p>
    <w:p w:rsidR="00000000" w:rsidDel="00000000" w:rsidP="00000000" w:rsidRDefault="00000000" w:rsidRPr="00000000" w14:paraId="000000A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Finally, McClure said exclusivism can also be commonly observed in pluralistic environments. "Exclusivism is the view that one religious tradition is uniquely true or valuable and that all other religions are false or of lesser value. Exclusivists maintain that their religion provides the only means of salvation, enlightenment, or liberation, and they often regard other religions as inferior or misguided."</w:t>
      </w:r>
      <w:r w:rsidDel="00000000" w:rsidR="00000000" w:rsidRPr="00000000">
        <w:rPr>
          <w:rFonts w:ascii="Arial" w:cs="Arial" w:eastAsia="Arial" w:hAnsi="Arial"/>
          <w:sz w:val="22"/>
          <w:szCs w:val="22"/>
          <w:vertAlign w:val="superscript"/>
        </w:rPr>
        <w:footnoteReference w:customMarkFollows="0" w:id="30"/>
      </w:r>
      <w:r w:rsidDel="00000000" w:rsidR="00000000" w:rsidRPr="00000000">
        <w:rPr>
          <w:rFonts w:ascii="Arial" w:cs="Arial" w:eastAsia="Arial" w:hAnsi="Arial"/>
          <w:sz w:val="22"/>
          <w:szCs w:val="22"/>
          <w:rtl w:val="0"/>
        </w:rPr>
        <w:t xml:space="preserve"> When questioned on whether they believe Astrology is against their religion, One Christian SNS user commented they are ‘meant to look to God, not the stars. Divination is forbidden’. Another noted ‘the secular view of Astrology is demonic’. These examples reinforce the discord between the use of Astrology and the belief in Christianity highlighted by Brink.  However, these views were heavily in the minority despite the majority of the sample identifying as Christian. Only about 7.5% of respondents expressed the fact that they believed that Astrology was against their religion while also reporting that they do not think it is useful in any way </w:t>
      </w:r>
      <w:r w:rsidDel="00000000" w:rsidR="00000000" w:rsidRPr="00000000">
        <w:rPr>
          <w:rFonts w:ascii="Arial" w:cs="Arial" w:eastAsia="Arial" w:hAnsi="Arial"/>
          <w:b w:val="1"/>
          <w:sz w:val="22"/>
          <w:szCs w:val="22"/>
          <w:rtl w:val="0"/>
        </w:rPr>
        <w:t xml:space="preserve">and</w:t>
      </w:r>
      <w:r w:rsidDel="00000000" w:rsidR="00000000" w:rsidRPr="00000000">
        <w:rPr>
          <w:rFonts w:ascii="Arial" w:cs="Arial" w:eastAsia="Arial" w:hAnsi="Arial"/>
          <w:sz w:val="22"/>
          <w:szCs w:val="22"/>
          <w:rtl w:val="0"/>
        </w:rPr>
        <w:t xml:space="preserve"> would not consider an Astrology reading.  Through the combination of these responses, this group expressed that they do not acknowledge the efficacy of Astrology and also do not support its use. This is an active display of the exclusive strategy. On one hand, the existence of exclusivist viewpoints amongst the respondents could be used to support McClure’s assertion of exclusivism being one of the possible approaches to pluralism. However, on the other hand, this mindset could also be seen as a normal outlook in a religiously homogeneous environment such as The Bahamas. Naturally, if only one set of religious beliefs is explored, only one would be true. From this angle, it could then be argued that the overwhelming majority of the sample does not adhere to this particular strategy because most are moving toward the syncretistic, secular and/or pluralistic attitudes that SNS promotes more frequently. Additionally, the low frequency of exclusivist attitudes used against Astrology supports the idea that SNS is actually promoting the use of Astrology. In conclusion, Bahamian SNS users displayed significant levels of attitudes common in pluralistic landscapes including secularism and individual pluralism. However, lower levels of exclusivism were displayed. The popularity of these attitudes from SNS users who have a background of a more homogeneous society concludes that exposure to societal pluralism through SNS may be assisting the spread of Astrology within the Bahamian online community. </w:t>
      </w:r>
    </w:p>
    <w:p w:rsidR="00000000" w:rsidDel="00000000" w:rsidP="00000000" w:rsidRDefault="00000000" w:rsidRPr="00000000" w14:paraId="000000A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Conclusion </w:t>
      </w:r>
    </w:p>
    <w:p w:rsidR="00000000" w:rsidDel="00000000" w:rsidP="00000000" w:rsidRDefault="00000000" w:rsidRPr="00000000" w14:paraId="000000B1">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The main focus of this study is to highlight the effects of social media platforms as they pertain to trends of thought about Astrology in the Bahamian online community. This was approached via a mixed-methods survey, filled out by 21 Facebook users and 32 Twitter users.  It was outlined that SNS provides a platform where individuals are exposed to high levels of religious pluralism. As a result, individual pluralism, secularism, syncretism and exclusivism were expected among its users. Because of the reported high concentration of Christianity within the country, an investigation into its SNS users proved helpful in separating the effects of religious decline and the effects of SNS as it pertains to the acceptance of Astrology. Reportedly, the expected religious strategies of individual pluralism, secularism, and syncretism proved to be prevalent within the sample - which led to high levels of sympathy toward Astrology. Bahamian Twitter Users displayed higher frequencies of these ideas than Facebook users. Despite the Christian majority, expressions of exclusivism were low in frequency. In Summary, it was found that even though the Bahamian society is predominantly Christian which should result in low levels of interest in Astrology, the effects of social media on Bahamian SNS users may have overtaken the attitudes toward Astrology that were originally expected. High levels of sympathy toward astrology were displayed which could be attributed to high levels of syncretism, secularism and pluralism.</w:t>
      </w:r>
    </w:p>
    <w:p w:rsidR="00000000" w:rsidDel="00000000" w:rsidP="00000000" w:rsidRDefault="00000000" w:rsidRPr="00000000" w14:paraId="000000B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Word count: 5,005</w:t>
      </w:r>
    </w:p>
    <w:p w:rsidR="00000000" w:rsidDel="00000000" w:rsidP="00000000" w:rsidRDefault="00000000" w:rsidRPr="00000000" w14:paraId="000000B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Bibliography</w:t>
      </w:r>
    </w:p>
    <w:p w:rsidR="00000000" w:rsidDel="00000000" w:rsidP="00000000" w:rsidRDefault="00000000" w:rsidRPr="00000000" w14:paraId="000000B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i w:val="1"/>
          <w:sz w:val="22"/>
          <w:szCs w:val="22"/>
          <w:rtl w:val="0"/>
        </w:rPr>
        <w:t xml:space="preserve">The Bahamas 2021 International Religious Freedom Report, </w:t>
      </w:r>
      <w:r w:rsidDel="00000000" w:rsidR="00000000" w:rsidRPr="00000000">
        <w:rPr>
          <w:rFonts w:ascii="Arial" w:cs="Arial" w:eastAsia="Arial" w:hAnsi="Arial"/>
          <w:sz w:val="22"/>
          <w:szCs w:val="22"/>
          <w:rtl w:val="0"/>
        </w:rPr>
        <w:t xml:space="preserve">https://www.state.gov/wp-content/uploads/2022/04/BAHAMAS-2021-INTERNATIONAL-RELIGIOUS-FREEDOM-REPORT.pdf edn, 2023 vols (2021) &lt;https://www.state.gov/wp-content/uploads/2022/04/BAHAMAS-2021-INTERNATIONAL-RELIGIOUS-FREEDOM-REPORT.pdf&gt; [accessed 8th April 2023]</w:t>
      </w:r>
    </w:p>
    <w:p w:rsidR="00000000" w:rsidDel="00000000" w:rsidP="00000000" w:rsidRDefault="00000000" w:rsidRPr="00000000" w14:paraId="000000B8">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Atkinson, Joshua D., 'Qualitative Methods', in </w:t>
      </w:r>
      <w:r w:rsidDel="00000000" w:rsidR="00000000" w:rsidRPr="00000000">
        <w:rPr>
          <w:rFonts w:ascii="Arial" w:cs="Arial" w:eastAsia="Arial" w:hAnsi="Arial"/>
          <w:i w:val="1"/>
          <w:sz w:val="22"/>
          <w:szCs w:val="22"/>
          <w:rtl w:val="0"/>
        </w:rPr>
        <w:t xml:space="preserve">Journey into Social Activism</w:t>
      </w:r>
      <w:r w:rsidDel="00000000" w:rsidR="00000000" w:rsidRPr="00000000">
        <w:rPr>
          <w:rFonts w:ascii="Arial" w:cs="Arial" w:eastAsia="Arial" w:hAnsi="Arial"/>
          <w:sz w:val="22"/>
          <w:szCs w:val="22"/>
          <w:rtl w:val="0"/>
        </w:rPr>
        <w:t xml:space="preserve">(Fordham University Press, 2017), pp. 65-98</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&lt;http://www.jstor.org/stable/j.ctt1hfr0rk.6&gt;</w:t>
      </w:r>
    </w:p>
    <w:p w:rsidR="00000000" w:rsidDel="00000000" w:rsidP="00000000" w:rsidRDefault="00000000" w:rsidRPr="00000000" w14:paraId="000000B9">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Brink, T. L., 'Inconsistency of Belief among Roman Catholic Girls: Concerning Religion, Astrology, Reincarnation', </w:t>
      </w:r>
      <w:r w:rsidDel="00000000" w:rsidR="00000000" w:rsidRPr="00000000">
        <w:rPr>
          <w:rFonts w:ascii="Arial" w:cs="Arial" w:eastAsia="Arial" w:hAnsi="Arial"/>
          <w:i w:val="1"/>
          <w:sz w:val="22"/>
          <w:szCs w:val="22"/>
          <w:rtl w:val="0"/>
        </w:rPr>
        <w:t xml:space="preserve">Review of Religious Research, </w:t>
      </w:r>
      <w:r w:rsidDel="00000000" w:rsidR="00000000" w:rsidRPr="00000000">
        <w:rPr>
          <w:rFonts w:ascii="Arial" w:cs="Arial" w:eastAsia="Arial" w:hAnsi="Arial"/>
          <w:sz w:val="22"/>
          <w:szCs w:val="22"/>
          <w:rtl w:val="0"/>
        </w:rPr>
        <w:t xml:space="preserve">20 (1978), 82-85</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&lt;http://www.jstor.org/stable/3509943&gt;</w:t>
      </w:r>
    </w:p>
    <w:p w:rsidR="00000000" w:rsidDel="00000000" w:rsidP="00000000" w:rsidRDefault="00000000" w:rsidRPr="00000000" w14:paraId="000000BA">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Bryman, Alan, </w:t>
      </w:r>
      <w:r w:rsidDel="00000000" w:rsidR="00000000" w:rsidRPr="00000000">
        <w:rPr>
          <w:rFonts w:ascii="Arial" w:cs="Arial" w:eastAsia="Arial" w:hAnsi="Arial"/>
          <w:i w:val="1"/>
          <w:sz w:val="22"/>
          <w:szCs w:val="22"/>
          <w:rtl w:val="0"/>
        </w:rPr>
        <w:t xml:space="preserve">Quantity and Quality in Social Research</w:t>
      </w:r>
      <w:r w:rsidDel="00000000" w:rsidR="00000000" w:rsidRPr="00000000">
        <w:rPr>
          <w:rFonts w:ascii="Arial" w:cs="Arial" w:eastAsia="Arial" w:hAnsi="Arial"/>
          <w:sz w:val="22"/>
          <w:szCs w:val="22"/>
          <w:rtl w:val="0"/>
        </w:rPr>
        <w:t xml:space="preserve"> (London ;: Unwin Hyman, 1988)</w:t>
      </w:r>
    </w:p>
    <w:p w:rsidR="00000000" w:rsidDel="00000000" w:rsidP="00000000" w:rsidRDefault="00000000" w:rsidRPr="00000000" w14:paraId="000000BB">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Campbell, Heidi, 'Internet and Religion', in (2011), pp. 232</w:t>
      </w:r>
    </w:p>
    <w:p w:rsidR="00000000" w:rsidDel="00000000" w:rsidP="00000000" w:rsidRDefault="00000000" w:rsidRPr="00000000" w14:paraId="000000BC">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Campion, Nicholas, 'Prophecy, Cosmology and the New Age Movement:</w:t>
        <w:br w:type="textWrapping"/>
        <w:t xml:space="preserve">The Extent and Nature of Contemporary Belief in Astrology' (Doctor of Philosophy, Bath Spa University College, 2004)</w:t>
      </w:r>
    </w:p>
    <w:p w:rsidR="00000000" w:rsidDel="00000000" w:rsidP="00000000" w:rsidRDefault="00000000" w:rsidRPr="00000000" w14:paraId="000000BD">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Clark, Kelly J. and Kevin Corcoran, 'Pluralism, Secularism, and Tolerance', </w:t>
      </w:r>
      <w:r w:rsidDel="00000000" w:rsidR="00000000" w:rsidRPr="00000000">
        <w:rPr>
          <w:rFonts w:ascii="Arial" w:cs="Arial" w:eastAsia="Arial" w:hAnsi="Arial"/>
          <w:i w:val="1"/>
          <w:sz w:val="22"/>
          <w:szCs w:val="22"/>
          <w:rtl w:val="0"/>
        </w:rPr>
        <w:t xml:space="preserve">Rhetoric and Public Affairs, </w:t>
      </w:r>
      <w:r w:rsidDel="00000000" w:rsidR="00000000" w:rsidRPr="00000000">
        <w:rPr>
          <w:rFonts w:ascii="Arial" w:cs="Arial" w:eastAsia="Arial" w:hAnsi="Arial"/>
          <w:sz w:val="22"/>
          <w:szCs w:val="22"/>
          <w:rtl w:val="0"/>
        </w:rPr>
        <w:t xml:space="preserve">3 (2000), 627-639</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&lt;http://www.jstor.org.ezproxy.uwtsd.ac.uk/stable/41939634&gt;</w:t>
      </w:r>
    </w:p>
    <w:p w:rsidR="00000000" w:rsidDel="00000000" w:rsidP="00000000" w:rsidRDefault="00000000" w:rsidRPr="00000000" w14:paraId="000000BE">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Kamil, Michael L., 'The Current State of Quantitative Research', </w:t>
      </w:r>
      <w:r w:rsidDel="00000000" w:rsidR="00000000" w:rsidRPr="00000000">
        <w:rPr>
          <w:rFonts w:ascii="Arial" w:cs="Arial" w:eastAsia="Arial" w:hAnsi="Arial"/>
          <w:i w:val="1"/>
          <w:sz w:val="22"/>
          <w:szCs w:val="22"/>
          <w:rtl w:val="0"/>
        </w:rPr>
        <w:t xml:space="preserve">Reading Research Quarterly, </w:t>
      </w:r>
      <w:r w:rsidDel="00000000" w:rsidR="00000000" w:rsidRPr="00000000">
        <w:rPr>
          <w:rFonts w:ascii="Arial" w:cs="Arial" w:eastAsia="Arial" w:hAnsi="Arial"/>
          <w:sz w:val="22"/>
          <w:szCs w:val="22"/>
          <w:rtl w:val="0"/>
        </w:rPr>
        <w:t xml:space="preserve">39 (2004), 100-107</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&lt;http://www.jstor.org/stable/4151763&gt;</w:t>
      </w:r>
    </w:p>
    <w:p w:rsidR="00000000" w:rsidDel="00000000" w:rsidP="00000000" w:rsidRDefault="00000000" w:rsidRPr="00000000" w14:paraId="000000BF">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McClure, Paul K., 'Faith and Facebook in a Pluralistic Age: The Effects of Social Networking Sites on the Religious Beliefs of Emerging Adults', </w:t>
      </w:r>
      <w:r w:rsidDel="00000000" w:rsidR="00000000" w:rsidRPr="00000000">
        <w:rPr>
          <w:rFonts w:ascii="Arial" w:cs="Arial" w:eastAsia="Arial" w:hAnsi="Arial"/>
          <w:i w:val="1"/>
          <w:sz w:val="22"/>
          <w:szCs w:val="22"/>
          <w:rtl w:val="0"/>
        </w:rPr>
        <w:t xml:space="preserve">Sociological Perspectives, </w:t>
      </w:r>
      <w:r w:rsidDel="00000000" w:rsidR="00000000" w:rsidRPr="00000000">
        <w:rPr>
          <w:rFonts w:ascii="Arial" w:cs="Arial" w:eastAsia="Arial" w:hAnsi="Arial"/>
          <w:sz w:val="22"/>
          <w:szCs w:val="22"/>
          <w:rtl w:val="0"/>
        </w:rPr>
        <w:t xml:space="preserve">59 (2016), 818-834</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&lt;http://www.jstor.org/stable/26340183&gt;</w:t>
      </w:r>
    </w:p>
    <w:p w:rsidR="00000000" w:rsidDel="00000000" w:rsidP="00000000" w:rsidRDefault="00000000" w:rsidRPr="00000000" w14:paraId="000000C0">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Ortiz-Ospina, Esteban, 'The Rise of Social Media', </w:t>
      </w:r>
      <w:r w:rsidDel="00000000" w:rsidR="00000000" w:rsidRPr="00000000">
        <w:rPr>
          <w:rFonts w:ascii="Arial" w:cs="Arial" w:eastAsia="Arial" w:hAnsi="Arial"/>
          <w:i w:val="1"/>
          <w:sz w:val="22"/>
          <w:szCs w:val="22"/>
          <w:rtl w:val="0"/>
        </w:rPr>
        <w:t xml:space="preserve">Our World in Data, </w:t>
      </w:r>
      <w:r w:rsidDel="00000000" w:rsidR="00000000" w:rsidRPr="00000000">
        <w:rPr>
          <w:rFonts w:ascii="Arial" w:cs="Arial" w:eastAsia="Arial" w:hAnsi="Arial"/>
          <w:sz w:val="22"/>
          <w:szCs w:val="22"/>
          <w:rtl w:val="0"/>
        </w:rPr>
        <w:t xml:space="preserve">(2019) &lt;https://ourworldindata.org/rise-of-social-media&gt;</w:t>
      </w:r>
    </w:p>
    <w:p w:rsidR="00000000" w:rsidDel="00000000" w:rsidP="00000000" w:rsidRDefault="00000000" w:rsidRPr="00000000" w14:paraId="000000C1">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Rabe, Marlize, 'Revisiting 'Insiders' and 'Outsiders' as Social Researchers', </w:t>
      </w:r>
      <w:r w:rsidDel="00000000" w:rsidR="00000000" w:rsidRPr="00000000">
        <w:rPr>
          <w:rFonts w:ascii="Arial" w:cs="Arial" w:eastAsia="Arial" w:hAnsi="Arial"/>
          <w:i w:val="1"/>
          <w:sz w:val="22"/>
          <w:szCs w:val="22"/>
          <w:rtl w:val="0"/>
        </w:rPr>
        <w:t xml:space="preserve">African Sociological Review / Revue Africaine De Sociologie, </w:t>
      </w:r>
      <w:r w:rsidDel="00000000" w:rsidR="00000000" w:rsidRPr="00000000">
        <w:rPr>
          <w:rFonts w:ascii="Arial" w:cs="Arial" w:eastAsia="Arial" w:hAnsi="Arial"/>
          <w:sz w:val="22"/>
          <w:szCs w:val="22"/>
          <w:rtl w:val="0"/>
        </w:rPr>
        <w:t xml:space="preserve">7 (2003), 149-161</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&lt;http://www.jstor.org/stable/43657708&gt;</w:t>
      </w:r>
    </w:p>
    <w:p w:rsidR="00000000" w:rsidDel="00000000" w:rsidP="00000000" w:rsidRDefault="00000000" w:rsidRPr="00000000" w14:paraId="000000C2">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Wuthnow, Robert, 'Astrology and Marginality', </w:t>
      </w:r>
      <w:r w:rsidDel="00000000" w:rsidR="00000000" w:rsidRPr="00000000">
        <w:rPr>
          <w:rFonts w:ascii="Arial" w:cs="Arial" w:eastAsia="Arial" w:hAnsi="Arial"/>
          <w:i w:val="1"/>
          <w:sz w:val="22"/>
          <w:szCs w:val="22"/>
          <w:rtl w:val="0"/>
        </w:rPr>
        <w:t xml:space="preserve">Journal for the Scientific Study of Religion, </w:t>
      </w:r>
      <w:r w:rsidDel="00000000" w:rsidR="00000000" w:rsidRPr="00000000">
        <w:rPr>
          <w:rFonts w:ascii="Arial" w:cs="Arial" w:eastAsia="Arial" w:hAnsi="Arial"/>
          <w:sz w:val="22"/>
          <w:szCs w:val="22"/>
          <w:rtl w:val="0"/>
        </w:rPr>
        <w:t xml:space="preserve">15 (1976), 157-168</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&lt;http://www.jstor.org/stable/1385359&gt;</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The following pages are photo conversions of the Questionnaire.</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Fonts w:ascii="Trebuchet MS" w:cs="Trebuchet MS" w:eastAsia="Trebuchet MS" w:hAnsi="Trebuchet MS"/>
        </w:rPr>
        <w:drawing>
          <wp:inline distB="114300" distT="114300" distL="114300" distR="114300">
            <wp:extent cx="6394133" cy="9068601"/>
            <wp:effectExtent b="0" l="0" r="0" t="0"/>
            <wp:docPr id="1031"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6394133" cy="9068601"/>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30" name="image7.jpg"/>
            <a:graphic>
              <a:graphicData uri="http://schemas.openxmlformats.org/drawingml/2006/picture">
                <pic:pic>
                  <pic:nvPicPr>
                    <pic:cNvPr id="0" name="image7.jpg"/>
                    <pic:cNvPicPr preferRelativeResize="0"/>
                  </pic:nvPicPr>
                  <pic:blipFill>
                    <a:blip r:embed="rId14"/>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29" name="image8.jpg"/>
            <a:graphic>
              <a:graphicData uri="http://schemas.openxmlformats.org/drawingml/2006/picture">
                <pic:pic>
                  <pic:nvPicPr>
                    <pic:cNvPr id="0" name="image8.jpg"/>
                    <pic:cNvPicPr preferRelativeResize="0"/>
                  </pic:nvPicPr>
                  <pic:blipFill>
                    <a:blip r:embed="rId15"/>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28"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32" name="image3.jpg"/>
            <a:graphic>
              <a:graphicData uri="http://schemas.openxmlformats.org/drawingml/2006/picture">
                <pic:pic>
                  <pic:nvPicPr>
                    <pic:cNvPr id="0" name="image3.jpg"/>
                    <pic:cNvPicPr preferRelativeResize="0"/>
                  </pic:nvPicPr>
                  <pic:blipFill>
                    <a:blip r:embed="rId17"/>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26" name="image2.jpg"/>
            <a:graphic>
              <a:graphicData uri="http://schemas.openxmlformats.org/drawingml/2006/picture">
                <pic:pic>
                  <pic:nvPicPr>
                    <pic:cNvPr id="0" name="image2.jpg"/>
                    <pic:cNvPicPr preferRelativeResize="0"/>
                  </pic:nvPicPr>
                  <pic:blipFill>
                    <a:blip r:embed="rId18"/>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27" name="image6.jpg"/>
            <a:graphic>
              <a:graphicData uri="http://schemas.openxmlformats.org/drawingml/2006/picture">
                <pic:pic>
                  <pic:nvPicPr>
                    <pic:cNvPr id="0" name="image6.jpg"/>
                    <pic:cNvPicPr preferRelativeResize="0"/>
                  </pic:nvPicPr>
                  <pic:blipFill>
                    <a:blip r:embed="rId19"/>
                    <a:srcRect b="0" l="0" r="0" t="0"/>
                    <a:stretch>
                      <a:fillRect/>
                    </a:stretch>
                  </pic:blipFill>
                  <pic:spPr>
                    <a:xfrm>
                      <a:off x="0" y="0"/>
                      <a:ext cx="5490210" cy="7772400"/>
                    </a:xfrm>
                    <a:prstGeom prst="rect"/>
                    <a:ln/>
                  </pic:spPr>
                </pic:pic>
              </a:graphicData>
            </a:graphic>
          </wp:inline>
        </w:drawing>
      </w:r>
      <w:r w:rsidDel="00000000" w:rsidR="00000000" w:rsidRPr="00000000">
        <w:rPr>
          <w:rFonts w:ascii="Trebuchet MS" w:cs="Trebuchet MS" w:eastAsia="Trebuchet MS" w:hAnsi="Trebuchet MS"/>
        </w:rPr>
        <w:drawing>
          <wp:inline distB="114300" distT="114300" distL="114300" distR="114300">
            <wp:extent cx="5490210" cy="7772400"/>
            <wp:effectExtent b="0" l="0" r="0" t="0"/>
            <wp:docPr id="1034" name="image4.jpg"/>
            <a:graphic>
              <a:graphicData uri="http://schemas.openxmlformats.org/drawingml/2006/picture">
                <pic:pic>
                  <pic:nvPicPr>
                    <pic:cNvPr id="0" name="image4.jpg"/>
                    <pic:cNvPicPr preferRelativeResize="0"/>
                  </pic:nvPicPr>
                  <pic:blipFill>
                    <a:blip r:embed="rId20"/>
                    <a:srcRect b="0" l="0" r="0" t="0"/>
                    <a:stretch>
                      <a:fillRect/>
                    </a:stretch>
                  </pic:blipFill>
                  <pic:spPr>
                    <a:xfrm>
                      <a:off x="0" y="0"/>
                      <a:ext cx="5490210" cy="7772400"/>
                    </a:xfrm>
                    <a:prstGeom prst="rect"/>
                    <a:ln/>
                  </pic:spPr>
                </pic:pic>
              </a:graphicData>
            </a:graphic>
          </wp:inline>
        </w:drawing>
      </w:r>
      <w:r w:rsidDel="00000000" w:rsidR="00000000" w:rsidRPr="00000000">
        <w:rPr>
          <w:rtl w:val="0"/>
        </w:rPr>
      </w:r>
    </w:p>
    <w:sectPr>
      <w:headerReference r:id="rId21" w:type="default"/>
      <w:type w:val="nextPage"/>
      <w:pgSz w:h="15840" w:w="12240" w:orient="portrait"/>
      <w:pgMar w:bottom="567" w:top="567" w:left="1797" w:right="1797" w:header="567"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1">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Nicholas Campion, 'Prophecy, Cosmology and the New Age Movement:</w:t>
        <w:br w:type="textWrapping"/>
        <w:t xml:space="preserve">The Extent and Nature of Contemporary Belief in Astrology' (Doctor of Philosophy, Bath Spa University College, 2004). pg 193, chapter.10.</w:t>
      </w:r>
    </w:p>
  </w:footnote>
  <w:footnote w:id="1">
    <w:p w:rsidR="00000000" w:rsidDel="00000000" w:rsidP="00000000" w:rsidRDefault="00000000" w:rsidRPr="00000000" w14:paraId="000000D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Bahamas 2021 International Religious Freedom Report, </w:t>
      </w:r>
      <w:r w:rsidDel="00000000" w:rsidR="00000000" w:rsidRPr="00000000">
        <w:rPr>
          <w:rFonts w:ascii="Arial" w:cs="Arial" w:eastAsia="Arial" w:hAnsi="Arial"/>
          <w:sz w:val="20"/>
          <w:szCs w:val="20"/>
          <w:rtl w:val="0"/>
        </w:rPr>
        <w:t xml:space="preserve">https://www.state.gov/wp-content/uploads/2022/04/BAHAMAS-2021-INTERNATIONAL-RELIGIOUS-FREEDOM-REPORT.pdf edn, 2023 vols (2021) &lt;https://www.state.gov/wp-content/uploads/2022/04/BAHAMAS-2021-INTERNATIONAL-RELIGIOUS-FREEDOM-REPORT.pdf&gt; [accessed 8th April 2023]. </w:t>
      </w:r>
    </w:p>
  </w:footnote>
  <w:footnote w:id="2">
    <w:p w:rsidR="00000000" w:rsidDel="00000000" w:rsidP="00000000" w:rsidRDefault="00000000" w:rsidRPr="00000000" w14:paraId="000000D2">
      <w:pPr>
        <w:rPr>
          <w:sz w:val="18"/>
          <w:szCs w:val="18"/>
        </w:rPr>
      </w:pPr>
      <w:r w:rsidDel="00000000" w:rsidR="00000000" w:rsidRPr="00000000">
        <w:rPr>
          <w:rStyle w:val="FootnoteReference"/>
          <w:vertAlign w:val="superscript"/>
        </w:rPr>
        <w:footnoteRef/>
      </w:r>
      <w:r w:rsidDel="00000000" w:rsidR="00000000" w:rsidRPr="00000000">
        <w:rPr>
          <w:rFonts w:ascii="Arial" w:cs="Arial" w:eastAsia="Arial" w:hAnsi="Arial"/>
          <w:sz w:val="22"/>
          <w:szCs w:val="22"/>
          <w:rtl w:val="0"/>
        </w:rPr>
        <w:t xml:space="preserve">Nicholas Campion, 'Astrology:; The Celestial Mirror', in </w:t>
      </w:r>
      <w:r w:rsidDel="00000000" w:rsidR="00000000" w:rsidRPr="00000000">
        <w:rPr>
          <w:rFonts w:ascii="Arial" w:cs="Arial" w:eastAsia="Arial" w:hAnsi="Arial"/>
          <w:i w:val="1"/>
          <w:sz w:val="22"/>
          <w:szCs w:val="22"/>
          <w:rtl w:val="0"/>
        </w:rPr>
        <w:t xml:space="preserve">Astrology and Cosmology in the World's Religions</w:t>
      </w:r>
      <w:r w:rsidDel="00000000" w:rsidR="00000000" w:rsidRPr="00000000">
        <w:rPr>
          <w:rFonts w:ascii="Arial" w:cs="Arial" w:eastAsia="Arial" w:hAnsi="Arial"/>
          <w:sz w:val="22"/>
          <w:szCs w:val="22"/>
          <w:rtl w:val="0"/>
        </w:rPr>
        <w:t xml:space="preserve"> (NYU Press, 2012), pp. 11-23</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&lt;http://www.jstor.org/stable/j.ctt9qg5q5.5&gt;.</w:t>
      </w:r>
      <w:r w:rsidDel="00000000" w:rsidR="00000000" w:rsidRPr="00000000">
        <w:rPr>
          <w:rFonts w:ascii="Arial" w:cs="Arial" w:eastAsia="Arial" w:hAnsi="Arial"/>
          <w:sz w:val="20"/>
          <w:szCs w:val="20"/>
          <w:rtl w:val="0"/>
        </w:rPr>
        <w:t xml:space="preserve"> Pg.11. </w:t>
      </w:r>
      <w:r w:rsidDel="00000000" w:rsidR="00000000" w:rsidRPr="00000000">
        <w:rPr>
          <w:rtl w:val="0"/>
        </w:rPr>
      </w:r>
    </w:p>
  </w:footnote>
  <w:footnote w:id="3">
    <w:p w:rsidR="00000000" w:rsidDel="00000000" w:rsidP="00000000" w:rsidRDefault="00000000" w:rsidRPr="00000000" w14:paraId="000000D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Nicholas Campion, 2004, pg 193, chapter.10.</w:t>
      </w:r>
    </w:p>
  </w:footnote>
  <w:footnote w:id="4">
    <w:p w:rsidR="00000000" w:rsidDel="00000000" w:rsidP="00000000" w:rsidRDefault="00000000" w:rsidRPr="00000000" w14:paraId="000000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 L. Brink, 'Inconsistency of Belief among Roman Catholic Girls: Concerning Religion, Astrology, Reincarnation', </w:t>
      </w:r>
      <w:r w:rsidDel="00000000" w:rsidR="00000000" w:rsidRPr="00000000">
        <w:rPr>
          <w:rFonts w:ascii="Arial" w:cs="Arial" w:eastAsia="Arial" w:hAnsi="Arial"/>
          <w:i w:val="1"/>
          <w:sz w:val="20"/>
          <w:szCs w:val="20"/>
          <w:rtl w:val="0"/>
        </w:rPr>
        <w:t xml:space="preserve">Review of Religious Research, </w:t>
      </w:r>
      <w:r w:rsidDel="00000000" w:rsidR="00000000" w:rsidRPr="00000000">
        <w:rPr>
          <w:rFonts w:ascii="Arial" w:cs="Arial" w:eastAsia="Arial" w:hAnsi="Arial"/>
          <w:sz w:val="20"/>
          <w:szCs w:val="20"/>
          <w:rtl w:val="0"/>
        </w:rPr>
        <w:t xml:space="preserve">20 (1978), 82-85</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&lt;http://www.jstor.org/stable/3509943&gt;. Pg. 83. </w:t>
      </w:r>
    </w:p>
  </w:footnote>
  <w:footnote w:id="5">
    <w:p w:rsidR="00000000" w:rsidDel="00000000" w:rsidP="00000000" w:rsidRDefault="00000000" w:rsidRPr="00000000" w14:paraId="000000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Religion, England and Wales: Census 2021, </w:t>
      </w:r>
      <w:r w:rsidDel="00000000" w:rsidR="00000000" w:rsidRPr="00000000">
        <w:rPr>
          <w:rFonts w:ascii="Arial" w:cs="Arial" w:eastAsia="Arial" w:hAnsi="Arial"/>
          <w:sz w:val="20"/>
          <w:szCs w:val="20"/>
          <w:rtl w:val="0"/>
        </w:rPr>
        <w:t xml:space="preserve">https://www.ons.gov.uk/peoplepopulationandcommunity/culturalidentity/religion/bulletins/religionenglandandwales/census2021 edn, 2023 vols (2021b) &lt;https://www.ons.gov.uk/peoplepopulationandcommunity/culturalidentity/religion/bulletins/religionenglandandwales/census2021&gt; [accessed 8th April 2023]. </w:t>
      </w:r>
    </w:p>
  </w:footnote>
  <w:footnote w:id="6">
    <w:p w:rsidR="00000000" w:rsidDel="00000000" w:rsidP="00000000" w:rsidRDefault="00000000" w:rsidRPr="00000000" w14:paraId="000000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Religious Landscape Study, </w:t>
      </w:r>
      <w:r w:rsidDel="00000000" w:rsidR="00000000" w:rsidRPr="00000000">
        <w:rPr>
          <w:rFonts w:ascii="Arial" w:cs="Arial" w:eastAsia="Arial" w:hAnsi="Arial"/>
          <w:sz w:val="20"/>
          <w:szCs w:val="20"/>
          <w:rtl w:val="0"/>
        </w:rPr>
        <w:t xml:space="preserve">https://www.pewresearch.org/religion/religious-landscape-study/ edn, 2023 vols (2014) &lt;https://www.pewresearch.org/religion/religious-landscape-study/&gt; [accessed 8th April 2023]. </w:t>
      </w:r>
    </w:p>
  </w:footnote>
  <w:footnote w:id="7">
    <w:p w:rsidR="00000000" w:rsidDel="00000000" w:rsidP="00000000" w:rsidRDefault="00000000" w:rsidRPr="00000000" w14:paraId="000000D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Esteban Ortiz-Ospina, 'The Rise of Social Media', </w:t>
      </w:r>
      <w:r w:rsidDel="00000000" w:rsidR="00000000" w:rsidRPr="00000000">
        <w:rPr>
          <w:rFonts w:ascii="Arial" w:cs="Arial" w:eastAsia="Arial" w:hAnsi="Arial"/>
          <w:i w:val="1"/>
          <w:sz w:val="20"/>
          <w:szCs w:val="20"/>
          <w:rtl w:val="0"/>
        </w:rPr>
        <w:t xml:space="preserve">Our World in Data, </w:t>
      </w:r>
      <w:r w:rsidDel="00000000" w:rsidR="00000000" w:rsidRPr="00000000">
        <w:rPr>
          <w:rFonts w:ascii="Arial" w:cs="Arial" w:eastAsia="Arial" w:hAnsi="Arial"/>
          <w:sz w:val="20"/>
          <w:szCs w:val="20"/>
          <w:rtl w:val="0"/>
        </w:rPr>
        <w:t xml:space="preserve">(2019) &lt;https://ourworldindata.org/rise-of-social-media&gt;. </w:t>
      </w:r>
    </w:p>
  </w:footnote>
  <w:footnote w:id="8">
    <w:p w:rsidR="00000000" w:rsidDel="00000000" w:rsidP="00000000" w:rsidRDefault="00000000" w:rsidRPr="00000000" w14:paraId="000000D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Peter Berger, </w:t>
      </w:r>
      <w:r w:rsidDel="00000000" w:rsidR="00000000" w:rsidRPr="00000000">
        <w:rPr>
          <w:rFonts w:ascii="Arial" w:cs="Arial" w:eastAsia="Arial" w:hAnsi="Arial"/>
          <w:i w:val="1"/>
          <w:sz w:val="20"/>
          <w:szCs w:val="20"/>
          <w:rtl w:val="0"/>
        </w:rPr>
        <w:t xml:space="preserve">The Many Altars of Modernity </w:t>
      </w:r>
      <w:r w:rsidDel="00000000" w:rsidR="00000000" w:rsidRPr="00000000">
        <w:rPr>
          <w:rFonts w:ascii="Arial" w:cs="Arial" w:eastAsia="Arial" w:hAnsi="Arial"/>
          <w:sz w:val="20"/>
          <w:szCs w:val="20"/>
          <w:rtl w:val="0"/>
        </w:rPr>
        <w:t xml:space="preserve">, 1st edn (De Gruyter, 2014) &lt;https://www.perlego.com/book/607285/the-many-altars-of-modernity-pdf&amp;#62;&gt;. Chapter 1. </w:t>
      </w:r>
    </w:p>
  </w:footnote>
  <w:footnote w:id="9">
    <w:p w:rsidR="00000000" w:rsidDel="00000000" w:rsidP="00000000" w:rsidRDefault="00000000" w:rsidRPr="00000000" w14:paraId="000000D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2"/>
          <w:szCs w:val="22"/>
          <w:rtl w:val="0"/>
        </w:rPr>
        <w:t xml:space="preserve">Paul K. McClure, 'Faith and Facebook in a Pluralistic Age: The Effects of Social Networking Sites on the Religious Beliefs of Emerging Adults', </w:t>
      </w:r>
      <w:r w:rsidDel="00000000" w:rsidR="00000000" w:rsidRPr="00000000">
        <w:rPr>
          <w:rFonts w:ascii="Arial" w:cs="Arial" w:eastAsia="Arial" w:hAnsi="Arial"/>
          <w:i w:val="1"/>
          <w:sz w:val="22"/>
          <w:szCs w:val="22"/>
          <w:rtl w:val="0"/>
        </w:rPr>
        <w:t xml:space="preserve">Sociological Perspectives, </w:t>
      </w:r>
      <w:r w:rsidDel="00000000" w:rsidR="00000000" w:rsidRPr="00000000">
        <w:rPr>
          <w:rFonts w:ascii="Arial" w:cs="Arial" w:eastAsia="Arial" w:hAnsi="Arial"/>
          <w:sz w:val="22"/>
          <w:szCs w:val="22"/>
          <w:rtl w:val="0"/>
        </w:rPr>
        <w:t xml:space="preserve">59 (2016), 818-834</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&lt;http://www.jstor.org/stable/26340183&gt;.</w:t>
      </w:r>
      <w:r w:rsidDel="00000000" w:rsidR="00000000" w:rsidRPr="00000000">
        <w:rPr>
          <w:rFonts w:ascii="Arial" w:cs="Arial" w:eastAsia="Arial" w:hAnsi="Arial"/>
          <w:sz w:val="20"/>
          <w:szCs w:val="20"/>
          <w:rtl w:val="0"/>
        </w:rPr>
        <w:t xml:space="preserve"> pg. 818</w:t>
      </w:r>
    </w:p>
  </w:footnote>
  <w:footnote w:id="10">
    <w:p w:rsidR="00000000" w:rsidDel="00000000" w:rsidP="00000000" w:rsidRDefault="00000000" w:rsidRPr="00000000" w14:paraId="000000D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 818-834 pg. 820</w:t>
      </w:r>
    </w:p>
  </w:footnote>
  <w:footnote w:id="11">
    <w:p w:rsidR="00000000" w:rsidDel="00000000" w:rsidP="00000000" w:rsidRDefault="00000000" w:rsidRPr="00000000" w14:paraId="000000D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 S. Sun, I. Rosenn, C. A. Marlow, and T. M. Lento., 'Gesundheit! Modelling Contagion through Facebook News Feed', </w:t>
      </w:r>
      <w:r w:rsidDel="00000000" w:rsidR="00000000" w:rsidRPr="00000000">
        <w:rPr>
          <w:rFonts w:ascii="Arial" w:cs="Arial" w:eastAsia="Arial" w:hAnsi="Arial"/>
          <w:i w:val="1"/>
          <w:sz w:val="20"/>
          <w:szCs w:val="20"/>
          <w:rtl w:val="0"/>
        </w:rPr>
        <w:t xml:space="preserve">International Conference on Weblogs and Social Media, </w:t>
      </w:r>
      <w:r w:rsidDel="00000000" w:rsidR="00000000" w:rsidRPr="00000000">
        <w:rPr>
          <w:rFonts w:ascii="Arial" w:cs="Arial" w:eastAsia="Arial" w:hAnsi="Arial"/>
          <w:sz w:val="20"/>
          <w:szCs w:val="20"/>
          <w:rtl w:val="0"/>
        </w:rPr>
        <w:t xml:space="preserve">(2009). Mechanics of Facebook Page Diffusion.</w:t>
      </w:r>
    </w:p>
  </w:footnote>
  <w:footnote w:id="12">
    <w:p w:rsidR="00000000" w:rsidDel="00000000" w:rsidP="00000000" w:rsidRDefault="00000000" w:rsidRPr="00000000" w14:paraId="000000D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Eytan Bakshy and others, </w:t>
      </w:r>
      <w:r w:rsidDel="00000000" w:rsidR="00000000" w:rsidRPr="00000000">
        <w:rPr>
          <w:rFonts w:ascii="Arial" w:cs="Arial" w:eastAsia="Arial" w:hAnsi="Arial"/>
          <w:i w:val="1"/>
          <w:sz w:val="20"/>
          <w:szCs w:val="20"/>
          <w:rtl w:val="0"/>
        </w:rPr>
        <w:t xml:space="preserve">Everyone's an Influencer: Quantifying Influence on Twitter, </w:t>
      </w:r>
      <w:r w:rsidDel="00000000" w:rsidR="00000000" w:rsidRPr="00000000">
        <w:rPr>
          <w:rFonts w:ascii="Arial" w:cs="Arial" w:eastAsia="Arial" w:hAnsi="Arial"/>
          <w:sz w:val="20"/>
          <w:szCs w:val="20"/>
          <w:rtl w:val="0"/>
        </w:rPr>
        <w:t xml:space="preserve">Hong Kong, China edn, Proceedings of the Fourth ACM International Conference on Web Search and Data Mining, (New York, NY, USA: Association for Computing Machinery, 2011) &lt;https://doi.org/10.1145/1935826.1935845&gt;. Introduction. </w:t>
      </w:r>
    </w:p>
  </w:footnote>
  <w:footnote w:id="13">
    <w:p w:rsidR="00000000" w:rsidDel="00000000" w:rsidP="00000000" w:rsidRDefault="00000000" w:rsidRPr="00000000" w14:paraId="000000D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Alan Bryman, </w:t>
      </w:r>
      <w:r w:rsidDel="00000000" w:rsidR="00000000" w:rsidRPr="00000000">
        <w:rPr>
          <w:rFonts w:ascii="Arial" w:cs="Arial" w:eastAsia="Arial" w:hAnsi="Arial"/>
          <w:i w:val="1"/>
          <w:sz w:val="20"/>
          <w:szCs w:val="20"/>
          <w:rtl w:val="0"/>
        </w:rPr>
        <w:t xml:space="preserve">Quantity and Quality in Social Research</w:t>
      </w:r>
      <w:r w:rsidDel="00000000" w:rsidR="00000000" w:rsidRPr="00000000">
        <w:rPr>
          <w:rFonts w:ascii="Arial" w:cs="Arial" w:eastAsia="Arial" w:hAnsi="Arial"/>
          <w:sz w:val="20"/>
          <w:szCs w:val="20"/>
          <w:rtl w:val="0"/>
        </w:rPr>
        <w:t xml:space="preserve"> (London ;: Unwin Hyman, 1988). Pg 11.</w:t>
      </w:r>
    </w:p>
  </w:footnote>
  <w:footnote w:id="14">
    <w:p w:rsidR="00000000" w:rsidDel="00000000" w:rsidP="00000000" w:rsidRDefault="00000000" w:rsidRPr="00000000" w14:paraId="000000D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Joshua D. Atkinson, 'Qualitative Methods', in </w:t>
      </w:r>
      <w:r w:rsidDel="00000000" w:rsidR="00000000" w:rsidRPr="00000000">
        <w:rPr>
          <w:rFonts w:ascii="Arial" w:cs="Arial" w:eastAsia="Arial" w:hAnsi="Arial"/>
          <w:i w:val="1"/>
          <w:sz w:val="20"/>
          <w:szCs w:val="20"/>
          <w:rtl w:val="0"/>
        </w:rPr>
        <w:t xml:space="preserve">Journey into Social Activism</w:t>
      </w:r>
      <w:r w:rsidDel="00000000" w:rsidR="00000000" w:rsidRPr="00000000">
        <w:rPr>
          <w:rFonts w:ascii="Arial" w:cs="Arial" w:eastAsia="Arial" w:hAnsi="Arial"/>
          <w:sz w:val="20"/>
          <w:szCs w:val="20"/>
          <w:rtl w:val="0"/>
        </w:rPr>
        <w:t xml:space="preserve"> (Fordham University Press, 2017), pp. 65-98</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&lt;http://www.jstor.org/stable/j.ctt1hfr0rk.6&gt;. Pg 65.</w:t>
      </w:r>
    </w:p>
  </w:footnote>
  <w:footnote w:id="15">
    <w:p w:rsidR="00000000" w:rsidDel="00000000" w:rsidP="00000000" w:rsidRDefault="00000000" w:rsidRPr="00000000" w14:paraId="000000D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Michael L. Kamil, 'The Current State of Quantitative Research', </w:t>
      </w:r>
      <w:r w:rsidDel="00000000" w:rsidR="00000000" w:rsidRPr="00000000">
        <w:rPr>
          <w:rFonts w:ascii="Arial" w:cs="Arial" w:eastAsia="Arial" w:hAnsi="Arial"/>
          <w:i w:val="1"/>
          <w:sz w:val="20"/>
          <w:szCs w:val="20"/>
          <w:rtl w:val="0"/>
        </w:rPr>
        <w:t xml:space="preserve">Reading Research Quarterly, </w:t>
      </w:r>
      <w:r w:rsidDel="00000000" w:rsidR="00000000" w:rsidRPr="00000000">
        <w:rPr>
          <w:rFonts w:ascii="Arial" w:cs="Arial" w:eastAsia="Arial" w:hAnsi="Arial"/>
          <w:sz w:val="20"/>
          <w:szCs w:val="20"/>
          <w:rtl w:val="0"/>
        </w:rPr>
        <w:t xml:space="preserve">39 (2004), 100-107</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&lt;http://www.jstor.org/stable/4151763&gt;. Pg 100.</w:t>
      </w:r>
    </w:p>
  </w:footnote>
  <w:footnote w:id="16">
    <w:p w:rsidR="00000000" w:rsidDel="00000000" w:rsidP="00000000" w:rsidRDefault="00000000" w:rsidRPr="00000000" w14:paraId="000000E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pg. 818.</w:t>
      </w:r>
    </w:p>
  </w:footnote>
  <w:footnote w:id="17">
    <w:p w:rsidR="00000000" w:rsidDel="00000000" w:rsidP="00000000" w:rsidRDefault="00000000" w:rsidRPr="00000000" w14:paraId="000000E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Robert Wuthnow, 'Astrology and Marginality', </w:t>
      </w:r>
      <w:r w:rsidDel="00000000" w:rsidR="00000000" w:rsidRPr="00000000">
        <w:rPr>
          <w:rFonts w:ascii="Arial" w:cs="Arial" w:eastAsia="Arial" w:hAnsi="Arial"/>
          <w:i w:val="1"/>
          <w:sz w:val="20"/>
          <w:szCs w:val="20"/>
          <w:rtl w:val="0"/>
        </w:rPr>
        <w:t xml:space="preserve">Journal for the Scientific Study of Religion, </w:t>
      </w:r>
      <w:r w:rsidDel="00000000" w:rsidR="00000000" w:rsidRPr="00000000">
        <w:rPr>
          <w:rFonts w:ascii="Arial" w:cs="Arial" w:eastAsia="Arial" w:hAnsi="Arial"/>
          <w:sz w:val="20"/>
          <w:szCs w:val="20"/>
          <w:rtl w:val="0"/>
        </w:rPr>
        <w:t xml:space="preserve">15 (1976), 157-168</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&lt;http://www.jstor.org/stable/1385359&gt;. Pg 160</w:t>
      </w:r>
    </w:p>
  </w:footnote>
  <w:footnote w:id="18">
    <w:p w:rsidR="00000000" w:rsidDel="00000000" w:rsidP="00000000" w:rsidRDefault="00000000" w:rsidRPr="00000000" w14:paraId="000000E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pg. 825.</w:t>
      </w:r>
    </w:p>
  </w:footnote>
  <w:footnote w:id="19">
    <w:p w:rsidR="00000000" w:rsidDel="00000000" w:rsidP="00000000" w:rsidRDefault="00000000" w:rsidRPr="00000000" w14:paraId="000000E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Marlize Rabe, 'Revisiting 'Insiders' and 'Outsiders' as Social Researchers', </w:t>
      </w:r>
      <w:r w:rsidDel="00000000" w:rsidR="00000000" w:rsidRPr="00000000">
        <w:rPr>
          <w:rFonts w:ascii="Arial" w:cs="Arial" w:eastAsia="Arial" w:hAnsi="Arial"/>
          <w:i w:val="1"/>
          <w:sz w:val="20"/>
          <w:szCs w:val="20"/>
          <w:rtl w:val="0"/>
        </w:rPr>
        <w:t xml:space="preserve">African Sociological Review / Revue Africaine De Sociologie, </w:t>
      </w:r>
      <w:r w:rsidDel="00000000" w:rsidR="00000000" w:rsidRPr="00000000">
        <w:rPr>
          <w:rFonts w:ascii="Arial" w:cs="Arial" w:eastAsia="Arial" w:hAnsi="Arial"/>
          <w:sz w:val="20"/>
          <w:szCs w:val="20"/>
          <w:rtl w:val="0"/>
        </w:rPr>
        <w:t xml:space="preserve">7 (2003), 149-161</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&lt;http://www.jstor.org/stable/43657708&gt;. Pg 150.</w:t>
      </w:r>
    </w:p>
  </w:footnote>
  <w:footnote w:id="20">
    <w:p w:rsidR="00000000" w:rsidDel="00000000" w:rsidP="00000000" w:rsidRDefault="00000000" w:rsidRPr="00000000" w14:paraId="000000E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ROBERT WUTHNOW, 'Embracing Diversity:; Shopping in the Spiritual Marketplace', in </w:t>
      </w:r>
      <w:r w:rsidDel="00000000" w:rsidR="00000000" w:rsidRPr="00000000">
        <w:rPr>
          <w:rFonts w:ascii="Arial" w:cs="Arial" w:eastAsia="Arial" w:hAnsi="Arial"/>
          <w:i w:val="1"/>
          <w:sz w:val="20"/>
          <w:szCs w:val="20"/>
          <w:rtl w:val="0"/>
        </w:rPr>
        <w:t xml:space="preserve">America and the Challenges of Religious Diversity</w:t>
      </w:r>
      <w:r w:rsidDel="00000000" w:rsidR="00000000" w:rsidRPr="00000000">
        <w:rPr>
          <w:rFonts w:ascii="Arial" w:cs="Arial" w:eastAsia="Arial" w:hAnsi="Arial"/>
          <w:sz w:val="20"/>
          <w:szCs w:val="20"/>
          <w:rtl w:val="0"/>
        </w:rPr>
        <w:t xml:space="preserve"> (Princeton University Press, 2005), pp. 106-129</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&lt;http://www.jstor.org/stable/j.ctt7rmnn.9&gt;. Pg. 107-8</w:t>
      </w:r>
    </w:p>
  </w:footnote>
  <w:footnote w:id="21">
    <w:p w:rsidR="00000000" w:rsidDel="00000000" w:rsidP="00000000" w:rsidRDefault="00000000" w:rsidRPr="00000000" w14:paraId="000000E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Heidi Campbell, 'Internet and Religion', in (2011), pp. 234.</w:t>
      </w:r>
    </w:p>
  </w:footnote>
  <w:footnote w:id="22">
    <w:p w:rsidR="00000000" w:rsidDel="00000000" w:rsidP="00000000" w:rsidRDefault="00000000" w:rsidRPr="00000000" w14:paraId="000000E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pg. 818.</w:t>
      </w:r>
    </w:p>
  </w:footnote>
  <w:footnote w:id="23">
    <w:p w:rsidR="00000000" w:rsidDel="00000000" w:rsidP="00000000" w:rsidRDefault="00000000" w:rsidRPr="00000000" w14:paraId="000000E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Jeffrey Guhin, 'Religion as Site rather than Religion as Category: On the Sociology of Religion's Export Problem', </w:t>
      </w:r>
      <w:r w:rsidDel="00000000" w:rsidR="00000000" w:rsidRPr="00000000">
        <w:rPr>
          <w:rFonts w:ascii="Arial" w:cs="Arial" w:eastAsia="Arial" w:hAnsi="Arial"/>
          <w:i w:val="1"/>
          <w:sz w:val="20"/>
          <w:szCs w:val="20"/>
          <w:rtl w:val="0"/>
        </w:rPr>
        <w:t xml:space="preserve">Sociology of Religion, </w:t>
      </w:r>
      <w:r w:rsidDel="00000000" w:rsidR="00000000" w:rsidRPr="00000000">
        <w:rPr>
          <w:rFonts w:ascii="Arial" w:cs="Arial" w:eastAsia="Arial" w:hAnsi="Arial"/>
          <w:sz w:val="20"/>
          <w:szCs w:val="20"/>
          <w:rtl w:val="0"/>
        </w:rPr>
        <w:t xml:space="preserve">75 (2014), 579-593 &lt;http://www.jstor.org.ezproxy.uwtsd.ac.uk/stable/24580108&gt;. Pg 584</w:t>
      </w:r>
    </w:p>
  </w:footnote>
  <w:footnote w:id="24">
    <w:p w:rsidR="00000000" w:rsidDel="00000000" w:rsidP="00000000" w:rsidRDefault="00000000" w:rsidRPr="00000000" w14:paraId="000000E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Bahamas 2021 International Religious Freedom Report, </w:t>
      </w:r>
      <w:r w:rsidDel="00000000" w:rsidR="00000000" w:rsidRPr="00000000">
        <w:rPr>
          <w:rFonts w:ascii="Arial" w:cs="Arial" w:eastAsia="Arial" w:hAnsi="Arial"/>
          <w:sz w:val="20"/>
          <w:szCs w:val="20"/>
          <w:rtl w:val="0"/>
        </w:rPr>
        <w:t xml:space="preserve"> pg 2. </w:t>
      </w:r>
    </w:p>
  </w:footnote>
  <w:footnote w:id="25">
    <w:p w:rsidR="00000000" w:rsidDel="00000000" w:rsidP="00000000" w:rsidRDefault="00000000" w:rsidRPr="00000000" w14:paraId="000000E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Nicholas Campion, 'Prophecy, Cosmology and the New Age Movement:</w:t>
        <w:br w:type="textWrapping"/>
        <w:t xml:space="preserve">The Extent and Nature of Contemporary Belief in Astrology' (Doctor of Philosophy, Bath Spa University College, 2004). 2004, pg 221.</w:t>
      </w:r>
    </w:p>
  </w:footnote>
  <w:footnote w:id="26">
    <w:p w:rsidR="00000000" w:rsidDel="00000000" w:rsidP="00000000" w:rsidRDefault="00000000" w:rsidRPr="00000000" w14:paraId="000000E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pg. 818 &amp; 820.</w:t>
      </w:r>
    </w:p>
  </w:footnote>
  <w:footnote w:id="27">
    <w:p w:rsidR="00000000" w:rsidDel="00000000" w:rsidP="00000000" w:rsidRDefault="00000000" w:rsidRPr="00000000" w14:paraId="000000E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Kelly James Clark and Kevin Corcoran, 'Pluralism, Secularism, and Tolerance', </w:t>
      </w:r>
      <w:r w:rsidDel="00000000" w:rsidR="00000000" w:rsidRPr="00000000">
        <w:rPr>
          <w:rFonts w:ascii="Arial" w:cs="Arial" w:eastAsia="Arial" w:hAnsi="Arial"/>
          <w:i w:val="1"/>
          <w:sz w:val="20"/>
          <w:szCs w:val="20"/>
          <w:rtl w:val="0"/>
        </w:rPr>
        <w:t xml:space="preserve">Rhetoric and Public Affairs, </w:t>
      </w:r>
      <w:r w:rsidDel="00000000" w:rsidR="00000000" w:rsidRPr="00000000">
        <w:rPr>
          <w:rFonts w:ascii="Arial" w:cs="Arial" w:eastAsia="Arial" w:hAnsi="Arial"/>
          <w:sz w:val="20"/>
          <w:szCs w:val="20"/>
          <w:rtl w:val="0"/>
        </w:rPr>
        <w:t xml:space="preserve">3 (2000), 627-639</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&lt;http://www.jstor.org.ezproxy.uwtsd.ac.uk/stable/41939634&gt;. Pg 628.</w:t>
      </w:r>
    </w:p>
  </w:footnote>
  <w:footnote w:id="28">
    <w:p w:rsidR="00000000" w:rsidDel="00000000" w:rsidP="00000000" w:rsidRDefault="00000000" w:rsidRPr="00000000" w14:paraId="000000E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sz w:val="22"/>
          <w:szCs w:val="22"/>
          <w:rtl w:val="0"/>
        </w:rPr>
        <w:t xml:space="preserve">Kevin Meeker, 'Pluralism, Exclusivism, and the Theoretical Virtues', </w:t>
      </w:r>
      <w:r w:rsidDel="00000000" w:rsidR="00000000" w:rsidRPr="00000000">
        <w:rPr>
          <w:rFonts w:ascii="Arial" w:cs="Arial" w:eastAsia="Arial" w:hAnsi="Arial"/>
          <w:i w:val="1"/>
          <w:sz w:val="22"/>
          <w:szCs w:val="22"/>
          <w:rtl w:val="0"/>
        </w:rPr>
        <w:t xml:space="preserve">Religious Studies, </w:t>
      </w:r>
      <w:r w:rsidDel="00000000" w:rsidR="00000000" w:rsidRPr="00000000">
        <w:rPr>
          <w:rFonts w:ascii="Arial" w:cs="Arial" w:eastAsia="Arial" w:hAnsi="Arial"/>
          <w:sz w:val="22"/>
          <w:szCs w:val="22"/>
          <w:rtl w:val="0"/>
        </w:rPr>
        <w:t xml:space="preserve">42 (2006), 193-206</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&lt;http://www.jstor.org.ezproxy.uwtsd.ac.uk/stable/20008644&gt;.</w:t>
      </w:r>
      <w:r w:rsidDel="00000000" w:rsidR="00000000" w:rsidRPr="00000000">
        <w:rPr>
          <w:rFonts w:ascii="Arial" w:cs="Arial" w:eastAsia="Arial" w:hAnsi="Arial"/>
          <w:sz w:val="20"/>
          <w:szCs w:val="20"/>
          <w:rtl w:val="0"/>
        </w:rPr>
        <w:t xml:space="preserve">pg 193.</w:t>
      </w:r>
    </w:p>
  </w:footnote>
  <w:footnote w:id="29">
    <w:p w:rsidR="00000000" w:rsidDel="00000000" w:rsidP="00000000" w:rsidRDefault="00000000" w:rsidRPr="00000000" w14:paraId="000000E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Paul K. McClure, , 818-834 20</w:t>
      </w:r>
    </w:p>
  </w:footnote>
  <w:footnote w:id="30">
    <w:p w:rsidR="00000000" w:rsidDel="00000000" w:rsidP="00000000" w:rsidRDefault="00000000" w:rsidRPr="00000000" w14:paraId="000000E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0"/>
          <w:szCs w:val="20"/>
          <w:rtl w:val="0"/>
        </w:rPr>
        <w:t xml:space="preserve">Kevin Meeker, Pg 194.</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F">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0">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2">
    <w:pPr>
      <w:rPr/>
    </w:pPr>
    <w:r w:rsidDel="00000000" w:rsidR="00000000" w:rsidRPr="00000000">
      <w:rPr>
        <w:rtl w:val="0"/>
      </w:rPr>
      <w:t xml:space="preserve">India Sweeting - Essay 2 </w:t>
    </w:r>
  </w:p>
  <w:p w:rsidR="00000000" w:rsidDel="00000000" w:rsidP="00000000" w:rsidRDefault="00000000" w:rsidRPr="00000000" w14:paraId="000000F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en-GB"/>
    </w:rPr>
  </w:style>
  <w:style w:type="paragraph" w:styleId="Heading1">
    <w:name w:val="Heading 1"/>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0"/>
    </w:pPr>
    <w:rPr>
      <w:rFonts w:ascii="Arial" w:cs="Arial" w:hAnsi="Arial"/>
      <w:b w:val="1"/>
      <w:bCs w:val="1"/>
      <w:w w:val="100"/>
      <w:kern w:val="32"/>
      <w:position w:val="-1"/>
      <w:sz w:val="32"/>
      <w:szCs w:val="32"/>
      <w:effect w:val="none"/>
      <w:vertAlign w:val="baseline"/>
      <w:cs w:val="0"/>
      <w:em w:val="none"/>
      <w:lang w:bidi="ar-SA" w:eastAsia="zh-CN" w:val="en-GB"/>
    </w:rPr>
  </w:style>
  <w:style w:type="paragraph" w:styleId="Heading2">
    <w:name w:val="Heading 2"/>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1"/>
    </w:pPr>
    <w:rPr>
      <w:rFonts w:ascii="Arial" w:cs="Arial" w:hAnsi="Arial"/>
      <w:b w:val="1"/>
      <w:bCs w:val="1"/>
      <w:i w:val="1"/>
      <w:iCs w:val="1"/>
      <w:w w:val="100"/>
      <w:position w:val="-1"/>
      <w:sz w:val="28"/>
      <w:szCs w:val="28"/>
      <w:effect w:val="none"/>
      <w:vertAlign w:val="baseline"/>
      <w:cs w:val="0"/>
      <w:em w:val="none"/>
      <w:lang w:bidi="ar-SA" w:eastAsia="zh-CN" w:val="en-GB"/>
    </w:rPr>
  </w:style>
  <w:style w:type="paragraph" w:styleId="Heading3">
    <w:name w:val="Heading 3"/>
    <w:basedOn w:val="Normal"/>
    <w:next w:val="Heading3"/>
    <w:autoRedefine w:val="0"/>
    <w:hidden w:val="0"/>
    <w:qFormat w:val="0"/>
    <w:pPr>
      <w:keepNext w:val="1"/>
      <w:suppressAutoHyphens w:val="1"/>
      <w:spacing w:line="1" w:lineRule="atLeast"/>
      <w:ind w:left="720" w:leftChars="-1" w:rightChars="0" w:firstLineChars="-1"/>
      <w:jc w:val="both"/>
      <w:textDirection w:val="btLr"/>
      <w:textAlignment w:val="top"/>
      <w:outlineLvl w:val="2"/>
    </w:pPr>
    <w:rPr>
      <w:rFonts w:ascii="Tahoma" w:cs="Tahoma" w:hAnsi="Tahoma"/>
      <w:b w:val="1"/>
      <w:bCs w:val="1"/>
      <w:w w:val="100"/>
      <w:position w:val="-1"/>
      <w:sz w:val="20"/>
      <w:szCs w:val="20"/>
      <w:effect w:val="none"/>
      <w:vertAlign w:val="baseline"/>
      <w:cs w:val="0"/>
      <w:em w:val="none"/>
      <w:lang w:bidi="ar-SA" w:eastAsia="zh-CN" w:val="en-GB"/>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0"/>
    <w:pPr>
      <w:suppressAutoHyphens w:val="1"/>
      <w:spacing w:line="1" w:lineRule="atLeast"/>
      <w:ind w:leftChars="-1" w:rightChars="0" w:firstLineChars="-1"/>
      <w:textDirection w:val="btLr"/>
      <w:textAlignment w:val="top"/>
      <w:outlineLvl w:val="0"/>
    </w:pPr>
  </w:style>
  <w:style w:type="paragraph" w:styleId="Normal(Web)">
    <w:name w:val="Normal (Web)"/>
    <w:basedOn w:val="Normal"/>
    <w:next w:val="Normal(Web)"/>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Georgia" w:hAnsi="Georgia"/>
      <w:color w:val="000000"/>
      <w:w w:val="100"/>
      <w:position w:val="-1"/>
      <w:sz w:val="21"/>
      <w:szCs w:val="21"/>
      <w:effect w:val="none"/>
      <w:vertAlign w:val="baseline"/>
      <w:cs w:val="0"/>
      <w:em w:val="none"/>
      <w:lang w:bidi="ar-SA" w:eastAsia="zh-CN" w:val="en-GB"/>
    </w:rPr>
  </w:style>
  <w:style w:type="character" w:styleId="CommentReference">
    <w:name w:val="Comment Reference"/>
    <w:next w:val="CommentReference"/>
    <w:autoRedefine w:val="0"/>
    <w:hidden w:val="0"/>
    <w:qFormat w:val="0"/>
    <w:rPr>
      <w:w w:val="100"/>
      <w:position w:val="-1"/>
      <w:sz w:val="16"/>
      <w:szCs w:val="16"/>
      <w:effect w:val="none"/>
      <w:vertAlign w:val="baseline"/>
      <w:cs w:val="0"/>
      <w:em w:val="none"/>
      <w:lang/>
    </w:rPr>
  </w:style>
  <w:style w:type="paragraph" w:styleId="CommentText">
    <w:name w:val="Comment Text"/>
    <w:basedOn w:val="Normal"/>
    <w:next w:val="CommentText"/>
    <w:autoRedefine w:val="0"/>
    <w:hidden w:val="0"/>
    <w:qFormat w:val="0"/>
    <w:pPr>
      <w:suppressAutoHyphens w:val="1"/>
      <w:spacing w:line="1" w:lineRule="atLeast"/>
      <w:ind w:leftChars="-1" w:rightChars="0" w:firstLineChars="-1"/>
      <w:textDirection w:val="btLr"/>
      <w:textAlignment w:val="top"/>
      <w:outlineLvl w:val="0"/>
    </w:pPr>
    <w:rPr>
      <w:w w:val="100"/>
      <w:position w:val="-1"/>
      <w:sz w:val="20"/>
      <w:szCs w:val="20"/>
      <w:effect w:val="none"/>
      <w:vertAlign w:val="baseline"/>
      <w:cs w:val="0"/>
      <w:em w:val="none"/>
      <w:lang w:bidi="ar-SA" w:eastAsia="zh-CN" w:val="und"/>
    </w:rPr>
  </w:style>
  <w:style w:type="character" w:styleId="CommentTextChar">
    <w:name w:val="Comment Text Char"/>
    <w:next w:val="CommentTextChar"/>
    <w:autoRedefine w:val="0"/>
    <w:hidden w:val="0"/>
    <w:qFormat w:val="0"/>
    <w:rPr>
      <w:w w:val="100"/>
      <w:position w:val="-1"/>
      <w:effect w:val="none"/>
      <w:vertAlign w:val="baseline"/>
      <w:cs w:val="0"/>
      <w:em w:val="none"/>
      <w:lang w:eastAsia="zh-CN"/>
    </w:rPr>
  </w:style>
  <w:style w:type="paragraph" w:styleId="CommentSubject">
    <w:name w:val="Comment Subject"/>
    <w:basedOn w:val="CommentText"/>
    <w:next w:val="CommentText"/>
    <w:autoRedefine w:val="0"/>
    <w:hidden w:val="0"/>
    <w:qFormat w:val="0"/>
    <w:pPr>
      <w:suppressAutoHyphens w:val="1"/>
      <w:spacing w:line="1" w:lineRule="atLeast"/>
      <w:ind w:leftChars="-1" w:rightChars="0" w:firstLineChars="-1"/>
      <w:textDirection w:val="btLr"/>
      <w:textAlignment w:val="top"/>
      <w:outlineLvl w:val="0"/>
    </w:pPr>
    <w:rPr>
      <w:b w:val="1"/>
      <w:bCs w:val="1"/>
      <w:w w:val="100"/>
      <w:position w:val="-1"/>
      <w:sz w:val="20"/>
      <w:szCs w:val="20"/>
      <w:effect w:val="none"/>
      <w:vertAlign w:val="baseline"/>
      <w:cs w:val="0"/>
      <w:em w:val="none"/>
      <w:lang w:bidi="ar-SA" w:eastAsia="zh-CN" w:val="und"/>
    </w:rPr>
  </w:style>
  <w:style w:type="character" w:styleId="CommentSubjectChar">
    <w:name w:val="Comment Subject Char"/>
    <w:next w:val="CommentSubjectChar"/>
    <w:autoRedefine w:val="0"/>
    <w:hidden w:val="0"/>
    <w:qFormat w:val="0"/>
    <w:rPr>
      <w:b w:val="1"/>
      <w:bCs w:val="1"/>
      <w:w w:val="100"/>
      <w:position w:val="-1"/>
      <w:effect w:val="none"/>
      <w:vertAlign w:val="baseline"/>
      <w:cs w:val="0"/>
      <w:em w:val="none"/>
      <w:lang w:eastAsia="zh-CN"/>
    </w:rPr>
  </w:style>
  <w:style w:type="paragraph" w:styleId="BalloonText">
    <w:name w:val="Balloon Text"/>
    <w:basedOn w:val="Normal"/>
    <w:next w:val="BalloonText"/>
    <w:autoRedefine w:val="0"/>
    <w:hidden w:val="0"/>
    <w:qFormat w:val="0"/>
    <w:pPr>
      <w:suppressAutoHyphens w:val="1"/>
      <w:spacing w:line="1" w:lineRule="atLeast"/>
      <w:ind w:leftChars="-1" w:rightChars="0" w:firstLineChars="-1"/>
      <w:textDirection w:val="btLr"/>
      <w:textAlignment w:val="top"/>
      <w:outlineLvl w:val="0"/>
    </w:pPr>
    <w:rPr>
      <w:rFonts w:ascii="Tahoma" w:hAnsi="Tahoma"/>
      <w:w w:val="100"/>
      <w:position w:val="-1"/>
      <w:sz w:val="16"/>
      <w:szCs w:val="16"/>
      <w:effect w:val="none"/>
      <w:vertAlign w:val="baseline"/>
      <w:cs w:val="0"/>
      <w:em w:val="none"/>
      <w:lang w:bidi="ar-SA" w:eastAsia="zh-CN" w:val="und"/>
    </w:rPr>
  </w:style>
  <w:style w:type="character" w:styleId="BalloonTextChar">
    <w:name w:val="Balloon Text Char"/>
    <w:next w:val="BalloonTextChar"/>
    <w:autoRedefine w:val="0"/>
    <w:hidden w:val="0"/>
    <w:qFormat w:val="0"/>
    <w:rPr>
      <w:rFonts w:ascii="Tahoma" w:cs="Tahoma" w:hAnsi="Tahoma"/>
      <w:w w:val="100"/>
      <w:position w:val="-1"/>
      <w:sz w:val="16"/>
      <w:szCs w:val="16"/>
      <w:effect w:val="none"/>
      <w:vertAlign w:val="baseline"/>
      <w:cs w:val="0"/>
      <w:em w:val="none"/>
      <w:lang w:eastAsia="zh-CN"/>
    </w:rPr>
  </w:style>
  <w:style w:type="paragraph" w:styleId="Header">
    <w:name w:val="Header"/>
    <w:basedOn w:val="Normal"/>
    <w:next w:val="Header"/>
    <w:autoRedefine w:val="0"/>
    <w:hidden w:val="0"/>
    <w:qFormat w:val="1"/>
    <w:pPr>
      <w:tabs>
        <w:tab w:val="center" w:leader="none" w:pos="4513"/>
        <w:tab w:val="right" w:leader="none" w:pos="9026"/>
      </w:tabs>
      <w:suppressAutoHyphens w:val="1"/>
      <w:spacing w:line="1" w:lineRule="atLeast"/>
      <w:ind w:leftChars="-1" w:rightChars="0" w:firstLineChars="-1"/>
      <w:textDirection w:val="btLr"/>
      <w:textAlignment w:val="top"/>
      <w:outlineLvl w:val="0"/>
    </w:pPr>
    <w:rPr>
      <w:rFonts w:ascii="Trebuchet MS" w:eastAsia="Calibri" w:hAnsi="Trebuchet MS"/>
      <w:w w:val="100"/>
      <w:position w:val="-1"/>
      <w:sz w:val="22"/>
      <w:szCs w:val="20"/>
      <w:effect w:val="none"/>
      <w:vertAlign w:val="baseline"/>
      <w:cs w:val="0"/>
      <w:em w:val="none"/>
      <w:lang w:bidi="ar-SA" w:eastAsia="zh-CN" w:val="und"/>
    </w:rPr>
  </w:style>
  <w:style w:type="character" w:styleId="HeaderChar">
    <w:name w:val="Header Char"/>
    <w:next w:val="HeaderChar"/>
    <w:autoRedefine w:val="0"/>
    <w:hidden w:val="0"/>
    <w:qFormat w:val="0"/>
    <w:rPr>
      <w:rFonts w:ascii="Trebuchet MS" w:cs="Tahoma" w:eastAsia="Calibri" w:hAnsi="Trebuchet MS"/>
      <w:w w:val="100"/>
      <w:position w:val="-1"/>
      <w:sz w:val="22"/>
      <w:effect w:val="none"/>
      <w:vertAlign w:val="baseline"/>
      <w:cs w:val="0"/>
      <w:em w:val="none"/>
      <w:lang w:eastAsia="en-US"/>
    </w:rPr>
  </w:style>
  <w:style w:type="paragraph" w:styleId="Footer">
    <w:name w:val="Footer"/>
    <w:basedOn w:val="Normal"/>
    <w:next w:val="Footer"/>
    <w:autoRedefine w:val="0"/>
    <w:hidden w:val="0"/>
    <w:qFormat w:val="0"/>
    <w:pPr>
      <w:tabs>
        <w:tab w:val="center" w:leader="none" w:pos="4513"/>
        <w:tab w:val="right" w:leader="none" w:pos="9026"/>
      </w:tabs>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und"/>
    </w:rPr>
  </w:style>
  <w:style w:type="character" w:styleId="FooterChar">
    <w:name w:val="Footer Char"/>
    <w:next w:val="FooterChar"/>
    <w:autoRedefine w:val="0"/>
    <w:hidden w:val="0"/>
    <w:qFormat w:val="0"/>
    <w:rPr>
      <w:w w:val="100"/>
      <w:position w:val="-1"/>
      <w:sz w:val="24"/>
      <w:szCs w:val="24"/>
      <w:effect w:val="none"/>
      <w:vertAlign w:val="baseline"/>
      <w:cs w:val="0"/>
      <w:em w:val="none"/>
      <w:lang w:eastAsia="zh-CN"/>
    </w:rPr>
  </w:style>
  <w:style w:type="table" w:styleId="TableGrid">
    <w:name w:val="Table Grid"/>
    <w:basedOn w:val="TableNormal"/>
    <w:next w:val="TableGrid"/>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Grid"/>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4.jpg"/><Relationship Id="rId11" Type="http://schemas.openxmlformats.org/officeDocument/2006/relationships/footer" Target="footer1.xml"/><Relationship Id="rId10" Type="http://schemas.openxmlformats.org/officeDocument/2006/relationships/header" Target="header2.xml"/><Relationship Id="rId21" Type="http://schemas.openxmlformats.org/officeDocument/2006/relationships/header" Target="header3.xml"/><Relationship Id="rId13" Type="http://schemas.openxmlformats.org/officeDocument/2006/relationships/image" Target="media/image9.jpg"/><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 Id="rId15" Type="http://schemas.openxmlformats.org/officeDocument/2006/relationships/image" Target="media/image8.jpg"/><Relationship Id="rId14" Type="http://schemas.openxmlformats.org/officeDocument/2006/relationships/image" Target="media/image7.jpg"/><Relationship Id="rId17" Type="http://schemas.openxmlformats.org/officeDocument/2006/relationships/image" Target="media/image3.jpg"/><Relationship Id="rId16" Type="http://schemas.openxmlformats.org/officeDocument/2006/relationships/image" Target="media/image5.jpg"/><Relationship Id="rId5" Type="http://schemas.openxmlformats.org/officeDocument/2006/relationships/numbering" Target="numbering.xml"/><Relationship Id="rId19" Type="http://schemas.openxmlformats.org/officeDocument/2006/relationships/image" Target="media/image6.jpg"/><Relationship Id="rId6" Type="http://schemas.openxmlformats.org/officeDocument/2006/relationships/styles" Target="styles.xml"/><Relationship Id="rId18" Type="http://schemas.openxmlformats.org/officeDocument/2006/relationships/image" Target="media/image2.jpg"/><Relationship Id="rId7" Type="http://schemas.openxmlformats.org/officeDocument/2006/relationships/customXml" Target="../customXML/item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PljlV4FdUL18AzoVb+hpty/ToLg==">AMUW2mUAQQzt6Le54+Xbu0vASbl5rYzr16paYp0VnU0OFIlOXpc5f49h70DVsAWqxZrqfDPTb6BA/T6AG2SLP2hfmyXc+z3NbG5jjc350enr0vFGrrEgRFsGNZHoo1Twr3Tf9khl4avEkcp4RAdzouRB0WLUgddW/mbpBxk1KPoFG6AthIgO6NooeyYp0eX4IRXdeXj/+xFC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2012-11-08T16:49:00Z</dcterms:created>
  <dc:creator>sa044</dc:creator>
</cp:coreProperties>
</file>

<file path=docProps/custom.xml><?xml version="1.0" encoding="utf-8"?>
<Properties xmlns="http://schemas.openxmlformats.org/officeDocument/2006/custom-properties" xmlns:vt="http://schemas.openxmlformats.org/officeDocument/2006/docPropsVTypes"/>
</file>