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BAFC7" w14:textId="3B1E2DF8" w:rsidR="00FA168B" w:rsidRDefault="00FA168B"/>
    <w:p w14:paraId="0FD65CA3" w14:textId="2DAC8F04" w:rsidR="001066D8" w:rsidRDefault="001066D8"/>
    <w:p w14:paraId="4FF74FF6" w14:textId="39B715F4" w:rsidR="001066D8" w:rsidRDefault="001066D8" w:rsidP="001066D8">
      <w:pPr>
        <w:spacing w:line="360" w:lineRule="auto"/>
        <w:rPr>
          <w:rFonts w:ascii="Arial" w:hAnsi="Arial" w:cs="Arial"/>
          <w:sz w:val="24"/>
          <w:szCs w:val="24"/>
        </w:rPr>
      </w:pPr>
      <w:r w:rsidRPr="001066D8">
        <w:rPr>
          <w:rFonts w:ascii="Arial" w:hAnsi="Arial" w:cs="Arial"/>
          <w:sz w:val="24"/>
          <w:szCs w:val="24"/>
        </w:rPr>
        <w:t>Diminished responsibility</w:t>
      </w:r>
    </w:p>
    <w:p w14:paraId="3FD1F60D" w14:textId="74D92457" w:rsidR="001066D8" w:rsidRDefault="001066D8" w:rsidP="001066D8">
      <w:pPr>
        <w:spacing w:line="360" w:lineRule="auto"/>
        <w:rPr>
          <w:rFonts w:ascii="Arial" w:hAnsi="Arial" w:cs="Arial"/>
          <w:sz w:val="24"/>
          <w:szCs w:val="24"/>
        </w:rPr>
      </w:pPr>
    </w:p>
    <w:p w14:paraId="63413D81" w14:textId="5A278C74" w:rsidR="001066D8" w:rsidRDefault="001066D8" w:rsidP="001066D8">
      <w:pPr>
        <w:spacing w:line="360" w:lineRule="auto"/>
        <w:rPr>
          <w:rFonts w:ascii="Arial" w:hAnsi="Arial" w:cs="Arial"/>
          <w:sz w:val="24"/>
          <w:szCs w:val="24"/>
        </w:rPr>
      </w:pPr>
      <w:r>
        <w:rPr>
          <w:rFonts w:ascii="Arial" w:hAnsi="Arial" w:cs="Arial"/>
          <w:sz w:val="24"/>
          <w:szCs w:val="24"/>
        </w:rPr>
        <w:t>Programme:</w:t>
      </w:r>
      <w:r>
        <w:rPr>
          <w:rFonts w:ascii="Arial" w:hAnsi="Arial" w:cs="Arial"/>
          <w:sz w:val="24"/>
          <w:szCs w:val="24"/>
        </w:rPr>
        <w:tab/>
      </w:r>
      <w:r>
        <w:rPr>
          <w:rFonts w:ascii="Arial" w:hAnsi="Arial" w:cs="Arial"/>
          <w:sz w:val="24"/>
          <w:szCs w:val="24"/>
        </w:rPr>
        <w:tab/>
        <w:t>Public Services Portfolio</w:t>
      </w:r>
    </w:p>
    <w:p w14:paraId="410F2649" w14:textId="35E31249" w:rsidR="001066D8" w:rsidRDefault="001066D8" w:rsidP="001066D8">
      <w:pPr>
        <w:spacing w:line="360" w:lineRule="auto"/>
        <w:rPr>
          <w:rFonts w:ascii="Arial" w:hAnsi="Arial" w:cs="Arial"/>
          <w:bCs/>
        </w:rPr>
      </w:pPr>
      <w:r>
        <w:rPr>
          <w:rFonts w:ascii="Arial" w:hAnsi="Arial" w:cs="Arial"/>
          <w:sz w:val="24"/>
          <w:szCs w:val="24"/>
        </w:rPr>
        <w:t>Module:</w:t>
      </w:r>
      <w:r>
        <w:rPr>
          <w:rFonts w:ascii="Arial" w:hAnsi="Arial" w:cs="Arial"/>
          <w:sz w:val="24"/>
          <w:szCs w:val="24"/>
        </w:rPr>
        <w:tab/>
      </w:r>
      <w:r>
        <w:rPr>
          <w:rFonts w:ascii="Arial" w:hAnsi="Arial" w:cs="Arial"/>
          <w:sz w:val="24"/>
          <w:szCs w:val="24"/>
        </w:rPr>
        <w:tab/>
      </w:r>
      <w:r w:rsidRPr="001066D8">
        <w:rPr>
          <w:rFonts w:ascii="Arial" w:hAnsi="Arial" w:cs="Arial"/>
          <w:bCs/>
        </w:rPr>
        <w:t>Criminal law</w:t>
      </w:r>
    </w:p>
    <w:p w14:paraId="3A06422E" w14:textId="4441E96B" w:rsidR="001066D8" w:rsidRPr="001066D8" w:rsidRDefault="001066D8" w:rsidP="001066D8">
      <w:pPr>
        <w:spacing w:before="120" w:after="120"/>
        <w:jc w:val="both"/>
        <w:rPr>
          <w:rFonts w:ascii="Arial" w:hAnsi="Arial" w:cs="Arial"/>
          <w:b/>
        </w:rPr>
      </w:pPr>
      <w:r>
        <w:rPr>
          <w:rFonts w:ascii="Arial" w:hAnsi="Arial" w:cs="Arial"/>
          <w:bCs/>
        </w:rPr>
        <w:t>Module Code:</w:t>
      </w:r>
      <w:r>
        <w:rPr>
          <w:rFonts w:ascii="Arial" w:hAnsi="Arial" w:cs="Arial"/>
          <w:bCs/>
        </w:rPr>
        <w:tab/>
      </w:r>
      <w:r>
        <w:rPr>
          <w:rFonts w:ascii="Arial" w:hAnsi="Arial" w:cs="Arial"/>
          <w:bCs/>
        </w:rPr>
        <w:tab/>
      </w:r>
      <w:r w:rsidRPr="001066D8">
        <w:rPr>
          <w:rFonts w:ascii="Arial" w:hAnsi="Arial" w:cs="Arial"/>
          <w:bCs/>
        </w:rPr>
        <w:t>BMPL4009</w:t>
      </w:r>
    </w:p>
    <w:p w14:paraId="495412B8" w14:textId="35002D46" w:rsidR="001066D8" w:rsidRDefault="001066D8" w:rsidP="001066D8">
      <w:pPr>
        <w:spacing w:line="360" w:lineRule="auto"/>
        <w:rPr>
          <w:rFonts w:ascii="Arial" w:hAnsi="Arial" w:cs="Arial"/>
          <w:sz w:val="24"/>
          <w:szCs w:val="24"/>
        </w:rPr>
      </w:pPr>
      <w:r>
        <w:rPr>
          <w:rFonts w:ascii="Arial" w:hAnsi="Arial" w:cs="Arial"/>
          <w:sz w:val="24"/>
          <w:szCs w:val="24"/>
        </w:rPr>
        <w:t xml:space="preserve">Student Name: </w:t>
      </w:r>
      <w:r>
        <w:rPr>
          <w:rFonts w:ascii="Arial" w:hAnsi="Arial" w:cs="Arial"/>
          <w:sz w:val="24"/>
          <w:szCs w:val="24"/>
        </w:rPr>
        <w:tab/>
        <w:t>Vasile Marian Dinu</w:t>
      </w:r>
    </w:p>
    <w:p w14:paraId="6C6CE2E7" w14:textId="1C90C332" w:rsidR="001066D8" w:rsidRDefault="001066D8" w:rsidP="001066D8">
      <w:pPr>
        <w:spacing w:line="360" w:lineRule="auto"/>
        <w:rPr>
          <w:rFonts w:ascii="Arial" w:hAnsi="Arial" w:cs="Arial"/>
          <w:sz w:val="24"/>
          <w:szCs w:val="24"/>
        </w:rPr>
      </w:pPr>
      <w:r>
        <w:rPr>
          <w:rFonts w:ascii="Arial" w:hAnsi="Arial" w:cs="Arial"/>
          <w:sz w:val="24"/>
          <w:szCs w:val="24"/>
        </w:rPr>
        <w:t>Student No.:</w:t>
      </w:r>
      <w:r>
        <w:rPr>
          <w:rFonts w:ascii="Arial" w:hAnsi="Arial" w:cs="Arial"/>
          <w:sz w:val="24"/>
          <w:szCs w:val="24"/>
        </w:rPr>
        <w:tab/>
      </w:r>
      <w:r>
        <w:rPr>
          <w:rFonts w:ascii="Arial" w:hAnsi="Arial" w:cs="Arial"/>
          <w:sz w:val="24"/>
          <w:szCs w:val="24"/>
        </w:rPr>
        <w:tab/>
      </w:r>
      <w:r w:rsidR="00F411F7">
        <w:rPr>
          <w:rFonts w:ascii="Arial" w:hAnsi="Arial" w:cs="Arial"/>
          <w:sz w:val="24"/>
          <w:szCs w:val="24"/>
        </w:rPr>
        <w:t>2209834</w:t>
      </w:r>
    </w:p>
    <w:p w14:paraId="48F742D2" w14:textId="619466D4" w:rsidR="001066D8" w:rsidRDefault="001066D8" w:rsidP="001066D8">
      <w:pPr>
        <w:spacing w:line="360" w:lineRule="auto"/>
        <w:rPr>
          <w:rFonts w:ascii="Arial" w:hAnsi="Arial" w:cs="Arial"/>
          <w:sz w:val="24"/>
          <w:szCs w:val="24"/>
        </w:rPr>
      </w:pPr>
      <w:r>
        <w:rPr>
          <w:rFonts w:ascii="Arial" w:hAnsi="Arial" w:cs="Arial"/>
          <w:sz w:val="24"/>
          <w:szCs w:val="24"/>
        </w:rPr>
        <w:t>Lecturer:</w:t>
      </w:r>
      <w:r>
        <w:rPr>
          <w:rFonts w:ascii="Arial" w:hAnsi="Arial" w:cs="Arial"/>
          <w:sz w:val="24"/>
          <w:szCs w:val="24"/>
        </w:rPr>
        <w:tab/>
      </w:r>
      <w:r>
        <w:rPr>
          <w:rFonts w:ascii="Arial" w:hAnsi="Arial" w:cs="Arial"/>
          <w:sz w:val="24"/>
          <w:szCs w:val="24"/>
        </w:rPr>
        <w:tab/>
      </w:r>
    </w:p>
    <w:p w14:paraId="1539C98E" w14:textId="64F60DB2" w:rsidR="001066D8" w:rsidRDefault="001066D8" w:rsidP="001066D8">
      <w:pPr>
        <w:spacing w:line="360" w:lineRule="auto"/>
        <w:rPr>
          <w:rFonts w:ascii="Arial" w:hAnsi="Arial" w:cs="Arial"/>
          <w:sz w:val="24"/>
          <w:szCs w:val="24"/>
        </w:rPr>
      </w:pPr>
    </w:p>
    <w:p w14:paraId="4E785FF2" w14:textId="7B05B189" w:rsidR="001066D8" w:rsidRDefault="001066D8">
      <w:pPr>
        <w:rPr>
          <w:rFonts w:ascii="Arial" w:hAnsi="Arial" w:cs="Arial"/>
          <w:sz w:val="24"/>
          <w:szCs w:val="24"/>
        </w:rPr>
      </w:pPr>
      <w:r>
        <w:rPr>
          <w:rFonts w:ascii="Arial" w:hAnsi="Arial" w:cs="Arial"/>
          <w:sz w:val="24"/>
          <w:szCs w:val="24"/>
        </w:rPr>
        <w:br w:type="page"/>
      </w:r>
    </w:p>
    <w:p w14:paraId="390518EA" w14:textId="1D4E4804" w:rsidR="002E7C58" w:rsidRPr="002E7C58" w:rsidRDefault="002E7C58" w:rsidP="002E7C58">
      <w:pPr>
        <w:spacing w:line="360" w:lineRule="auto"/>
        <w:jc w:val="both"/>
        <w:rPr>
          <w:rFonts w:ascii="Arial" w:hAnsi="Arial" w:cs="Arial"/>
          <w:sz w:val="24"/>
          <w:szCs w:val="24"/>
        </w:rPr>
      </w:pPr>
      <w:r w:rsidRPr="002E7C58">
        <w:rPr>
          <w:rFonts w:ascii="Arial" w:hAnsi="Arial" w:cs="Arial"/>
          <w:sz w:val="24"/>
          <w:szCs w:val="24"/>
        </w:rPr>
        <w:lastRenderedPageBreak/>
        <w:t xml:space="preserve">The Coroners and Justice Act (2009) modified the diminished responsibility defence in two substantial ways. Secondly, it expanded the meaning of "abnormality of mind" to encompass any "substantial impairment of mental responsibility," as opposed to only "abnormality of mind" as defined in the Homicide Act (1957). Second, it broadened the scope of the defence to encompass "killing or causing serious bodily damage" instead of merely murder, as was the case under the </w:t>
      </w:r>
      <w:r w:rsidR="001438A6">
        <w:rPr>
          <w:rFonts w:ascii="Arial" w:hAnsi="Arial" w:cs="Arial"/>
          <w:sz w:val="24"/>
          <w:szCs w:val="24"/>
        </w:rPr>
        <w:t>H</w:t>
      </w:r>
      <w:r w:rsidRPr="002E7C58">
        <w:rPr>
          <w:rFonts w:ascii="Arial" w:hAnsi="Arial" w:cs="Arial"/>
          <w:sz w:val="24"/>
          <w:szCs w:val="24"/>
        </w:rPr>
        <w:t>omicide Act (1957)</w:t>
      </w:r>
      <w:r w:rsidR="001438A6" w:rsidRPr="001438A6">
        <w:rPr>
          <w:rFonts w:ascii="Roboto" w:hAnsi="Roboto"/>
          <w:color w:val="2C3E50"/>
          <w:sz w:val="23"/>
          <w:szCs w:val="23"/>
          <w:shd w:val="clear" w:color="auto" w:fill="FFFFFF"/>
        </w:rPr>
        <w:t xml:space="preserve"> </w:t>
      </w:r>
      <w:r w:rsidR="001438A6">
        <w:rPr>
          <w:rFonts w:ascii="Roboto" w:hAnsi="Roboto"/>
          <w:color w:val="2C3E50"/>
          <w:sz w:val="23"/>
          <w:szCs w:val="23"/>
          <w:shd w:val="clear" w:color="auto" w:fill="FFFFFF"/>
        </w:rPr>
        <w:t>(Legislation.gov.uk, 2010)</w:t>
      </w:r>
      <w:r w:rsidRPr="002E7C58">
        <w:rPr>
          <w:rFonts w:ascii="Arial" w:hAnsi="Arial" w:cs="Arial"/>
          <w:sz w:val="24"/>
          <w:szCs w:val="24"/>
        </w:rPr>
        <w:t>.</w:t>
      </w:r>
    </w:p>
    <w:p w14:paraId="54A3B76B" w14:textId="77777777" w:rsidR="00BE7779" w:rsidRDefault="002E7C58" w:rsidP="002E7C58">
      <w:pPr>
        <w:spacing w:line="360" w:lineRule="auto"/>
        <w:jc w:val="both"/>
        <w:rPr>
          <w:rFonts w:ascii="Arial" w:hAnsi="Arial" w:cs="Arial"/>
          <w:sz w:val="24"/>
          <w:szCs w:val="24"/>
        </w:rPr>
      </w:pPr>
      <w:r w:rsidRPr="002E7C58">
        <w:rPr>
          <w:rFonts w:ascii="Arial" w:hAnsi="Arial" w:cs="Arial"/>
          <w:sz w:val="24"/>
          <w:szCs w:val="24"/>
        </w:rPr>
        <w:t>In general, the revisions introduced by the Coroners and Justice Act (2009) were viewed as a positive development because they increased legal clarity and predictability. In addition, they were viewed as more just and reasonable because they permitted a broader range of mental diseases and conditions to be examined when assessing whether decreased responsibility may be imposed. In addition to murder, it broadened the scope of the defence to cover other heinous crimes, such as manslaughter.</w:t>
      </w:r>
    </w:p>
    <w:p w14:paraId="3BF1FBDB" w14:textId="792D29A6" w:rsidR="00F411F7" w:rsidRPr="00C81444" w:rsidRDefault="00F411F7" w:rsidP="002E7C58">
      <w:pPr>
        <w:spacing w:line="360" w:lineRule="auto"/>
        <w:jc w:val="both"/>
        <w:rPr>
          <w:rFonts w:ascii="Arial" w:hAnsi="Arial" w:cs="Arial"/>
          <w:sz w:val="24"/>
          <w:szCs w:val="24"/>
        </w:rPr>
      </w:pPr>
      <w:r w:rsidRPr="00C81444">
        <w:rPr>
          <w:rFonts w:ascii="Arial" w:hAnsi="Arial" w:cs="Arial"/>
          <w:sz w:val="24"/>
          <w:szCs w:val="24"/>
        </w:rPr>
        <w:t>The Coroners and Justice Act (2009) updated and established new definitions for the crime of murder and the defence of reduced responsibility. The diminished responsibility defence was enlarged to encompass "abnormality of mental functioning that seriously hindered the defendant's ability to a) comprehend the nature of his behaviour; b) develop a reasoned judgement; and c) exercise self-control." This means that the defence can now be employed even if the defendant does not have a mental disease, but instead has a personality disorder or developmental disability, for example.</w:t>
      </w:r>
    </w:p>
    <w:p w14:paraId="5859D55A" w14:textId="6547D401" w:rsidR="001066D8" w:rsidRPr="00C81444" w:rsidRDefault="00F411F7" w:rsidP="00C81444">
      <w:pPr>
        <w:spacing w:line="360" w:lineRule="auto"/>
        <w:jc w:val="both"/>
        <w:rPr>
          <w:rFonts w:ascii="Arial" w:hAnsi="Arial" w:cs="Arial"/>
          <w:sz w:val="24"/>
          <w:szCs w:val="24"/>
        </w:rPr>
      </w:pPr>
      <w:r w:rsidRPr="00C81444">
        <w:rPr>
          <w:rFonts w:ascii="Arial" w:hAnsi="Arial" w:cs="Arial"/>
          <w:sz w:val="24"/>
          <w:szCs w:val="24"/>
        </w:rPr>
        <w:t>In addition, the standard of proof for the diminished responsibility defence has been modified</w:t>
      </w:r>
      <w:r w:rsidR="00DA428B" w:rsidRPr="00C81444">
        <w:rPr>
          <w:rFonts w:ascii="Arial" w:hAnsi="Arial" w:cs="Arial"/>
          <w:color w:val="2C3E50"/>
          <w:sz w:val="24"/>
          <w:szCs w:val="24"/>
          <w:shd w:val="clear" w:color="auto" w:fill="FFFFFF"/>
        </w:rPr>
        <w:t xml:space="preserve"> </w:t>
      </w:r>
      <w:r w:rsidR="00DA428B" w:rsidRPr="00C81444">
        <w:rPr>
          <w:rFonts w:ascii="Arial" w:hAnsi="Arial" w:cs="Arial"/>
          <w:color w:val="2C3E50"/>
          <w:sz w:val="24"/>
          <w:szCs w:val="24"/>
          <w:shd w:val="clear" w:color="auto" w:fill="FFFFFF"/>
        </w:rPr>
        <w:t>(Crown Prosecution Service, 2019)</w:t>
      </w:r>
      <w:r w:rsidRPr="00C81444">
        <w:rPr>
          <w:rFonts w:ascii="Arial" w:hAnsi="Arial" w:cs="Arial"/>
          <w:sz w:val="24"/>
          <w:szCs w:val="24"/>
        </w:rPr>
        <w:t>. According to the Coroners and Justice Act (2009), the burden of proof for diminished responsibility lies with the defence and must be established by a preponderance of the evidence. This means that the defence must prove, through medical evidence, that the defendant's mental condition played a role in their acts.</w:t>
      </w:r>
    </w:p>
    <w:p w14:paraId="742B7821" w14:textId="05E3BA3B" w:rsidR="00F411F7" w:rsidRPr="00C81444" w:rsidRDefault="00F411F7" w:rsidP="00C81444">
      <w:pPr>
        <w:spacing w:line="360" w:lineRule="auto"/>
        <w:jc w:val="both"/>
        <w:rPr>
          <w:rFonts w:ascii="Arial" w:hAnsi="Arial" w:cs="Arial"/>
          <w:sz w:val="24"/>
          <w:szCs w:val="24"/>
        </w:rPr>
      </w:pPr>
      <w:r w:rsidRPr="00C81444">
        <w:rPr>
          <w:rFonts w:ascii="Arial" w:hAnsi="Arial" w:cs="Arial"/>
          <w:sz w:val="24"/>
          <w:szCs w:val="24"/>
        </w:rPr>
        <w:t xml:space="preserve">Some have viewed the amendments as a positive development, as the new requirements for diminished responsibility evidence provide a clearer roadmap for future cases; however, the increased requirements for medical evidence and the </w:t>
      </w:r>
      <w:r w:rsidRPr="00C81444">
        <w:rPr>
          <w:rFonts w:ascii="Arial" w:hAnsi="Arial" w:cs="Arial"/>
          <w:sz w:val="24"/>
          <w:szCs w:val="24"/>
        </w:rPr>
        <w:lastRenderedPageBreak/>
        <w:t>stricter criteria for diminished responsibility may limit the scope and access to the defence for those who do not meet the criteria</w:t>
      </w:r>
      <w:r w:rsidR="00A9218D" w:rsidRPr="00C81444">
        <w:rPr>
          <w:rFonts w:ascii="Arial" w:hAnsi="Arial" w:cs="Arial"/>
          <w:color w:val="2C3E50"/>
          <w:sz w:val="24"/>
          <w:szCs w:val="24"/>
          <w:shd w:val="clear" w:color="auto" w:fill="FFFFFF"/>
        </w:rPr>
        <w:t xml:space="preserve"> </w:t>
      </w:r>
      <w:r w:rsidR="00A9218D" w:rsidRPr="00C81444">
        <w:rPr>
          <w:rFonts w:ascii="Arial" w:hAnsi="Arial" w:cs="Arial"/>
          <w:color w:val="2C3E50"/>
          <w:sz w:val="24"/>
          <w:szCs w:val="24"/>
          <w:shd w:val="clear" w:color="auto" w:fill="FFFFFF"/>
        </w:rPr>
        <w:t>(Crofts and Wake, 2021)</w:t>
      </w:r>
      <w:r w:rsidRPr="00C81444">
        <w:rPr>
          <w:rFonts w:ascii="Arial" w:hAnsi="Arial" w:cs="Arial"/>
          <w:sz w:val="24"/>
          <w:szCs w:val="24"/>
        </w:rPr>
        <w:t>.</w:t>
      </w:r>
    </w:p>
    <w:p w14:paraId="0EF084A1" w14:textId="392077D2" w:rsidR="00F411F7" w:rsidRPr="00C81444" w:rsidRDefault="00F411F7" w:rsidP="00C81444">
      <w:pPr>
        <w:spacing w:line="360" w:lineRule="auto"/>
        <w:jc w:val="both"/>
        <w:rPr>
          <w:rFonts w:ascii="Arial" w:hAnsi="Arial" w:cs="Arial"/>
          <w:sz w:val="24"/>
          <w:szCs w:val="24"/>
        </w:rPr>
      </w:pPr>
      <w:r w:rsidRPr="00C81444">
        <w:rPr>
          <w:rFonts w:ascii="Arial" w:hAnsi="Arial" w:cs="Arial"/>
          <w:sz w:val="24"/>
          <w:szCs w:val="24"/>
        </w:rPr>
        <w:t>In general, it appears that the revisions to the diminished responsibility defence serve a constructive purpose, since they allow for a more individualised approach to establishing the proper sentencing for persons with mental health concerns</w:t>
      </w:r>
      <w:r w:rsidR="00C328A4" w:rsidRPr="00C81444">
        <w:rPr>
          <w:rFonts w:ascii="Arial" w:hAnsi="Arial" w:cs="Arial"/>
          <w:sz w:val="24"/>
          <w:szCs w:val="24"/>
        </w:rPr>
        <w:t xml:space="preserve"> (</w:t>
      </w:r>
      <w:proofErr w:type="spellStart"/>
      <w:r w:rsidR="00C328A4" w:rsidRPr="00C81444">
        <w:rPr>
          <w:rFonts w:ascii="Arial" w:hAnsi="Arial" w:cs="Arial"/>
          <w:sz w:val="24"/>
          <w:szCs w:val="24"/>
        </w:rPr>
        <w:t>P</w:t>
      </w:r>
      <w:r w:rsidR="00936AFC" w:rsidRPr="00C81444">
        <w:rPr>
          <w:rFonts w:ascii="Arial" w:hAnsi="Arial" w:cs="Arial"/>
          <w:sz w:val="24"/>
          <w:szCs w:val="24"/>
        </w:rPr>
        <w:t>eay</w:t>
      </w:r>
      <w:proofErr w:type="spellEnd"/>
      <w:r w:rsidR="00C328A4" w:rsidRPr="00C81444">
        <w:rPr>
          <w:rFonts w:ascii="Arial" w:hAnsi="Arial" w:cs="Arial"/>
          <w:sz w:val="24"/>
          <w:szCs w:val="24"/>
        </w:rPr>
        <w:t>, 20</w:t>
      </w:r>
      <w:r w:rsidR="00936AFC" w:rsidRPr="00C81444">
        <w:rPr>
          <w:rFonts w:ascii="Arial" w:hAnsi="Arial" w:cs="Arial"/>
          <w:sz w:val="24"/>
          <w:szCs w:val="24"/>
        </w:rPr>
        <w:t>1</w:t>
      </w:r>
      <w:r w:rsidR="00C328A4" w:rsidRPr="00C81444">
        <w:rPr>
          <w:rFonts w:ascii="Arial" w:hAnsi="Arial" w:cs="Arial"/>
          <w:sz w:val="24"/>
          <w:szCs w:val="24"/>
        </w:rPr>
        <w:t>6)</w:t>
      </w:r>
      <w:r w:rsidRPr="00C81444">
        <w:rPr>
          <w:rFonts w:ascii="Arial" w:hAnsi="Arial" w:cs="Arial"/>
          <w:sz w:val="24"/>
          <w:szCs w:val="24"/>
        </w:rPr>
        <w:t>.</w:t>
      </w:r>
    </w:p>
    <w:p w14:paraId="73812FA6" w14:textId="42D6B5EB" w:rsidR="007B027B" w:rsidRPr="00C81444" w:rsidRDefault="007B027B" w:rsidP="00C81444">
      <w:pPr>
        <w:spacing w:line="360" w:lineRule="auto"/>
        <w:jc w:val="both"/>
        <w:rPr>
          <w:rFonts w:ascii="Arial" w:hAnsi="Arial" w:cs="Arial"/>
          <w:sz w:val="24"/>
          <w:szCs w:val="24"/>
        </w:rPr>
      </w:pPr>
      <w:r w:rsidRPr="00C81444">
        <w:rPr>
          <w:rFonts w:ascii="Arial" w:hAnsi="Arial" w:cs="Arial"/>
          <w:sz w:val="24"/>
          <w:szCs w:val="24"/>
        </w:rPr>
        <w:t>Under the Homicide Act (1957)</w:t>
      </w:r>
      <w:r w:rsidR="004933AE" w:rsidRPr="00C81444">
        <w:rPr>
          <w:rFonts w:ascii="Arial" w:hAnsi="Arial" w:cs="Arial"/>
          <w:color w:val="2C3E50"/>
          <w:sz w:val="24"/>
          <w:szCs w:val="24"/>
          <w:shd w:val="clear" w:color="auto" w:fill="FFFFFF"/>
        </w:rPr>
        <w:t xml:space="preserve"> </w:t>
      </w:r>
      <w:r w:rsidR="004933AE" w:rsidRPr="00C81444">
        <w:rPr>
          <w:rFonts w:ascii="Arial" w:hAnsi="Arial" w:cs="Arial"/>
          <w:color w:val="2C3E50"/>
          <w:sz w:val="24"/>
          <w:szCs w:val="24"/>
          <w:shd w:val="clear" w:color="auto" w:fill="FFFFFF"/>
        </w:rPr>
        <w:t>(gov.uk, 2011)</w:t>
      </w:r>
      <w:r w:rsidRPr="00C81444">
        <w:rPr>
          <w:rFonts w:ascii="Arial" w:hAnsi="Arial" w:cs="Arial"/>
          <w:sz w:val="24"/>
          <w:szCs w:val="24"/>
        </w:rPr>
        <w:t>, reduced responsibility is proved when a homicide is the result of a defendant's "abnormality of the mind" and can be used as a partial defence to murder in England and Wales. Thus, the diminished responsibility defence requires proof that the "abnormality of the mind" at the time of the offence had a major impact on the defendant's mental responsibility (Smith, 2017).</w:t>
      </w:r>
    </w:p>
    <w:p w14:paraId="31A49E75" w14:textId="21DBC352" w:rsidR="0058284B" w:rsidRPr="00C81444" w:rsidRDefault="0058284B" w:rsidP="00C81444">
      <w:pPr>
        <w:spacing w:line="360" w:lineRule="auto"/>
        <w:jc w:val="both"/>
        <w:rPr>
          <w:rFonts w:ascii="Arial" w:hAnsi="Arial" w:cs="Arial"/>
          <w:sz w:val="24"/>
          <w:szCs w:val="24"/>
        </w:rPr>
      </w:pPr>
      <w:r w:rsidRPr="00C81444">
        <w:rPr>
          <w:rFonts w:ascii="Arial" w:hAnsi="Arial" w:cs="Arial"/>
          <w:sz w:val="24"/>
          <w:szCs w:val="24"/>
        </w:rPr>
        <w:t xml:space="preserve">The </w:t>
      </w:r>
      <w:r w:rsidR="0024453C" w:rsidRPr="00C81444">
        <w:rPr>
          <w:rFonts w:ascii="Arial" w:hAnsi="Arial" w:cs="Arial"/>
          <w:sz w:val="24"/>
          <w:szCs w:val="24"/>
        </w:rPr>
        <w:t>Homicide</w:t>
      </w:r>
      <w:r w:rsidRPr="00C81444">
        <w:rPr>
          <w:rFonts w:ascii="Arial" w:hAnsi="Arial" w:cs="Arial"/>
          <w:sz w:val="24"/>
          <w:szCs w:val="24"/>
        </w:rPr>
        <w:t xml:space="preserve"> Act of 1957</w:t>
      </w:r>
      <w:r w:rsidR="00876DE3" w:rsidRPr="00C81444">
        <w:rPr>
          <w:rFonts w:ascii="Arial" w:hAnsi="Arial" w:cs="Arial"/>
          <w:sz w:val="24"/>
          <w:szCs w:val="24"/>
        </w:rPr>
        <w:t xml:space="preserve"> </w:t>
      </w:r>
      <w:r w:rsidR="00876DE3" w:rsidRPr="00C81444">
        <w:rPr>
          <w:rFonts w:ascii="Arial" w:hAnsi="Arial" w:cs="Arial"/>
          <w:color w:val="2C3E50"/>
          <w:sz w:val="24"/>
          <w:szCs w:val="24"/>
          <w:shd w:val="clear" w:color="auto" w:fill="FFFFFF"/>
        </w:rPr>
        <w:t>(gov.uk, 2011</w:t>
      </w:r>
      <w:r w:rsidR="00876DE3" w:rsidRPr="00C81444">
        <w:rPr>
          <w:rFonts w:ascii="Arial" w:hAnsi="Arial" w:cs="Arial"/>
          <w:color w:val="2C3E50"/>
          <w:sz w:val="24"/>
          <w:szCs w:val="24"/>
          <w:shd w:val="clear" w:color="auto" w:fill="FFFFFF"/>
        </w:rPr>
        <w:t>)</w:t>
      </w:r>
      <w:r w:rsidRPr="00C81444">
        <w:rPr>
          <w:rFonts w:ascii="Arial" w:hAnsi="Arial" w:cs="Arial"/>
          <w:sz w:val="24"/>
          <w:szCs w:val="24"/>
        </w:rPr>
        <w:t xml:space="preserve"> stipulated that the perpetrator must have suffered from a "abnormality of mind" at the time of the unlawful killing, which substantially lowered their mental culpability, in order to qualify for diminished responsibility. It must explain why they killed, not necessarily provide an excuse. It must also be sufficient to reduce murder to manslaughter in order to create a legal defence (Jade, n.d.). The jury must determine, based on the preponderance of the evidence, whether the abnormality can be proven.</w:t>
      </w:r>
    </w:p>
    <w:p w14:paraId="561D0D0E" w14:textId="7DFA8D8C" w:rsidR="0058284B" w:rsidRPr="00C81444" w:rsidRDefault="0058284B" w:rsidP="00C81444">
      <w:pPr>
        <w:spacing w:line="360" w:lineRule="auto"/>
        <w:jc w:val="both"/>
        <w:rPr>
          <w:rFonts w:ascii="Arial" w:hAnsi="Arial" w:cs="Arial"/>
          <w:sz w:val="24"/>
          <w:szCs w:val="24"/>
        </w:rPr>
      </w:pPr>
      <w:r w:rsidRPr="00C81444">
        <w:rPr>
          <w:rFonts w:ascii="Arial" w:hAnsi="Arial" w:cs="Arial"/>
          <w:sz w:val="24"/>
          <w:szCs w:val="24"/>
        </w:rPr>
        <w:t>The Homicide Act of 1957 was a response to the number of changes in homicide law preceding it. This included the decline in the use of the death penalty for murder and changes in the ways in which manslaughter was prosecuted. With the introduction of the Homicide Act, there was now a greater level of clarity in terms of the definitions of murder and manslaughter and the penalties for them. The aim was to create a more streamlined approach to criminal proceedings for acts of homicide. Furthermore, the Act also aims to reduce the risk of wrongful convictions by introducing the concept of diminished responsibility. This allows for those with mental health issues to be given less severe punishments than if they had been found to have had full mental capacity.</w:t>
      </w:r>
    </w:p>
    <w:p w14:paraId="59BE088C" w14:textId="77777777" w:rsidR="005A7E19" w:rsidRPr="00C81444" w:rsidRDefault="0058284B" w:rsidP="00C81444">
      <w:pPr>
        <w:spacing w:line="360" w:lineRule="auto"/>
        <w:jc w:val="both"/>
        <w:rPr>
          <w:rFonts w:ascii="Arial" w:hAnsi="Arial" w:cs="Arial"/>
          <w:sz w:val="24"/>
          <w:szCs w:val="24"/>
        </w:rPr>
      </w:pPr>
      <w:r w:rsidRPr="00C81444">
        <w:rPr>
          <w:rFonts w:ascii="Arial" w:hAnsi="Arial" w:cs="Arial"/>
          <w:sz w:val="24"/>
          <w:szCs w:val="24"/>
        </w:rPr>
        <w:t xml:space="preserve">The Coroners and Justice Act 2009 (c.25) altered the Coroners Act 1988 </w:t>
      </w:r>
      <w:r w:rsidR="00C21C59" w:rsidRPr="00C81444">
        <w:rPr>
          <w:rFonts w:ascii="Arial" w:hAnsi="Arial" w:cs="Arial"/>
          <w:color w:val="2C3E50"/>
          <w:sz w:val="24"/>
          <w:szCs w:val="24"/>
          <w:shd w:val="clear" w:color="auto" w:fill="FFFFFF"/>
        </w:rPr>
        <w:t>(Legislation.gov.uk, 2023)</w:t>
      </w:r>
      <w:r w:rsidR="00C21C59" w:rsidRPr="00C81444">
        <w:rPr>
          <w:rFonts w:ascii="Arial" w:hAnsi="Arial" w:cs="Arial"/>
          <w:color w:val="2C3E50"/>
          <w:sz w:val="24"/>
          <w:szCs w:val="24"/>
          <w:shd w:val="clear" w:color="auto" w:fill="FFFFFF"/>
        </w:rPr>
        <w:t xml:space="preserve"> </w:t>
      </w:r>
      <w:r w:rsidRPr="00C81444">
        <w:rPr>
          <w:rFonts w:ascii="Arial" w:hAnsi="Arial" w:cs="Arial"/>
          <w:sz w:val="24"/>
          <w:szCs w:val="24"/>
        </w:rPr>
        <w:t xml:space="preserve">by instituting a number of modifications to the manner in which inquests are conducted in England and Wales. </w:t>
      </w:r>
      <w:r w:rsidR="005A7E19" w:rsidRPr="00C81444">
        <w:rPr>
          <w:rFonts w:ascii="Arial" w:hAnsi="Arial" w:cs="Arial"/>
          <w:sz w:val="24"/>
          <w:szCs w:val="24"/>
        </w:rPr>
        <w:t xml:space="preserve">They may create a burden on the relatives of the deceased, who must endure a second investigation. In addition, it </w:t>
      </w:r>
      <w:r w:rsidR="005A7E19" w:rsidRPr="00C81444">
        <w:rPr>
          <w:rFonts w:ascii="Arial" w:hAnsi="Arial" w:cs="Arial"/>
          <w:sz w:val="24"/>
          <w:szCs w:val="24"/>
        </w:rPr>
        <w:lastRenderedPageBreak/>
        <w:t>established new rules for the public holding of inquests and the presentation of evidence at an inquest.</w:t>
      </w:r>
    </w:p>
    <w:p w14:paraId="1306D613" w14:textId="3BFFA732" w:rsidR="0058284B" w:rsidRPr="00C81444" w:rsidRDefault="0058284B" w:rsidP="00C81444">
      <w:pPr>
        <w:spacing w:line="360" w:lineRule="auto"/>
        <w:jc w:val="both"/>
        <w:rPr>
          <w:rFonts w:ascii="Arial" w:hAnsi="Arial" w:cs="Arial"/>
          <w:sz w:val="24"/>
          <w:szCs w:val="24"/>
        </w:rPr>
      </w:pPr>
      <w:r w:rsidRPr="00C81444">
        <w:rPr>
          <w:rFonts w:ascii="Arial" w:hAnsi="Arial" w:cs="Arial"/>
          <w:sz w:val="24"/>
          <w:szCs w:val="24"/>
        </w:rPr>
        <w:t>Improved precision in determining the cause of death and increased public confidence in the judicial system are among the benefits of the modification. It also assists the deceased's families to gain closure and a greater understanding of the circumstances behind the death.</w:t>
      </w:r>
    </w:p>
    <w:p w14:paraId="4D8C4113" w14:textId="4616B5E9" w:rsidR="00D345AE" w:rsidRPr="00C81444" w:rsidRDefault="0058284B" w:rsidP="00C81444">
      <w:pPr>
        <w:spacing w:line="360" w:lineRule="auto"/>
        <w:jc w:val="both"/>
        <w:rPr>
          <w:rFonts w:ascii="Arial" w:hAnsi="Arial" w:cs="Arial"/>
          <w:sz w:val="24"/>
          <w:szCs w:val="24"/>
        </w:rPr>
      </w:pPr>
      <w:r w:rsidRPr="00C81444">
        <w:rPr>
          <w:rFonts w:ascii="Arial" w:hAnsi="Arial" w:cs="Arial"/>
          <w:sz w:val="24"/>
          <w:szCs w:val="24"/>
        </w:rPr>
        <w:t xml:space="preserve">Unfortunately, the changes also have a number of drawbacks. First, they may place a hardship on the family of the deceased, who are required to undergo a second </w:t>
      </w:r>
      <w:r w:rsidR="008B1E6F" w:rsidRPr="00C81444">
        <w:rPr>
          <w:rFonts w:ascii="Arial" w:hAnsi="Arial" w:cs="Arial"/>
          <w:sz w:val="24"/>
          <w:szCs w:val="24"/>
        </w:rPr>
        <w:t>inquest.</w:t>
      </w:r>
      <w:r w:rsidR="00731B0D" w:rsidRPr="00C81444">
        <w:rPr>
          <w:rFonts w:ascii="Arial" w:hAnsi="Arial" w:cs="Arial"/>
          <w:sz w:val="24"/>
          <w:szCs w:val="24"/>
        </w:rPr>
        <w:t xml:space="preserve"> </w:t>
      </w:r>
    </w:p>
    <w:p w14:paraId="611176CF" w14:textId="51C9AD48" w:rsidR="0058284B" w:rsidRPr="00C81444" w:rsidRDefault="0058284B" w:rsidP="00C81444">
      <w:pPr>
        <w:spacing w:line="360" w:lineRule="auto"/>
        <w:jc w:val="both"/>
        <w:rPr>
          <w:rFonts w:ascii="Arial" w:hAnsi="Arial" w:cs="Arial"/>
          <w:sz w:val="24"/>
          <w:szCs w:val="24"/>
        </w:rPr>
      </w:pPr>
      <w:r w:rsidRPr="00C81444">
        <w:rPr>
          <w:rFonts w:ascii="Arial" w:hAnsi="Arial" w:cs="Arial"/>
          <w:sz w:val="24"/>
          <w:szCs w:val="24"/>
        </w:rPr>
        <w:t xml:space="preserve">Second, they are costly, as additional resources are required to analyse fresh evidence and have a second inquest. Lastly, they may cause considerable confusion, as the outcomes of two inquests may </w:t>
      </w:r>
      <w:r w:rsidR="008B1E6F" w:rsidRPr="00C81444">
        <w:rPr>
          <w:rFonts w:ascii="Arial" w:hAnsi="Arial" w:cs="Arial"/>
          <w:sz w:val="24"/>
          <w:szCs w:val="24"/>
        </w:rPr>
        <w:t>dispute</w:t>
      </w:r>
      <w:r w:rsidR="008B1E6F" w:rsidRPr="00C81444">
        <w:rPr>
          <w:rFonts w:ascii="Arial" w:hAnsi="Arial" w:cs="Arial"/>
          <w:color w:val="2C3E50"/>
          <w:sz w:val="24"/>
          <w:szCs w:val="24"/>
          <w:shd w:val="clear" w:color="auto" w:fill="FFFFFF"/>
        </w:rPr>
        <w:t xml:space="preserve"> (</w:t>
      </w:r>
      <w:r w:rsidR="00211D77" w:rsidRPr="00C81444">
        <w:rPr>
          <w:rFonts w:ascii="Arial" w:hAnsi="Arial" w:cs="Arial"/>
          <w:color w:val="2C3E50"/>
          <w:sz w:val="24"/>
          <w:szCs w:val="24"/>
          <w:shd w:val="clear" w:color="auto" w:fill="FFFFFF"/>
        </w:rPr>
        <w:t>Citizensinformation.ie, n.d.)</w:t>
      </w:r>
      <w:r w:rsidR="00211D77" w:rsidRPr="00C81444">
        <w:rPr>
          <w:rFonts w:ascii="Arial" w:hAnsi="Arial" w:cs="Arial"/>
          <w:sz w:val="24"/>
          <w:szCs w:val="24"/>
        </w:rPr>
        <w:t>.</w:t>
      </w:r>
      <w:r w:rsidRPr="00C81444">
        <w:rPr>
          <w:rFonts w:ascii="Arial" w:hAnsi="Arial" w:cs="Arial"/>
          <w:sz w:val="24"/>
          <w:szCs w:val="24"/>
        </w:rPr>
        <w:t>.</w:t>
      </w:r>
    </w:p>
    <w:p w14:paraId="61DC82C6" w14:textId="71D770B0" w:rsidR="00396A6C" w:rsidRPr="00C81444" w:rsidRDefault="00396A6C" w:rsidP="00C81444">
      <w:pPr>
        <w:spacing w:line="360" w:lineRule="auto"/>
        <w:jc w:val="both"/>
        <w:rPr>
          <w:rFonts w:ascii="Arial" w:hAnsi="Arial" w:cs="Arial"/>
          <w:sz w:val="24"/>
          <w:szCs w:val="24"/>
        </w:rPr>
      </w:pPr>
      <w:r w:rsidRPr="00C81444">
        <w:rPr>
          <w:rFonts w:ascii="Arial" w:hAnsi="Arial" w:cs="Arial"/>
          <w:sz w:val="24"/>
          <w:szCs w:val="24"/>
        </w:rPr>
        <w:t xml:space="preserve">The Coroners and Justice Act of 2009 modified and modernised existing </w:t>
      </w:r>
      <w:r w:rsidR="00C07184" w:rsidRPr="00C81444">
        <w:rPr>
          <w:rFonts w:ascii="Arial" w:hAnsi="Arial" w:cs="Arial"/>
          <w:sz w:val="24"/>
          <w:szCs w:val="24"/>
        </w:rPr>
        <w:t>coroners’</w:t>
      </w:r>
      <w:r w:rsidRPr="00C81444">
        <w:rPr>
          <w:rFonts w:ascii="Arial" w:hAnsi="Arial" w:cs="Arial"/>
          <w:sz w:val="24"/>
          <w:szCs w:val="24"/>
        </w:rPr>
        <w:t xml:space="preserve"> laws in England and Wales, resulting in the improvement of coroners' services in both nations</w:t>
      </w:r>
      <w:r w:rsidR="00376D75" w:rsidRPr="00C81444">
        <w:rPr>
          <w:rFonts w:ascii="Arial" w:hAnsi="Arial" w:cs="Arial"/>
          <w:color w:val="2C3E50"/>
          <w:sz w:val="24"/>
          <w:szCs w:val="24"/>
          <w:shd w:val="clear" w:color="auto" w:fill="FFFFFF"/>
        </w:rPr>
        <w:t xml:space="preserve"> </w:t>
      </w:r>
      <w:r w:rsidR="00376D75" w:rsidRPr="00C81444">
        <w:rPr>
          <w:rFonts w:ascii="Arial" w:hAnsi="Arial" w:cs="Arial"/>
          <w:color w:val="2C3E50"/>
          <w:sz w:val="24"/>
          <w:szCs w:val="24"/>
          <w:shd w:val="clear" w:color="auto" w:fill="FFFFFF"/>
        </w:rPr>
        <w:t>(Pitman, 2012)</w:t>
      </w:r>
      <w:r w:rsidRPr="00C81444">
        <w:rPr>
          <w:rFonts w:ascii="Arial" w:hAnsi="Arial" w:cs="Arial"/>
          <w:sz w:val="24"/>
          <w:szCs w:val="24"/>
        </w:rPr>
        <w:t>.</w:t>
      </w:r>
    </w:p>
    <w:p w14:paraId="6C7ED751" w14:textId="260B04E7" w:rsidR="00396A6C" w:rsidRPr="00C81444" w:rsidRDefault="00396A6C" w:rsidP="00C81444">
      <w:pPr>
        <w:spacing w:line="360" w:lineRule="auto"/>
        <w:jc w:val="both"/>
        <w:rPr>
          <w:rFonts w:ascii="Arial" w:hAnsi="Arial" w:cs="Arial"/>
          <w:sz w:val="24"/>
          <w:szCs w:val="24"/>
        </w:rPr>
      </w:pPr>
      <w:r w:rsidRPr="00C81444">
        <w:rPr>
          <w:rFonts w:ascii="Arial" w:hAnsi="Arial" w:cs="Arial"/>
          <w:sz w:val="24"/>
          <w:szCs w:val="24"/>
        </w:rPr>
        <w:t>The Act simplified the submission of evidence and witnesses and expanded public access to inquest materials. Following consultation with coroners and other stakeholders, the Act also expanded the investigative powers of coroners and established a single unified national system for certifying death and particular causes of death</w:t>
      </w:r>
      <w:r w:rsidR="00DB3AFD" w:rsidRPr="00C81444">
        <w:rPr>
          <w:rFonts w:ascii="Arial" w:hAnsi="Arial" w:cs="Arial"/>
          <w:sz w:val="24"/>
          <w:szCs w:val="24"/>
        </w:rPr>
        <w:t xml:space="preserve"> </w:t>
      </w:r>
      <w:r w:rsidR="00DB3AFD" w:rsidRPr="00C81444">
        <w:rPr>
          <w:rFonts w:ascii="Arial" w:hAnsi="Arial" w:cs="Arial"/>
          <w:color w:val="2C3E50"/>
          <w:sz w:val="24"/>
          <w:szCs w:val="24"/>
          <w:shd w:val="clear" w:color="auto" w:fill="FFFFFF"/>
        </w:rPr>
        <w:t>(CHIEF CORONER’S GUIDANCE No. 38 REMOTE PARTICIPATION IN CORONIAL PROCEEDINGS VIA VIDEO AND AUDIO BROADCAST, n.d.</w:t>
      </w:r>
      <w:r w:rsidR="0096107F" w:rsidRPr="00C81444">
        <w:rPr>
          <w:rFonts w:ascii="Arial" w:hAnsi="Arial" w:cs="Arial"/>
          <w:color w:val="2C3E50"/>
          <w:sz w:val="24"/>
          <w:szCs w:val="24"/>
          <w:shd w:val="clear" w:color="auto" w:fill="FFFFFF"/>
        </w:rPr>
        <w:t>)</w:t>
      </w:r>
      <w:r w:rsidR="0096107F" w:rsidRPr="00C81444">
        <w:rPr>
          <w:rFonts w:ascii="Arial" w:hAnsi="Arial" w:cs="Arial"/>
          <w:sz w:val="24"/>
          <w:szCs w:val="24"/>
        </w:rPr>
        <w:t>.</w:t>
      </w:r>
    </w:p>
    <w:p w14:paraId="6BB37944" w14:textId="478C0B02" w:rsidR="00396A6C" w:rsidRPr="00C81444" w:rsidRDefault="00396A6C" w:rsidP="00C81444">
      <w:pPr>
        <w:spacing w:line="360" w:lineRule="auto"/>
        <w:jc w:val="both"/>
        <w:rPr>
          <w:rFonts w:ascii="Arial" w:hAnsi="Arial" w:cs="Arial"/>
          <w:sz w:val="24"/>
          <w:szCs w:val="24"/>
        </w:rPr>
      </w:pPr>
      <w:r w:rsidRPr="00C81444">
        <w:rPr>
          <w:rFonts w:ascii="Arial" w:hAnsi="Arial" w:cs="Arial"/>
          <w:sz w:val="24"/>
          <w:szCs w:val="24"/>
        </w:rPr>
        <w:t>Despite this, there is still room for improvement in this area of the law. In England and Wales, for instance, there is no legal requirement for families to be informed of a coroner's probe, suggesting that information, assistance, and advice should be made more accessible to all grieving families. In addition, following the implementation of the Coroners and Justice Act of 2009, the power of families to appeal a coroner's verdict has been severely diminished; while any appeal must now be filed with the High Court, the scope of grounds that may be contested remains restricted</w:t>
      </w:r>
      <w:r w:rsidR="00463F6C" w:rsidRPr="00C81444">
        <w:rPr>
          <w:rFonts w:ascii="Arial" w:hAnsi="Arial" w:cs="Arial"/>
          <w:sz w:val="24"/>
          <w:szCs w:val="24"/>
        </w:rPr>
        <w:t xml:space="preserve"> </w:t>
      </w:r>
      <w:r w:rsidR="00463F6C" w:rsidRPr="00C81444">
        <w:rPr>
          <w:rFonts w:ascii="Arial" w:hAnsi="Arial" w:cs="Arial"/>
          <w:color w:val="2C3E50"/>
          <w:sz w:val="24"/>
          <w:szCs w:val="24"/>
          <w:shd w:val="clear" w:color="auto" w:fill="FFFFFF"/>
        </w:rPr>
        <w:t>(Guardian Staff, 2010)</w:t>
      </w:r>
      <w:r w:rsidRPr="00C81444">
        <w:rPr>
          <w:rFonts w:ascii="Arial" w:hAnsi="Arial" w:cs="Arial"/>
          <w:sz w:val="24"/>
          <w:szCs w:val="24"/>
        </w:rPr>
        <w:t>.</w:t>
      </w:r>
    </w:p>
    <w:p w14:paraId="5A881F13" w14:textId="7F40DA89" w:rsidR="00653B7D" w:rsidRPr="00C81444" w:rsidRDefault="00396A6C" w:rsidP="00C81444">
      <w:pPr>
        <w:spacing w:line="360" w:lineRule="auto"/>
        <w:jc w:val="both"/>
        <w:rPr>
          <w:rFonts w:ascii="Arial" w:hAnsi="Arial" w:cs="Arial"/>
          <w:sz w:val="24"/>
          <w:szCs w:val="24"/>
        </w:rPr>
      </w:pPr>
      <w:r w:rsidRPr="00C81444">
        <w:rPr>
          <w:rFonts w:ascii="Arial" w:hAnsi="Arial" w:cs="Arial"/>
          <w:sz w:val="24"/>
          <w:szCs w:val="24"/>
        </w:rPr>
        <w:t>Existing rules dictate that coroners can only access restricted medical information without particular authori</w:t>
      </w:r>
      <w:r w:rsidR="00C0335E" w:rsidRPr="00C81444">
        <w:rPr>
          <w:rFonts w:ascii="Arial" w:hAnsi="Arial" w:cs="Arial"/>
          <w:sz w:val="24"/>
          <w:szCs w:val="24"/>
        </w:rPr>
        <w:t>s</w:t>
      </w:r>
      <w:r w:rsidRPr="00C81444">
        <w:rPr>
          <w:rFonts w:ascii="Arial" w:hAnsi="Arial" w:cs="Arial"/>
          <w:sz w:val="24"/>
          <w:szCs w:val="24"/>
        </w:rPr>
        <w:t xml:space="preserve">ation or a court order, and requests have been made to give coroners with wider access to medical records to assist further reform. This is a particular concern for bereaved families, whose access to medical documents may be </w:t>
      </w:r>
      <w:r w:rsidRPr="00C81444">
        <w:rPr>
          <w:rFonts w:ascii="Arial" w:hAnsi="Arial" w:cs="Arial"/>
          <w:sz w:val="24"/>
          <w:szCs w:val="24"/>
        </w:rPr>
        <w:lastRenderedPageBreak/>
        <w:t>limited during the coroner's probe</w:t>
      </w:r>
      <w:r w:rsidR="00841F1A" w:rsidRPr="00C81444">
        <w:rPr>
          <w:rFonts w:ascii="Arial" w:hAnsi="Arial" w:cs="Arial"/>
          <w:color w:val="2C3E50"/>
          <w:sz w:val="24"/>
          <w:szCs w:val="24"/>
          <w:shd w:val="clear" w:color="auto" w:fill="FFFFFF"/>
        </w:rPr>
        <w:t xml:space="preserve"> </w:t>
      </w:r>
      <w:r w:rsidR="00841F1A" w:rsidRPr="00C81444">
        <w:rPr>
          <w:rFonts w:ascii="Arial" w:hAnsi="Arial" w:cs="Arial"/>
          <w:color w:val="2C3E50"/>
          <w:sz w:val="24"/>
          <w:szCs w:val="24"/>
          <w:shd w:val="clear" w:color="auto" w:fill="FFFFFF"/>
        </w:rPr>
        <w:t>(Information for families following a bereavement, n.d.)</w:t>
      </w:r>
      <w:r w:rsidRPr="00C81444">
        <w:rPr>
          <w:rFonts w:ascii="Arial" w:hAnsi="Arial" w:cs="Arial"/>
          <w:sz w:val="24"/>
          <w:szCs w:val="24"/>
        </w:rPr>
        <w:t>.</w:t>
      </w:r>
    </w:p>
    <w:p w14:paraId="140DB68A" w14:textId="681571FE" w:rsidR="00396A6C" w:rsidRDefault="00396A6C" w:rsidP="00C81444">
      <w:pPr>
        <w:spacing w:line="360" w:lineRule="auto"/>
        <w:jc w:val="both"/>
        <w:rPr>
          <w:rFonts w:ascii="Arial" w:hAnsi="Arial" w:cs="Arial"/>
          <w:sz w:val="24"/>
          <w:szCs w:val="24"/>
        </w:rPr>
      </w:pPr>
      <w:r w:rsidRPr="00C81444">
        <w:rPr>
          <w:rFonts w:ascii="Arial" w:hAnsi="Arial" w:cs="Arial"/>
          <w:sz w:val="24"/>
          <w:szCs w:val="24"/>
        </w:rPr>
        <w:t>Other amendments include providing the public with greater information about the investigative abilities of a coroner and expanding the scope of problems a family may appeal in order to guarantee that all evidence has been considered. In order to ensure that the coronial system runs successfully and efficiently, it is crucial that any necessary reforms be implemented in a timely way</w:t>
      </w:r>
      <w:r w:rsidR="00DE04DD" w:rsidRPr="00C81444">
        <w:rPr>
          <w:rFonts w:ascii="Arial" w:hAnsi="Arial" w:cs="Arial"/>
          <w:sz w:val="24"/>
          <w:szCs w:val="24"/>
        </w:rPr>
        <w:t xml:space="preserve"> </w:t>
      </w:r>
      <w:r w:rsidR="00DE04DD" w:rsidRPr="00C81444">
        <w:rPr>
          <w:rFonts w:ascii="Arial" w:hAnsi="Arial" w:cs="Arial"/>
          <w:color w:val="2C3E50"/>
          <w:sz w:val="24"/>
          <w:szCs w:val="24"/>
          <w:shd w:val="clear" w:color="auto" w:fill="FFFFFF"/>
        </w:rPr>
        <w:t>(CPS, 2017)</w:t>
      </w:r>
      <w:r w:rsidRPr="00C81444">
        <w:rPr>
          <w:rFonts w:ascii="Arial" w:hAnsi="Arial" w:cs="Arial"/>
          <w:sz w:val="24"/>
          <w:szCs w:val="24"/>
        </w:rPr>
        <w:t>.</w:t>
      </w:r>
    </w:p>
    <w:p w14:paraId="19CA46CE" w14:textId="35FFFEFF" w:rsidR="009F10F9" w:rsidRDefault="009F10F9" w:rsidP="00F411F7">
      <w:pPr>
        <w:spacing w:line="360" w:lineRule="auto"/>
        <w:jc w:val="both"/>
        <w:rPr>
          <w:rFonts w:ascii="Helvetica" w:hAnsi="Helvetica" w:cs="Helvetica"/>
          <w:color w:val="353740"/>
        </w:rPr>
      </w:pPr>
      <w:r>
        <w:rPr>
          <w:rFonts w:ascii="Helvetica" w:hAnsi="Helvetica" w:cs="Helvetica"/>
          <w:color w:val="353740"/>
        </w:rPr>
        <w:t>The Coroners and Justice Act (2009) amended the defence of diminished responsibility in England and Wales. The changes introduced a new definition of diminished responsibility that replaced the previous definition in the Homicide Act (1957). According to the new definition, the defence of diminished responsibility applies when a person killed another due to an abnormality of mental functioning that arises from a “recognised medical condition” and “substantially impairs” their “</w:t>
      </w:r>
      <w:r w:rsidR="00824FA5">
        <w:rPr>
          <w:rFonts w:ascii="Helvetica" w:hAnsi="Helvetica" w:cs="Helvetica"/>
          <w:color w:val="353740"/>
        </w:rPr>
        <w:t>ability</w:t>
      </w:r>
      <w:r>
        <w:rPr>
          <w:rFonts w:ascii="Helvetica" w:hAnsi="Helvetica" w:cs="Helvetica"/>
          <w:color w:val="353740"/>
        </w:rPr>
        <w:t xml:space="preserve"> to understand the nature of the act” or to form a “rational judgment”. </w:t>
      </w:r>
    </w:p>
    <w:p w14:paraId="4B234E6F" w14:textId="51252A08" w:rsidR="007B027B" w:rsidRDefault="009F10F9" w:rsidP="00F411F7">
      <w:pPr>
        <w:spacing w:line="360" w:lineRule="auto"/>
        <w:jc w:val="both"/>
        <w:rPr>
          <w:rFonts w:ascii="Arial" w:hAnsi="Arial" w:cs="Arial"/>
          <w:sz w:val="24"/>
          <w:szCs w:val="24"/>
        </w:rPr>
      </w:pPr>
      <w:r>
        <w:rPr>
          <w:rFonts w:ascii="Helvetica" w:hAnsi="Helvetica" w:cs="Helvetica"/>
          <w:color w:val="353740"/>
        </w:rPr>
        <w:t>Furthermore, the defence will not apply if the defendant can be convicted of manslaughter by reason of diminished responsibility and a charge of murder. The amendments to the defence of diminished responsibility improved the law in this area by providing a clearer definition of the defence and a better understanding of the criteria required for it to apply. However, there is still room for further reform in this area. For example, the Act does not define what constitutes a “recognised medical condition” and the criteria for determining whether a person’s ability to understand the nature of their act or form a rational judgement is substantially impaired are also unclear.</w:t>
      </w:r>
    </w:p>
    <w:p w14:paraId="3754FEA2" w14:textId="52B96305" w:rsidR="007B027B" w:rsidRDefault="007B027B" w:rsidP="00F411F7">
      <w:pPr>
        <w:spacing w:line="360" w:lineRule="auto"/>
        <w:jc w:val="both"/>
        <w:rPr>
          <w:rFonts w:ascii="Arial" w:hAnsi="Arial" w:cs="Arial"/>
          <w:sz w:val="24"/>
          <w:szCs w:val="24"/>
        </w:rPr>
      </w:pPr>
    </w:p>
    <w:p w14:paraId="783EB5AA" w14:textId="18CC28AE" w:rsidR="007B027B" w:rsidRDefault="007B027B">
      <w:pPr>
        <w:rPr>
          <w:rFonts w:ascii="Arial" w:hAnsi="Arial" w:cs="Arial"/>
          <w:sz w:val="24"/>
          <w:szCs w:val="24"/>
        </w:rPr>
      </w:pPr>
      <w:r>
        <w:rPr>
          <w:rFonts w:ascii="Arial" w:hAnsi="Arial" w:cs="Arial"/>
          <w:sz w:val="24"/>
          <w:szCs w:val="24"/>
        </w:rPr>
        <w:br w:type="page"/>
      </w:r>
    </w:p>
    <w:p w14:paraId="6B4160AB" w14:textId="71A717E1" w:rsidR="007B027B" w:rsidRPr="00072283" w:rsidRDefault="007B027B" w:rsidP="00072283">
      <w:pPr>
        <w:spacing w:line="360" w:lineRule="auto"/>
        <w:jc w:val="both"/>
        <w:rPr>
          <w:rFonts w:ascii="Arial" w:hAnsi="Arial" w:cs="Arial"/>
          <w:sz w:val="24"/>
          <w:szCs w:val="24"/>
        </w:rPr>
      </w:pPr>
      <w:r>
        <w:rPr>
          <w:rFonts w:ascii="Arial" w:hAnsi="Arial" w:cs="Arial"/>
          <w:sz w:val="24"/>
          <w:szCs w:val="24"/>
        </w:rPr>
        <w:lastRenderedPageBreak/>
        <w:t>References</w:t>
      </w:r>
    </w:p>
    <w:p w14:paraId="7530455A" w14:textId="2FEE7D47" w:rsidR="00E0585A" w:rsidRDefault="005A78A9"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w:t>
      </w:r>
      <w:r w:rsidR="00805940" w:rsidRPr="00072283">
        <w:rPr>
          <w:rFonts w:ascii="Arial" w:hAnsi="Arial" w:cs="Arial"/>
          <w:color w:val="000000"/>
        </w:rPr>
        <w:t xml:space="preserve"> </w:t>
      </w:r>
    </w:p>
    <w:p w14:paraId="014476CB" w14:textId="77777777" w:rsidR="00E0585A" w:rsidRDefault="00E0585A" w:rsidP="00072283">
      <w:pPr>
        <w:pStyle w:val="NormalWeb"/>
        <w:spacing w:before="0" w:beforeAutospacing="0" w:after="0" w:afterAutospacing="0" w:line="360" w:lineRule="auto"/>
        <w:rPr>
          <w:rFonts w:ascii="Arial" w:hAnsi="Arial" w:cs="Arial"/>
          <w:color w:val="000000"/>
        </w:rPr>
      </w:pPr>
    </w:p>
    <w:p w14:paraId="1598838C" w14:textId="57E181FC" w:rsidR="00805940" w:rsidRPr="00072283" w:rsidRDefault="00805940"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Citizensinformation.ie (n.d.). </w:t>
      </w:r>
      <w:r w:rsidRPr="00072283">
        <w:rPr>
          <w:rFonts w:ascii="Arial" w:hAnsi="Arial" w:cs="Arial"/>
          <w:i/>
          <w:iCs/>
          <w:color w:val="000000"/>
        </w:rPr>
        <w:t>Inquests and inquest reports</w:t>
      </w:r>
      <w:r w:rsidRPr="00072283">
        <w:rPr>
          <w:rFonts w:ascii="Arial" w:hAnsi="Arial" w:cs="Arial"/>
          <w:color w:val="000000"/>
        </w:rPr>
        <w:t xml:space="preserve">. [online] www.citizensinformation.ie. Available at: </w:t>
      </w:r>
      <w:hyperlink r:id="rId6" w:history="1">
        <w:r w:rsidRPr="00072283">
          <w:rPr>
            <w:rStyle w:val="Hyperlink"/>
            <w:rFonts w:ascii="Arial" w:hAnsi="Arial" w:cs="Arial"/>
          </w:rPr>
          <w:t>https://www.citizensinformation.ie/en/death/sudden_or_unexplained_death/inquests.html</w:t>
        </w:r>
      </w:hyperlink>
    </w:p>
    <w:p w14:paraId="463D6E9A" w14:textId="77777777" w:rsidR="00072283" w:rsidRPr="00072283" w:rsidRDefault="00072283" w:rsidP="00072283">
      <w:pPr>
        <w:pStyle w:val="NormalWeb"/>
        <w:spacing w:before="0" w:beforeAutospacing="0" w:after="0" w:afterAutospacing="0" w:line="360" w:lineRule="auto"/>
        <w:rPr>
          <w:rFonts w:ascii="Arial" w:hAnsi="Arial" w:cs="Arial"/>
          <w:color w:val="000000"/>
        </w:rPr>
      </w:pPr>
    </w:p>
    <w:p w14:paraId="47F1DF6F" w14:textId="77777777" w:rsidR="00072283" w:rsidRPr="00072283" w:rsidRDefault="00072283"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CHIEF CORONER’S GUIDANCE No. 38 REMOTE PARTICIPATION IN CORONIAL PROCEEDINGS VIA VIDEO AND AUDIO BROADCAST. (n.d.). Available at: https://www.judiciary.uk/wp-content/uploads/2020/06/Chief-Coroners-Guidance-No.-38-Remote-participation-11.06.20.pdf [Accessed 9 Mar. 2023].</w:t>
      </w:r>
    </w:p>
    <w:p w14:paraId="2C1E345A" w14:textId="0E8814F4" w:rsidR="005A78A9" w:rsidRPr="00072283" w:rsidRDefault="005A78A9"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CPS (2017). </w:t>
      </w:r>
      <w:r w:rsidRPr="00072283">
        <w:rPr>
          <w:rFonts w:ascii="Arial" w:hAnsi="Arial" w:cs="Arial"/>
          <w:i/>
          <w:iCs/>
          <w:color w:val="000000"/>
        </w:rPr>
        <w:t>Coroners | The Crown Prosecution Service</w:t>
      </w:r>
      <w:r w:rsidRPr="00072283">
        <w:rPr>
          <w:rFonts w:ascii="Arial" w:hAnsi="Arial" w:cs="Arial"/>
          <w:color w:val="000000"/>
        </w:rPr>
        <w:t xml:space="preserve">. [online] Cps.gov.uk. Available at: </w:t>
      </w:r>
      <w:hyperlink r:id="rId7" w:history="1">
        <w:r w:rsidRPr="00072283">
          <w:rPr>
            <w:rStyle w:val="Hyperlink"/>
            <w:rFonts w:ascii="Arial" w:hAnsi="Arial" w:cs="Arial"/>
          </w:rPr>
          <w:t>https://www.cps.gov.uk/legal-guidance/coroners</w:t>
        </w:r>
      </w:hyperlink>
      <w:r w:rsidRPr="00072283">
        <w:rPr>
          <w:rFonts w:ascii="Arial" w:hAnsi="Arial" w:cs="Arial"/>
          <w:color w:val="000000"/>
        </w:rPr>
        <w:t>.</w:t>
      </w:r>
    </w:p>
    <w:p w14:paraId="166F4404" w14:textId="138C6DF7" w:rsidR="005A78A9" w:rsidRPr="00072283" w:rsidRDefault="005A78A9" w:rsidP="00072283">
      <w:pPr>
        <w:pStyle w:val="NormalWeb"/>
        <w:spacing w:before="0" w:beforeAutospacing="0" w:after="0" w:afterAutospacing="0" w:line="360" w:lineRule="auto"/>
        <w:rPr>
          <w:rFonts w:ascii="Arial" w:hAnsi="Arial" w:cs="Arial"/>
          <w:color w:val="000000"/>
        </w:rPr>
      </w:pPr>
    </w:p>
    <w:p w14:paraId="0D636544" w14:textId="5DC01782" w:rsidR="005A78A9" w:rsidRPr="00072283" w:rsidRDefault="005A78A9"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Crown Prosecution Service (2019). </w:t>
      </w:r>
      <w:r w:rsidRPr="00072283">
        <w:rPr>
          <w:rFonts w:ascii="Arial" w:hAnsi="Arial" w:cs="Arial"/>
          <w:i/>
          <w:iCs/>
          <w:color w:val="000000"/>
        </w:rPr>
        <w:t>Homicide: Murder and Manslaughter | the Crown Prosecution Service</w:t>
      </w:r>
      <w:r w:rsidRPr="00072283">
        <w:rPr>
          <w:rFonts w:ascii="Arial" w:hAnsi="Arial" w:cs="Arial"/>
          <w:color w:val="000000"/>
        </w:rPr>
        <w:t xml:space="preserve">. [online] Cps.gov.uk. Available at: </w:t>
      </w:r>
      <w:hyperlink r:id="rId8" w:history="1">
        <w:r w:rsidRPr="00072283">
          <w:rPr>
            <w:rStyle w:val="Hyperlink"/>
            <w:rFonts w:ascii="Arial" w:hAnsi="Arial" w:cs="Arial"/>
          </w:rPr>
          <w:t>https://www.cps.gov.uk/legal-guidance/homicide-murder-and-manslaughter</w:t>
        </w:r>
      </w:hyperlink>
    </w:p>
    <w:p w14:paraId="1FCB16D6" w14:textId="77777777" w:rsidR="00805940" w:rsidRPr="00072283" w:rsidRDefault="00805940" w:rsidP="00072283">
      <w:pPr>
        <w:pStyle w:val="NormalWeb"/>
        <w:spacing w:before="0" w:beforeAutospacing="0" w:after="0" w:afterAutospacing="0" w:line="360" w:lineRule="auto"/>
        <w:rPr>
          <w:rFonts w:ascii="Arial" w:hAnsi="Arial" w:cs="Arial"/>
          <w:color w:val="000000"/>
        </w:rPr>
      </w:pPr>
    </w:p>
    <w:p w14:paraId="70825EEB" w14:textId="0245A5E9" w:rsidR="00805940" w:rsidRPr="00072283" w:rsidRDefault="00805940"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Crofts, T. and Wake, N. (2021). Diminished responsibility determinations in England and Wales and New South Wales: whose role is it anyway? </w:t>
      </w:r>
      <w:r w:rsidRPr="00072283">
        <w:rPr>
          <w:rFonts w:ascii="Arial" w:hAnsi="Arial" w:cs="Arial"/>
          <w:i/>
          <w:iCs/>
          <w:color w:val="000000"/>
        </w:rPr>
        <w:t>Northern Ireland Legal Quarterly</w:t>
      </w:r>
      <w:r w:rsidRPr="00072283">
        <w:rPr>
          <w:rFonts w:ascii="Arial" w:hAnsi="Arial" w:cs="Arial"/>
          <w:color w:val="000000"/>
        </w:rPr>
        <w:t xml:space="preserve">, 72(2). </w:t>
      </w:r>
      <w:proofErr w:type="spellStart"/>
      <w:r w:rsidRPr="00072283">
        <w:rPr>
          <w:rFonts w:ascii="Arial" w:hAnsi="Arial" w:cs="Arial"/>
          <w:color w:val="000000"/>
        </w:rPr>
        <w:t>doi:https</w:t>
      </w:r>
      <w:proofErr w:type="spellEnd"/>
      <w:r w:rsidRPr="00072283">
        <w:rPr>
          <w:rFonts w:ascii="Arial" w:hAnsi="Arial" w:cs="Arial"/>
          <w:color w:val="000000"/>
        </w:rPr>
        <w:t>://doi.org/10.53386/nilq.v72i2.874.</w:t>
      </w:r>
    </w:p>
    <w:p w14:paraId="576DF1F2" w14:textId="77777777" w:rsidR="00805940" w:rsidRPr="00072283" w:rsidRDefault="00805940" w:rsidP="00072283">
      <w:pPr>
        <w:pStyle w:val="NormalWeb"/>
        <w:spacing w:before="0" w:beforeAutospacing="0" w:after="0" w:afterAutospacing="0" w:line="360" w:lineRule="auto"/>
        <w:rPr>
          <w:rFonts w:ascii="Arial" w:hAnsi="Arial" w:cs="Arial"/>
          <w:color w:val="000000"/>
        </w:rPr>
      </w:pPr>
    </w:p>
    <w:p w14:paraId="7D801D8F" w14:textId="77777777" w:rsidR="00072283" w:rsidRPr="00072283" w:rsidRDefault="00072283"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gov.uk (2011). </w:t>
      </w:r>
      <w:r w:rsidRPr="00072283">
        <w:rPr>
          <w:rFonts w:ascii="Arial" w:hAnsi="Arial" w:cs="Arial"/>
          <w:i/>
          <w:iCs/>
          <w:color w:val="000000"/>
        </w:rPr>
        <w:t>Homicide Act 1957</w:t>
      </w:r>
      <w:r w:rsidRPr="00072283">
        <w:rPr>
          <w:rFonts w:ascii="Arial" w:hAnsi="Arial" w:cs="Arial"/>
          <w:color w:val="000000"/>
        </w:rPr>
        <w:t xml:space="preserve">. [online] Legislation.gov.uk. Available at: </w:t>
      </w:r>
      <w:hyperlink r:id="rId9" w:history="1">
        <w:r w:rsidRPr="00072283">
          <w:rPr>
            <w:rStyle w:val="Hyperlink"/>
            <w:rFonts w:ascii="Arial" w:hAnsi="Arial" w:cs="Arial"/>
          </w:rPr>
          <w:t>https://www.legislation.gov.uk/ukpga/Eliz2/5-6/11/contents</w:t>
        </w:r>
      </w:hyperlink>
      <w:r w:rsidRPr="00072283">
        <w:rPr>
          <w:rFonts w:ascii="Arial" w:hAnsi="Arial" w:cs="Arial"/>
          <w:color w:val="000000"/>
        </w:rPr>
        <w:t>.</w:t>
      </w:r>
    </w:p>
    <w:p w14:paraId="5B7F32B4" w14:textId="77777777" w:rsidR="00072283" w:rsidRPr="00072283" w:rsidRDefault="00072283" w:rsidP="00072283">
      <w:pPr>
        <w:pStyle w:val="NormalWeb"/>
        <w:spacing w:before="0" w:beforeAutospacing="0" w:after="0" w:afterAutospacing="0" w:line="360" w:lineRule="auto"/>
        <w:rPr>
          <w:rFonts w:ascii="Arial" w:hAnsi="Arial" w:cs="Arial"/>
          <w:color w:val="000000"/>
        </w:rPr>
      </w:pPr>
    </w:p>
    <w:p w14:paraId="67AB4D62" w14:textId="31C48716" w:rsidR="00072283" w:rsidRPr="00072283" w:rsidRDefault="00072283"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Guardian Staff (2010). </w:t>
      </w:r>
      <w:r w:rsidRPr="00072283">
        <w:rPr>
          <w:rFonts w:ascii="Arial" w:hAnsi="Arial" w:cs="Arial"/>
          <w:i/>
          <w:iCs/>
          <w:color w:val="000000"/>
        </w:rPr>
        <w:t>A-Z of legislation: Coroners and Justice Act 2009</w:t>
      </w:r>
      <w:r w:rsidRPr="00072283">
        <w:rPr>
          <w:rFonts w:ascii="Arial" w:hAnsi="Arial" w:cs="Arial"/>
          <w:color w:val="000000"/>
        </w:rPr>
        <w:t>. [online] the Guardian. Available at: https://www.theguardian.com/commentisfree/libertycentral/2009/jan/19/coroners-justice-bill.</w:t>
      </w:r>
    </w:p>
    <w:p w14:paraId="47C8EABA" w14:textId="77777777" w:rsidR="00072283" w:rsidRPr="00072283" w:rsidRDefault="00072283" w:rsidP="00072283">
      <w:pPr>
        <w:pStyle w:val="NormalWeb"/>
        <w:spacing w:line="360" w:lineRule="auto"/>
        <w:rPr>
          <w:rFonts w:ascii="Arial" w:hAnsi="Arial" w:cs="Arial"/>
          <w:color w:val="000000"/>
        </w:rPr>
      </w:pPr>
      <w:r w:rsidRPr="00072283">
        <w:rPr>
          <w:rFonts w:ascii="Arial" w:hAnsi="Arial" w:cs="Arial"/>
          <w:color w:val="000000"/>
        </w:rPr>
        <w:lastRenderedPageBreak/>
        <w:t>‌Information for families following a bereavement. (n.d.). Available at: https://www.england.nhs.uk/wp-content/uploads/2018/08/information-for-families-following-a-bereavement.pdf.</w:t>
      </w:r>
    </w:p>
    <w:p w14:paraId="6580206E" w14:textId="77777777" w:rsidR="00805940" w:rsidRPr="00072283" w:rsidRDefault="00805940" w:rsidP="00072283">
      <w:pPr>
        <w:pStyle w:val="NormalWeb"/>
        <w:spacing w:before="0" w:beforeAutospacing="0" w:after="0" w:afterAutospacing="0" w:line="360" w:lineRule="auto"/>
        <w:rPr>
          <w:rFonts w:ascii="Arial" w:hAnsi="Arial" w:cs="Arial"/>
          <w:color w:val="000000"/>
        </w:rPr>
      </w:pPr>
    </w:p>
    <w:p w14:paraId="2F22DC4B" w14:textId="2FE7AA61" w:rsidR="009F2BA9" w:rsidRPr="00072283" w:rsidRDefault="009F2BA9"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jade.io. (n.d.). </w:t>
      </w:r>
      <w:r w:rsidRPr="00072283">
        <w:rPr>
          <w:rFonts w:ascii="Arial" w:hAnsi="Arial" w:cs="Arial"/>
          <w:i/>
          <w:iCs/>
          <w:color w:val="000000"/>
        </w:rPr>
        <w:t xml:space="preserve">R v Nicoletti [2006] VSCA 175 - </w:t>
      </w:r>
      <w:proofErr w:type="spellStart"/>
      <w:r w:rsidRPr="00072283">
        <w:rPr>
          <w:rFonts w:ascii="Arial" w:hAnsi="Arial" w:cs="Arial"/>
          <w:i/>
          <w:iCs/>
          <w:color w:val="000000"/>
        </w:rPr>
        <w:t>BarNet</w:t>
      </w:r>
      <w:proofErr w:type="spellEnd"/>
      <w:r w:rsidRPr="00072283">
        <w:rPr>
          <w:rFonts w:ascii="Arial" w:hAnsi="Arial" w:cs="Arial"/>
          <w:i/>
          <w:iCs/>
          <w:color w:val="000000"/>
        </w:rPr>
        <w:t xml:space="preserve"> Jade</w:t>
      </w:r>
      <w:r w:rsidRPr="00072283">
        <w:rPr>
          <w:rFonts w:ascii="Arial" w:hAnsi="Arial" w:cs="Arial"/>
          <w:color w:val="000000"/>
        </w:rPr>
        <w:t>. [online] Available at: https://jade.io/article/71851?at.hl=CDPP+v+Morganti+%2526%2526+Ors+%255B2006%255D+VSCA+175 [Accessed 1 Mar. 2023].</w:t>
      </w:r>
    </w:p>
    <w:p w14:paraId="7C731A64" w14:textId="77777777" w:rsidR="002761B8" w:rsidRPr="00072283" w:rsidRDefault="002761B8" w:rsidP="00072283">
      <w:pPr>
        <w:pStyle w:val="NormalWeb"/>
        <w:spacing w:before="0" w:beforeAutospacing="0" w:after="0" w:afterAutospacing="0" w:line="360" w:lineRule="auto"/>
        <w:rPr>
          <w:rFonts w:ascii="Arial" w:hAnsi="Arial" w:cs="Arial"/>
          <w:color w:val="000000"/>
        </w:rPr>
      </w:pPr>
    </w:p>
    <w:p w14:paraId="7DA48579" w14:textId="77777777" w:rsidR="008029F9" w:rsidRDefault="008029F9" w:rsidP="008029F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www.lawteacher.net. (n.d.). </w:t>
      </w:r>
      <w:r>
        <w:rPr>
          <w:rFonts w:ascii="Calibri" w:hAnsi="Calibri" w:cs="Calibri"/>
          <w:i/>
          <w:iCs/>
          <w:color w:val="000000"/>
          <w:sz w:val="27"/>
          <w:szCs w:val="27"/>
        </w:rPr>
        <w:t>The Defence of Diminished Responsibility</w:t>
      </w:r>
      <w:r>
        <w:rPr>
          <w:rFonts w:ascii="Calibri" w:hAnsi="Calibri" w:cs="Calibri"/>
          <w:color w:val="000000"/>
          <w:sz w:val="27"/>
          <w:szCs w:val="27"/>
        </w:rPr>
        <w:t>. [online] Available at: https://www.lawteacher.net/free-law-essays/criminal-law/the-defence-of-diminished-responsibility-law-essays.php#citethis [Accessed 10 Mar. 2023].</w:t>
      </w:r>
    </w:p>
    <w:p w14:paraId="2BA172B6" w14:textId="77777777" w:rsidR="008029F9" w:rsidRDefault="008029F9" w:rsidP="008029F9">
      <w:pPr>
        <w:pStyle w:val="NormalWeb"/>
        <w:rPr>
          <w:rFonts w:ascii="Calibri" w:hAnsi="Calibri" w:cs="Calibri"/>
          <w:color w:val="000000"/>
          <w:sz w:val="27"/>
          <w:szCs w:val="27"/>
        </w:rPr>
      </w:pPr>
      <w:r>
        <w:rPr>
          <w:rFonts w:ascii="Calibri" w:hAnsi="Calibri" w:cs="Calibri"/>
          <w:color w:val="000000"/>
          <w:sz w:val="27"/>
          <w:szCs w:val="27"/>
        </w:rPr>
        <w:t>‌</w:t>
      </w:r>
    </w:p>
    <w:p w14:paraId="6A1D324B" w14:textId="77777777" w:rsidR="00E0585A" w:rsidRDefault="00E0585A" w:rsidP="005464F9">
      <w:pPr>
        <w:pStyle w:val="NormalWeb"/>
        <w:spacing w:before="0" w:beforeAutospacing="0" w:after="0" w:afterAutospacing="0" w:line="360" w:lineRule="atLeast"/>
        <w:rPr>
          <w:rFonts w:ascii="Calibri" w:hAnsi="Calibri" w:cs="Calibri"/>
          <w:color w:val="000000"/>
          <w:sz w:val="27"/>
          <w:szCs w:val="27"/>
        </w:rPr>
      </w:pPr>
    </w:p>
    <w:p w14:paraId="0945A052" w14:textId="292E23B9" w:rsidR="005464F9" w:rsidRDefault="005464F9" w:rsidP="005464F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(2010). </w:t>
      </w:r>
      <w:r>
        <w:rPr>
          <w:rFonts w:ascii="Calibri" w:hAnsi="Calibri" w:cs="Calibri"/>
          <w:i/>
          <w:iCs/>
          <w:color w:val="000000"/>
          <w:sz w:val="27"/>
          <w:szCs w:val="27"/>
        </w:rPr>
        <w:t>Coroners and Justice Act 2009</w:t>
      </w:r>
      <w:r>
        <w:rPr>
          <w:rFonts w:ascii="Calibri" w:hAnsi="Calibri" w:cs="Calibri"/>
          <w:color w:val="000000"/>
          <w:sz w:val="27"/>
          <w:szCs w:val="27"/>
        </w:rPr>
        <w:t>. [online] Available at: https://www.legislation.gov.uk/ukpga/2009/25/section/52.</w:t>
      </w:r>
    </w:p>
    <w:p w14:paraId="28FCCF15" w14:textId="77777777" w:rsidR="003725A6" w:rsidRDefault="005464F9" w:rsidP="003725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10250904" w14:textId="54645AD0" w:rsidR="003725A6" w:rsidRDefault="003725A6" w:rsidP="003725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(2023). </w:t>
      </w:r>
      <w:r>
        <w:rPr>
          <w:rFonts w:ascii="Calibri" w:hAnsi="Calibri" w:cs="Calibri"/>
          <w:i/>
          <w:iCs/>
          <w:color w:val="000000"/>
          <w:sz w:val="27"/>
          <w:szCs w:val="27"/>
        </w:rPr>
        <w:t>Homicide Act 1957 (c. 11)</w:t>
      </w:r>
      <w:r>
        <w:rPr>
          <w:rFonts w:ascii="Calibri" w:hAnsi="Calibri" w:cs="Calibri"/>
          <w:color w:val="000000"/>
          <w:sz w:val="27"/>
          <w:szCs w:val="27"/>
        </w:rPr>
        <w:t>. [online] Available at: https://www.legislation.gov.uk/ukpga/Eliz2/5-6/11/enacted/data.xht?view=snippet&amp;wrap=true#:~:text=Homicide%20Act%201957%201957%20CHAPTER%2011%20An%20Act [Accessed 9 Mar. 2023].</w:t>
      </w:r>
    </w:p>
    <w:p w14:paraId="77D78CAE" w14:textId="77777777" w:rsidR="003725A6" w:rsidRDefault="003725A6" w:rsidP="003725A6">
      <w:pPr>
        <w:pStyle w:val="NormalWeb"/>
        <w:rPr>
          <w:rFonts w:ascii="Calibri" w:hAnsi="Calibri" w:cs="Calibri"/>
          <w:color w:val="000000"/>
          <w:sz w:val="27"/>
          <w:szCs w:val="27"/>
        </w:rPr>
      </w:pPr>
      <w:r>
        <w:rPr>
          <w:rFonts w:ascii="Calibri" w:hAnsi="Calibri" w:cs="Calibri"/>
          <w:color w:val="000000"/>
          <w:sz w:val="27"/>
          <w:szCs w:val="27"/>
        </w:rPr>
        <w:t>‌</w:t>
      </w:r>
    </w:p>
    <w:p w14:paraId="2F907DEE" w14:textId="233CF230" w:rsidR="005464F9" w:rsidRPr="005464F9" w:rsidRDefault="005464F9" w:rsidP="005464F9">
      <w:pPr>
        <w:pStyle w:val="NormalWeb"/>
        <w:rPr>
          <w:rFonts w:ascii="Calibri" w:hAnsi="Calibri" w:cs="Calibri"/>
          <w:color w:val="000000"/>
          <w:sz w:val="27"/>
          <w:szCs w:val="27"/>
        </w:rPr>
      </w:pPr>
    </w:p>
    <w:p w14:paraId="264F1E6E" w14:textId="5ECB1278" w:rsidR="002761B8" w:rsidRPr="00072283" w:rsidRDefault="002761B8"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Legislation.gov.uk. (2009). </w:t>
      </w:r>
      <w:r w:rsidRPr="00072283">
        <w:rPr>
          <w:rFonts w:ascii="Arial" w:hAnsi="Arial" w:cs="Arial"/>
          <w:i/>
          <w:iCs/>
          <w:color w:val="000000"/>
        </w:rPr>
        <w:t>Coroners and Justice Act 2009</w:t>
      </w:r>
      <w:r w:rsidRPr="00072283">
        <w:rPr>
          <w:rFonts w:ascii="Arial" w:hAnsi="Arial" w:cs="Arial"/>
          <w:color w:val="000000"/>
        </w:rPr>
        <w:t xml:space="preserve">. [online] Available at: </w:t>
      </w:r>
      <w:hyperlink r:id="rId10" w:history="1">
        <w:r w:rsidR="00F85131" w:rsidRPr="00072283">
          <w:rPr>
            <w:rStyle w:val="Hyperlink"/>
            <w:rFonts w:ascii="Arial" w:hAnsi="Arial" w:cs="Arial"/>
          </w:rPr>
          <w:t>https://www.legislation.gov.uk/ukpga/2009/25/contents</w:t>
        </w:r>
      </w:hyperlink>
      <w:r w:rsidRPr="00072283">
        <w:rPr>
          <w:rFonts w:ascii="Arial" w:hAnsi="Arial" w:cs="Arial"/>
          <w:color w:val="000000"/>
        </w:rPr>
        <w:t>.</w:t>
      </w:r>
    </w:p>
    <w:p w14:paraId="5200CF90" w14:textId="77777777" w:rsidR="00F85131" w:rsidRPr="00072283" w:rsidRDefault="00F85131" w:rsidP="00072283">
      <w:pPr>
        <w:pStyle w:val="NormalWeb"/>
        <w:spacing w:before="0" w:beforeAutospacing="0" w:after="0" w:afterAutospacing="0" w:line="360" w:lineRule="auto"/>
        <w:rPr>
          <w:rFonts w:ascii="Arial" w:hAnsi="Arial" w:cs="Arial"/>
          <w:color w:val="000000"/>
        </w:rPr>
      </w:pPr>
    </w:p>
    <w:p w14:paraId="75B47340" w14:textId="3B47316D" w:rsidR="00072283" w:rsidRPr="00072283" w:rsidRDefault="002761B8"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w:t>
      </w:r>
      <w:r w:rsidR="00F85131" w:rsidRPr="00072283">
        <w:rPr>
          <w:rFonts w:ascii="Arial" w:hAnsi="Arial" w:cs="Arial"/>
          <w:color w:val="000000"/>
        </w:rPr>
        <w:t>.</w:t>
      </w:r>
      <w:r w:rsidR="00072283" w:rsidRPr="00072283">
        <w:rPr>
          <w:rFonts w:ascii="Arial" w:hAnsi="Arial" w:cs="Arial"/>
          <w:color w:val="000000"/>
        </w:rPr>
        <w:t xml:space="preserve"> </w:t>
      </w:r>
      <w:r w:rsidR="00072283" w:rsidRPr="00072283">
        <w:rPr>
          <w:rFonts w:ascii="Arial" w:hAnsi="Arial" w:cs="Arial"/>
          <w:color w:val="000000"/>
        </w:rPr>
        <w:t>‌Legislation.gov.uk. (2023). </w:t>
      </w:r>
      <w:r w:rsidR="00072283" w:rsidRPr="00072283">
        <w:rPr>
          <w:rFonts w:ascii="Arial" w:hAnsi="Arial" w:cs="Arial"/>
          <w:i/>
          <w:iCs/>
          <w:color w:val="000000"/>
        </w:rPr>
        <w:t>Coroners Act 1988</w:t>
      </w:r>
      <w:r w:rsidR="00072283" w:rsidRPr="00072283">
        <w:rPr>
          <w:rFonts w:ascii="Arial" w:hAnsi="Arial" w:cs="Arial"/>
          <w:color w:val="000000"/>
        </w:rPr>
        <w:t>. [online] Available at: https://www.legislation.gov.uk/ukpga/1988/13/enacted#:~:text=Coroners%20Act%201988%201988%20CHAPTER%2013%20An%20Act [Accessed 8 Mar. 2023].</w:t>
      </w:r>
    </w:p>
    <w:p w14:paraId="02ECAE1A" w14:textId="4A3F382D" w:rsidR="00145AD4" w:rsidRPr="00072283" w:rsidRDefault="008F1E42" w:rsidP="00C81444">
      <w:pPr>
        <w:pStyle w:val="NormalWeb"/>
        <w:spacing w:line="360" w:lineRule="auto"/>
        <w:rPr>
          <w:rFonts w:ascii="Arial" w:hAnsi="Arial" w:cs="Arial"/>
          <w:color w:val="000000"/>
        </w:rPr>
      </w:pPr>
      <w:r w:rsidRPr="00072283">
        <w:rPr>
          <w:rFonts w:ascii="Arial" w:hAnsi="Arial" w:cs="Arial"/>
          <w:color w:val="000000"/>
        </w:rPr>
        <w:lastRenderedPageBreak/>
        <w:t>‌</w:t>
      </w:r>
      <w:r w:rsidR="002006EC" w:rsidRPr="00072283">
        <w:rPr>
          <w:rStyle w:val="Header"/>
          <w:rFonts w:ascii="Arial" w:hAnsi="Arial" w:cs="Arial"/>
          <w:color w:val="000000"/>
          <w:shd w:val="clear" w:color="auto" w:fill="FFFFFF"/>
        </w:rPr>
        <w:t xml:space="preserve"> </w:t>
      </w:r>
      <w:proofErr w:type="spellStart"/>
      <w:r w:rsidR="002006EC" w:rsidRPr="00072283">
        <w:rPr>
          <w:rStyle w:val="personname"/>
          <w:rFonts w:ascii="Arial" w:hAnsi="Arial" w:cs="Arial"/>
          <w:color w:val="000000"/>
          <w:shd w:val="clear" w:color="auto" w:fill="FFFFFF"/>
        </w:rPr>
        <w:t>Peay</w:t>
      </w:r>
      <w:proofErr w:type="spellEnd"/>
      <w:r w:rsidR="002006EC" w:rsidRPr="00072283">
        <w:rPr>
          <w:rStyle w:val="personname"/>
          <w:rFonts w:ascii="Arial" w:hAnsi="Arial" w:cs="Arial"/>
          <w:color w:val="000000"/>
          <w:shd w:val="clear" w:color="auto" w:fill="FFFFFF"/>
        </w:rPr>
        <w:t>, Jill</w:t>
      </w:r>
      <w:r w:rsidR="002006EC" w:rsidRPr="00072283">
        <w:rPr>
          <w:rFonts w:ascii="Arial" w:hAnsi="Arial" w:cs="Arial"/>
          <w:color w:val="000000"/>
          <w:shd w:val="clear" w:color="auto" w:fill="FFFFFF"/>
        </w:rPr>
        <w:t> (2016) </w:t>
      </w:r>
      <w:r w:rsidR="002006EC" w:rsidRPr="00072283">
        <w:rPr>
          <w:rStyle w:val="Emphasis"/>
          <w:rFonts w:ascii="Arial" w:hAnsi="Arial" w:cs="Arial"/>
          <w:color w:val="000000"/>
          <w:shd w:val="clear" w:color="auto" w:fill="FFFFFF"/>
        </w:rPr>
        <w:t>Responsibility, culpability and the sentencing of mentally disordered offenders: objectives in conflict.</w:t>
      </w:r>
      <w:r w:rsidR="002006EC" w:rsidRPr="00072283">
        <w:rPr>
          <w:rFonts w:ascii="Arial" w:hAnsi="Arial" w:cs="Arial"/>
          <w:color w:val="000000"/>
          <w:shd w:val="clear" w:color="auto" w:fill="FFFFFF"/>
        </w:rPr>
        <w:t> Criminal Law Review (3). pp. 152-164. ISSN 0011-135X</w:t>
      </w:r>
    </w:p>
    <w:p w14:paraId="3FC60FEB" w14:textId="5379AE22" w:rsidR="00145AD4" w:rsidRPr="00072283" w:rsidRDefault="003F594E" w:rsidP="00072283">
      <w:pPr>
        <w:pStyle w:val="NormalWeb"/>
        <w:spacing w:before="0" w:beforeAutospacing="0" w:after="0" w:afterAutospacing="0" w:line="360" w:lineRule="auto"/>
        <w:rPr>
          <w:rFonts w:ascii="Arial" w:hAnsi="Arial" w:cs="Arial"/>
          <w:color w:val="000000"/>
        </w:rPr>
      </w:pPr>
      <w:r w:rsidRPr="00072283">
        <w:rPr>
          <w:rFonts w:ascii="Arial" w:hAnsi="Arial" w:cs="Arial"/>
          <w:color w:val="000000"/>
        </w:rPr>
        <w:t>‌</w:t>
      </w:r>
      <w:r w:rsidR="00145AD4" w:rsidRPr="00072283">
        <w:rPr>
          <w:rFonts w:ascii="Arial" w:hAnsi="Arial" w:cs="Arial"/>
          <w:color w:val="000000"/>
        </w:rPr>
        <w:t xml:space="preserve"> </w:t>
      </w:r>
      <w:r w:rsidR="00145AD4" w:rsidRPr="00072283">
        <w:rPr>
          <w:rFonts w:ascii="Arial" w:hAnsi="Arial" w:cs="Arial"/>
          <w:color w:val="000000"/>
        </w:rPr>
        <w:t>Pitman, A. (2012). Reform of the coroners’ service in England and Wales: policy-making and politics. </w:t>
      </w:r>
      <w:r w:rsidR="00145AD4" w:rsidRPr="00072283">
        <w:rPr>
          <w:rFonts w:ascii="Arial" w:hAnsi="Arial" w:cs="Arial"/>
          <w:i/>
          <w:iCs/>
          <w:color w:val="000000"/>
        </w:rPr>
        <w:t>The Psychiatrist</w:t>
      </w:r>
      <w:r w:rsidR="00145AD4" w:rsidRPr="00072283">
        <w:rPr>
          <w:rFonts w:ascii="Arial" w:hAnsi="Arial" w:cs="Arial"/>
          <w:color w:val="000000"/>
        </w:rPr>
        <w:t xml:space="preserve">, 36(1), pp.1–5. </w:t>
      </w:r>
      <w:proofErr w:type="spellStart"/>
      <w:r w:rsidR="00145AD4" w:rsidRPr="00072283">
        <w:rPr>
          <w:rFonts w:ascii="Arial" w:hAnsi="Arial" w:cs="Arial"/>
          <w:color w:val="000000"/>
        </w:rPr>
        <w:t>doi:https</w:t>
      </w:r>
      <w:proofErr w:type="spellEnd"/>
      <w:r w:rsidR="00145AD4" w:rsidRPr="00072283">
        <w:rPr>
          <w:rFonts w:ascii="Arial" w:hAnsi="Arial" w:cs="Arial"/>
          <w:color w:val="000000"/>
        </w:rPr>
        <w:t>://doi.org/10.1192/pb.bp.111.036335.</w:t>
      </w:r>
    </w:p>
    <w:p w14:paraId="26910A58" w14:textId="254686DF" w:rsidR="00D64E77" w:rsidRPr="00072283" w:rsidRDefault="00D64E77" w:rsidP="00072283">
      <w:pPr>
        <w:pStyle w:val="NormalWeb"/>
        <w:spacing w:before="0" w:beforeAutospacing="0" w:after="0" w:afterAutospacing="0" w:line="360" w:lineRule="auto"/>
        <w:rPr>
          <w:rFonts w:ascii="Arial" w:hAnsi="Arial" w:cs="Arial"/>
          <w:color w:val="000000"/>
        </w:rPr>
      </w:pPr>
    </w:p>
    <w:p w14:paraId="7BA4FA52" w14:textId="1BBD0C2A" w:rsidR="005A78A9" w:rsidRPr="00072283" w:rsidRDefault="005A78A9" w:rsidP="00072283">
      <w:pPr>
        <w:spacing w:line="360" w:lineRule="auto"/>
        <w:jc w:val="both"/>
        <w:rPr>
          <w:rFonts w:ascii="Arial" w:hAnsi="Arial" w:cs="Arial"/>
          <w:color w:val="353740"/>
          <w:sz w:val="24"/>
          <w:szCs w:val="24"/>
        </w:rPr>
      </w:pPr>
      <w:r w:rsidRPr="00072283">
        <w:rPr>
          <w:rFonts w:ascii="Arial" w:hAnsi="Arial" w:cs="Arial"/>
          <w:color w:val="000000"/>
          <w:sz w:val="24"/>
          <w:szCs w:val="24"/>
        </w:rPr>
        <w:t>‌</w:t>
      </w:r>
      <w:r w:rsidRPr="00072283">
        <w:rPr>
          <w:rFonts w:ascii="Arial" w:hAnsi="Arial" w:cs="Arial"/>
          <w:color w:val="353740"/>
          <w:sz w:val="24"/>
          <w:szCs w:val="24"/>
        </w:rPr>
        <w:t xml:space="preserve"> </w:t>
      </w:r>
      <w:r w:rsidRPr="00072283">
        <w:rPr>
          <w:rFonts w:ascii="Arial" w:hAnsi="Arial" w:cs="Arial"/>
          <w:color w:val="353740"/>
          <w:sz w:val="24"/>
          <w:szCs w:val="24"/>
        </w:rPr>
        <w:t xml:space="preserve">Smith, M. (2017). Homicide Act in England and Wales. Retrieved from: </w:t>
      </w:r>
      <w:hyperlink r:id="rId11" w:history="1">
        <w:r w:rsidRPr="00072283">
          <w:rPr>
            <w:rStyle w:val="Hyperlink"/>
            <w:rFonts w:ascii="Arial" w:hAnsi="Arial" w:cs="Arial"/>
            <w:sz w:val="24"/>
            <w:szCs w:val="24"/>
          </w:rPr>
          <w:t>https://criminal-law.freeadvice.com/criminal-law/homicide_manslaughter/homicide-act-in-england.htm</w:t>
        </w:r>
      </w:hyperlink>
    </w:p>
    <w:p w14:paraId="399B705D" w14:textId="77777777" w:rsidR="003056EC" w:rsidRDefault="003056EC" w:rsidP="003056E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TITLE Partial defences to murder: loss of control and diminished responsibility; and infanticide: Implementation of Sections 52, and 54 to 57 of the Coroners and Justice Act 2009 From: Criminal Law Policy Unit Ministry of Justice. (2010). Available at: https://www.justice.gov.uk/downloads/legislation/bills-acts/circulars/moj/2010/circular-12-2010-coroners-justice-act-homicide-provisions.pdf.</w:t>
      </w:r>
    </w:p>
    <w:p w14:paraId="1B32694B" w14:textId="77777777" w:rsidR="003056EC" w:rsidRDefault="003056EC" w:rsidP="003056EC">
      <w:pPr>
        <w:pStyle w:val="NormalWeb"/>
        <w:rPr>
          <w:rFonts w:ascii="Calibri" w:hAnsi="Calibri" w:cs="Calibri"/>
          <w:color w:val="000000"/>
          <w:sz w:val="27"/>
          <w:szCs w:val="27"/>
        </w:rPr>
      </w:pPr>
      <w:r>
        <w:rPr>
          <w:rFonts w:ascii="Calibri" w:hAnsi="Calibri" w:cs="Calibri"/>
          <w:color w:val="000000"/>
          <w:sz w:val="27"/>
          <w:szCs w:val="27"/>
        </w:rPr>
        <w:t>‌</w:t>
      </w:r>
    </w:p>
    <w:p w14:paraId="52783A81" w14:textId="03241EC5" w:rsidR="005A78A9" w:rsidRDefault="005A78A9" w:rsidP="005A78A9">
      <w:pPr>
        <w:pStyle w:val="NormalWeb"/>
        <w:rPr>
          <w:rFonts w:ascii="Calibri" w:hAnsi="Calibri" w:cs="Calibri"/>
          <w:color w:val="000000"/>
          <w:sz w:val="27"/>
          <w:szCs w:val="27"/>
        </w:rPr>
      </w:pPr>
    </w:p>
    <w:p w14:paraId="1593D99A" w14:textId="69693888" w:rsidR="001D07FA" w:rsidRDefault="001D07FA" w:rsidP="001D07FA">
      <w:pPr>
        <w:pStyle w:val="NormalWeb"/>
        <w:rPr>
          <w:rFonts w:ascii="Calibri" w:hAnsi="Calibri" w:cs="Calibri"/>
          <w:color w:val="000000"/>
          <w:sz w:val="27"/>
          <w:szCs w:val="27"/>
        </w:rPr>
      </w:pPr>
    </w:p>
    <w:p w14:paraId="1DB0D5A2" w14:textId="77777777" w:rsidR="00D64E77" w:rsidRDefault="00D64E77" w:rsidP="00D64E77">
      <w:pPr>
        <w:pStyle w:val="NormalWeb"/>
        <w:spacing w:before="0" w:beforeAutospacing="0" w:after="0" w:afterAutospacing="0" w:line="360" w:lineRule="atLeast"/>
        <w:rPr>
          <w:rFonts w:ascii="Calibri" w:hAnsi="Calibri" w:cs="Calibri"/>
          <w:color w:val="000000"/>
          <w:sz w:val="27"/>
          <w:szCs w:val="27"/>
        </w:rPr>
      </w:pPr>
    </w:p>
    <w:p w14:paraId="4E6F9E95" w14:textId="77777777" w:rsidR="00D64E77" w:rsidRDefault="00D64E77" w:rsidP="00D64E77">
      <w:pPr>
        <w:pStyle w:val="NormalWeb"/>
        <w:rPr>
          <w:rFonts w:ascii="Calibri" w:hAnsi="Calibri" w:cs="Calibri"/>
          <w:color w:val="000000"/>
          <w:sz w:val="27"/>
          <w:szCs w:val="27"/>
        </w:rPr>
      </w:pPr>
      <w:r>
        <w:rPr>
          <w:rFonts w:ascii="Calibri" w:hAnsi="Calibri" w:cs="Calibri"/>
          <w:color w:val="000000"/>
          <w:sz w:val="27"/>
          <w:szCs w:val="27"/>
        </w:rPr>
        <w:t>‌</w:t>
      </w:r>
    </w:p>
    <w:p w14:paraId="136827E1" w14:textId="77777777" w:rsidR="00145AD4" w:rsidRDefault="00145AD4" w:rsidP="00145AD4">
      <w:pPr>
        <w:pStyle w:val="NormalWeb"/>
        <w:spacing w:before="0" w:beforeAutospacing="0" w:after="0" w:afterAutospacing="0" w:line="360" w:lineRule="atLeast"/>
        <w:rPr>
          <w:rFonts w:ascii="Calibri" w:hAnsi="Calibri" w:cs="Calibri"/>
          <w:color w:val="000000"/>
          <w:sz w:val="27"/>
          <w:szCs w:val="27"/>
        </w:rPr>
      </w:pPr>
    </w:p>
    <w:p w14:paraId="2C5D9200" w14:textId="77777777" w:rsidR="00145AD4" w:rsidRDefault="00145AD4" w:rsidP="00145AD4">
      <w:pPr>
        <w:pStyle w:val="NormalWeb"/>
        <w:rPr>
          <w:rFonts w:ascii="Calibri" w:hAnsi="Calibri" w:cs="Calibri"/>
          <w:color w:val="000000"/>
          <w:sz w:val="27"/>
          <w:szCs w:val="27"/>
        </w:rPr>
      </w:pPr>
      <w:r>
        <w:rPr>
          <w:rFonts w:ascii="Calibri" w:hAnsi="Calibri" w:cs="Calibri"/>
          <w:color w:val="000000"/>
          <w:sz w:val="27"/>
          <w:szCs w:val="27"/>
        </w:rPr>
        <w:t>‌</w:t>
      </w:r>
    </w:p>
    <w:p w14:paraId="34DD3382" w14:textId="1CB6C57F" w:rsidR="003F594E" w:rsidRDefault="003F594E" w:rsidP="003F594E">
      <w:pPr>
        <w:pStyle w:val="NormalWeb"/>
        <w:rPr>
          <w:rFonts w:ascii="Calibri" w:hAnsi="Calibri" w:cs="Calibri"/>
          <w:color w:val="000000"/>
          <w:sz w:val="27"/>
          <w:szCs w:val="27"/>
        </w:rPr>
      </w:pPr>
    </w:p>
    <w:p w14:paraId="34374FCB" w14:textId="250DD27A" w:rsidR="00402F61" w:rsidRDefault="00402F61" w:rsidP="00402F61">
      <w:pPr>
        <w:pStyle w:val="NormalWeb"/>
        <w:rPr>
          <w:rFonts w:ascii="Calibri" w:hAnsi="Calibri" w:cs="Calibri"/>
          <w:color w:val="000000"/>
          <w:sz w:val="27"/>
          <w:szCs w:val="27"/>
        </w:rPr>
      </w:pPr>
    </w:p>
    <w:p w14:paraId="0C888AA7" w14:textId="48FCF896" w:rsidR="00410E35" w:rsidRDefault="00410E35" w:rsidP="00410E35">
      <w:pPr>
        <w:pStyle w:val="NormalWeb"/>
        <w:rPr>
          <w:rFonts w:ascii="Calibri" w:hAnsi="Calibri" w:cs="Calibri"/>
          <w:color w:val="000000"/>
          <w:sz w:val="27"/>
          <w:szCs w:val="27"/>
        </w:rPr>
      </w:pPr>
    </w:p>
    <w:p w14:paraId="017FA650" w14:textId="3AD656E2" w:rsidR="00F85131" w:rsidRDefault="00F85131" w:rsidP="00F85131">
      <w:pPr>
        <w:pStyle w:val="NormalWeb"/>
        <w:rPr>
          <w:rFonts w:ascii="Calibri" w:hAnsi="Calibri" w:cs="Calibri"/>
          <w:color w:val="000000"/>
          <w:sz w:val="27"/>
          <w:szCs w:val="27"/>
        </w:rPr>
      </w:pPr>
    </w:p>
    <w:p w14:paraId="444F385A" w14:textId="191BFAE3" w:rsidR="002761B8" w:rsidRDefault="002761B8" w:rsidP="002761B8">
      <w:pPr>
        <w:pStyle w:val="NormalWeb"/>
        <w:rPr>
          <w:rFonts w:ascii="Calibri" w:hAnsi="Calibri" w:cs="Calibri"/>
          <w:color w:val="000000"/>
          <w:sz w:val="27"/>
          <w:szCs w:val="27"/>
        </w:rPr>
      </w:pPr>
    </w:p>
    <w:p w14:paraId="5A6F3F4A" w14:textId="77777777" w:rsidR="009F2BA9" w:rsidRDefault="009F2BA9" w:rsidP="009F2BA9">
      <w:pPr>
        <w:pStyle w:val="NormalWeb"/>
        <w:spacing w:before="0" w:beforeAutospacing="0" w:after="0" w:afterAutospacing="0" w:line="360" w:lineRule="atLeast"/>
        <w:rPr>
          <w:rFonts w:ascii="Calibri" w:hAnsi="Calibri" w:cs="Calibri"/>
          <w:color w:val="000000"/>
          <w:sz w:val="27"/>
          <w:szCs w:val="27"/>
        </w:rPr>
      </w:pPr>
    </w:p>
    <w:p w14:paraId="676A045B" w14:textId="77777777" w:rsidR="009F2BA9" w:rsidRDefault="009F2BA9" w:rsidP="009F2BA9">
      <w:pPr>
        <w:pStyle w:val="NormalWeb"/>
        <w:rPr>
          <w:rFonts w:ascii="Calibri" w:hAnsi="Calibri" w:cs="Calibri"/>
          <w:color w:val="000000"/>
          <w:sz w:val="27"/>
          <w:szCs w:val="27"/>
        </w:rPr>
      </w:pPr>
      <w:r>
        <w:rPr>
          <w:rFonts w:ascii="Calibri" w:hAnsi="Calibri" w:cs="Calibri"/>
          <w:color w:val="000000"/>
          <w:sz w:val="27"/>
          <w:szCs w:val="27"/>
        </w:rPr>
        <w:t>‌</w:t>
      </w:r>
    </w:p>
    <w:p w14:paraId="20B72FBB" w14:textId="77777777" w:rsidR="007B027B" w:rsidRDefault="007B027B" w:rsidP="00F411F7">
      <w:pPr>
        <w:spacing w:line="360" w:lineRule="auto"/>
        <w:jc w:val="both"/>
        <w:rPr>
          <w:rFonts w:ascii="Arial" w:hAnsi="Arial" w:cs="Arial"/>
          <w:sz w:val="24"/>
          <w:szCs w:val="24"/>
        </w:rPr>
      </w:pPr>
    </w:p>
    <w:p w14:paraId="2C8C3D8D" w14:textId="77777777" w:rsidR="00F411F7" w:rsidRDefault="00F411F7" w:rsidP="00F411F7">
      <w:pPr>
        <w:spacing w:line="360" w:lineRule="auto"/>
        <w:jc w:val="both"/>
        <w:rPr>
          <w:rFonts w:ascii="Arial" w:hAnsi="Arial" w:cs="Arial"/>
          <w:sz w:val="24"/>
          <w:szCs w:val="24"/>
        </w:rPr>
      </w:pPr>
    </w:p>
    <w:p w14:paraId="763CBE6E" w14:textId="77777777" w:rsidR="001066D8" w:rsidRPr="001066D8" w:rsidRDefault="001066D8" w:rsidP="00F411F7">
      <w:pPr>
        <w:spacing w:line="360" w:lineRule="auto"/>
        <w:jc w:val="both"/>
        <w:rPr>
          <w:rFonts w:ascii="Arial" w:hAnsi="Arial" w:cs="Arial"/>
          <w:sz w:val="24"/>
          <w:szCs w:val="24"/>
        </w:rPr>
      </w:pPr>
    </w:p>
    <w:sectPr w:rsidR="001066D8" w:rsidRPr="001066D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8C87E" w14:textId="77777777" w:rsidR="00E65FEE" w:rsidRDefault="00E65FEE" w:rsidP="001066D8">
      <w:pPr>
        <w:spacing w:after="0" w:line="240" w:lineRule="auto"/>
      </w:pPr>
      <w:r>
        <w:separator/>
      </w:r>
    </w:p>
  </w:endnote>
  <w:endnote w:type="continuationSeparator" w:id="0">
    <w:p w14:paraId="26F9659B" w14:textId="77777777" w:rsidR="00E65FEE" w:rsidRDefault="00E65FEE" w:rsidP="00106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5740F" w14:textId="77777777" w:rsidR="00E65FEE" w:rsidRDefault="00E65FEE" w:rsidP="001066D8">
      <w:pPr>
        <w:spacing w:after="0" w:line="240" w:lineRule="auto"/>
      </w:pPr>
      <w:r>
        <w:separator/>
      </w:r>
    </w:p>
  </w:footnote>
  <w:footnote w:type="continuationSeparator" w:id="0">
    <w:p w14:paraId="1A5C1DEB" w14:textId="77777777" w:rsidR="00E65FEE" w:rsidRDefault="00E65FEE" w:rsidP="001066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2209451"/>
      <w:docPartObj>
        <w:docPartGallery w:val="Page Numbers (Margins)"/>
        <w:docPartUnique/>
      </w:docPartObj>
    </w:sdtPr>
    <w:sdtContent>
      <w:p w14:paraId="1145F5AE" w14:textId="191E99CD" w:rsidR="001066D8" w:rsidRDefault="001066D8">
        <w:pPr>
          <w:pStyle w:val="Header"/>
        </w:pPr>
        <w:r>
          <w:rPr>
            <w:noProof/>
          </w:rPr>
          <mc:AlternateContent>
            <mc:Choice Requires="wps">
              <w:drawing>
                <wp:anchor distT="0" distB="0" distL="114300" distR="114300" simplePos="0" relativeHeight="251659264" behindDoc="0" locked="0" layoutInCell="0" allowOverlap="1" wp14:anchorId="2A3A7E7F" wp14:editId="7445BED2">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139FD0" w14:textId="77777777" w:rsidR="001066D8" w:rsidRDefault="001066D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2A3A7E7F"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21139FD0" w14:textId="77777777" w:rsidR="001066D8" w:rsidRDefault="001066D8">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6D8"/>
    <w:rsid w:val="00072283"/>
    <w:rsid w:val="00086085"/>
    <w:rsid w:val="000E3618"/>
    <w:rsid w:val="001066D8"/>
    <w:rsid w:val="0012473A"/>
    <w:rsid w:val="001438A6"/>
    <w:rsid w:val="00145AD4"/>
    <w:rsid w:val="001D07FA"/>
    <w:rsid w:val="002006EC"/>
    <w:rsid w:val="00211D77"/>
    <w:rsid w:val="0024453C"/>
    <w:rsid w:val="002761B8"/>
    <w:rsid w:val="002E7C58"/>
    <w:rsid w:val="003056EC"/>
    <w:rsid w:val="003725A6"/>
    <w:rsid w:val="00376D75"/>
    <w:rsid w:val="00396A6C"/>
    <w:rsid w:val="003F594E"/>
    <w:rsid w:val="00402F61"/>
    <w:rsid w:val="00410E35"/>
    <w:rsid w:val="00463F6C"/>
    <w:rsid w:val="004933AE"/>
    <w:rsid w:val="004B5E1A"/>
    <w:rsid w:val="004C0320"/>
    <w:rsid w:val="005464F9"/>
    <w:rsid w:val="0058284B"/>
    <w:rsid w:val="005A78A9"/>
    <w:rsid w:val="005A7E19"/>
    <w:rsid w:val="00615DEE"/>
    <w:rsid w:val="00630C57"/>
    <w:rsid w:val="00653B7D"/>
    <w:rsid w:val="00731B0D"/>
    <w:rsid w:val="007B027B"/>
    <w:rsid w:val="008029F9"/>
    <w:rsid w:val="00805940"/>
    <w:rsid w:val="00824FA5"/>
    <w:rsid w:val="00841F1A"/>
    <w:rsid w:val="00876DE3"/>
    <w:rsid w:val="008B1E6F"/>
    <w:rsid w:val="008F1E42"/>
    <w:rsid w:val="00936AFC"/>
    <w:rsid w:val="0096107F"/>
    <w:rsid w:val="009F10F9"/>
    <w:rsid w:val="009F2BA9"/>
    <w:rsid w:val="00A72FC7"/>
    <w:rsid w:val="00A9218D"/>
    <w:rsid w:val="00BD7A6E"/>
    <w:rsid w:val="00BE7779"/>
    <w:rsid w:val="00C0335E"/>
    <w:rsid w:val="00C07184"/>
    <w:rsid w:val="00C21C59"/>
    <w:rsid w:val="00C328A4"/>
    <w:rsid w:val="00C81444"/>
    <w:rsid w:val="00D345AE"/>
    <w:rsid w:val="00D64E77"/>
    <w:rsid w:val="00DA428B"/>
    <w:rsid w:val="00DB3AFD"/>
    <w:rsid w:val="00DE04DD"/>
    <w:rsid w:val="00E0585A"/>
    <w:rsid w:val="00E65FEE"/>
    <w:rsid w:val="00F22AB6"/>
    <w:rsid w:val="00F411F7"/>
    <w:rsid w:val="00F85131"/>
    <w:rsid w:val="00FA1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87B000"/>
  <w15:chartTrackingRefBased/>
  <w15:docId w15:val="{050FB73B-8F6C-4A09-93B5-F03A98DC4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66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6D8"/>
  </w:style>
  <w:style w:type="paragraph" w:styleId="Footer">
    <w:name w:val="footer"/>
    <w:basedOn w:val="Normal"/>
    <w:link w:val="FooterChar"/>
    <w:uiPriority w:val="99"/>
    <w:unhideWhenUsed/>
    <w:rsid w:val="001066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6D8"/>
  </w:style>
  <w:style w:type="character" w:styleId="Hyperlink">
    <w:name w:val="Hyperlink"/>
    <w:basedOn w:val="DefaultParagraphFont"/>
    <w:uiPriority w:val="99"/>
    <w:unhideWhenUsed/>
    <w:rsid w:val="007B027B"/>
    <w:rPr>
      <w:color w:val="0563C1" w:themeColor="hyperlink"/>
      <w:u w:val="single"/>
    </w:rPr>
  </w:style>
  <w:style w:type="character" w:styleId="UnresolvedMention">
    <w:name w:val="Unresolved Mention"/>
    <w:basedOn w:val="DefaultParagraphFont"/>
    <w:uiPriority w:val="99"/>
    <w:semiHidden/>
    <w:unhideWhenUsed/>
    <w:rsid w:val="007B027B"/>
    <w:rPr>
      <w:color w:val="605E5C"/>
      <w:shd w:val="clear" w:color="auto" w:fill="E1DFDD"/>
    </w:rPr>
  </w:style>
  <w:style w:type="paragraph" w:styleId="NormalWeb">
    <w:name w:val="Normal (Web)"/>
    <w:basedOn w:val="Normal"/>
    <w:uiPriority w:val="99"/>
    <w:semiHidden/>
    <w:unhideWhenUsed/>
    <w:rsid w:val="009F2B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2006EC"/>
  </w:style>
  <w:style w:type="character" w:styleId="Emphasis">
    <w:name w:val="Emphasis"/>
    <w:basedOn w:val="DefaultParagraphFont"/>
    <w:uiPriority w:val="20"/>
    <w:qFormat/>
    <w:rsid w:val="002006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26014">
      <w:bodyDiv w:val="1"/>
      <w:marLeft w:val="0"/>
      <w:marRight w:val="0"/>
      <w:marTop w:val="0"/>
      <w:marBottom w:val="0"/>
      <w:divBdr>
        <w:top w:val="none" w:sz="0" w:space="0" w:color="auto"/>
        <w:left w:val="none" w:sz="0" w:space="0" w:color="auto"/>
        <w:bottom w:val="none" w:sz="0" w:space="0" w:color="auto"/>
        <w:right w:val="none" w:sz="0" w:space="0" w:color="auto"/>
      </w:divBdr>
    </w:div>
    <w:div w:id="243534939">
      <w:bodyDiv w:val="1"/>
      <w:marLeft w:val="0"/>
      <w:marRight w:val="0"/>
      <w:marTop w:val="0"/>
      <w:marBottom w:val="0"/>
      <w:divBdr>
        <w:top w:val="none" w:sz="0" w:space="0" w:color="auto"/>
        <w:left w:val="none" w:sz="0" w:space="0" w:color="auto"/>
        <w:bottom w:val="none" w:sz="0" w:space="0" w:color="auto"/>
        <w:right w:val="none" w:sz="0" w:space="0" w:color="auto"/>
      </w:divBdr>
    </w:div>
    <w:div w:id="287055551">
      <w:bodyDiv w:val="1"/>
      <w:marLeft w:val="0"/>
      <w:marRight w:val="0"/>
      <w:marTop w:val="0"/>
      <w:marBottom w:val="0"/>
      <w:divBdr>
        <w:top w:val="none" w:sz="0" w:space="0" w:color="auto"/>
        <w:left w:val="none" w:sz="0" w:space="0" w:color="auto"/>
        <w:bottom w:val="none" w:sz="0" w:space="0" w:color="auto"/>
        <w:right w:val="none" w:sz="0" w:space="0" w:color="auto"/>
      </w:divBdr>
    </w:div>
    <w:div w:id="305202202">
      <w:bodyDiv w:val="1"/>
      <w:marLeft w:val="0"/>
      <w:marRight w:val="0"/>
      <w:marTop w:val="0"/>
      <w:marBottom w:val="0"/>
      <w:divBdr>
        <w:top w:val="none" w:sz="0" w:space="0" w:color="auto"/>
        <w:left w:val="none" w:sz="0" w:space="0" w:color="auto"/>
        <w:bottom w:val="none" w:sz="0" w:space="0" w:color="auto"/>
        <w:right w:val="none" w:sz="0" w:space="0" w:color="auto"/>
      </w:divBdr>
    </w:div>
    <w:div w:id="347291319">
      <w:bodyDiv w:val="1"/>
      <w:marLeft w:val="0"/>
      <w:marRight w:val="0"/>
      <w:marTop w:val="0"/>
      <w:marBottom w:val="0"/>
      <w:divBdr>
        <w:top w:val="none" w:sz="0" w:space="0" w:color="auto"/>
        <w:left w:val="none" w:sz="0" w:space="0" w:color="auto"/>
        <w:bottom w:val="none" w:sz="0" w:space="0" w:color="auto"/>
        <w:right w:val="none" w:sz="0" w:space="0" w:color="auto"/>
      </w:divBdr>
    </w:div>
    <w:div w:id="479077874">
      <w:bodyDiv w:val="1"/>
      <w:marLeft w:val="0"/>
      <w:marRight w:val="0"/>
      <w:marTop w:val="0"/>
      <w:marBottom w:val="0"/>
      <w:divBdr>
        <w:top w:val="none" w:sz="0" w:space="0" w:color="auto"/>
        <w:left w:val="none" w:sz="0" w:space="0" w:color="auto"/>
        <w:bottom w:val="none" w:sz="0" w:space="0" w:color="auto"/>
        <w:right w:val="none" w:sz="0" w:space="0" w:color="auto"/>
      </w:divBdr>
    </w:div>
    <w:div w:id="541555121">
      <w:bodyDiv w:val="1"/>
      <w:marLeft w:val="0"/>
      <w:marRight w:val="0"/>
      <w:marTop w:val="0"/>
      <w:marBottom w:val="0"/>
      <w:divBdr>
        <w:top w:val="none" w:sz="0" w:space="0" w:color="auto"/>
        <w:left w:val="none" w:sz="0" w:space="0" w:color="auto"/>
        <w:bottom w:val="none" w:sz="0" w:space="0" w:color="auto"/>
        <w:right w:val="none" w:sz="0" w:space="0" w:color="auto"/>
      </w:divBdr>
    </w:div>
    <w:div w:id="544801034">
      <w:bodyDiv w:val="1"/>
      <w:marLeft w:val="0"/>
      <w:marRight w:val="0"/>
      <w:marTop w:val="0"/>
      <w:marBottom w:val="0"/>
      <w:divBdr>
        <w:top w:val="none" w:sz="0" w:space="0" w:color="auto"/>
        <w:left w:val="none" w:sz="0" w:space="0" w:color="auto"/>
        <w:bottom w:val="none" w:sz="0" w:space="0" w:color="auto"/>
        <w:right w:val="none" w:sz="0" w:space="0" w:color="auto"/>
      </w:divBdr>
    </w:div>
    <w:div w:id="590815885">
      <w:bodyDiv w:val="1"/>
      <w:marLeft w:val="0"/>
      <w:marRight w:val="0"/>
      <w:marTop w:val="0"/>
      <w:marBottom w:val="0"/>
      <w:divBdr>
        <w:top w:val="none" w:sz="0" w:space="0" w:color="auto"/>
        <w:left w:val="none" w:sz="0" w:space="0" w:color="auto"/>
        <w:bottom w:val="none" w:sz="0" w:space="0" w:color="auto"/>
        <w:right w:val="none" w:sz="0" w:space="0" w:color="auto"/>
      </w:divBdr>
    </w:div>
    <w:div w:id="594244544">
      <w:bodyDiv w:val="1"/>
      <w:marLeft w:val="0"/>
      <w:marRight w:val="0"/>
      <w:marTop w:val="0"/>
      <w:marBottom w:val="0"/>
      <w:divBdr>
        <w:top w:val="none" w:sz="0" w:space="0" w:color="auto"/>
        <w:left w:val="none" w:sz="0" w:space="0" w:color="auto"/>
        <w:bottom w:val="none" w:sz="0" w:space="0" w:color="auto"/>
        <w:right w:val="none" w:sz="0" w:space="0" w:color="auto"/>
      </w:divBdr>
    </w:div>
    <w:div w:id="694035119">
      <w:bodyDiv w:val="1"/>
      <w:marLeft w:val="0"/>
      <w:marRight w:val="0"/>
      <w:marTop w:val="0"/>
      <w:marBottom w:val="0"/>
      <w:divBdr>
        <w:top w:val="none" w:sz="0" w:space="0" w:color="auto"/>
        <w:left w:val="none" w:sz="0" w:space="0" w:color="auto"/>
        <w:bottom w:val="none" w:sz="0" w:space="0" w:color="auto"/>
        <w:right w:val="none" w:sz="0" w:space="0" w:color="auto"/>
      </w:divBdr>
    </w:div>
    <w:div w:id="971600108">
      <w:bodyDiv w:val="1"/>
      <w:marLeft w:val="0"/>
      <w:marRight w:val="0"/>
      <w:marTop w:val="0"/>
      <w:marBottom w:val="0"/>
      <w:divBdr>
        <w:top w:val="none" w:sz="0" w:space="0" w:color="auto"/>
        <w:left w:val="none" w:sz="0" w:space="0" w:color="auto"/>
        <w:bottom w:val="none" w:sz="0" w:space="0" w:color="auto"/>
        <w:right w:val="none" w:sz="0" w:space="0" w:color="auto"/>
      </w:divBdr>
    </w:div>
    <w:div w:id="1464154891">
      <w:bodyDiv w:val="1"/>
      <w:marLeft w:val="0"/>
      <w:marRight w:val="0"/>
      <w:marTop w:val="0"/>
      <w:marBottom w:val="0"/>
      <w:divBdr>
        <w:top w:val="none" w:sz="0" w:space="0" w:color="auto"/>
        <w:left w:val="none" w:sz="0" w:space="0" w:color="auto"/>
        <w:bottom w:val="none" w:sz="0" w:space="0" w:color="auto"/>
        <w:right w:val="none" w:sz="0" w:space="0" w:color="auto"/>
      </w:divBdr>
    </w:div>
    <w:div w:id="1686322260">
      <w:bodyDiv w:val="1"/>
      <w:marLeft w:val="0"/>
      <w:marRight w:val="0"/>
      <w:marTop w:val="0"/>
      <w:marBottom w:val="0"/>
      <w:divBdr>
        <w:top w:val="none" w:sz="0" w:space="0" w:color="auto"/>
        <w:left w:val="none" w:sz="0" w:space="0" w:color="auto"/>
        <w:bottom w:val="none" w:sz="0" w:space="0" w:color="auto"/>
        <w:right w:val="none" w:sz="0" w:space="0" w:color="auto"/>
      </w:divBdr>
    </w:div>
    <w:div w:id="1712653541">
      <w:bodyDiv w:val="1"/>
      <w:marLeft w:val="0"/>
      <w:marRight w:val="0"/>
      <w:marTop w:val="0"/>
      <w:marBottom w:val="0"/>
      <w:divBdr>
        <w:top w:val="none" w:sz="0" w:space="0" w:color="auto"/>
        <w:left w:val="none" w:sz="0" w:space="0" w:color="auto"/>
        <w:bottom w:val="none" w:sz="0" w:space="0" w:color="auto"/>
        <w:right w:val="none" w:sz="0" w:space="0" w:color="auto"/>
      </w:divBdr>
    </w:div>
    <w:div w:id="1929539830">
      <w:bodyDiv w:val="1"/>
      <w:marLeft w:val="0"/>
      <w:marRight w:val="0"/>
      <w:marTop w:val="0"/>
      <w:marBottom w:val="0"/>
      <w:divBdr>
        <w:top w:val="none" w:sz="0" w:space="0" w:color="auto"/>
        <w:left w:val="none" w:sz="0" w:space="0" w:color="auto"/>
        <w:bottom w:val="none" w:sz="0" w:space="0" w:color="auto"/>
        <w:right w:val="none" w:sz="0" w:space="0" w:color="auto"/>
      </w:divBdr>
    </w:div>
    <w:div w:id="2021470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homicide-murder-and-manslaughte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ps.gov.uk/legal-guidance/coroner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tizensinformation.ie/en/death/sudden_or_unexplained_death/inquests.html" TargetMode="External"/><Relationship Id="rId11" Type="http://schemas.openxmlformats.org/officeDocument/2006/relationships/hyperlink" Target="https://criminal-law.freeadvice.com/criminal-law/homicide_manslaughter/homicide-act-in-england.htm" TargetMode="External"/><Relationship Id="rId5" Type="http://schemas.openxmlformats.org/officeDocument/2006/relationships/endnotes" Target="endnotes.xml"/><Relationship Id="rId10" Type="http://schemas.openxmlformats.org/officeDocument/2006/relationships/hyperlink" Target="https://www.legislation.gov.uk/ukpga/2009/25/contents" TargetMode="External"/><Relationship Id="rId4" Type="http://schemas.openxmlformats.org/officeDocument/2006/relationships/footnotes" Target="footnotes.xml"/><Relationship Id="rId9" Type="http://schemas.openxmlformats.org/officeDocument/2006/relationships/hyperlink" Target="https://www.legislation.gov.uk/ukpga/Eliz2/5-6/11/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1606</TotalTime>
  <Pages>9</Pages>
  <Words>1979</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Marian Dinu (2209834)</dc:creator>
  <cp:keywords/>
  <dc:description/>
  <cp:lastModifiedBy>Vasile Marian Dinu (2209834)</cp:lastModifiedBy>
  <cp:revision>57</cp:revision>
  <dcterms:created xsi:type="dcterms:W3CDTF">2023-03-01T23:48:00Z</dcterms:created>
  <dcterms:modified xsi:type="dcterms:W3CDTF">2023-03-10T00:12:00Z</dcterms:modified>
</cp:coreProperties>
</file>