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476363024"/>
        <w:docPartObj>
          <w:docPartGallery w:val="Cover Pages"/>
          <w:docPartUnique/>
        </w:docPartObj>
      </w:sdtPr>
      <w:sdtEndPr>
        <w:rPr>
          <w:rFonts w:ascii="Times New Roman" w:eastAsia="Times New Roman" w:hAnsi="Times New Roman" w:cs="Times New Roman"/>
          <w:color w:val="000000"/>
          <w:sz w:val="32"/>
          <w:szCs w:val="32"/>
          <w:shd w:val="clear" w:color="auto" w:fill="FFFFFF"/>
        </w:rPr>
      </w:sdtEndPr>
      <w:sdtContent>
        <w:p w14:paraId="63B663CA" w14:textId="1F377676" w:rsidR="00751A6D" w:rsidRPr="00845716" w:rsidRDefault="00751A6D">
          <w:r w:rsidRPr="00845716">
            <w:rPr>
              <w:noProof/>
            </w:rPr>
            <mc:AlternateContent>
              <mc:Choice Requires="wpg">
                <w:drawing>
                  <wp:anchor distT="0" distB="0" distL="114300" distR="114300" simplePos="0" relativeHeight="251662336" behindDoc="0" locked="0" layoutInCell="1" allowOverlap="1" wp14:anchorId="671F2FB2" wp14:editId="3275AE69">
                    <wp:simplePos x="0" y="0"/>
                    <wp:positionH relativeFrom="page">
                      <wp:align>center</wp:align>
                    </wp:positionH>
                    <mc:AlternateContent>
                      <mc:Choice Requires="wp14">
                        <wp:positionV relativeFrom="page">
                          <wp14:pctPosVOffset>2300</wp14:pctPosVOffset>
                        </wp:positionV>
                      </mc:Choice>
                      <mc:Fallback>
                        <wp:positionV relativeFrom="page">
                          <wp:posOffset>231140</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8"/>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730E8D60"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9" o:title="" recolor="t" rotate="t" type="frame"/>
                    </v:rect>
                    <w10:wrap anchorx="page" anchory="page"/>
                  </v:group>
                </w:pict>
              </mc:Fallback>
            </mc:AlternateContent>
          </w:r>
          <w:r w:rsidRPr="00845716">
            <w:rPr>
              <w:noProof/>
            </w:rPr>
            <mc:AlternateContent>
              <mc:Choice Requires="wps">
                <w:drawing>
                  <wp:anchor distT="0" distB="0" distL="114300" distR="114300" simplePos="0" relativeHeight="251660288" behindDoc="0" locked="0" layoutInCell="1" allowOverlap="1" wp14:anchorId="67B0B773" wp14:editId="017AB7A8">
                    <wp:simplePos x="0" y="0"/>
                    <wp:positionH relativeFrom="page">
                      <wp:align>center</wp:align>
                    </wp:positionH>
                    <mc:AlternateContent>
                      <mc:Choice Requires="wp14">
                        <wp:positionV relativeFrom="page">
                          <wp14:pctPosVOffset>81800</wp14:pctPosVOffset>
                        </wp:positionV>
                      </mc:Choice>
                      <mc:Fallback>
                        <wp:positionV relativeFrom="page">
                          <wp:posOffset>8227695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256B1AFD" w14:textId="7B1508EF" w:rsidR="00751A6D" w:rsidRDefault="00751A6D">
                                    <w:pPr>
                                      <w:pStyle w:val="NoSpacing"/>
                                      <w:jc w:val="right"/>
                                      <w:rPr>
                                        <w:color w:val="595959" w:themeColor="text1" w:themeTint="A6"/>
                                        <w:sz w:val="28"/>
                                        <w:szCs w:val="28"/>
                                      </w:rPr>
                                    </w:pPr>
                                    <w:r>
                                      <w:rPr>
                                        <w:color w:val="595959" w:themeColor="text1" w:themeTint="A6"/>
                                        <w:sz w:val="28"/>
                                        <w:szCs w:val="28"/>
                                      </w:rPr>
                                      <w:t>Samantha Barbour</w:t>
                                    </w:r>
                                  </w:p>
                                </w:sdtContent>
                              </w:sdt>
                              <w:p w14:paraId="18F73527" w14:textId="3576CDC9" w:rsidR="00751A6D" w:rsidRDefault="00751A6D">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Content>
                                    <w:r>
                                      <w:rPr>
                                        <w:color w:val="595959" w:themeColor="text1" w:themeTint="A6"/>
                                        <w:sz w:val="18"/>
                                        <w:szCs w:val="18"/>
                                      </w:rPr>
                                      <w:t>2114407</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67B0B773" id="_x0000_t202" coordsize="21600,21600" o:spt="202" path="m,l,21600r21600,l21600,xe">
                    <v:stroke joinstyle="miter"/>
                    <v:path gradientshapeok="t" o:connecttype="rect"/>
                  </v:shapetype>
                  <v:shape id="Text Box 1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256B1AFD" w14:textId="7B1508EF" w:rsidR="00751A6D" w:rsidRDefault="00751A6D">
                              <w:pPr>
                                <w:pStyle w:val="NoSpacing"/>
                                <w:jc w:val="right"/>
                                <w:rPr>
                                  <w:color w:val="595959" w:themeColor="text1" w:themeTint="A6"/>
                                  <w:sz w:val="28"/>
                                  <w:szCs w:val="28"/>
                                </w:rPr>
                              </w:pPr>
                              <w:r>
                                <w:rPr>
                                  <w:color w:val="595959" w:themeColor="text1" w:themeTint="A6"/>
                                  <w:sz w:val="28"/>
                                  <w:szCs w:val="28"/>
                                </w:rPr>
                                <w:t>Samantha Barbour</w:t>
                              </w:r>
                            </w:p>
                          </w:sdtContent>
                        </w:sdt>
                        <w:p w14:paraId="18F73527" w14:textId="3576CDC9" w:rsidR="00751A6D" w:rsidRDefault="00751A6D">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Content>
                              <w:r>
                                <w:rPr>
                                  <w:color w:val="595959" w:themeColor="text1" w:themeTint="A6"/>
                                  <w:sz w:val="18"/>
                                  <w:szCs w:val="18"/>
                                </w:rPr>
                                <w:t>2114407</w:t>
                              </w:r>
                            </w:sdtContent>
                          </w:sdt>
                        </w:p>
                      </w:txbxContent>
                    </v:textbox>
                    <w10:wrap type="square" anchorx="page" anchory="page"/>
                  </v:shape>
                </w:pict>
              </mc:Fallback>
            </mc:AlternateContent>
          </w:r>
          <w:r w:rsidRPr="00845716">
            <w:rPr>
              <w:noProof/>
            </w:rPr>
            <mc:AlternateContent>
              <mc:Choice Requires="wps">
                <w:drawing>
                  <wp:anchor distT="0" distB="0" distL="114300" distR="114300" simplePos="0" relativeHeight="251659264" behindDoc="0" locked="0" layoutInCell="1" allowOverlap="1" wp14:anchorId="6F16C3CA" wp14:editId="2DC85686">
                    <wp:simplePos x="0" y="0"/>
                    <wp:positionH relativeFrom="page">
                      <wp:align>center</wp:align>
                    </wp:positionH>
                    <mc:AlternateContent>
                      <mc:Choice Requires="wp14">
                        <wp:positionV relativeFrom="page">
                          <wp14:pctPosVOffset>30000</wp14:pctPosVOffset>
                        </wp:positionV>
                      </mc:Choice>
                      <mc:Fallback>
                        <wp:positionV relativeFrom="page">
                          <wp:posOffset>3017520</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AFFA082" w14:textId="1F28B40E" w:rsidR="00751A6D" w:rsidRDefault="00751A6D">
                                <w:pPr>
                                  <w:jc w:val="right"/>
                                  <w:rPr>
                                    <w:color w:val="4472C4" w:themeColor="accent1"/>
                                    <w:sz w:val="64"/>
                                    <w:szCs w:val="64"/>
                                  </w:rPr>
                                </w:pPr>
                                <w:sdt>
                                  <w:sdtPr>
                                    <w:rPr>
                                      <w:rFonts w:ascii="Times New Roman" w:eastAsia="Times New Roman" w:hAnsi="Times New Roman" w:cs="Times New Roman"/>
                                      <w:color w:val="000000"/>
                                      <w:sz w:val="32"/>
                                      <w:szCs w:val="32"/>
                                      <w:shd w:val="clear" w:color="auto" w:fill="FFFFFF"/>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Content>
                                    <w:r w:rsidRPr="00751A6D">
                                      <w:rPr>
                                        <w:rFonts w:ascii="Times New Roman" w:eastAsia="Times New Roman" w:hAnsi="Times New Roman" w:cs="Times New Roman"/>
                                        <w:color w:val="000000"/>
                                        <w:sz w:val="32"/>
                                        <w:szCs w:val="32"/>
                                        <w:shd w:val="clear" w:color="auto" w:fill="FFFFFF"/>
                                      </w:rPr>
                                      <w:t>Economic Incentives to Promote Environmental Preservation</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0BBD46C3" w14:textId="0E11F969" w:rsidR="00751A6D" w:rsidRDefault="00751A6D">
                                    <w:pPr>
                                      <w:jc w:val="right"/>
                                      <w:rPr>
                                        <w:smallCaps/>
                                        <w:color w:val="404040" w:themeColor="text1" w:themeTint="BF"/>
                                        <w:sz w:val="36"/>
                                        <w:szCs w:val="36"/>
                                      </w:rPr>
                                    </w:pPr>
                                    <w:r>
                                      <w:rPr>
                                        <w:color w:val="404040" w:themeColor="text1" w:themeTint="BF"/>
                                        <w:sz w:val="36"/>
                                        <w:szCs w:val="36"/>
                                      </w:rPr>
                                      <w:t>HPAN5041</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6F16C3CA" id="Text Box 154" o:spid="_x0000_s1027"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" filled="f" stroked="f" strokeweight=".5pt">
                    <v:textbox inset="126pt,0,54pt,0">
                      <w:txbxContent>
                        <w:p w14:paraId="0AFFA082" w14:textId="1F28B40E" w:rsidR="00751A6D" w:rsidRDefault="00751A6D">
                          <w:pPr>
                            <w:jc w:val="right"/>
                            <w:rPr>
                              <w:color w:val="4472C4" w:themeColor="accent1"/>
                              <w:sz w:val="64"/>
                              <w:szCs w:val="64"/>
                            </w:rPr>
                          </w:pPr>
                          <w:sdt>
                            <w:sdtPr>
                              <w:rPr>
                                <w:rFonts w:ascii="Times New Roman" w:eastAsia="Times New Roman" w:hAnsi="Times New Roman" w:cs="Times New Roman"/>
                                <w:color w:val="000000"/>
                                <w:sz w:val="32"/>
                                <w:szCs w:val="32"/>
                                <w:shd w:val="clear" w:color="auto" w:fill="FFFFFF"/>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Content>
                              <w:r w:rsidRPr="00751A6D">
                                <w:rPr>
                                  <w:rFonts w:ascii="Times New Roman" w:eastAsia="Times New Roman" w:hAnsi="Times New Roman" w:cs="Times New Roman"/>
                                  <w:color w:val="000000"/>
                                  <w:sz w:val="32"/>
                                  <w:szCs w:val="32"/>
                                  <w:shd w:val="clear" w:color="auto" w:fill="FFFFFF"/>
                                </w:rPr>
                                <w:t>Economic Incentives to Promote Environmental Preservation</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0BBD46C3" w14:textId="0E11F969" w:rsidR="00751A6D" w:rsidRDefault="00751A6D">
                              <w:pPr>
                                <w:jc w:val="right"/>
                                <w:rPr>
                                  <w:smallCaps/>
                                  <w:color w:val="404040" w:themeColor="text1" w:themeTint="BF"/>
                                  <w:sz w:val="36"/>
                                  <w:szCs w:val="36"/>
                                </w:rPr>
                              </w:pPr>
                              <w:r>
                                <w:rPr>
                                  <w:color w:val="404040" w:themeColor="text1" w:themeTint="BF"/>
                                  <w:sz w:val="36"/>
                                  <w:szCs w:val="36"/>
                                </w:rPr>
                                <w:t>HPAN5041</w:t>
                              </w:r>
                            </w:p>
                          </w:sdtContent>
                        </w:sdt>
                      </w:txbxContent>
                    </v:textbox>
                    <w10:wrap type="square" anchorx="page" anchory="page"/>
                  </v:shape>
                </w:pict>
              </mc:Fallback>
            </mc:AlternateContent>
          </w:r>
        </w:p>
        <w:p w14:paraId="64482299" w14:textId="0C8D015A" w:rsidR="00751A6D" w:rsidRPr="00845716" w:rsidRDefault="00751A6D">
          <w:pPr>
            <w:rPr>
              <w:rFonts w:ascii="Times New Roman" w:eastAsia="Times New Roman" w:hAnsi="Times New Roman" w:cs="Times New Roman"/>
              <w:color w:val="000000"/>
              <w:sz w:val="32"/>
              <w:szCs w:val="32"/>
              <w:shd w:val="clear" w:color="auto" w:fill="FFFFFF"/>
            </w:rPr>
          </w:pPr>
          <w:r w:rsidRPr="00845716">
            <w:rPr>
              <w:rFonts w:ascii="Times New Roman" w:eastAsia="Times New Roman" w:hAnsi="Times New Roman" w:cs="Times New Roman"/>
              <w:color w:val="000000"/>
              <w:sz w:val="32"/>
              <w:szCs w:val="32"/>
              <w:shd w:val="clear" w:color="auto" w:fill="FFFFFF"/>
            </w:rPr>
            <w:br w:type="page"/>
          </w:r>
        </w:p>
      </w:sdtContent>
    </w:sdt>
    <w:p w14:paraId="7BDE4999" w14:textId="2B25CD77" w:rsidR="00E5189E" w:rsidRPr="00845716" w:rsidRDefault="00E5189E" w:rsidP="00E5189E">
      <w:pPr>
        <w:spacing w:after="0" w:line="276" w:lineRule="auto"/>
        <w:jc w:val="center"/>
        <w:rPr>
          <w:rFonts w:ascii="Times New Roman" w:eastAsia="Times New Roman" w:hAnsi="Times New Roman" w:cs="Times New Roman"/>
          <w:color w:val="000000"/>
          <w:sz w:val="32"/>
          <w:szCs w:val="32"/>
          <w:shd w:val="clear" w:color="auto" w:fill="FFFFFF"/>
        </w:rPr>
      </w:pPr>
      <w:r w:rsidRPr="00845716">
        <w:rPr>
          <w:rFonts w:ascii="Times New Roman" w:eastAsia="Times New Roman" w:hAnsi="Times New Roman" w:cs="Times New Roman"/>
          <w:color w:val="000000"/>
          <w:sz w:val="32"/>
          <w:szCs w:val="32"/>
          <w:shd w:val="clear" w:color="auto" w:fill="FFFFFF"/>
        </w:rPr>
        <w:lastRenderedPageBreak/>
        <w:t>Economic Incentives to Promote Environmental Preservation</w:t>
      </w:r>
    </w:p>
    <w:p w14:paraId="1D5FE266" w14:textId="77777777" w:rsidR="00E5189E" w:rsidRPr="00845716" w:rsidRDefault="00E5189E" w:rsidP="00E5189E">
      <w:pPr>
        <w:spacing w:after="0" w:line="276" w:lineRule="auto"/>
        <w:rPr>
          <w:rFonts w:ascii="Times New Roman" w:eastAsia="Times New Roman" w:hAnsi="Times New Roman" w:cs="Times New Roman"/>
          <w:color w:val="000000"/>
          <w:sz w:val="24"/>
          <w:szCs w:val="24"/>
          <w:shd w:val="clear" w:color="auto" w:fill="FFFFFF"/>
        </w:rPr>
      </w:pPr>
    </w:p>
    <w:p w14:paraId="09D31CCD" w14:textId="4D35A1CA" w:rsidR="000A5134" w:rsidRPr="00845716" w:rsidRDefault="000A5134" w:rsidP="000A5134">
      <w:pPr>
        <w:pStyle w:val="NormalWeb"/>
        <w:spacing w:before="240" w:beforeAutospacing="0" w:after="0" w:afterAutospacing="0"/>
        <w:rPr>
          <w:lang w:val="en-GB"/>
        </w:rPr>
      </w:pPr>
      <w:r w:rsidRPr="00845716">
        <w:rPr>
          <w:color w:val="000000"/>
          <w:shd w:val="clear" w:color="auto" w:fill="FFFFFF"/>
          <w:lang w:val="en-GB"/>
        </w:rPr>
        <w:t xml:space="preserve">Former Saudi oil minister Sheik Ahmed Zahi Yamani said: "The stone age came to an end, not for lack of stones, and the oil age will end, but not for lack of oil" (Cherif, Hasanov and Husain, 2017). This is because mankind has embarked on a journey to reuse and recycle rather than a use-and-dump method that we have lived by over the centuries. The move from a linear economy to a cyclical economy begs to question; can it be done on a global level, and will it be sustainable, if so, what will drive this move? This essay aims to discuss the terms linear and cyclical economies and the move towards a mainly cyclical economy. This essay will also take into consideration the driving force behind the </w:t>
      </w:r>
      <w:r w:rsidR="00E701A3">
        <w:rPr>
          <w:color w:val="000000"/>
          <w:shd w:val="clear" w:color="auto" w:fill="FFFFFF"/>
          <w:lang w:val="en-GB"/>
        </w:rPr>
        <w:t>switchover</w:t>
      </w:r>
      <w:r w:rsidR="00093947">
        <w:rPr>
          <w:color w:val="000000"/>
          <w:shd w:val="clear" w:color="auto" w:fill="FFFFFF"/>
          <w:lang w:val="en-GB"/>
        </w:rPr>
        <w:t>,</w:t>
      </w:r>
      <w:r w:rsidRPr="00845716">
        <w:rPr>
          <w:color w:val="000000"/>
          <w:shd w:val="clear" w:color="auto" w:fill="FFFFFF"/>
          <w:lang w:val="en-GB"/>
        </w:rPr>
        <w:t xml:space="preserve"> considering both incentives and unforeseen issues that may arise due to the change in economic style.</w:t>
      </w:r>
    </w:p>
    <w:p w14:paraId="03049E2C" w14:textId="5C12456C" w:rsidR="000A5134" w:rsidRPr="00845716" w:rsidRDefault="000A5134" w:rsidP="000A5134">
      <w:pPr>
        <w:pStyle w:val="NormalWeb"/>
        <w:spacing w:before="240" w:beforeAutospacing="0" w:after="240" w:afterAutospacing="0"/>
        <w:rPr>
          <w:lang w:val="en-GB"/>
        </w:rPr>
      </w:pPr>
      <w:r w:rsidRPr="00845716">
        <w:rPr>
          <w:color w:val="000000"/>
          <w:lang w:val="en-GB"/>
        </w:rPr>
        <w:t xml:space="preserve">The traditional definition of a linear economy follows the “concept that applies [to] the take-make-dispose model” (Hartini et al.,2020). This production model primarily focuses on procuring natural resources, which are then converted into manufactured goods or </w:t>
      </w:r>
      <w:r w:rsidR="00D51A62" w:rsidRPr="00845716">
        <w:rPr>
          <w:color w:val="000000"/>
          <w:lang w:val="en-GB"/>
        </w:rPr>
        <w:t>services. Case</w:t>
      </w:r>
      <w:r w:rsidRPr="00845716">
        <w:rPr>
          <w:color w:val="000000"/>
          <w:lang w:val="en-GB"/>
        </w:rPr>
        <w:t xml:space="preserve"> in point, the mass production &amp; distribution of goods</w:t>
      </w:r>
      <w:r w:rsidR="00D51A62" w:rsidRPr="00845716">
        <w:rPr>
          <w:color w:val="000000"/>
          <w:lang w:val="en-GB"/>
        </w:rPr>
        <w:t>,</w:t>
      </w:r>
      <w:r w:rsidRPr="00845716">
        <w:rPr>
          <w:color w:val="000000"/>
          <w:lang w:val="en-GB"/>
        </w:rPr>
        <w:t xml:space="preserve"> the enormous energy consumption</w:t>
      </w:r>
      <w:r w:rsidR="00D51A62" w:rsidRPr="00845716">
        <w:rPr>
          <w:color w:val="000000"/>
          <w:lang w:val="en-GB"/>
        </w:rPr>
        <w:t>,</w:t>
      </w:r>
      <w:r w:rsidRPr="00845716">
        <w:rPr>
          <w:color w:val="000000"/>
          <w:lang w:val="en-GB"/>
        </w:rPr>
        <w:t xml:space="preserve"> </w:t>
      </w:r>
      <w:r w:rsidR="00093947">
        <w:rPr>
          <w:color w:val="000000"/>
          <w:lang w:val="en-GB"/>
        </w:rPr>
        <w:t xml:space="preserve">and </w:t>
      </w:r>
      <w:r w:rsidRPr="00845716">
        <w:rPr>
          <w:color w:val="000000"/>
          <w:lang w:val="en-GB"/>
        </w:rPr>
        <w:t>the adverse effects on the environment in the form of air &amp; water pollution and soil degradation. The general takeaway from this production model is the amount of waste accumulated. Goods produced are intended for single-use application only, which is unsustainable due to the limited availability of non-renewable raw materials. “Single-use items are products and packaging designed to be used once before they are discarded” (City of Richmond Hill, 2022). A Linear style economy emphasises profitability over environmental sustainability regardless of product lifespan and is characterised by the irrational usage of resources.</w:t>
      </w:r>
      <w:hyperlink r:id="rId10" w:anchor=":~:text=What's%20the%20linear%20economy%3F,their%20ecological%20footprint%20and%20consequences" w:history="1">
        <w:r w:rsidRPr="00845716">
          <w:rPr>
            <w:rStyle w:val="Hyperlink"/>
            <w:color w:val="000000"/>
            <w:lang w:val="en-GB"/>
          </w:rPr>
          <w:t> </w:t>
        </w:r>
      </w:hyperlink>
    </w:p>
    <w:p w14:paraId="6334AC37" w14:textId="47816ABE" w:rsidR="000A5134" w:rsidRPr="00845716" w:rsidRDefault="000A5134" w:rsidP="000A5134">
      <w:pPr>
        <w:pStyle w:val="NormalWeb"/>
        <w:spacing w:before="240" w:beforeAutospacing="0" w:after="240" w:afterAutospacing="0"/>
        <w:rPr>
          <w:lang w:val="en-GB"/>
        </w:rPr>
      </w:pPr>
      <w:r w:rsidRPr="00845716">
        <w:rPr>
          <w:color w:val="000000"/>
          <w:lang w:val="en-GB"/>
        </w:rPr>
        <w:t>A typical example of a linear economy is where resources are extracted, say crude oil, which is then processed into textiles, plastics, and refined fuel – single-use goods. The finished products are used or disposed of in such a manner without the use of proper waste management techniques</w:t>
      </w:r>
      <w:r w:rsidR="00474F52" w:rsidRPr="00845716">
        <w:rPr>
          <w:color w:val="000000"/>
          <w:lang w:val="en-GB"/>
        </w:rPr>
        <w:t>,</w:t>
      </w:r>
      <w:r w:rsidRPr="00845716">
        <w:rPr>
          <w:color w:val="000000"/>
          <w:lang w:val="en-GB"/>
        </w:rPr>
        <w:t xml:space="preserve"> including reducing, reusing and repurposing products; thus decreasing overflowing landfills and greenhouse gases, which are incredibly damaging to the environment. Unfortunately, the disposal of waste is overwhelming</w:t>
      </w:r>
      <w:r w:rsidR="00474F52" w:rsidRPr="00845716">
        <w:rPr>
          <w:color w:val="000000"/>
          <w:lang w:val="en-GB"/>
        </w:rPr>
        <w:t xml:space="preserve"> </w:t>
      </w:r>
      <w:r w:rsidRPr="00845716">
        <w:rPr>
          <w:color w:val="000000"/>
          <w:lang w:val="en-GB"/>
        </w:rPr>
        <w:t>many small and undeveloped countries like my own, where there is no infrastructure to redistribute, reuse and recycle these products.</w:t>
      </w:r>
    </w:p>
    <w:p w14:paraId="76BF9697" w14:textId="77777777" w:rsidR="000A5134" w:rsidRPr="00845716" w:rsidRDefault="000A5134" w:rsidP="000A5134">
      <w:pPr>
        <w:pStyle w:val="NormalWeb"/>
        <w:spacing w:before="240" w:beforeAutospacing="0" w:after="240" w:afterAutospacing="0"/>
        <w:rPr>
          <w:lang w:val="en-GB"/>
        </w:rPr>
      </w:pPr>
      <w:r w:rsidRPr="00845716">
        <w:rPr>
          <w:color w:val="000000"/>
          <w:lang w:val="en-GB"/>
        </w:rPr>
        <w:t>The industrial revolution heralded a new age of mass production. It was a time when raw materials were seen as infinite, and the by-products of this progress were pollution and the stripping the earth of its natural minerals. Over the years, a business’s most significant incentive for continuation is to increase profit which in many cases means mass production because consumers tend to “buy to own”. As a result, businesses will mass produce cheap commodities that we use in our everyday lives, and at the end of the day, these packages and sometimes entire products end up in landfills worldwide. Take, for example, in a linear economic system; when a new cell phone is released on the market, we ditch the old one; our vacuum gets hair wrapped around the bristles, and suddenly, we need a new one. Every time this is done, we are depleting our finite supply of resources and producing toxic by-products.  </w:t>
      </w:r>
    </w:p>
    <w:p w14:paraId="2F01232E" w14:textId="77777777" w:rsidR="000A5134" w:rsidRPr="00845716" w:rsidRDefault="000A5134" w:rsidP="000A5134">
      <w:pPr>
        <w:pStyle w:val="NormalWeb"/>
        <w:spacing w:before="240" w:beforeAutospacing="0" w:after="0" w:afterAutospacing="0"/>
        <w:rPr>
          <w:lang w:val="en-GB"/>
        </w:rPr>
      </w:pPr>
      <w:r w:rsidRPr="00845716">
        <w:rPr>
          <w:color w:val="000000"/>
          <w:lang w:val="en-GB"/>
        </w:rPr>
        <w:t> </w:t>
      </w:r>
    </w:p>
    <w:p w14:paraId="59AF6D28" w14:textId="77777777" w:rsidR="000A5134" w:rsidRPr="00845716" w:rsidRDefault="000A5134" w:rsidP="000A5134">
      <w:pPr>
        <w:pStyle w:val="NormalWeb"/>
        <w:spacing w:before="0" w:beforeAutospacing="0" w:after="0" w:afterAutospacing="0"/>
        <w:ind w:left="720"/>
        <w:rPr>
          <w:lang w:val="en-GB"/>
        </w:rPr>
      </w:pPr>
      <w:r w:rsidRPr="00845716">
        <w:rPr>
          <w:color w:val="000000"/>
          <w:shd w:val="clear" w:color="auto" w:fill="FFFFFF"/>
          <w:lang w:val="en-GB"/>
        </w:rPr>
        <w:lastRenderedPageBreak/>
        <w:t xml:space="preserve">“The August 1955 issue of… </w:t>
      </w:r>
      <w:r w:rsidRPr="00845716">
        <w:rPr>
          <w:i/>
          <w:iCs/>
          <w:color w:val="000000"/>
          <w:shd w:val="clear" w:color="auto" w:fill="FFFFFF"/>
          <w:lang w:val="en-GB"/>
        </w:rPr>
        <w:t xml:space="preserve">Life, page 43, you’ll find a quirky announcement about a new way of living… “Throwaway Living,” they called it, promising a world of disposable items that would cut down on household chores… a fluff piece joyously proclaiming that this is how we live now, and, by golly, things won’t be the </w:t>
      </w:r>
      <w:proofErr w:type="gramStart"/>
      <w:r w:rsidRPr="00845716">
        <w:rPr>
          <w:i/>
          <w:iCs/>
          <w:color w:val="000000"/>
          <w:shd w:val="clear" w:color="auto" w:fill="FFFFFF"/>
          <w:lang w:val="en-GB"/>
        </w:rPr>
        <w:t>same”(</w:t>
      </w:r>
      <w:proofErr w:type="gramEnd"/>
      <w:r w:rsidRPr="00845716">
        <w:rPr>
          <w:i/>
          <w:iCs/>
          <w:color w:val="000000"/>
          <w:shd w:val="clear" w:color="auto" w:fill="FFFFFF"/>
          <w:lang w:val="en-GB"/>
        </w:rPr>
        <w:t>McCool, 2020).</w:t>
      </w:r>
    </w:p>
    <w:p w14:paraId="39FB8261" w14:textId="77777777" w:rsidR="000A5134" w:rsidRPr="00845716" w:rsidRDefault="000A5134" w:rsidP="000A5134">
      <w:pPr>
        <w:pStyle w:val="NormalWeb"/>
        <w:spacing w:before="240" w:beforeAutospacing="0" w:after="200" w:afterAutospacing="0"/>
        <w:rPr>
          <w:lang w:val="en-GB"/>
        </w:rPr>
      </w:pPr>
      <w:r w:rsidRPr="00845716">
        <w:rPr>
          <w:color w:val="000000"/>
          <w:shd w:val="clear" w:color="auto" w:fill="FFFFFF"/>
          <w:lang w:val="en-GB"/>
        </w:rPr>
        <w:t>This article was one of the first advertisements promoting “single-use” or disposable products for household use to cut down on non-household chores. It would be many years before people became aware of how harmful plastics are to the environment. </w:t>
      </w:r>
    </w:p>
    <w:p w14:paraId="00C59DD5" w14:textId="638B1950" w:rsidR="000A5134" w:rsidRPr="00845716" w:rsidRDefault="000A5134" w:rsidP="000A5134">
      <w:pPr>
        <w:pStyle w:val="NormalWeb"/>
        <w:spacing w:before="240" w:beforeAutospacing="0" w:after="0" w:afterAutospacing="0"/>
        <w:rPr>
          <w:lang w:val="en-GB"/>
        </w:rPr>
      </w:pPr>
      <w:r w:rsidRPr="00845716">
        <w:rPr>
          <w:color w:val="000000"/>
          <w:lang w:val="en-GB"/>
        </w:rPr>
        <w:t>Also, as it stands now, our earth's population has expanded exponentially in the last one hundred years (Roser et al., 2013), yet our natural resources have not. One must understand that this economic model we have been conditioned to accept through strategic advertising will not maintain the earth’s population for future generations. It must come to an end to protect our environment</w:t>
      </w:r>
      <w:r w:rsidR="00474F52" w:rsidRPr="00845716">
        <w:rPr>
          <w:color w:val="000000"/>
          <w:lang w:val="en-GB"/>
        </w:rPr>
        <w:t>,</w:t>
      </w:r>
      <w:r w:rsidRPr="00845716">
        <w:rPr>
          <w:color w:val="000000"/>
          <w:lang w:val="en-GB"/>
        </w:rPr>
        <w:t xml:space="preserve"> reduce the wastage of natural </w:t>
      </w:r>
      <w:proofErr w:type="gramStart"/>
      <w:r w:rsidRPr="00845716">
        <w:rPr>
          <w:color w:val="000000"/>
          <w:lang w:val="en-GB"/>
        </w:rPr>
        <w:t>resources</w:t>
      </w:r>
      <w:proofErr w:type="gramEnd"/>
      <w:r w:rsidRPr="00845716">
        <w:rPr>
          <w:color w:val="000000"/>
          <w:lang w:val="en-GB"/>
        </w:rPr>
        <w:t xml:space="preserve"> and live more environmentally friendly. </w:t>
      </w:r>
    </w:p>
    <w:p w14:paraId="384498A5" w14:textId="77777777" w:rsidR="000A5134" w:rsidRPr="00845716" w:rsidRDefault="000A5134" w:rsidP="000A5134">
      <w:pPr>
        <w:pStyle w:val="NormalWeb"/>
        <w:spacing w:before="240" w:beforeAutospacing="0" w:after="240" w:afterAutospacing="0"/>
        <w:rPr>
          <w:lang w:val="en-GB"/>
        </w:rPr>
      </w:pPr>
      <w:r w:rsidRPr="00845716">
        <w:rPr>
          <w:color w:val="000000"/>
          <w:lang w:val="en-GB"/>
        </w:rPr>
        <w:t>On the other hand, the push towards an ecologically responsible consumption of resources incorporates the: reduce, reuse &amp; recycle mantra and not profitability as the main driver. The above routine is generally called cyclical or circular economics, where the manufacturing process has minimal environmental consequences. The idea was the brainchild of Professor Kenneth E. Boulding, a trailblazing environmental economist in the 1960s. He compared the globe to a spaceship with fixed resources for either exploration or pollution (George, Lin and Chen, 2015). Boulding’s thoughts hinged on creating sustainable, environmentally friendly practices concerning harvesting and using non-renewable resources. The cyclical economy aims to achieve sustainability by keeping goods in longer cycles; they should be utilised for as long as possible. Reusability of goods must be given precedence to refurbishment, which in turn offers priority to recycling. Disposal by landfill or burn pits should be avoided to promote positive, sustainable output (Cardoso, J. 2018).</w:t>
      </w:r>
    </w:p>
    <w:p w14:paraId="3AA0C87C" w14:textId="6F94F484" w:rsidR="000A5134" w:rsidRPr="00845716" w:rsidRDefault="000A5134" w:rsidP="000A5134">
      <w:pPr>
        <w:pStyle w:val="NormalWeb"/>
        <w:spacing w:before="240" w:beforeAutospacing="0" w:after="0" w:afterAutospacing="0"/>
        <w:rPr>
          <w:lang w:val="en-GB"/>
        </w:rPr>
      </w:pPr>
      <w:r w:rsidRPr="00845716">
        <w:rPr>
          <w:color w:val="000000"/>
          <w:lang w:val="en-GB"/>
        </w:rPr>
        <w:t xml:space="preserve">How, then, can we build capital rather than reduce it? By redesigning products, their ingredients and packaging, safe and compostable materials can be created to help keep the environment clean and grow new stuff. As it pertains to electronic products that are not biodegradable, many of their parts can be recycled into new items, thus maintaining their quality and usability beyond the shelf life of their original intended use. It would make sense to convert </w:t>
      </w:r>
      <w:r w:rsidR="00845716" w:rsidRPr="00845716">
        <w:rPr>
          <w:color w:val="000000"/>
          <w:lang w:val="en-GB"/>
        </w:rPr>
        <w:t>today’s products</w:t>
      </w:r>
      <w:r w:rsidRPr="00845716">
        <w:rPr>
          <w:color w:val="000000"/>
          <w:lang w:val="en-GB"/>
        </w:rPr>
        <w:t xml:space="preserve"> into future resources, thus reducing waste and increasing usability. Products would be disassembled, and components redesigned and morphed into new products (Bigliardi et al., 2020). The circular economy is not focused on one individual, company or country making one change; it encompasses all factors of life coming together to form mankind’s infrastructure to the economy working together and smarter to make the planet sustainable. </w:t>
      </w:r>
    </w:p>
    <w:p w14:paraId="45381A7C" w14:textId="77777777" w:rsidR="000A5134" w:rsidRPr="00845716" w:rsidRDefault="000A5134" w:rsidP="000A5134">
      <w:pPr>
        <w:pStyle w:val="NormalWeb"/>
        <w:spacing w:before="240" w:beforeAutospacing="0" w:after="240" w:afterAutospacing="0"/>
        <w:rPr>
          <w:lang w:val="en-GB"/>
        </w:rPr>
      </w:pPr>
      <w:r w:rsidRPr="00845716">
        <w:rPr>
          <w:color w:val="000000"/>
          <w:lang w:val="en-GB"/>
        </w:rPr>
        <w:t>The changeover from a mainly linear to a primarily cyclical economy is within the capabilities of humankind; the knowledge and skills needed are readily available to potential clients. The issue for getting this done is persuading citizens to opt for the changeover. Change from the norm (linear economics) may be difficult, but the efforts will eventually reap dividends. Economic incentives can persuade persons, entities, and states to facilitate a changeover from a predominantly linear to a cyclical economy.</w:t>
      </w:r>
    </w:p>
    <w:p w14:paraId="50927318" w14:textId="77777777" w:rsidR="00A87FEF" w:rsidRPr="00845716" w:rsidRDefault="00A87FEF" w:rsidP="00A87FEF">
      <w:pPr>
        <w:pStyle w:val="NormalWeb"/>
        <w:spacing w:before="240" w:beforeAutospacing="0" w:after="240" w:afterAutospacing="0"/>
        <w:rPr>
          <w:lang w:val="en-GB"/>
        </w:rPr>
      </w:pPr>
      <w:r w:rsidRPr="00845716">
        <w:rPr>
          <w:color w:val="000000"/>
          <w:lang w:val="en-GB"/>
        </w:rPr>
        <w:lastRenderedPageBreak/>
        <w:t>Incentives can be implemented through a financial or nonfinancial nature used to invigorate and promote a cyclical economy. Furthermore, the incentives can be long-term (permanent) or short-term (temporary). A report, “Incentives to boost the Circular Economy – A Guide for Public Authorities'' by the European Commission (EC), published on the 22</w:t>
      </w:r>
      <w:r w:rsidRPr="00845716">
        <w:rPr>
          <w:color w:val="000000"/>
          <w:sz w:val="14"/>
          <w:szCs w:val="14"/>
          <w:vertAlign w:val="superscript"/>
          <w:lang w:val="en-GB"/>
        </w:rPr>
        <w:t>nd</w:t>
      </w:r>
      <w:r w:rsidRPr="00845716">
        <w:rPr>
          <w:color w:val="000000"/>
          <w:lang w:val="en-GB"/>
        </w:rPr>
        <w:t xml:space="preserve"> of June 2021, highlighted the methodology used by the European Union (EU) to facilitate the changeover from linear to cyclical economics. These incentives include but are not limited to the following:</w:t>
      </w:r>
    </w:p>
    <w:p w14:paraId="1D563657" w14:textId="77777777" w:rsidR="00A87FEF" w:rsidRPr="00845716" w:rsidRDefault="00A87FEF" w:rsidP="00A87FEF">
      <w:pPr>
        <w:pStyle w:val="NormalWeb"/>
        <w:numPr>
          <w:ilvl w:val="0"/>
          <w:numId w:val="2"/>
        </w:numPr>
        <w:spacing w:before="240" w:beforeAutospacing="0" w:after="200" w:afterAutospacing="0"/>
        <w:textAlignment w:val="baseline"/>
        <w:rPr>
          <w:rFonts w:ascii="Arial" w:hAnsi="Arial" w:cs="Arial"/>
          <w:color w:val="000000"/>
          <w:sz w:val="22"/>
          <w:szCs w:val="22"/>
          <w:lang w:val="en-GB"/>
        </w:rPr>
      </w:pPr>
      <w:r w:rsidRPr="00845716">
        <w:rPr>
          <w:color w:val="000000"/>
          <w:lang w:val="en-GB"/>
        </w:rPr>
        <w:t> Implementing end-of-waste strategy for recovered or recycled material(s). The use minimises the need to exhaust primary resources while simultaneously creating a supply of secondary raw materials with unrestricted access among member states capable of repurposing waste products (Environmental Protection Agency, n.d.).</w:t>
      </w:r>
    </w:p>
    <w:p w14:paraId="0F6F5A2F" w14:textId="77777777" w:rsidR="00A87FEF" w:rsidRPr="00845716" w:rsidRDefault="00A87FEF" w:rsidP="00A87FEF">
      <w:pPr>
        <w:pStyle w:val="NormalWeb"/>
        <w:numPr>
          <w:ilvl w:val="0"/>
          <w:numId w:val="2"/>
        </w:numPr>
        <w:spacing w:before="0" w:beforeAutospacing="0" w:after="200" w:afterAutospacing="0"/>
        <w:textAlignment w:val="baseline"/>
        <w:rPr>
          <w:rFonts w:ascii="Arial" w:hAnsi="Arial" w:cs="Arial"/>
          <w:color w:val="000000"/>
          <w:sz w:val="22"/>
          <w:szCs w:val="22"/>
          <w:lang w:val="en-GB"/>
        </w:rPr>
      </w:pPr>
      <w:r w:rsidRPr="00845716">
        <w:rPr>
          <w:color w:val="000000"/>
          <w:lang w:val="en-GB"/>
        </w:rPr>
        <w:t>Introduce EU-approved government subsidies such as preferential taxes and duties for goods and services incorporating recycled, refurbished, repurposed and other green products used within the EU. Green technologies such as renewable power generation; reduced or carbon-neutral activities should be supported by grants for further research and development applications.</w:t>
      </w:r>
    </w:p>
    <w:p w14:paraId="3DE387DA" w14:textId="77777777" w:rsidR="00A87FEF" w:rsidRPr="00845716" w:rsidRDefault="00A87FEF" w:rsidP="00A87FEF">
      <w:pPr>
        <w:pStyle w:val="NormalWeb"/>
        <w:numPr>
          <w:ilvl w:val="0"/>
          <w:numId w:val="2"/>
        </w:numPr>
        <w:spacing w:before="0" w:beforeAutospacing="0" w:after="200" w:afterAutospacing="0"/>
        <w:textAlignment w:val="baseline"/>
        <w:rPr>
          <w:rFonts w:ascii="Arial" w:hAnsi="Arial" w:cs="Arial"/>
          <w:color w:val="000000"/>
          <w:sz w:val="22"/>
          <w:szCs w:val="22"/>
          <w:lang w:val="en-GB"/>
        </w:rPr>
      </w:pPr>
      <w:r w:rsidRPr="00845716">
        <w:rPr>
          <w:color w:val="000000"/>
          <w:lang w:val="en-GB"/>
        </w:rPr>
        <w:t>Remove or reduce existing subsidies on manufacturing or production activities deemed harmful to human health and the environment, e.g., open pit mining, animal husbandry (greenhouse gases), hydraulic fracturing (fracking), and widespread use of fossil fuels.</w:t>
      </w:r>
    </w:p>
    <w:p w14:paraId="5CDF9AAC" w14:textId="77777777" w:rsidR="00A87FEF" w:rsidRPr="00845716" w:rsidRDefault="00A87FEF" w:rsidP="00A87FEF">
      <w:pPr>
        <w:pStyle w:val="NormalWeb"/>
        <w:numPr>
          <w:ilvl w:val="0"/>
          <w:numId w:val="2"/>
        </w:numPr>
        <w:spacing w:before="0" w:beforeAutospacing="0" w:after="200" w:afterAutospacing="0"/>
        <w:textAlignment w:val="baseline"/>
        <w:rPr>
          <w:rFonts w:ascii="Arial" w:hAnsi="Arial" w:cs="Arial"/>
          <w:color w:val="000000"/>
          <w:sz w:val="22"/>
          <w:szCs w:val="22"/>
          <w:lang w:val="en-GB"/>
        </w:rPr>
      </w:pPr>
      <w:r w:rsidRPr="00845716">
        <w:rPr>
          <w:color w:val="000000"/>
          <w:lang w:val="en-GB"/>
        </w:rPr>
        <w:t> Financial assistance from lending institutions and other Non-Governmental Organisations (NGOs) should be accessible to countries encouraging or participating in environmentally sustainable activities.  Such activities should include a reuse and/or repair business framework, whether by low or waived interest rates with flexible payments from international lending agencies or grants. This will be of tremendous help, especially for developing countries, which can now offer tax incentives to respective companies. Moreover, incentives can point a county from the linear pathway of the make-use-waste template.</w:t>
      </w:r>
    </w:p>
    <w:p w14:paraId="093DA895" w14:textId="371E1293" w:rsidR="00A87FEF" w:rsidRPr="00845716" w:rsidRDefault="00A87FEF" w:rsidP="00A87FEF">
      <w:pPr>
        <w:pStyle w:val="NormalWeb"/>
        <w:numPr>
          <w:ilvl w:val="0"/>
          <w:numId w:val="2"/>
        </w:numPr>
        <w:spacing w:before="0" w:beforeAutospacing="0" w:after="0" w:afterAutospacing="0"/>
        <w:textAlignment w:val="baseline"/>
        <w:rPr>
          <w:rFonts w:ascii="Arial" w:hAnsi="Arial" w:cs="Arial"/>
          <w:color w:val="000000"/>
          <w:sz w:val="22"/>
          <w:szCs w:val="22"/>
          <w:lang w:val="en-GB"/>
        </w:rPr>
      </w:pPr>
      <w:r w:rsidRPr="00845716">
        <w:rPr>
          <w:color w:val="000000"/>
          <w:lang w:val="en-GB"/>
        </w:rPr>
        <w:t> In instances where a state might achieve or exceed its quota for the cyclical economy and</w:t>
      </w:r>
      <w:r w:rsidR="00845716">
        <w:rPr>
          <w:color w:val="000000"/>
          <w:lang w:val="en-GB"/>
        </w:rPr>
        <w:t>/</w:t>
      </w:r>
      <w:r w:rsidRPr="00845716">
        <w:rPr>
          <w:color w:val="000000"/>
          <w:lang w:val="en-GB"/>
        </w:rPr>
        <w:t xml:space="preserve">or sustainable environmental growth, products originating from those activities should be issued a “green goods” type certification to distinguish them from similar products resulting in </w:t>
      </w:r>
      <w:r w:rsidR="00845716">
        <w:rPr>
          <w:color w:val="000000"/>
          <w:lang w:val="en-GB"/>
        </w:rPr>
        <w:t>benefits</w:t>
      </w:r>
      <w:r w:rsidRPr="00845716">
        <w:rPr>
          <w:color w:val="000000"/>
          <w:lang w:val="en-GB"/>
        </w:rPr>
        <w:t xml:space="preserve"> from economic returns. This model is currently being implemented in France (Directorate-General for Research and Innovation (European Commission) et al., 2021, pp.11–16). The concept of “green” should also extend to the energy sector, </w:t>
      </w:r>
      <w:r w:rsidR="002766D2">
        <w:rPr>
          <w:color w:val="000000"/>
          <w:lang w:val="en-GB"/>
        </w:rPr>
        <w:t xml:space="preserve">e.g. </w:t>
      </w:r>
      <w:r w:rsidRPr="00845716">
        <w:rPr>
          <w:color w:val="000000"/>
          <w:lang w:val="en-GB"/>
        </w:rPr>
        <w:t>The</w:t>
      </w:r>
      <w:r w:rsidR="00845716">
        <w:rPr>
          <w:color w:val="000000"/>
          <w:lang w:val="en-GB"/>
        </w:rPr>
        <w:t>,</w:t>
      </w:r>
      <w:r w:rsidRPr="00845716">
        <w:rPr>
          <w:color w:val="000000"/>
          <w:lang w:val="en-GB"/>
        </w:rPr>
        <w:t xml:space="preserve"> LIFE Clean Energy Transition continues its ascendency on previous successes, namely,</w:t>
      </w:r>
      <w:r w:rsidRPr="00845716">
        <w:rPr>
          <w:color w:val="404040"/>
          <w:lang w:val="en-GB"/>
        </w:rPr>
        <w:t xml:space="preserve"> </w:t>
      </w:r>
      <w:r w:rsidRPr="00845716">
        <w:rPr>
          <w:color w:val="000000"/>
          <w:lang w:val="en-GB"/>
        </w:rPr>
        <w:t>the</w:t>
      </w:r>
      <w:r w:rsidRPr="00845716">
        <w:rPr>
          <w:color w:val="404040"/>
          <w:lang w:val="en-GB"/>
        </w:rPr>
        <w:t xml:space="preserve"> </w:t>
      </w:r>
      <w:r w:rsidRPr="00845716">
        <w:rPr>
          <w:color w:val="000000"/>
          <w:lang w:val="en-GB"/>
        </w:rPr>
        <w:t>Intelligent Energy Europe (2003-2013) and Horizon 2020 Energy Efficiency (2014-2020) programmes thereby underpinning sustainable energy development as per EU guiding principles for sustainable energy. Specific energy policies to note include:</w:t>
      </w:r>
    </w:p>
    <w:p w14:paraId="1D79056B" w14:textId="77777777" w:rsidR="00A87FEF" w:rsidRPr="00845716" w:rsidRDefault="00A87FEF" w:rsidP="00A87FEF">
      <w:pPr>
        <w:pStyle w:val="NormalWeb"/>
        <w:spacing w:before="0" w:beforeAutospacing="0" w:after="0" w:afterAutospacing="0"/>
        <w:ind w:left="1440"/>
        <w:rPr>
          <w:lang w:val="en-GB"/>
        </w:rPr>
      </w:pPr>
      <w:r w:rsidRPr="00845716">
        <w:rPr>
          <w:color w:val="000000"/>
          <w:lang w:val="en-GB"/>
        </w:rPr>
        <w:t>“…the European Green Deal, the Energy Union (2030 energy and climate targets) and the European Union’s 2050 long-term decarbonisation strategy” (European Commission, n.d.). The duration of the clean energy transition covers the period 2021 to 2027 at a cost nearly 1 billion EUR focusing on “facilitating the transition towards an energy-efficient, renewable energy-based, climate-neutral and -</w:t>
      </w:r>
      <w:r w:rsidRPr="00845716">
        <w:rPr>
          <w:color w:val="000000"/>
          <w:lang w:val="en-GB"/>
        </w:rPr>
        <w:lastRenderedPageBreak/>
        <w:t>resilient economy by funding coordination and support actions (Other Action Grants) across Europe” (European Commission, 2020).</w:t>
      </w:r>
    </w:p>
    <w:p w14:paraId="46D19092" w14:textId="35AB3D32" w:rsidR="00A87FEF" w:rsidRPr="00845716" w:rsidRDefault="00A87FEF" w:rsidP="00A87FEF">
      <w:pPr>
        <w:pStyle w:val="NormalWeb"/>
        <w:spacing w:before="0" w:beforeAutospacing="0" w:after="240" w:afterAutospacing="0"/>
        <w:ind w:left="720"/>
        <w:rPr>
          <w:lang w:val="en-GB"/>
        </w:rPr>
      </w:pPr>
      <w:r w:rsidRPr="00845716">
        <w:rPr>
          <w:color w:val="000000"/>
          <w:lang w:val="en-GB"/>
        </w:rPr>
        <w:t>For example, Iceland</w:t>
      </w:r>
      <w:r w:rsidR="00DA24DA">
        <w:rPr>
          <w:color w:val="000000"/>
          <w:lang w:val="en-GB"/>
        </w:rPr>
        <w:t>,</w:t>
      </w:r>
      <w:r w:rsidRPr="00845716">
        <w:rPr>
          <w:color w:val="000000"/>
          <w:lang w:val="en-GB"/>
        </w:rPr>
        <w:t xml:space="preserve"> through the use of </w:t>
      </w:r>
      <w:r w:rsidR="00DA24DA">
        <w:rPr>
          <w:color w:val="000000"/>
          <w:lang w:val="en-GB"/>
        </w:rPr>
        <w:t>geothermal</w:t>
      </w:r>
      <w:r w:rsidRPr="00845716">
        <w:rPr>
          <w:color w:val="000000"/>
          <w:lang w:val="en-GB"/>
        </w:rPr>
        <w:t xml:space="preserve"> technology</w:t>
      </w:r>
      <w:r w:rsidR="00DA24DA">
        <w:rPr>
          <w:color w:val="000000"/>
          <w:lang w:val="en-GB"/>
        </w:rPr>
        <w:t>,</w:t>
      </w:r>
      <w:r w:rsidRPr="00845716">
        <w:rPr>
          <w:color w:val="000000"/>
          <w:lang w:val="en-GB"/>
        </w:rPr>
        <w:t xml:space="preserve"> had the highest percentage of renewable energy incorporated into its gross final energy consumption from 2018 to 2021 (Eurostat, 2023).</w:t>
      </w:r>
    </w:p>
    <w:p w14:paraId="70A3FB71" w14:textId="77777777" w:rsidR="00A87FEF" w:rsidRPr="00845716" w:rsidRDefault="00A87FEF" w:rsidP="00A87FEF">
      <w:pPr>
        <w:pStyle w:val="NormalWeb"/>
        <w:spacing w:before="240" w:beforeAutospacing="0" w:after="240" w:afterAutospacing="0"/>
        <w:rPr>
          <w:lang w:val="en-GB"/>
        </w:rPr>
      </w:pPr>
      <w:r w:rsidRPr="00845716">
        <w:rPr>
          <w:color w:val="000000"/>
          <w:lang w:val="en-GB"/>
        </w:rPr>
        <w:t>Countries transitioning from linear to cyclical economics often experience varying degrees of difficulties. The ease and success of the transition are highly dependent on the financial and technological resources available to the state (Picvisa, 2022). In most Caribbean territories, if not all, the focus is on economic survival rather than ecological preservation; therefore, the trend is generally to hold onto linear economics as it best suits our present predicament.</w:t>
      </w:r>
    </w:p>
    <w:p w14:paraId="5DF2060D" w14:textId="77777777" w:rsidR="00A87FEF" w:rsidRPr="00845716" w:rsidRDefault="00A87FEF" w:rsidP="00A87FEF">
      <w:pPr>
        <w:pStyle w:val="NormalWeb"/>
        <w:spacing w:before="240" w:beforeAutospacing="0" w:after="240" w:afterAutospacing="0"/>
        <w:rPr>
          <w:lang w:val="en-GB"/>
        </w:rPr>
      </w:pPr>
      <w:r w:rsidRPr="00845716">
        <w:rPr>
          <w:color w:val="000000"/>
          <w:lang w:val="en-GB"/>
        </w:rPr>
        <w:t>We often discuss green energy and the many benefits derived from it; case in point is the transportation sector; most developed nations continue to uphold their commitment to replace fossil fuel with renewable power, but the shift would become problematic for developing states mainly because older or used vehicles imported from Europe, Japan and the United States are often the only economical alternative available. Rob de Jong, head of the Sustainable Mobility Unit at the United Nations Environment Programme (UNEP), says:</w:t>
      </w:r>
    </w:p>
    <w:p w14:paraId="28DEFF0F" w14:textId="77777777" w:rsidR="00A87FEF" w:rsidRPr="00845716" w:rsidRDefault="00A87FEF" w:rsidP="00A87FEF">
      <w:pPr>
        <w:pStyle w:val="NormalWeb"/>
        <w:spacing w:before="0" w:beforeAutospacing="0" w:after="0" w:afterAutospacing="0"/>
        <w:ind w:left="720"/>
        <w:rPr>
          <w:lang w:val="en-GB"/>
        </w:rPr>
      </w:pPr>
      <w:r w:rsidRPr="00845716">
        <w:rPr>
          <w:color w:val="000000"/>
          <w:lang w:val="en-GB"/>
        </w:rPr>
        <w:t>“Over the years, as demand for affordable, second-hand cars has grown in developing countries, we have seen an increase in the export of polluting, outdated vehicles from developed countries. These issues are all interconnected. If we want the global fleet to go electric, this problem must be tackled as part of that” (UNEP, 2021).</w:t>
      </w:r>
    </w:p>
    <w:p w14:paraId="0DEBB03A" w14:textId="2F25B208" w:rsidR="00A87FEF" w:rsidRPr="00845716" w:rsidRDefault="00A87FEF" w:rsidP="00A87FEF">
      <w:pPr>
        <w:pStyle w:val="NormalWeb"/>
        <w:spacing w:before="200" w:beforeAutospacing="0" w:after="0" w:afterAutospacing="0"/>
        <w:rPr>
          <w:lang w:val="en-GB"/>
        </w:rPr>
      </w:pPr>
      <w:r w:rsidRPr="00845716">
        <w:rPr>
          <w:color w:val="000000"/>
          <w:lang w:val="en-GB"/>
        </w:rPr>
        <w:t xml:space="preserve"> It is interesting to note that many older used vehicles do not meet their country of export emission standards, but they continue to be shipped to developing countries. It is also noteworthy that while electric cars produce </w:t>
      </w:r>
      <w:r w:rsidR="00866132">
        <w:rPr>
          <w:color w:val="000000"/>
          <w:lang w:val="en-GB"/>
        </w:rPr>
        <w:t>fewer</w:t>
      </w:r>
      <w:r w:rsidRPr="00845716">
        <w:rPr>
          <w:color w:val="000000"/>
          <w:lang w:val="en-GB"/>
        </w:rPr>
        <w:t xml:space="preserve"> carbon emissions, the vast majority of electricity in small island states </w:t>
      </w:r>
      <w:r w:rsidR="00866132">
        <w:rPr>
          <w:color w:val="000000"/>
          <w:lang w:val="en-GB"/>
        </w:rPr>
        <w:t>is</w:t>
      </w:r>
      <w:r w:rsidRPr="00845716">
        <w:rPr>
          <w:color w:val="000000"/>
          <w:lang w:val="en-GB"/>
        </w:rPr>
        <w:t xml:space="preserve"> produced by fossil </w:t>
      </w:r>
      <w:r w:rsidR="00866132">
        <w:rPr>
          <w:color w:val="000000"/>
          <w:lang w:val="en-GB"/>
        </w:rPr>
        <w:t>fuel-powered</w:t>
      </w:r>
      <w:r w:rsidRPr="00845716">
        <w:rPr>
          <w:color w:val="000000"/>
          <w:lang w:val="en-GB"/>
        </w:rPr>
        <w:t xml:space="preserve"> generators. The production of which negates the impact of the vehicles being imported. Do we possess the technology to retrofit these vehicles to be more environmentally friendly?</w:t>
      </w:r>
    </w:p>
    <w:p w14:paraId="25D46961" w14:textId="77777777" w:rsidR="00A87FEF" w:rsidRPr="00845716" w:rsidRDefault="00A87FEF" w:rsidP="00A87FEF">
      <w:pPr>
        <w:pStyle w:val="NormalWeb"/>
        <w:spacing w:before="200" w:beforeAutospacing="0" w:after="0" w:afterAutospacing="0"/>
        <w:rPr>
          <w:lang w:val="en-GB"/>
        </w:rPr>
      </w:pPr>
      <w:r w:rsidRPr="00845716">
        <w:rPr>
          <w:color w:val="000000"/>
          <w:lang w:val="en-GB"/>
        </w:rPr>
        <w:t> The absence of harmonised standards for harvesting secondary raw material(s) can create an issue for procurement and production value, impacting the final product and possibly damaging consumer confidence. You only have a viable product if quality and safety aspects are addressed through nationally or internationally recognised certification programmes.</w:t>
      </w:r>
    </w:p>
    <w:p w14:paraId="60DB6C94" w14:textId="77777777" w:rsidR="00A87FEF" w:rsidRPr="00845716" w:rsidRDefault="00A87FEF" w:rsidP="00A87FEF">
      <w:pPr>
        <w:pStyle w:val="NormalWeb"/>
        <w:spacing w:before="240" w:beforeAutospacing="0" w:after="240" w:afterAutospacing="0"/>
        <w:rPr>
          <w:lang w:val="en-GB"/>
        </w:rPr>
      </w:pPr>
      <w:r w:rsidRPr="00845716">
        <w:rPr>
          <w:color w:val="000000"/>
          <w:lang w:val="en-GB"/>
        </w:rPr>
        <w:t>A cultural mindset can be potentially problematic for the image of your business or product. Some customers refuse to purchase refurbished or repurposed items because they want the satisfaction of unboxing a new item though it has form and functionality as if new. Unused secondary raw materials or unsold merchandise risk ending up as dead stock. This is primarily true in developed nations where seasonal fashion and yearly updates of consumer electronics and appliances have led to a culture that disposes of items even when they are still functional in favour of the latest version.</w:t>
      </w:r>
    </w:p>
    <w:p w14:paraId="5CE14866" w14:textId="77777777" w:rsidR="00A87FEF" w:rsidRPr="00845716" w:rsidRDefault="00A87FEF" w:rsidP="00A87FEF">
      <w:pPr>
        <w:pStyle w:val="NormalWeb"/>
        <w:spacing w:before="240" w:beforeAutospacing="0" w:after="0" w:afterAutospacing="0"/>
        <w:rPr>
          <w:lang w:val="en-GB"/>
        </w:rPr>
      </w:pPr>
      <w:r w:rsidRPr="00845716">
        <w:rPr>
          <w:color w:val="000000"/>
          <w:lang w:val="en-GB"/>
        </w:rPr>
        <w:t xml:space="preserve">Additionally, the issue of what barriers impede or slow down the pace of transformation toward the Circular Economy is addressed by Kirchherr et al., 2018. The report voiced concerns relating to the cost of producing new products, viruses, and the cost and logistics of recycling old products. If we look at small countries like the Caribbean islands that are low-income, how can </w:t>
      </w:r>
      <w:r w:rsidRPr="00845716">
        <w:rPr>
          <w:color w:val="000000"/>
          <w:lang w:val="en-GB"/>
        </w:rPr>
        <w:lastRenderedPageBreak/>
        <w:t>they afford to recycle a product given the need for more infrastructure and capital to do this. Many islands have become dumping grounds for electronics and computers that have become obsolete in many “first world” countries but are expected to turn this junk into something new. </w:t>
      </w:r>
    </w:p>
    <w:p w14:paraId="49A35AB4" w14:textId="17BB718A" w:rsidR="00A87FEF" w:rsidRPr="00845716" w:rsidRDefault="00A87FEF" w:rsidP="00A87FEF">
      <w:pPr>
        <w:pStyle w:val="NormalWeb"/>
        <w:spacing w:before="240" w:beforeAutospacing="0" w:after="240" w:afterAutospacing="0"/>
        <w:rPr>
          <w:lang w:val="en-GB"/>
        </w:rPr>
      </w:pPr>
      <w:r w:rsidRPr="00845716">
        <w:rPr>
          <w:color w:val="000000"/>
          <w:lang w:val="en-GB"/>
        </w:rPr>
        <w:t>Moreover, as with most developing countries, funding is always an issue regardless of your aspirations. Going green because it sounds like a great idea is not feasible if it’s not sustainable. All participants connected to the endeavour must get involved. As a small nation like St. Vincent and its efforts to go green, there are only two electric or solar-powered vehicles, both of which belong to the government. Recycling is done on a small scale where metal cans are crushed for export to another country. Plastic bottles and paper are refined into secondary raw materials and shipped to another country to be reworked into another product. However, the majority of waste within the country either gets burnt by households or ends up in landfill to be burnt or buried due to the lack of proper waste management technology.</w:t>
      </w:r>
    </w:p>
    <w:p w14:paraId="1ADB8994" w14:textId="0EF5F03A" w:rsidR="00A87FEF" w:rsidRPr="00845716" w:rsidRDefault="00A87FEF" w:rsidP="00A87FEF">
      <w:pPr>
        <w:pStyle w:val="NormalWeb"/>
        <w:spacing w:before="240" w:beforeAutospacing="0" w:after="0" w:afterAutospacing="0"/>
        <w:rPr>
          <w:lang w:val="en-GB"/>
        </w:rPr>
      </w:pPr>
      <w:r w:rsidRPr="00845716">
        <w:rPr>
          <w:color w:val="000000"/>
          <w:lang w:val="en-GB"/>
        </w:rPr>
        <w:t xml:space="preserve">When the age of disposable products gained popularity, Professor Kenneth Boulding was one of the first to write a paper on the effects waste products would have on the environment. His article essentially chastised economists for ignoring the ecological impact the linear model would have on the environment. He saw the linear system as adding to and even magnifying these issues. The results of this system are evident today, where countries have developed into two major categories: </w:t>
      </w:r>
      <w:r w:rsidR="002766D2">
        <w:rPr>
          <w:color w:val="000000"/>
          <w:lang w:val="en-GB"/>
        </w:rPr>
        <w:t>first-world</w:t>
      </w:r>
      <w:r w:rsidRPr="00845716">
        <w:rPr>
          <w:color w:val="000000"/>
          <w:lang w:val="en-GB"/>
        </w:rPr>
        <w:t xml:space="preserve"> and third-world countries. </w:t>
      </w:r>
    </w:p>
    <w:p w14:paraId="7339B29A" w14:textId="2AFC001A" w:rsidR="00A87FEF" w:rsidRPr="00845716" w:rsidRDefault="00A87FEF" w:rsidP="00A87FEF">
      <w:pPr>
        <w:pStyle w:val="NormalWeb"/>
        <w:spacing w:before="240" w:beforeAutospacing="0" w:after="0" w:afterAutospacing="0"/>
        <w:rPr>
          <w:lang w:val="en-GB"/>
        </w:rPr>
      </w:pPr>
      <w:r w:rsidRPr="00845716">
        <w:rPr>
          <w:color w:val="000000"/>
          <w:lang w:val="en-GB"/>
        </w:rPr>
        <w:t xml:space="preserve">With the aim of implementing the cyclical economy given the above incentives, one can conclude that there are positive and negative sides to implementing an end-of-waste strategy. For developing countries, the landfill option has been the only waste disposal solution, given their limited infrastructure, resources and technology. However, developed nations have the option </w:t>
      </w:r>
      <w:r w:rsidR="002766D2" w:rsidRPr="00845716">
        <w:rPr>
          <w:color w:val="000000"/>
          <w:lang w:val="en-GB"/>
        </w:rPr>
        <w:t>of advanced</w:t>
      </w:r>
      <w:r w:rsidRPr="00845716">
        <w:rPr>
          <w:color w:val="000000"/>
          <w:lang w:val="en-GB"/>
        </w:rPr>
        <w:t xml:space="preserve"> recycling and waste disposal systems</w:t>
      </w:r>
      <w:r w:rsidR="002766D2">
        <w:rPr>
          <w:color w:val="000000"/>
          <w:lang w:val="en-GB"/>
        </w:rPr>
        <w:t>. Alternatively,</w:t>
      </w:r>
      <w:r w:rsidRPr="00845716">
        <w:rPr>
          <w:color w:val="000000"/>
          <w:lang w:val="en-GB"/>
        </w:rPr>
        <w:t xml:space="preserve"> they can also ship and recycle such waste products. These products would then be able to re-enter the manufacturing process, thus saving the planet's primary resources. Foreseeable problems with this option would include transportation costs and the receiving country refusing to accept the waste based on irregularities in the screening process. This occurred in 2017 when China banned the importation of plastic for recycling due to poor quality. The waste was of such poor quality that it led to dangerous working conditions and large quantities being sent to landfills instead of being recycled (Wen et al., 2021). The EU must be able to ensure the screening process for refuse received by participating countries are of an internationally regulated and accepted standard (Newman, 2015).</w:t>
      </w:r>
    </w:p>
    <w:p w14:paraId="0785B4DC" w14:textId="77777777" w:rsidR="00A87FEF" w:rsidRPr="00845716" w:rsidRDefault="00A87FEF" w:rsidP="00A87FEF">
      <w:pPr>
        <w:pStyle w:val="NormalWeb"/>
        <w:spacing w:before="240" w:beforeAutospacing="0" w:after="0" w:afterAutospacing="0"/>
        <w:rPr>
          <w:lang w:val="en-GB"/>
        </w:rPr>
      </w:pPr>
      <w:r w:rsidRPr="00845716">
        <w:rPr>
          <w:color w:val="000000"/>
          <w:lang w:val="en-GB"/>
        </w:rPr>
        <w:t xml:space="preserve"> While government subsidies such as preferential taxes and duties for goods and services are generally seen as positive responses by the government for implementing the cyclical economics model, it also has drawbacks if not properly and thoughtfully implemented. Businesses without the benefit of the necessary infrastructure, finances, or technology or even without the need to recycle large amounts of waste can find themselves locked out of these </w:t>
      </w:r>
      <w:proofErr w:type="gramStart"/>
      <w:r w:rsidRPr="00845716">
        <w:rPr>
          <w:color w:val="000000"/>
          <w:lang w:val="en-GB"/>
        </w:rPr>
        <w:t>particular fiscal</w:t>
      </w:r>
      <w:proofErr w:type="gramEnd"/>
      <w:r w:rsidRPr="00845716">
        <w:rPr>
          <w:color w:val="000000"/>
          <w:lang w:val="en-GB"/>
        </w:rPr>
        <w:t xml:space="preserve"> incentives. In essence, small and medium size businesses may inadvertently be punished because of a lack of waste materials to recycle or the necessary waste technology to meet a government mandate or policy (ABGI-UK, 2021). Low-interest business loans, grants or infrastructural rehabilitation are among fiscal measures that can be introduced to accommodate the smooth progression from linear to cyclical economics. However, if the political will to commit is lacking, the outcome could be doomed before it even begins, negatively impacting initial </w:t>
      </w:r>
      <w:r w:rsidRPr="00845716">
        <w:rPr>
          <w:color w:val="000000"/>
          <w:lang w:val="en-GB"/>
        </w:rPr>
        <w:lastRenderedPageBreak/>
        <w:t xml:space="preserve">investment costs and suppressing future commitments from the private sector.  This is also evident in small countries where multinational firms are given tax breaks and concessions to start-up businesses within the country. However, at the end of these concessions, the company would essentially “close up shop” and move to another country. As a result, countries lose between nine and a half and sixteen per cent of their GDP annually through concessions (Goyal and Chai, 2008).                                                                                                                  </w:t>
      </w:r>
      <w:r w:rsidRPr="00845716">
        <w:rPr>
          <w:rStyle w:val="apple-tab-span"/>
          <w:color w:val="000000"/>
          <w:lang w:val="en-GB"/>
        </w:rPr>
        <w:tab/>
      </w:r>
    </w:p>
    <w:p w14:paraId="2F781997" w14:textId="77777777" w:rsidR="00A87FEF" w:rsidRPr="00845716" w:rsidRDefault="00A87FEF" w:rsidP="00A87FEF">
      <w:pPr>
        <w:pStyle w:val="NormalWeb"/>
        <w:spacing w:before="240" w:beforeAutospacing="0" w:after="0" w:afterAutospacing="0"/>
        <w:rPr>
          <w:lang w:val="en-GB"/>
        </w:rPr>
      </w:pPr>
      <w:r w:rsidRPr="00845716">
        <w:rPr>
          <w:color w:val="000000"/>
          <w:lang w:val="en-GB"/>
        </w:rPr>
        <w:t xml:space="preserve">As it pertains to removing and reducing existing subsidies, such as the plan in New Zealand concerning farmers and the “Cow tax”. Based on reports, this tax would be an un-welcomed additional financial burden with implications that impact the survivability of farmers, particularly indigenous farmers who have been marginalised or are at the lower end on the income or production scale. The cow tax would undoubtedly be to the detriment of farmers, as stated by the biggest lobbying group in New Zealand, the </w:t>
      </w:r>
      <w:r w:rsidRPr="00845716">
        <w:rPr>
          <w:color w:val="333333"/>
          <w:shd w:val="clear" w:color="auto" w:fill="FFFFFF"/>
          <w:lang w:val="en-GB"/>
        </w:rPr>
        <w:t>Federated Farmers, stating that the plan would “rip the guts out of small-town New Zealand” (Wogan, 2022). </w:t>
      </w:r>
    </w:p>
    <w:p w14:paraId="2D7A7C24" w14:textId="77777777" w:rsidR="00A87FEF" w:rsidRPr="00845716" w:rsidRDefault="00A87FEF" w:rsidP="00A87FEF">
      <w:pPr>
        <w:pStyle w:val="NormalWeb"/>
        <w:spacing w:before="240" w:beforeAutospacing="0" w:after="200" w:afterAutospacing="0"/>
        <w:rPr>
          <w:lang w:val="en-GB"/>
        </w:rPr>
      </w:pPr>
      <w:r w:rsidRPr="00845716">
        <w:rPr>
          <w:color w:val="000000"/>
          <w:lang w:val="en-GB"/>
        </w:rPr>
        <w:t>Even though they are willing to embrace cyclical economics, many developing nations need the capabilities to provide the necessary assistance to their corporate citizens. In this event, assistance from international organisations with the skill set, knowledge and financial support is essential in changing from linear to cyclical economics. The financial aid does, however, come with its own conditions or “strings attached” where receiving countries are forced to develop one sector as a condition to receiving such funds. Meanwhile, some countries are forced to use said funds within a specific timeframe or risk having the funds withdrawn. According to International Accounting Standards (IAS), “A government grant is recognised only when there is reasonable assurance that (a) the entity will comply with any conditions attached to the grant and (b) the grant will be received” (International Accounting Standards (IAS), n.d.).</w:t>
      </w:r>
    </w:p>
    <w:p w14:paraId="4EF93317" w14:textId="18B8CF52" w:rsidR="00A87FEF" w:rsidRPr="00845716" w:rsidRDefault="00A87FEF" w:rsidP="00A87FEF">
      <w:pPr>
        <w:pStyle w:val="NormalWeb"/>
        <w:spacing w:before="240" w:beforeAutospacing="0" w:after="240" w:afterAutospacing="0"/>
        <w:rPr>
          <w:lang w:val="en-GB"/>
        </w:rPr>
      </w:pPr>
      <w:r w:rsidRPr="00845716">
        <w:rPr>
          <w:color w:val="000000"/>
          <w:lang w:val="en-GB"/>
        </w:rPr>
        <w:t>Additional steps must be taken to formulate measures to decrease waste in landfills, giving businesses incentives to recycle more. Such actions can include generating templates that best suit government policy, business needs and prospective clients. Government policy should offset initial investment costs through the subsidies mentioned above</w:t>
      </w:r>
      <w:r w:rsidR="00866132">
        <w:rPr>
          <w:color w:val="000000"/>
          <w:lang w:val="en-GB"/>
        </w:rPr>
        <w:t>,</w:t>
      </w:r>
      <w:r w:rsidRPr="00845716">
        <w:rPr>
          <w:color w:val="000000"/>
          <w:lang w:val="en-GB"/>
        </w:rPr>
        <w:t xml:space="preserve"> exuding confidence in the mindset of potential customers. These measures are vital to a </w:t>
      </w:r>
      <w:r w:rsidR="00866132">
        <w:rPr>
          <w:color w:val="000000"/>
          <w:lang w:val="en-GB"/>
        </w:rPr>
        <w:t>business’s</w:t>
      </w:r>
      <w:r w:rsidRPr="00845716">
        <w:rPr>
          <w:color w:val="000000"/>
          <w:lang w:val="en-GB"/>
        </w:rPr>
        <w:t xml:space="preserve"> growth and development. Customers must see the benefits to them and their environment. </w:t>
      </w:r>
    </w:p>
    <w:p w14:paraId="4929D42B" w14:textId="4D572A0C" w:rsidR="00A87FEF" w:rsidRPr="00845716" w:rsidRDefault="00A87FEF" w:rsidP="00A87FEF">
      <w:pPr>
        <w:pStyle w:val="NormalWeb"/>
        <w:spacing w:before="240" w:beforeAutospacing="0" w:after="0" w:afterAutospacing="0"/>
        <w:rPr>
          <w:lang w:val="en-GB"/>
        </w:rPr>
      </w:pPr>
      <w:r w:rsidRPr="00845716">
        <w:rPr>
          <w:color w:val="000000"/>
          <w:lang w:val="en-GB"/>
        </w:rPr>
        <w:t xml:space="preserve">In conclusion, humans share the same planet and its </w:t>
      </w:r>
      <w:r w:rsidR="00093947">
        <w:rPr>
          <w:color w:val="000000"/>
          <w:lang w:val="en-GB"/>
        </w:rPr>
        <w:t>renewable or non-renewable resources</w:t>
      </w:r>
      <w:r w:rsidRPr="00845716">
        <w:rPr>
          <w:color w:val="000000"/>
          <w:lang w:val="en-GB"/>
        </w:rPr>
        <w:t>. This means that we share fate should we destroy the earth. With the continued depletion of the planet's natural resources at a high rate in the last century, countries are now at a crossroads. They have no choice but to start implementing cyclical economics to protect the planet’s limited resources. For the circular economy to be implemented globally, we must utilise the reduce, reuse, and recycle methods in today's system. In turn, we will be able to separate growth and production from the planet's natural resources.  As Boulding stated, “the objective of economic policy should not be to maximise consumption or production, but rather to minimise it” (Boulding, 1971, p.267). It is safe to say that the industrial revolution propelled the linear economy, which drastically altered the earth’s ecology and how we perceive the environment. Still, with a shift in thinking and awareness of our actions, we can evolve this time in a positive way that protects our planet for generations to come.</w:t>
      </w:r>
    </w:p>
    <w:p w14:paraId="4106D40E" w14:textId="04824DE7" w:rsidR="00E5189E" w:rsidRPr="00845716" w:rsidRDefault="006822AA" w:rsidP="00E5189E">
      <w:pPr>
        <w:spacing w:line="276" w:lineRule="auto"/>
        <w:rPr>
          <w:rFonts w:ascii="Times New Roman" w:hAnsi="Times New Roman" w:cs="Times New Roman"/>
          <w:sz w:val="24"/>
          <w:szCs w:val="24"/>
        </w:rPr>
      </w:pPr>
      <w:r w:rsidRPr="00845716">
        <w:rPr>
          <w:rFonts w:ascii="Times New Roman" w:eastAsia="Times New Roman" w:hAnsi="Times New Roman" w:cs="Times New Roman"/>
          <w:sz w:val="24"/>
          <w:szCs w:val="24"/>
        </w:rPr>
        <w:br/>
      </w:r>
      <w:r w:rsidR="00E5189E" w:rsidRPr="00845716">
        <w:rPr>
          <w:rFonts w:ascii="Times New Roman" w:hAnsi="Times New Roman" w:cs="Times New Roman"/>
          <w:sz w:val="24"/>
          <w:szCs w:val="24"/>
        </w:rPr>
        <w:br w:type="page"/>
      </w:r>
    </w:p>
    <w:p w14:paraId="1EEDFFB4" w14:textId="77777777" w:rsidR="00E5189E" w:rsidRPr="00845716" w:rsidRDefault="00E5189E" w:rsidP="00E5189E">
      <w:pPr>
        <w:pStyle w:val="NormalWeb"/>
        <w:spacing w:before="0" w:beforeAutospacing="0" w:after="240" w:afterAutospacing="0" w:line="276" w:lineRule="auto"/>
        <w:rPr>
          <w:sz w:val="32"/>
          <w:szCs w:val="32"/>
          <w:lang w:val="en-GB"/>
        </w:rPr>
      </w:pPr>
      <w:r w:rsidRPr="00845716">
        <w:rPr>
          <w:sz w:val="32"/>
          <w:szCs w:val="32"/>
          <w:lang w:val="en-GB"/>
        </w:rPr>
        <w:lastRenderedPageBreak/>
        <w:t>Reference list</w:t>
      </w:r>
    </w:p>
    <w:p w14:paraId="2B775FC1" w14:textId="77777777" w:rsidR="00E5189E" w:rsidRPr="00845716" w:rsidRDefault="00E5189E" w:rsidP="00E5189E">
      <w:pPr>
        <w:pStyle w:val="NormalWeb"/>
        <w:spacing w:before="0" w:beforeAutospacing="0" w:after="240" w:afterAutospacing="0" w:line="276" w:lineRule="auto"/>
        <w:rPr>
          <w:lang w:val="en-GB"/>
        </w:rPr>
      </w:pPr>
      <w:r w:rsidRPr="00845716">
        <w:rPr>
          <w:lang w:val="en-GB"/>
        </w:rPr>
        <w:t xml:space="preserve">ABGI-UK (2021). </w:t>
      </w:r>
      <w:r w:rsidRPr="00845716">
        <w:rPr>
          <w:i/>
          <w:iCs/>
          <w:lang w:val="en-GB"/>
        </w:rPr>
        <w:t>R&amp;D Tax Relief in Waste Management and Recycling</w:t>
      </w:r>
      <w:r w:rsidRPr="00845716">
        <w:rPr>
          <w:lang w:val="en-GB"/>
        </w:rPr>
        <w:t>. [online] ABGI UK. Available at: https://www.abgi-uk.com/knowledge-library/rd-tax-relief-in-waste-management-recycling/ [Accessed 8 Feb. 2023].</w:t>
      </w:r>
    </w:p>
    <w:p w14:paraId="1DA12DE8" w14:textId="77777777" w:rsidR="00E5189E" w:rsidRPr="00845716" w:rsidRDefault="00E5189E" w:rsidP="00E5189E">
      <w:pPr>
        <w:pStyle w:val="NormalWeb"/>
        <w:spacing w:before="0" w:beforeAutospacing="0" w:after="240" w:afterAutospacing="0" w:line="276" w:lineRule="auto"/>
        <w:rPr>
          <w:lang w:val="en-GB"/>
        </w:rPr>
      </w:pPr>
      <w:r w:rsidRPr="00845716">
        <w:rPr>
          <w:lang w:val="en-GB"/>
        </w:rPr>
        <w:t xml:space="preserve">Bigliardi, B., </w:t>
      </w:r>
      <w:proofErr w:type="spellStart"/>
      <w:r w:rsidRPr="00845716">
        <w:rPr>
          <w:lang w:val="en-GB"/>
        </w:rPr>
        <w:t>Campisi</w:t>
      </w:r>
      <w:proofErr w:type="spellEnd"/>
      <w:r w:rsidRPr="00845716">
        <w:rPr>
          <w:lang w:val="en-GB"/>
        </w:rPr>
        <w:t xml:space="preserve">, D., Ferraro, G., </w:t>
      </w:r>
      <w:proofErr w:type="spellStart"/>
      <w:r w:rsidRPr="00845716">
        <w:rPr>
          <w:lang w:val="en-GB"/>
        </w:rPr>
        <w:t>Filippelli</w:t>
      </w:r>
      <w:proofErr w:type="spellEnd"/>
      <w:r w:rsidRPr="00845716">
        <w:rPr>
          <w:lang w:val="en-GB"/>
        </w:rPr>
        <w:t xml:space="preserve">, S., Galati, F. and </w:t>
      </w:r>
      <w:proofErr w:type="spellStart"/>
      <w:r w:rsidRPr="00845716">
        <w:rPr>
          <w:lang w:val="en-GB"/>
        </w:rPr>
        <w:t>Petroni</w:t>
      </w:r>
      <w:proofErr w:type="spellEnd"/>
      <w:r w:rsidRPr="00845716">
        <w:rPr>
          <w:lang w:val="en-GB"/>
        </w:rPr>
        <w:t xml:space="preserve">, A. (2020). The Intention to Purchase Recycled Products: Towards an Integrative Theoretical Framework. </w:t>
      </w:r>
      <w:r w:rsidRPr="00845716">
        <w:rPr>
          <w:i/>
          <w:iCs/>
          <w:lang w:val="en-GB"/>
        </w:rPr>
        <w:t>Sustainability</w:t>
      </w:r>
      <w:r w:rsidRPr="00845716">
        <w:rPr>
          <w:lang w:val="en-GB"/>
        </w:rPr>
        <w:t>, [online] 12(22), p.9739. doi:https://doi.org/10.3390/su12229739.</w:t>
      </w:r>
    </w:p>
    <w:p w14:paraId="4B6AD900" w14:textId="63B4C062" w:rsidR="00E5189E" w:rsidRPr="00845716" w:rsidRDefault="00E5189E" w:rsidP="00E5189E">
      <w:pPr>
        <w:pStyle w:val="NormalWeb"/>
        <w:spacing w:before="0" w:beforeAutospacing="0" w:after="240" w:afterAutospacing="0" w:line="276" w:lineRule="auto"/>
        <w:rPr>
          <w:lang w:val="en-GB"/>
        </w:rPr>
      </w:pPr>
      <w:r w:rsidRPr="00845716">
        <w:rPr>
          <w:lang w:val="en-GB"/>
        </w:rPr>
        <w:t>Boulding, K.E. (1971). Population the First Essay, reprinted in F.E. Glahe (ed.). vol II, p.267. Foreword to T. R. Malthus. CO: Colorado Associated Press</w:t>
      </w:r>
      <w:r w:rsidR="00D64744" w:rsidRPr="00845716">
        <w:rPr>
          <w:lang w:val="en-GB"/>
        </w:rPr>
        <w:t xml:space="preserve"> </w:t>
      </w:r>
      <w:r w:rsidR="00D64744" w:rsidRPr="00845716">
        <w:rPr>
          <w:lang w:val="en-GB"/>
        </w:rPr>
        <w:t>[Accessed 2 Feb. 2023].</w:t>
      </w:r>
    </w:p>
    <w:p w14:paraId="5D13A5EC" w14:textId="77777777" w:rsidR="00E5189E" w:rsidRPr="00845716" w:rsidRDefault="00E5189E" w:rsidP="00E5189E">
      <w:pPr>
        <w:pStyle w:val="NormalWeb"/>
        <w:spacing w:before="0" w:beforeAutospacing="0" w:after="240" w:afterAutospacing="0" w:line="276" w:lineRule="auto"/>
        <w:rPr>
          <w:lang w:val="en-GB"/>
        </w:rPr>
      </w:pPr>
      <w:r w:rsidRPr="00845716">
        <w:rPr>
          <w:lang w:val="en-GB"/>
        </w:rPr>
        <w:t xml:space="preserve">Cardoso, J. (2018). </w:t>
      </w:r>
      <w:r w:rsidRPr="00845716">
        <w:rPr>
          <w:i/>
          <w:iCs/>
          <w:lang w:val="en-GB"/>
        </w:rPr>
        <w:t>The circular economy: historical grounds</w:t>
      </w:r>
      <w:r w:rsidRPr="00845716">
        <w:rPr>
          <w:lang w:val="en-GB"/>
        </w:rPr>
        <w:t>. [online] pp.115–127. Available at: https://www.ics.ulisboa.pt/books/book3/ch04.pdf [Accessed 2 Feb. 2023]. Vol III.</w:t>
      </w:r>
    </w:p>
    <w:p w14:paraId="55D12F2B" w14:textId="77777777" w:rsidR="00E5189E" w:rsidRPr="00845716" w:rsidRDefault="00E5189E" w:rsidP="00E5189E">
      <w:pPr>
        <w:pStyle w:val="NormalWeb"/>
        <w:spacing w:before="0" w:beforeAutospacing="0" w:after="240" w:afterAutospacing="0" w:line="276" w:lineRule="auto"/>
        <w:rPr>
          <w:lang w:val="en-GB"/>
        </w:rPr>
      </w:pPr>
      <w:r w:rsidRPr="00845716">
        <w:rPr>
          <w:lang w:val="en-GB"/>
        </w:rPr>
        <w:t xml:space="preserve">Cherif, R., Hasanov, F. and Husain, A.M. (2017). </w:t>
      </w:r>
      <w:r w:rsidRPr="00845716">
        <w:rPr>
          <w:i/>
          <w:iCs/>
          <w:lang w:val="en-GB"/>
        </w:rPr>
        <w:t>End of the Oil Age: Not Whether But When</w:t>
      </w:r>
      <w:r w:rsidRPr="00845716">
        <w:rPr>
          <w:lang w:val="en-GB"/>
        </w:rPr>
        <w:t>. [online] IMF. Available at: https://www.imf.org/en/Blogs/Articles/2017/09/12/end-of-the-oil-age-not-whether-but-when#:~:text=As%20Sheikh%20Zaki%20Yamani%2C%20a [Accessed 26 Jan. 2023].</w:t>
      </w:r>
    </w:p>
    <w:p w14:paraId="550B55B1" w14:textId="77777777" w:rsidR="00E5189E" w:rsidRPr="00845716" w:rsidRDefault="00E5189E" w:rsidP="00E5189E">
      <w:pPr>
        <w:pStyle w:val="NormalWeb"/>
        <w:spacing w:before="0" w:beforeAutospacing="0" w:after="240" w:afterAutospacing="0" w:line="276" w:lineRule="auto"/>
        <w:rPr>
          <w:lang w:val="en-GB"/>
        </w:rPr>
      </w:pPr>
      <w:r w:rsidRPr="00845716">
        <w:rPr>
          <w:lang w:val="en-GB"/>
        </w:rPr>
        <w:t xml:space="preserve">City of Richmond Hill (2022). </w:t>
      </w:r>
      <w:r w:rsidRPr="00845716">
        <w:rPr>
          <w:i/>
          <w:iCs/>
          <w:lang w:val="en-GB"/>
        </w:rPr>
        <w:t>Reducing Single-Use Items</w:t>
      </w:r>
      <w:r w:rsidRPr="00845716">
        <w:rPr>
          <w:lang w:val="en-GB"/>
        </w:rPr>
        <w:t>. [online] www.richmondhill.ca. Available at: https://www.richmondhill.ca/en/our-services/reducing-single-use-items.aspx [Accessed 10 Feb. 2023].</w:t>
      </w:r>
    </w:p>
    <w:p w14:paraId="2EE355AC" w14:textId="77777777" w:rsidR="00E5189E" w:rsidRPr="00845716" w:rsidRDefault="00E5189E" w:rsidP="00E5189E">
      <w:pPr>
        <w:pStyle w:val="NormalWeb"/>
        <w:spacing w:before="0" w:beforeAutospacing="0" w:after="240" w:afterAutospacing="0" w:line="276" w:lineRule="auto"/>
        <w:rPr>
          <w:lang w:val="en-GB"/>
        </w:rPr>
      </w:pPr>
      <w:r w:rsidRPr="00845716">
        <w:rPr>
          <w:lang w:val="en-GB"/>
        </w:rPr>
        <w:t xml:space="preserve">Directorate-General for Research and Innovation (European Commission), Katrakis, E., Nacci, G. and Couder, N. (2021). </w:t>
      </w:r>
      <w:r w:rsidRPr="00845716">
        <w:rPr>
          <w:i/>
          <w:iCs/>
          <w:lang w:val="en-GB"/>
        </w:rPr>
        <w:t>Incentives to boost the circular economy : a guide for public authorities</w:t>
      </w:r>
      <w:r w:rsidRPr="00845716">
        <w:rPr>
          <w:lang w:val="en-GB"/>
        </w:rPr>
        <w:t xml:space="preserve">. [online] </w:t>
      </w:r>
      <w:r w:rsidRPr="00845716">
        <w:rPr>
          <w:i/>
          <w:iCs/>
          <w:lang w:val="en-GB"/>
        </w:rPr>
        <w:t>Publications Office of the European Union</w:t>
      </w:r>
      <w:r w:rsidRPr="00845716">
        <w:rPr>
          <w:lang w:val="en-GB"/>
        </w:rPr>
        <w:t>, LU: Publications Office of the European Union, pp.11–16. Available at: https://op.europa.eu/en/publication-detail/-/publication/51378e0a-d303-11eb-ac72-01aa75ed71a1 [Accessed 3 Feb. 2023].</w:t>
      </w:r>
    </w:p>
    <w:p w14:paraId="625A7050" w14:textId="77777777" w:rsidR="00E5189E" w:rsidRPr="00845716" w:rsidRDefault="00E5189E" w:rsidP="00E5189E">
      <w:pPr>
        <w:pStyle w:val="NormalWeb"/>
        <w:spacing w:before="0" w:beforeAutospacing="0" w:after="240" w:afterAutospacing="0" w:line="276" w:lineRule="auto"/>
        <w:rPr>
          <w:lang w:val="en-GB"/>
        </w:rPr>
      </w:pPr>
      <w:r w:rsidRPr="00845716">
        <w:rPr>
          <w:lang w:val="en-GB"/>
        </w:rPr>
        <w:t xml:space="preserve">Environmental Protection Agency (n.d.). </w:t>
      </w:r>
      <w:r w:rsidRPr="00845716">
        <w:rPr>
          <w:i/>
          <w:iCs/>
          <w:lang w:val="en-GB"/>
        </w:rPr>
        <w:t>End of Waste (Art. 28)</w:t>
      </w:r>
      <w:r w:rsidRPr="00845716">
        <w:rPr>
          <w:lang w:val="en-GB"/>
        </w:rPr>
        <w:t>. [online] www.epa.ie. Available at: https://www.epa.ie/our-services/licensing/waste/end-of-waste-art-28/ [Accessed 3 Feb. 2023].</w:t>
      </w:r>
    </w:p>
    <w:p w14:paraId="42939C2E" w14:textId="77777777" w:rsidR="00E5189E" w:rsidRPr="00845716" w:rsidRDefault="00E5189E" w:rsidP="00E5189E">
      <w:pPr>
        <w:pStyle w:val="NormalWeb"/>
        <w:spacing w:before="0" w:beforeAutospacing="0" w:after="240" w:afterAutospacing="0" w:line="276" w:lineRule="auto"/>
        <w:rPr>
          <w:lang w:val="en-GB"/>
        </w:rPr>
      </w:pPr>
      <w:r w:rsidRPr="00845716">
        <w:rPr>
          <w:lang w:val="en-GB"/>
        </w:rPr>
        <w:t xml:space="preserve">European Commission (2020). </w:t>
      </w:r>
      <w:r w:rsidRPr="00845716">
        <w:rPr>
          <w:i/>
          <w:iCs/>
          <w:lang w:val="en-GB"/>
        </w:rPr>
        <w:t>Clean Energy Transition</w:t>
      </w:r>
      <w:r w:rsidRPr="00845716">
        <w:rPr>
          <w:lang w:val="en-GB"/>
        </w:rPr>
        <w:t>. [online] cinea.ec.europa.eu. Available at: https://cinea.ec.europa.eu/programmes/life/clean-energy-transition_en [Accessed 3 Feb. 2023].</w:t>
      </w:r>
    </w:p>
    <w:p w14:paraId="33DB78DD" w14:textId="77777777" w:rsidR="00E5189E" w:rsidRPr="00845716" w:rsidRDefault="00E5189E" w:rsidP="00E5189E">
      <w:pPr>
        <w:pStyle w:val="NormalWeb"/>
        <w:spacing w:before="0" w:beforeAutospacing="0" w:after="240" w:afterAutospacing="0" w:line="276" w:lineRule="auto"/>
        <w:rPr>
          <w:lang w:val="en-GB"/>
        </w:rPr>
      </w:pPr>
      <w:r w:rsidRPr="00845716">
        <w:rPr>
          <w:lang w:val="en-GB"/>
        </w:rPr>
        <w:t xml:space="preserve">European Commission (n.d.). </w:t>
      </w:r>
      <w:r w:rsidRPr="00845716">
        <w:rPr>
          <w:i/>
          <w:iCs/>
          <w:lang w:val="en-GB"/>
        </w:rPr>
        <w:t>EU funding possibilities in the energy sector</w:t>
      </w:r>
      <w:r w:rsidRPr="00845716">
        <w:rPr>
          <w:lang w:val="en-GB"/>
        </w:rPr>
        <w:t>. [online] energy.ec.europa.eu. Available at: https://energy.ec.europa.eu/topics/funding-and-financing/eu-funding-possibilities-energy-sector_en#:~:text=With%20a%20budget%20close%20to [Accessed 6 Feb. 2023].</w:t>
      </w:r>
    </w:p>
    <w:p w14:paraId="05B87C32" w14:textId="77777777" w:rsidR="00E5189E" w:rsidRPr="00845716" w:rsidRDefault="00E5189E" w:rsidP="00E5189E">
      <w:pPr>
        <w:pStyle w:val="NormalWeb"/>
        <w:spacing w:before="0" w:beforeAutospacing="0" w:after="240" w:afterAutospacing="0" w:line="276" w:lineRule="auto"/>
        <w:rPr>
          <w:lang w:val="en-GB"/>
        </w:rPr>
      </w:pPr>
      <w:r w:rsidRPr="00845716">
        <w:rPr>
          <w:lang w:val="en-GB"/>
        </w:rPr>
        <w:lastRenderedPageBreak/>
        <w:t xml:space="preserve">Eurostat (2023). </w:t>
      </w:r>
      <w:r w:rsidRPr="00845716">
        <w:rPr>
          <w:i/>
          <w:iCs/>
          <w:lang w:val="en-GB"/>
        </w:rPr>
        <w:t>Share of energy from renewable sources</w:t>
      </w:r>
      <w:r w:rsidRPr="00845716">
        <w:rPr>
          <w:lang w:val="en-GB"/>
        </w:rPr>
        <w:t>. [online] Europa.eu. Available at: https://ec.europa.eu/eurostat/databrowser/view/NRG_IND_REN/default/table?lang=en&amp;category=nrg.nrg_quant.nrg_quanta.nrg_ind.nrg_ind_share [Accessed 3 Feb. 2023].</w:t>
      </w:r>
    </w:p>
    <w:p w14:paraId="11814FB3" w14:textId="77777777" w:rsidR="00E5189E" w:rsidRPr="00845716" w:rsidRDefault="00E5189E" w:rsidP="00E5189E">
      <w:pPr>
        <w:pStyle w:val="NormalWeb"/>
        <w:spacing w:before="0" w:beforeAutospacing="0" w:after="240" w:afterAutospacing="0" w:line="276" w:lineRule="auto"/>
        <w:rPr>
          <w:lang w:val="en-GB"/>
        </w:rPr>
      </w:pPr>
      <w:r w:rsidRPr="00845716">
        <w:rPr>
          <w:lang w:val="en-GB"/>
        </w:rPr>
        <w:t xml:space="preserve">George, D.A.R., Lin, B.C. and Chen, Y. (2015). A circular economy model of economic growth. </w:t>
      </w:r>
      <w:r w:rsidRPr="00845716">
        <w:rPr>
          <w:i/>
          <w:iCs/>
          <w:lang w:val="en-GB"/>
        </w:rPr>
        <w:t>Environmental Modelling &amp; Software</w:t>
      </w:r>
      <w:r w:rsidRPr="00845716">
        <w:rPr>
          <w:lang w:val="en-GB"/>
        </w:rPr>
        <w:t>, 73, pp.60–63. doi:https://doi.org/10.1016/j.envsoft.2015.06.014.</w:t>
      </w:r>
    </w:p>
    <w:p w14:paraId="28DB4F16" w14:textId="77777777" w:rsidR="00E5189E" w:rsidRPr="00845716" w:rsidRDefault="00E5189E" w:rsidP="00E5189E">
      <w:pPr>
        <w:pStyle w:val="NormalWeb"/>
        <w:spacing w:before="0" w:beforeAutospacing="0" w:after="240" w:afterAutospacing="0" w:line="276" w:lineRule="auto"/>
        <w:rPr>
          <w:lang w:val="en-GB"/>
        </w:rPr>
      </w:pPr>
      <w:r w:rsidRPr="00845716">
        <w:rPr>
          <w:lang w:val="en-GB"/>
        </w:rPr>
        <w:t xml:space="preserve">Goyal, R. and Chai, J. (2008). Tax Concessions and Foreign Direct Investmentin the Eastern Caribbean Currency Union. </w:t>
      </w:r>
      <w:r w:rsidRPr="00845716">
        <w:rPr>
          <w:i/>
          <w:iCs/>
          <w:lang w:val="en-GB"/>
        </w:rPr>
        <w:t>SSRN Electronic Journal</w:t>
      </w:r>
      <w:r w:rsidRPr="00845716">
        <w:rPr>
          <w:lang w:val="en-GB"/>
        </w:rPr>
        <w:t>. doi:https://doi.org/10.2139/ssrn.1316725.</w:t>
      </w:r>
    </w:p>
    <w:p w14:paraId="0075B64B" w14:textId="77777777" w:rsidR="00E5189E" w:rsidRPr="00845716" w:rsidRDefault="00E5189E" w:rsidP="00E5189E">
      <w:pPr>
        <w:pStyle w:val="NormalWeb"/>
        <w:spacing w:before="0" w:beforeAutospacing="0" w:after="240" w:afterAutospacing="0" w:line="276" w:lineRule="auto"/>
        <w:rPr>
          <w:lang w:val="en-GB"/>
        </w:rPr>
      </w:pPr>
      <w:r w:rsidRPr="00845716">
        <w:rPr>
          <w:lang w:val="en-GB"/>
        </w:rPr>
        <w:t xml:space="preserve">Hartini, S., Wicaksono, P.A., Rizal, A.M.D. and Hamdi, M. (2020). Integration lean manufacturing and 6R to reduce wood waste in furniture company toward circular economy. </w:t>
      </w:r>
      <w:r w:rsidRPr="00845716">
        <w:rPr>
          <w:i/>
          <w:iCs/>
          <w:lang w:val="en-GB"/>
        </w:rPr>
        <w:t>IOP Conf. Ser. Mater. Sci. Eng</w:t>
      </w:r>
      <w:r w:rsidRPr="00845716">
        <w:rPr>
          <w:lang w:val="en-GB"/>
        </w:rPr>
        <w:t>, [online] 1072(1). doi:https://doi.org/10.1088/1757-899x/1072/1/012067 p. 012067.</w:t>
      </w:r>
    </w:p>
    <w:p w14:paraId="3EDF10AC" w14:textId="77777777" w:rsidR="00E5189E" w:rsidRPr="00845716" w:rsidRDefault="00E5189E" w:rsidP="00E5189E">
      <w:pPr>
        <w:pStyle w:val="NormalWeb"/>
        <w:spacing w:before="0" w:beforeAutospacing="0" w:after="240" w:afterAutospacing="0" w:line="276" w:lineRule="auto"/>
        <w:rPr>
          <w:lang w:val="en-GB"/>
        </w:rPr>
      </w:pPr>
      <w:r w:rsidRPr="00845716">
        <w:rPr>
          <w:lang w:val="en-GB"/>
        </w:rPr>
        <w:t xml:space="preserve">International Accounting Standards (IAS) (n.d.). </w:t>
      </w:r>
      <w:r w:rsidRPr="00845716">
        <w:rPr>
          <w:i/>
          <w:iCs/>
          <w:lang w:val="en-GB"/>
        </w:rPr>
        <w:t>IAS 20 — Accounting for Government Grants and Disclosure of Government Assistance</w:t>
      </w:r>
      <w:r w:rsidRPr="00845716">
        <w:rPr>
          <w:lang w:val="en-GB"/>
        </w:rPr>
        <w:t>. [online] www.iasplus.com. Available at: https://www.iasplus.com/en/standards/ias/ias20 [Accessed 10 Feb. 2023].</w:t>
      </w:r>
    </w:p>
    <w:p w14:paraId="0E8F5D85" w14:textId="77777777" w:rsidR="00E5189E" w:rsidRPr="00845716" w:rsidRDefault="00E5189E" w:rsidP="00E5189E">
      <w:pPr>
        <w:pStyle w:val="NormalWeb"/>
        <w:spacing w:before="0" w:beforeAutospacing="0" w:after="240" w:afterAutospacing="0" w:line="276" w:lineRule="auto"/>
        <w:rPr>
          <w:lang w:val="en-GB"/>
        </w:rPr>
      </w:pPr>
      <w:r w:rsidRPr="00845716">
        <w:rPr>
          <w:lang w:val="en-GB"/>
        </w:rPr>
        <w:t xml:space="preserve">Kirchherr, J., </w:t>
      </w:r>
      <w:proofErr w:type="spellStart"/>
      <w:r w:rsidRPr="00845716">
        <w:rPr>
          <w:lang w:val="en-GB"/>
        </w:rPr>
        <w:t>Piscicelli</w:t>
      </w:r>
      <w:proofErr w:type="spellEnd"/>
      <w:r w:rsidRPr="00845716">
        <w:rPr>
          <w:lang w:val="en-GB"/>
        </w:rPr>
        <w:t xml:space="preserve">, L., Bour, R., </w:t>
      </w:r>
      <w:proofErr w:type="spellStart"/>
      <w:r w:rsidRPr="00845716">
        <w:rPr>
          <w:lang w:val="en-GB"/>
        </w:rPr>
        <w:t>Kostense</w:t>
      </w:r>
      <w:proofErr w:type="spellEnd"/>
      <w:r w:rsidRPr="00845716">
        <w:rPr>
          <w:lang w:val="en-GB"/>
        </w:rPr>
        <w:t xml:space="preserve">-Smit, E., Muller, J., </w:t>
      </w:r>
      <w:proofErr w:type="spellStart"/>
      <w:r w:rsidRPr="00845716">
        <w:rPr>
          <w:lang w:val="en-GB"/>
        </w:rPr>
        <w:t>Huibrechtse-Truijens</w:t>
      </w:r>
      <w:proofErr w:type="spellEnd"/>
      <w:r w:rsidRPr="00845716">
        <w:rPr>
          <w:lang w:val="en-GB"/>
        </w:rPr>
        <w:t xml:space="preserve">, A. and </w:t>
      </w:r>
      <w:proofErr w:type="spellStart"/>
      <w:r w:rsidRPr="00845716">
        <w:rPr>
          <w:lang w:val="en-GB"/>
        </w:rPr>
        <w:t>Hekkert</w:t>
      </w:r>
      <w:proofErr w:type="spellEnd"/>
      <w:r w:rsidRPr="00845716">
        <w:rPr>
          <w:lang w:val="en-GB"/>
        </w:rPr>
        <w:t xml:space="preserve">, M. (2018). Barriers to the Circular Economy: Evidence From the European Union (EU). </w:t>
      </w:r>
      <w:r w:rsidRPr="00845716">
        <w:rPr>
          <w:i/>
          <w:iCs/>
          <w:lang w:val="en-GB"/>
        </w:rPr>
        <w:t>Ecological Economics</w:t>
      </w:r>
      <w:r w:rsidRPr="00845716">
        <w:rPr>
          <w:lang w:val="en-GB"/>
        </w:rPr>
        <w:t xml:space="preserve">, [online] 150, pp.264–272. </w:t>
      </w:r>
      <w:proofErr w:type="gramStart"/>
      <w:r w:rsidRPr="00845716">
        <w:rPr>
          <w:lang w:val="en-GB"/>
        </w:rPr>
        <w:t>doi:https://doi.org/10.1016/j.ecolecon.2018.04.028</w:t>
      </w:r>
      <w:proofErr w:type="gramEnd"/>
      <w:r w:rsidRPr="00845716">
        <w:rPr>
          <w:lang w:val="en-GB"/>
        </w:rPr>
        <w:t>.</w:t>
      </w:r>
    </w:p>
    <w:p w14:paraId="2D037DC0" w14:textId="77777777" w:rsidR="00E5189E" w:rsidRPr="00845716" w:rsidRDefault="00E5189E" w:rsidP="00E5189E">
      <w:pPr>
        <w:pStyle w:val="NormalWeb"/>
        <w:spacing w:before="0" w:beforeAutospacing="0" w:after="240" w:afterAutospacing="0" w:line="276" w:lineRule="auto"/>
        <w:rPr>
          <w:lang w:val="en-GB"/>
        </w:rPr>
      </w:pPr>
      <w:r w:rsidRPr="00845716">
        <w:rPr>
          <w:lang w:val="en-GB"/>
        </w:rPr>
        <w:t xml:space="preserve">McCool, B. (2020). </w:t>
      </w:r>
      <w:r w:rsidRPr="00845716">
        <w:rPr>
          <w:i/>
          <w:iCs/>
          <w:lang w:val="en-GB"/>
        </w:rPr>
        <w:t>The History of Plastic: The Invention of Throwaway Living</w:t>
      </w:r>
      <w:r w:rsidRPr="00845716">
        <w:rPr>
          <w:lang w:val="en-GB"/>
        </w:rPr>
        <w:t>. [online] www.thedieline.com. Available at: https://thedieline.com/blog/2020/3/10/the-history-of-plastic-the-invention-of-throwaway-living? [Accessed 31 Jan. 2023].</w:t>
      </w:r>
    </w:p>
    <w:p w14:paraId="79FBFEB2" w14:textId="77777777" w:rsidR="00E5189E" w:rsidRPr="00845716" w:rsidRDefault="00E5189E" w:rsidP="00E5189E">
      <w:pPr>
        <w:pStyle w:val="NormalWeb"/>
        <w:spacing w:before="0" w:beforeAutospacing="0" w:after="240" w:afterAutospacing="0" w:line="276" w:lineRule="auto"/>
        <w:rPr>
          <w:lang w:val="en-GB"/>
        </w:rPr>
      </w:pPr>
      <w:r w:rsidRPr="00845716">
        <w:rPr>
          <w:lang w:val="en-GB"/>
        </w:rPr>
        <w:t xml:space="preserve">Newman, D. (2015). </w:t>
      </w:r>
      <w:r w:rsidRPr="00845716">
        <w:rPr>
          <w:i/>
          <w:iCs/>
          <w:lang w:val="en-GB"/>
        </w:rPr>
        <w:t>WMW | ISWA Blog: Circular Economy Both Ambitious and Ambiguous</w:t>
      </w:r>
      <w:r w:rsidRPr="00845716">
        <w:rPr>
          <w:lang w:val="en-GB"/>
        </w:rPr>
        <w:t>. [online] WMW. Available at: https://waste-management-world.com/artikel/iswa-blog-circular-economy-both-ambitious-and-ambiguous/ [Accessed 8 Feb. 2023].</w:t>
      </w:r>
    </w:p>
    <w:p w14:paraId="5366EB99" w14:textId="77777777" w:rsidR="00E5189E" w:rsidRPr="00845716" w:rsidRDefault="00E5189E" w:rsidP="00E5189E">
      <w:pPr>
        <w:pStyle w:val="NormalWeb"/>
        <w:spacing w:before="0" w:beforeAutospacing="0" w:after="240" w:afterAutospacing="0" w:line="276" w:lineRule="auto"/>
        <w:rPr>
          <w:lang w:val="en-GB"/>
        </w:rPr>
      </w:pPr>
      <w:r w:rsidRPr="00845716">
        <w:rPr>
          <w:lang w:val="en-GB"/>
        </w:rPr>
        <w:t xml:space="preserve">Picvisa (2022). </w:t>
      </w:r>
      <w:r w:rsidRPr="00845716">
        <w:rPr>
          <w:i/>
          <w:iCs/>
          <w:lang w:val="en-GB"/>
        </w:rPr>
        <w:t>Technology, the driver of recycling and the circular economy</w:t>
      </w:r>
      <w:r w:rsidRPr="00845716">
        <w:rPr>
          <w:lang w:val="en-GB"/>
        </w:rPr>
        <w:t>. [online] PICVISA. Available at: https://picvisa.com/en/technology-the-driver-of-recycling-and-the-circular-economy/ [Accessed 3 Feb. 2023].</w:t>
      </w:r>
    </w:p>
    <w:p w14:paraId="2E692D04" w14:textId="77777777" w:rsidR="00E5189E" w:rsidRPr="00845716" w:rsidRDefault="00E5189E" w:rsidP="00E5189E">
      <w:pPr>
        <w:pStyle w:val="NormalWeb"/>
        <w:spacing w:before="0" w:beforeAutospacing="0" w:after="240" w:afterAutospacing="0" w:line="276" w:lineRule="auto"/>
        <w:rPr>
          <w:lang w:val="en-GB"/>
        </w:rPr>
      </w:pPr>
      <w:r w:rsidRPr="00845716">
        <w:rPr>
          <w:lang w:val="en-GB"/>
        </w:rPr>
        <w:t xml:space="preserve">Roser, M., Ortiz-Ospina, E., Ritchie, H. and </w:t>
      </w:r>
      <w:proofErr w:type="spellStart"/>
      <w:r w:rsidRPr="00845716">
        <w:rPr>
          <w:lang w:val="en-GB"/>
        </w:rPr>
        <w:t>Rodés-Guirao</w:t>
      </w:r>
      <w:proofErr w:type="spellEnd"/>
      <w:r w:rsidRPr="00845716">
        <w:rPr>
          <w:lang w:val="en-GB"/>
        </w:rPr>
        <w:t xml:space="preserve">, L. (2013). </w:t>
      </w:r>
      <w:r w:rsidRPr="00845716">
        <w:rPr>
          <w:i/>
          <w:iCs/>
          <w:lang w:val="en-GB"/>
        </w:rPr>
        <w:t>World Population Growth</w:t>
      </w:r>
      <w:r w:rsidRPr="00845716">
        <w:rPr>
          <w:lang w:val="en-GB"/>
        </w:rPr>
        <w:t>. [online] Our World in Data. Available at: https://ourworldindata.org/world-population-growth [Accessed 30 Jan. 2023].</w:t>
      </w:r>
    </w:p>
    <w:p w14:paraId="13F0C387" w14:textId="77777777" w:rsidR="00E5189E" w:rsidRDefault="00E5189E" w:rsidP="00E5189E">
      <w:pPr>
        <w:pStyle w:val="NormalWeb"/>
        <w:spacing w:before="0" w:beforeAutospacing="0" w:after="240" w:afterAutospacing="0" w:line="276" w:lineRule="auto"/>
        <w:rPr>
          <w:lang w:val="en-GB"/>
        </w:rPr>
      </w:pPr>
      <w:r w:rsidRPr="00845716">
        <w:rPr>
          <w:lang w:val="en-GB"/>
        </w:rPr>
        <w:lastRenderedPageBreak/>
        <w:t xml:space="preserve">UNEP (2021). </w:t>
      </w:r>
      <w:r w:rsidRPr="00845716">
        <w:rPr>
          <w:i/>
          <w:iCs/>
          <w:lang w:val="en-GB"/>
        </w:rPr>
        <w:t>Ageing Cars Are Bogging down the Battle against Climate Change</w:t>
      </w:r>
      <w:r w:rsidRPr="00845716">
        <w:rPr>
          <w:lang w:val="en-GB"/>
        </w:rPr>
        <w:t>. [online] UNEP. Available at: https://www.unep.org/news-and-stories/story/ageing-cars-are-bogging-down-battle-against-climate-change [Accessed 6 Feb. 2023].</w:t>
      </w:r>
    </w:p>
    <w:p w14:paraId="5B4F120A" w14:textId="70D0DE86" w:rsidR="004D006F" w:rsidRPr="00845716" w:rsidRDefault="005300D7" w:rsidP="00E5189E">
      <w:pPr>
        <w:pStyle w:val="NormalWeb"/>
        <w:spacing w:before="0" w:beforeAutospacing="0" w:after="240" w:afterAutospacing="0" w:line="276" w:lineRule="auto"/>
        <w:rPr>
          <w:lang w:val="en-GB"/>
        </w:rPr>
      </w:pPr>
      <w:r>
        <w:rPr>
          <w:color w:val="000000"/>
        </w:rPr>
        <w:t xml:space="preserve">Wen, Z., Xie, Y., Chen, M. and Dinga, C.D. (2021). China’s plastic import ban increases prospects of environmental impact mitigation of plastic waste trade flow worldwide. </w:t>
      </w:r>
      <w:r>
        <w:rPr>
          <w:i/>
          <w:iCs/>
          <w:color w:val="000000"/>
        </w:rPr>
        <w:t>Nature Communications</w:t>
      </w:r>
      <w:r>
        <w:rPr>
          <w:color w:val="000000"/>
        </w:rPr>
        <w:t>, [online] 12(1), p.425. doi:https://doi.org/10.1038/s41467-020-20741-9.</w:t>
      </w:r>
    </w:p>
    <w:p w14:paraId="1689DA0D" w14:textId="77777777" w:rsidR="00E5189E" w:rsidRPr="00845716" w:rsidRDefault="00E5189E" w:rsidP="00E5189E">
      <w:pPr>
        <w:pStyle w:val="NormalWeb"/>
        <w:spacing w:before="0" w:beforeAutospacing="0" w:after="240" w:afterAutospacing="0" w:line="276" w:lineRule="auto"/>
        <w:rPr>
          <w:lang w:val="en-GB"/>
        </w:rPr>
      </w:pPr>
      <w:r w:rsidRPr="00845716">
        <w:rPr>
          <w:lang w:val="en-GB"/>
        </w:rPr>
        <w:t xml:space="preserve">Wogan, H. (2022). </w:t>
      </w:r>
      <w:r w:rsidRPr="00845716">
        <w:rPr>
          <w:i/>
          <w:iCs/>
          <w:lang w:val="en-GB"/>
        </w:rPr>
        <w:t>Can you tax a cow’s burps? New Zealand will be the first to try.</w:t>
      </w:r>
      <w:r w:rsidRPr="00845716">
        <w:rPr>
          <w:lang w:val="en-GB"/>
        </w:rPr>
        <w:t xml:space="preserve"> [online] Animals. Available at: https://www.nationalgeographic.com/animals/article/can-you-tax-a-cows-burps-new-zealand-will-be-the-first-to-try [Accessed 8 Feb. 2023].</w:t>
      </w:r>
    </w:p>
    <w:p w14:paraId="45A9E8BA" w14:textId="77777777" w:rsidR="00071EA0" w:rsidRPr="00845716" w:rsidRDefault="00071EA0" w:rsidP="00E5189E">
      <w:pPr>
        <w:spacing w:line="276" w:lineRule="auto"/>
        <w:rPr>
          <w:rFonts w:ascii="Times New Roman" w:hAnsi="Times New Roman" w:cs="Times New Roman"/>
          <w:sz w:val="24"/>
          <w:szCs w:val="24"/>
        </w:rPr>
      </w:pPr>
    </w:p>
    <w:sectPr w:rsidR="00071EA0" w:rsidRPr="00845716" w:rsidSect="00751A6D">
      <w:headerReference w:type="default" r:id="rId11"/>
      <w:footerReference w:type="default" r:id="rId12"/>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CF63110" w14:textId="77777777" w:rsidR="00E5189E" w:rsidRDefault="00E5189E" w:rsidP="00E5189E">
      <w:pPr>
        <w:spacing w:after="0" w:line="240" w:lineRule="auto"/>
      </w:pPr>
      <w:r>
        <w:separator/>
      </w:r>
    </w:p>
  </w:endnote>
  <w:endnote w:type="continuationSeparator" w:id="0">
    <w:p w14:paraId="3445D30D" w14:textId="77777777" w:rsidR="00E5189E" w:rsidRDefault="00E5189E" w:rsidP="00E5189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98719763"/>
      <w:docPartObj>
        <w:docPartGallery w:val="Page Numbers (Bottom of Page)"/>
        <w:docPartUnique/>
      </w:docPartObj>
    </w:sdtPr>
    <w:sdtEndPr>
      <w:rPr>
        <w:noProof/>
      </w:rPr>
    </w:sdtEndPr>
    <w:sdtContent>
      <w:p w14:paraId="471D31A1" w14:textId="1FF723D6" w:rsidR="00751A6D" w:rsidRDefault="00751A6D">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A0D4414" w14:textId="77777777" w:rsidR="00751A6D" w:rsidRDefault="00751A6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7C691B3" w14:textId="77777777" w:rsidR="00E5189E" w:rsidRDefault="00E5189E" w:rsidP="00E5189E">
      <w:pPr>
        <w:spacing w:after="0" w:line="240" w:lineRule="auto"/>
      </w:pPr>
      <w:r>
        <w:separator/>
      </w:r>
    </w:p>
  </w:footnote>
  <w:footnote w:type="continuationSeparator" w:id="0">
    <w:p w14:paraId="10E17D03" w14:textId="77777777" w:rsidR="00E5189E" w:rsidRDefault="00E5189E" w:rsidP="00E5189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A167BD" w14:textId="3E5412B7" w:rsidR="00E5189E" w:rsidRDefault="00E5189E">
    <w:pPr>
      <w:pStyle w:val="Header"/>
    </w:pPr>
    <w:r>
      <w:t xml:space="preserve">2114407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8C53E5C"/>
    <w:multiLevelType w:val="multilevel"/>
    <w:tmpl w:val="07A6EA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9353093"/>
    <w:multiLevelType w:val="multilevel"/>
    <w:tmpl w:val="798A08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828641141">
    <w:abstractNumId w:val="0"/>
  </w:num>
  <w:num w:numId="2" w16cid:durableId="70039643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822AA"/>
    <w:rsid w:val="00071EA0"/>
    <w:rsid w:val="000877CA"/>
    <w:rsid w:val="00093947"/>
    <w:rsid w:val="000A5134"/>
    <w:rsid w:val="000D524C"/>
    <w:rsid w:val="000F086B"/>
    <w:rsid w:val="000F5C43"/>
    <w:rsid w:val="00134D58"/>
    <w:rsid w:val="001E09B2"/>
    <w:rsid w:val="002766D2"/>
    <w:rsid w:val="003A0615"/>
    <w:rsid w:val="003A5EE5"/>
    <w:rsid w:val="003F105F"/>
    <w:rsid w:val="00474F52"/>
    <w:rsid w:val="00494B69"/>
    <w:rsid w:val="004D006F"/>
    <w:rsid w:val="005300D7"/>
    <w:rsid w:val="00595FA7"/>
    <w:rsid w:val="005E4975"/>
    <w:rsid w:val="006822AA"/>
    <w:rsid w:val="006D57AC"/>
    <w:rsid w:val="00732C9F"/>
    <w:rsid w:val="007404CE"/>
    <w:rsid w:val="00751A6D"/>
    <w:rsid w:val="007705B0"/>
    <w:rsid w:val="007D02B3"/>
    <w:rsid w:val="00800B27"/>
    <w:rsid w:val="0081206F"/>
    <w:rsid w:val="00845716"/>
    <w:rsid w:val="00856B81"/>
    <w:rsid w:val="00866132"/>
    <w:rsid w:val="00875C41"/>
    <w:rsid w:val="00952C65"/>
    <w:rsid w:val="0099010B"/>
    <w:rsid w:val="0099129A"/>
    <w:rsid w:val="00A87FEF"/>
    <w:rsid w:val="00AA5AEC"/>
    <w:rsid w:val="00AB000D"/>
    <w:rsid w:val="00AC6777"/>
    <w:rsid w:val="00AD2AA8"/>
    <w:rsid w:val="00B5438B"/>
    <w:rsid w:val="00B746D6"/>
    <w:rsid w:val="00BC0A02"/>
    <w:rsid w:val="00C92B3D"/>
    <w:rsid w:val="00CA28D9"/>
    <w:rsid w:val="00D038C7"/>
    <w:rsid w:val="00D03FC4"/>
    <w:rsid w:val="00D51A62"/>
    <w:rsid w:val="00D64744"/>
    <w:rsid w:val="00DA24DA"/>
    <w:rsid w:val="00DF23FC"/>
    <w:rsid w:val="00DF43FC"/>
    <w:rsid w:val="00E5189E"/>
    <w:rsid w:val="00E5584E"/>
    <w:rsid w:val="00E6473B"/>
    <w:rsid w:val="00E701A3"/>
    <w:rsid w:val="00EB6518"/>
    <w:rsid w:val="00FA01CA"/>
    <w:rsid w:val="00FB178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110CC2"/>
  <w15:chartTrackingRefBased/>
  <w15:docId w15:val="{5EF504F2-FB9A-494E-AECD-2FA038BD24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6822AA"/>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Hyperlink">
    <w:name w:val="Hyperlink"/>
    <w:basedOn w:val="DefaultParagraphFont"/>
    <w:uiPriority w:val="99"/>
    <w:semiHidden/>
    <w:unhideWhenUsed/>
    <w:rsid w:val="006822AA"/>
    <w:rPr>
      <w:color w:val="0000FF"/>
      <w:u w:val="single"/>
    </w:rPr>
  </w:style>
  <w:style w:type="character" w:customStyle="1" w:styleId="apple-tab-span">
    <w:name w:val="apple-tab-span"/>
    <w:basedOn w:val="DefaultParagraphFont"/>
    <w:rsid w:val="006822AA"/>
  </w:style>
  <w:style w:type="paragraph" w:styleId="Header">
    <w:name w:val="header"/>
    <w:basedOn w:val="Normal"/>
    <w:link w:val="HeaderChar"/>
    <w:uiPriority w:val="99"/>
    <w:unhideWhenUsed/>
    <w:rsid w:val="00E5189E"/>
    <w:pPr>
      <w:tabs>
        <w:tab w:val="center" w:pos="4680"/>
        <w:tab w:val="right" w:pos="9360"/>
      </w:tabs>
      <w:spacing w:after="0" w:line="240" w:lineRule="auto"/>
    </w:pPr>
  </w:style>
  <w:style w:type="character" w:customStyle="1" w:styleId="HeaderChar">
    <w:name w:val="Header Char"/>
    <w:basedOn w:val="DefaultParagraphFont"/>
    <w:link w:val="Header"/>
    <w:uiPriority w:val="99"/>
    <w:rsid w:val="00E5189E"/>
    <w:rPr>
      <w:lang w:val="en-GB"/>
    </w:rPr>
  </w:style>
  <w:style w:type="paragraph" w:styleId="Footer">
    <w:name w:val="footer"/>
    <w:basedOn w:val="Normal"/>
    <w:link w:val="FooterChar"/>
    <w:uiPriority w:val="99"/>
    <w:unhideWhenUsed/>
    <w:rsid w:val="00E5189E"/>
    <w:pPr>
      <w:tabs>
        <w:tab w:val="center" w:pos="4680"/>
        <w:tab w:val="right" w:pos="9360"/>
      </w:tabs>
      <w:spacing w:after="0" w:line="240" w:lineRule="auto"/>
    </w:pPr>
  </w:style>
  <w:style w:type="character" w:customStyle="1" w:styleId="FooterChar">
    <w:name w:val="Footer Char"/>
    <w:basedOn w:val="DefaultParagraphFont"/>
    <w:link w:val="Footer"/>
    <w:uiPriority w:val="99"/>
    <w:rsid w:val="00E5189E"/>
    <w:rPr>
      <w:lang w:val="en-GB"/>
    </w:rPr>
  </w:style>
  <w:style w:type="paragraph" w:styleId="NoSpacing">
    <w:name w:val="No Spacing"/>
    <w:link w:val="NoSpacingChar"/>
    <w:uiPriority w:val="1"/>
    <w:qFormat/>
    <w:rsid w:val="00751A6D"/>
    <w:pPr>
      <w:spacing w:after="0" w:line="240" w:lineRule="auto"/>
    </w:pPr>
    <w:rPr>
      <w:rFonts w:eastAsiaTheme="minorEastAsia"/>
    </w:rPr>
  </w:style>
  <w:style w:type="character" w:customStyle="1" w:styleId="NoSpacingChar">
    <w:name w:val="No Spacing Char"/>
    <w:basedOn w:val="DefaultParagraphFont"/>
    <w:link w:val="NoSpacing"/>
    <w:uiPriority w:val="1"/>
    <w:rsid w:val="00751A6D"/>
    <w:rPr>
      <w:rFonts w:eastAsiaTheme="minorEastAsi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1405807">
      <w:bodyDiv w:val="1"/>
      <w:marLeft w:val="0"/>
      <w:marRight w:val="0"/>
      <w:marTop w:val="0"/>
      <w:marBottom w:val="0"/>
      <w:divBdr>
        <w:top w:val="none" w:sz="0" w:space="0" w:color="auto"/>
        <w:left w:val="none" w:sz="0" w:space="0" w:color="auto"/>
        <w:bottom w:val="none" w:sz="0" w:space="0" w:color="auto"/>
        <w:right w:val="none" w:sz="0" w:space="0" w:color="auto"/>
      </w:divBdr>
    </w:div>
    <w:div w:id="751699882">
      <w:bodyDiv w:val="1"/>
      <w:marLeft w:val="0"/>
      <w:marRight w:val="0"/>
      <w:marTop w:val="0"/>
      <w:marBottom w:val="0"/>
      <w:divBdr>
        <w:top w:val="none" w:sz="0" w:space="0" w:color="auto"/>
        <w:left w:val="none" w:sz="0" w:space="0" w:color="auto"/>
        <w:bottom w:val="none" w:sz="0" w:space="0" w:color="auto"/>
        <w:right w:val="none" w:sz="0" w:space="0" w:color="auto"/>
      </w:divBdr>
      <w:divsChild>
        <w:div w:id="1812676860">
          <w:marLeft w:val="0"/>
          <w:marRight w:val="0"/>
          <w:marTop w:val="0"/>
          <w:marBottom w:val="0"/>
          <w:divBdr>
            <w:top w:val="none" w:sz="0" w:space="0" w:color="auto"/>
            <w:left w:val="none" w:sz="0" w:space="0" w:color="auto"/>
            <w:bottom w:val="none" w:sz="0" w:space="0" w:color="auto"/>
            <w:right w:val="none" w:sz="0" w:space="0" w:color="auto"/>
          </w:divBdr>
        </w:div>
      </w:divsChild>
    </w:div>
    <w:div w:id="949553135">
      <w:bodyDiv w:val="1"/>
      <w:marLeft w:val="0"/>
      <w:marRight w:val="0"/>
      <w:marTop w:val="0"/>
      <w:marBottom w:val="0"/>
      <w:divBdr>
        <w:top w:val="none" w:sz="0" w:space="0" w:color="auto"/>
        <w:left w:val="none" w:sz="0" w:space="0" w:color="auto"/>
        <w:bottom w:val="none" w:sz="0" w:space="0" w:color="auto"/>
        <w:right w:val="none" w:sz="0" w:space="0" w:color="auto"/>
      </w:divBdr>
    </w:div>
    <w:div w:id="1138953590">
      <w:bodyDiv w:val="1"/>
      <w:marLeft w:val="0"/>
      <w:marRight w:val="0"/>
      <w:marTop w:val="0"/>
      <w:marBottom w:val="0"/>
      <w:divBdr>
        <w:top w:val="none" w:sz="0" w:space="0" w:color="auto"/>
        <w:left w:val="none" w:sz="0" w:space="0" w:color="auto"/>
        <w:bottom w:val="none" w:sz="0" w:space="0" w:color="auto"/>
        <w:right w:val="none" w:sz="0" w:space="0" w:color="auto"/>
      </w:divBdr>
    </w:div>
    <w:div w:id="14836187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s://www.santander.com/en/stories/linear-and-circular-economies-what-are-they-and-whats-the-difference"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
  <Abstract/>
  <CompanyAddress/>
  <CompanyPhone/>
  <CompanyFax/>
  <CompanyEmail>2114407</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967</TotalTime>
  <Pages>10</Pages>
  <Words>4081</Words>
  <Characters>23186</Characters>
  <Application>Microsoft Office Word</Application>
  <DocSecurity>0</DocSecurity>
  <Lines>2107</Lines>
  <Paragraphs>649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26618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Economic Incentives to Promote Environmental Preservation</dc:title>
  <dc:subject>HPAN5041</dc:subject>
  <dc:creator>Samantha Barbour</dc:creator>
  <cp:keywords/>
  <dc:description/>
  <cp:lastModifiedBy>Samantha Barbour</cp:lastModifiedBy>
  <cp:revision>50</cp:revision>
  <dcterms:created xsi:type="dcterms:W3CDTF">2023-02-12T02:15:00Z</dcterms:created>
  <dcterms:modified xsi:type="dcterms:W3CDTF">2023-02-12T18:22:00Z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ea0b42de-3c68-489b-bbf5-ba9afc2fce30</vt:lpwstr>
  </property>
</Properties>
</file>