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FE6305" w:rsidRDefault="00FE6305">
      <w:pPr>
        <w:spacing w:line="360" w:lineRule="auto"/>
        <w:jc w:val="center"/>
        <w:rPr>
          <w:rFonts w:ascii="Times New Roman" w:eastAsia="Times New Roman" w:hAnsi="Times New Roman" w:cs="Times New Roman"/>
          <w:b/>
          <w:sz w:val="36"/>
          <w:szCs w:val="36"/>
        </w:rPr>
      </w:pPr>
    </w:p>
    <w:p w14:paraId="00000002" w14:textId="77777777" w:rsidR="00FE6305" w:rsidRDefault="00FE6305">
      <w:pPr>
        <w:spacing w:line="360" w:lineRule="auto"/>
        <w:jc w:val="center"/>
        <w:rPr>
          <w:rFonts w:ascii="Times New Roman" w:eastAsia="Times New Roman" w:hAnsi="Times New Roman" w:cs="Times New Roman"/>
          <w:b/>
          <w:sz w:val="36"/>
          <w:szCs w:val="36"/>
        </w:rPr>
      </w:pPr>
    </w:p>
    <w:p w14:paraId="00000003" w14:textId="77777777" w:rsidR="00FE6305" w:rsidRDefault="00FE6305">
      <w:pPr>
        <w:spacing w:line="360" w:lineRule="auto"/>
        <w:jc w:val="center"/>
        <w:rPr>
          <w:rFonts w:ascii="Times New Roman" w:eastAsia="Times New Roman" w:hAnsi="Times New Roman" w:cs="Times New Roman"/>
          <w:b/>
          <w:sz w:val="36"/>
          <w:szCs w:val="36"/>
        </w:rPr>
      </w:pPr>
    </w:p>
    <w:p w14:paraId="31BAAA68" w14:textId="77777777" w:rsidR="00D80993" w:rsidRDefault="00D80993" w:rsidP="00D80993">
      <w:pPr>
        <w:pStyle w:val="Title"/>
        <w:jc w:val="center"/>
        <w:rPr>
          <w:sz w:val="48"/>
          <w:szCs w:val="48"/>
        </w:rPr>
      </w:pPr>
      <w:r>
        <w:rPr>
          <w:noProof/>
        </w:rPr>
        <w:drawing>
          <wp:anchor distT="0" distB="0" distL="114300" distR="114300" simplePos="0" relativeHeight="251659264" behindDoc="1" locked="0" layoutInCell="1" allowOverlap="1" wp14:anchorId="7E134CB2" wp14:editId="45723370">
            <wp:simplePos x="0" y="0"/>
            <wp:positionH relativeFrom="column">
              <wp:posOffset>2275840</wp:posOffset>
            </wp:positionH>
            <wp:positionV relativeFrom="paragraph">
              <wp:posOffset>133350</wp:posOffset>
            </wp:positionV>
            <wp:extent cx="1247775" cy="952500"/>
            <wp:effectExtent l="0" t="114300" r="161925" b="285750"/>
            <wp:wrapTight wrapText="bothSides">
              <wp:wrapPolygon edited="0">
                <wp:start x="4617" y="-2592"/>
                <wp:lineTo x="330" y="-1728"/>
                <wp:lineTo x="660" y="16848"/>
                <wp:lineTo x="2308" y="19008"/>
                <wp:lineTo x="2308" y="19440"/>
                <wp:lineTo x="8244" y="25920"/>
                <wp:lineTo x="10553" y="27648"/>
                <wp:lineTo x="13850" y="27648"/>
                <wp:lineTo x="16159" y="25920"/>
                <wp:lineTo x="22424" y="19440"/>
                <wp:lineTo x="22424" y="19008"/>
                <wp:lineTo x="24073" y="12096"/>
                <wp:lineTo x="24073" y="4320"/>
                <wp:lineTo x="19786" y="-1728"/>
                <wp:lineTo x="19127" y="-2592"/>
                <wp:lineTo x="4617" y="-2592"/>
              </wp:wrapPolygon>
            </wp:wrapTight>
            <wp:docPr id="1017398145" name="Picture 6" descr="A black and yellow shield with blue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398145" name="Picture 6" descr="A black and yellow shield with blue flowers and leaves&#10;&#10;AI-generated content may be incorrect."/>
                    <pic:cNvPicPr>
                      <a:picLocks noChangeAspect="1" noChangeArrowheads="1"/>
                    </pic:cNvPicPr>
                  </pic:nvPicPr>
                  <pic:blipFill>
                    <a:blip r:embed="rId4">
                      <a:clrChange>
                        <a:clrFrom>
                          <a:srgbClr val="FDFDFD"/>
                        </a:clrFrom>
                        <a:clrTo>
                          <a:srgbClr val="FDFDFD">
                            <a:alpha val="0"/>
                          </a:srgbClr>
                        </a:clrTo>
                      </a:clrChange>
                      <a:extLst>
                        <a:ext uri="{28A0092B-C50C-407E-A947-70E740481C1C}">
                          <a14:useLocalDpi xmlns:a14="http://schemas.microsoft.com/office/drawing/2010/main" val="0"/>
                        </a:ext>
                      </a:extLst>
                    </a:blip>
                    <a:srcRect/>
                    <a:stretch>
                      <a:fillRect/>
                    </a:stretch>
                  </pic:blipFill>
                  <pic:spPr bwMode="auto">
                    <a:xfrm>
                      <a:off x="0" y="0"/>
                      <a:ext cx="1247775" cy="952500"/>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p w14:paraId="612819CB" w14:textId="77777777" w:rsidR="00D80993" w:rsidRDefault="00D80993" w:rsidP="00D80993">
      <w:pPr>
        <w:pStyle w:val="Title"/>
        <w:jc w:val="center"/>
        <w:rPr>
          <w:sz w:val="48"/>
          <w:szCs w:val="48"/>
        </w:rPr>
      </w:pPr>
    </w:p>
    <w:p w14:paraId="702F5C7B" w14:textId="77777777" w:rsidR="00D80993" w:rsidRDefault="00D80993" w:rsidP="00D80993">
      <w:pPr>
        <w:pStyle w:val="Title"/>
        <w:tabs>
          <w:tab w:val="left" w:pos="480"/>
          <w:tab w:val="center" w:pos="2661"/>
        </w:tabs>
        <w:jc w:val="center"/>
        <w:rPr>
          <w:sz w:val="48"/>
          <w:szCs w:val="48"/>
        </w:rPr>
      </w:pPr>
    </w:p>
    <w:p w14:paraId="1B50C0B2" w14:textId="77777777" w:rsidR="00CE07CF" w:rsidRPr="00CE07CF" w:rsidRDefault="00CE07CF" w:rsidP="00CE07CF"/>
    <w:p w14:paraId="63FBCB39" w14:textId="77777777" w:rsidR="00D80993" w:rsidRPr="004B551F" w:rsidRDefault="00D80993" w:rsidP="00D80993">
      <w:pPr>
        <w:pStyle w:val="Title"/>
        <w:tabs>
          <w:tab w:val="left" w:pos="480"/>
          <w:tab w:val="center" w:pos="2661"/>
        </w:tabs>
        <w:jc w:val="center"/>
        <w:rPr>
          <w:rFonts w:asciiTheme="minorHAnsi" w:hAnsiTheme="minorHAnsi" w:cstheme="majorHAnsi"/>
          <w:b/>
          <w:bCs/>
          <w:i/>
          <w:iCs/>
          <w:sz w:val="48"/>
          <w:szCs w:val="48"/>
        </w:rPr>
      </w:pPr>
      <w:r w:rsidRPr="004B551F">
        <w:rPr>
          <w:rFonts w:asciiTheme="minorHAnsi" w:hAnsiTheme="minorHAnsi" w:cstheme="majorHAnsi"/>
          <w:b/>
          <w:bCs/>
          <w:i/>
          <w:iCs/>
          <w:sz w:val="48"/>
          <w:szCs w:val="48"/>
        </w:rPr>
        <w:t>University of Wales</w:t>
      </w:r>
    </w:p>
    <w:p w14:paraId="4DB04351" w14:textId="77777777" w:rsidR="00D80993" w:rsidRDefault="00D80993" w:rsidP="00D80993">
      <w:pPr>
        <w:jc w:val="center"/>
      </w:pPr>
      <w:r w:rsidRPr="000D3570">
        <w:rPr>
          <w:rFonts w:asciiTheme="minorHAnsi" w:hAnsiTheme="minorHAnsi"/>
        </w:rPr>
        <w:t>Trinity saint David</w:t>
      </w:r>
      <w:r>
        <w:t>, London</w:t>
      </w:r>
    </w:p>
    <w:p w14:paraId="00000006" w14:textId="77777777" w:rsidR="00FE6305" w:rsidRDefault="00FE6305" w:rsidP="005D52DA">
      <w:pPr>
        <w:spacing w:line="360" w:lineRule="auto"/>
        <w:rPr>
          <w:rFonts w:ascii="Times New Roman" w:eastAsia="Times New Roman" w:hAnsi="Times New Roman" w:cs="Times New Roman"/>
          <w:b/>
          <w:sz w:val="36"/>
          <w:szCs w:val="36"/>
        </w:rPr>
      </w:pPr>
    </w:p>
    <w:p w14:paraId="1488F517" w14:textId="77777777" w:rsidR="005D52DA" w:rsidRDefault="005D52DA" w:rsidP="005D52DA">
      <w:pPr>
        <w:spacing w:line="360" w:lineRule="auto"/>
        <w:rPr>
          <w:rFonts w:ascii="Times New Roman" w:eastAsia="Times New Roman" w:hAnsi="Times New Roman" w:cs="Times New Roman"/>
          <w:b/>
          <w:sz w:val="36"/>
          <w:szCs w:val="36"/>
        </w:rPr>
      </w:pPr>
    </w:p>
    <w:p w14:paraId="00000007" w14:textId="77777777" w:rsidR="00FE6305" w:rsidRDefault="00AC5D8E">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LCMB7024 MARKETING MANAGEMENT </w:t>
      </w:r>
    </w:p>
    <w:p w14:paraId="00000008" w14:textId="77777777" w:rsidR="00FE6305" w:rsidRDefault="00AC5D8E">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Assessment Component 1- Essay</w:t>
      </w:r>
    </w:p>
    <w:p w14:paraId="00000009" w14:textId="77777777" w:rsidR="00FE6305" w:rsidRDefault="00FE6305">
      <w:pPr>
        <w:spacing w:line="360" w:lineRule="auto"/>
        <w:jc w:val="center"/>
        <w:rPr>
          <w:rFonts w:ascii="Times New Roman" w:eastAsia="Times New Roman" w:hAnsi="Times New Roman" w:cs="Times New Roman"/>
          <w:b/>
          <w:sz w:val="24"/>
          <w:szCs w:val="24"/>
        </w:rPr>
      </w:pPr>
    </w:p>
    <w:p w14:paraId="0000000A" w14:textId="493E6CEE" w:rsidR="00FE6305" w:rsidRDefault="00AC5D8E">
      <w:pPr>
        <w:spacing w:line="360"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Student Name:</w:t>
      </w:r>
      <w:r w:rsidR="007B0553">
        <w:rPr>
          <w:rFonts w:ascii="Times New Roman" w:eastAsia="Times New Roman" w:hAnsi="Times New Roman" w:cs="Times New Roman"/>
          <w:b/>
          <w:i/>
          <w:sz w:val="24"/>
          <w:szCs w:val="24"/>
          <w:u w:val="single"/>
        </w:rPr>
        <w:t xml:space="preserve"> </w:t>
      </w:r>
      <w:r w:rsidR="001F61CA">
        <w:rPr>
          <w:rFonts w:ascii="Times New Roman" w:eastAsia="Times New Roman" w:hAnsi="Times New Roman" w:cs="Times New Roman"/>
          <w:b/>
          <w:i/>
          <w:sz w:val="24"/>
          <w:szCs w:val="24"/>
          <w:u w:val="single"/>
        </w:rPr>
        <w:t>Vinaykumar</w:t>
      </w:r>
      <w:r w:rsidR="00261D3A">
        <w:rPr>
          <w:rFonts w:ascii="Times New Roman" w:eastAsia="Times New Roman" w:hAnsi="Times New Roman" w:cs="Times New Roman"/>
          <w:b/>
          <w:i/>
          <w:sz w:val="24"/>
          <w:szCs w:val="24"/>
          <w:u w:val="single"/>
        </w:rPr>
        <w:t xml:space="preserve"> </w:t>
      </w:r>
      <w:r w:rsidR="001F61CA">
        <w:rPr>
          <w:rFonts w:ascii="Times New Roman" w:eastAsia="Times New Roman" w:hAnsi="Times New Roman" w:cs="Times New Roman"/>
          <w:b/>
          <w:i/>
          <w:sz w:val="24"/>
          <w:szCs w:val="24"/>
          <w:u w:val="single"/>
        </w:rPr>
        <w:t>K</w:t>
      </w:r>
      <w:r w:rsidR="00261D3A">
        <w:rPr>
          <w:rFonts w:ascii="Times New Roman" w:eastAsia="Times New Roman" w:hAnsi="Times New Roman" w:cs="Times New Roman"/>
          <w:b/>
          <w:i/>
          <w:sz w:val="24"/>
          <w:szCs w:val="24"/>
          <w:u w:val="single"/>
        </w:rPr>
        <w:t>ativarapu</w:t>
      </w:r>
    </w:p>
    <w:p w14:paraId="0000000B" w14:textId="47A52C8A" w:rsidR="00FE6305" w:rsidRDefault="00AC5D8E">
      <w:pPr>
        <w:spacing w:line="360"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Student ID:</w:t>
      </w:r>
      <w:r w:rsidR="007B0553">
        <w:rPr>
          <w:rFonts w:ascii="Times New Roman" w:eastAsia="Times New Roman" w:hAnsi="Times New Roman" w:cs="Times New Roman"/>
          <w:b/>
          <w:i/>
          <w:sz w:val="24"/>
          <w:szCs w:val="24"/>
          <w:u w:val="single"/>
        </w:rPr>
        <w:t>2414775</w:t>
      </w:r>
    </w:p>
    <w:p w14:paraId="5424235C" w14:textId="7F31C7D4" w:rsidR="0072707D" w:rsidRDefault="0072707D">
      <w:pPr>
        <w:spacing w:line="360"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G</w:t>
      </w:r>
      <w:r w:rsidR="00BF7E3D">
        <w:rPr>
          <w:rFonts w:ascii="Times New Roman" w:eastAsia="Times New Roman" w:hAnsi="Times New Roman" w:cs="Times New Roman"/>
          <w:b/>
          <w:i/>
          <w:sz w:val="24"/>
          <w:szCs w:val="24"/>
          <w:u w:val="single"/>
        </w:rPr>
        <w:t>roup-3</w:t>
      </w:r>
    </w:p>
    <w:p w14:paraId="6F235012" w14:textId="4BE2A491" w:rsidR="00AA0A3D" w:rsidRDefault="002F42FC" w:rsidP="00AA0A3D">
      <w:pPr>
        <w:spacing w:line="360"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Name of the </w:t>
      </w:r>
      <w:r w:rsidR="00171626">
        <w:rPr>
          <w:rFonts w:ascii="Times New Roman" w:eastAsia="Times New Roman" w:hAnsi="Times New Roman" w:cs="Times New Roman"/>
          <w:b/>
          <w:i/>
          <w:sz w:val="24"/>
          <w:szCs w:val="24"/>
          <w:u w:val="single"/>
        </w:rPr>
        <w:t>lecture:</w:t>
      </w:r>
      <w:r w:rsidR="00AA0A3D">
        <w:rPr>
          <w:rFonts w:ascii="Times New Roman" w:eastAsia="Times New Roman" w:hAnsi="Times New Roman" w:cs="Times New Roman"/>
          <w:b/>
          <w:i/>
          <w:sz w:val="24"/>
          <w:szCs w:val="24"/>
          <w:u w:val="single"/>
        </w:rPr>
        <w:t xml:space="preserve"> </w:t>
      </w:r>
      <w:r w:rsidR="00EB2017">
        <w:rPr>
          <w:rFonts w:ascii="Times New Roman" w:eastAsia="Times New Roman" w:hAnsi="Times New Roman" w:cs="Times New Roman"/>
          <w:b/>
          <w:i/>
          <w:sz w:val="24"/>
          <w:szCs w:val="24"/>
          <w:u w:val="single"/>
        </w:rPr>
        <w:t>H</w:t>
      </w:r>
      <w:r w:rsidR="001F61CA">
        <w:rPr>
          <w:rFonts w:ascii="Times New Roman" w:eastAsia="Times New Roman" w:hAnsi="Times New Roman" w:cs="Times New Roman"/>
          <w:b/>
          <w:i/>
          <w:sz w:val="24"/>
          <w:szCs w:val="24"/>
          <w:u w:val="single"/>
        </w:rPr>
        <w:t>aoran Liu</w:t>
      </w:r>
    </w:p>
    <w:p w14:paraId="4C3A813E" w14:textId="6D0BDEB3" w:rsidR="005261C0" w:rsidRDefault="00AC5D8E" w:rsidP="00AA0A3D">
      <w:pPr>
        <w:spacing w:line="360"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Date:</w:t>
      </w:r>
      <w:r w:rsidR="00506C70">
        <w:rPr>
          <w:rFonts w:ascii="Times New Roman" w:eastAsia="Times New Roman" w:hAnsi="Times New Roman" w:cs="Times New Roman"/>
          <w:b/>
          <w:i/>
          <w:sz w:val="24"/>
          <w:szCs w:val="24"/>
          <w:u w:val="single"/>
        </w:rPr>
        <w:t>28</w:t>
      </w:r>
      <w:r>
        <w:rPr>
          <w:rFonts w:ascii="Times New Roman" w:eastAsia="Times New Roman" w:hAnsi="Times New Roman" w:cs="Times New Roman"/>
          <w:b/>
          <w:i/>
          <w:sz w:val="24"/>
          <w:szCs w:val="24"/>
          <w:u w:val="single"/>
        </w:rPr>
        <w:t>/03/2025</w:t>
      </w:r>
    </w:p>
    <w:p w14:paraId="06F05FD2" w14:textId="77777777" w:rsidR="005261C0" w:rsidRDefault="005261C0" w:rsidP="00AA0A3D">
      <w:pPr>
        <w:spacing w:line="360" w:lineRule="auto"/>
        <w:jc w:val="center"/>
        <w:rPr>
          <w:rFonts w:ascii="Times New Roman" w:eastAsia="Times New Roman" w:hAnsi="Times New Roman" w:cs="Times New Roman"/>
          <w:b/>
          <w:i/>
          <w:sz w:val="24"/>
          <w:szCs w:val="24"/>
          <w:u w:val="single"/>
        </w:rPr>
      </w:pPr>
    </w:p>
    <w:p w14:paraId="51D46E1E" w14:textId="77777777" w:rsidR="005261C0" w:rsidRDefault="005261C0" w:rsidP="00AA0A3D">
      <w:pPr>
        <w:spacing w:line="360" w:lineRule="auto"/>
        <w:jc w:val="center"/>
        <w:rPr>
          <w:rFonts w:ascii="Times New Roman" w:eastAsia="Times New Roman" w:hAnsi="Times New Roman" w:cs="Times New Roman"/>
          <w:b/>
          <w:i/>
          <w:sz w:val="24"/>
          <w:szCs w:val="24"/>
          <w:u w:val="single"/>
        </w:rPr>
      </w:pPr>
    </w:p>
    <w:p w14:paraId="2A8C3A13" w14:textId="77777777" w:rsidR="005261C0" w:rsidRDefault="005261C0" w:rsidP="00AA0A3D">
      <w:pPr>
        <w:spacing w:line="360" w:lineRule="auto"/>
        <w:jc w:val="center"/>
        <w:rPr>
          <w:rFonts w:ascii="Times New Roman" w:eastAsia="Times New Roman" w:hAnsi="Times New Roman" w:cs="Times New Roman"/>
          <w:b/>
          <w:i/>
          <w:sz w:val="24"/>
          <w:szCs w:val="24"/>
          <w:u w:val="single"/>
        </w:rPr>
      </w:pPr>
    </w:p>
    <w:p w14:paraId="0000000C" w14:textId="509A4C5A" w:rsidR="00FE6305" w:rsidRDefault="00AC5D8E" w:rsidP="00AA0A3D">
      <w:pPr>
        <w:spacing w:line="360" w:lineRule="auto"/>
        <w:jc w:val="center"/>
        <w:rPr>
          <w:rFonts w:ascii="Times New Roman" w:eastAsia="Times New Roman" w:hAnsi="Times New Roman" w:cs="Times New Roman"/>
          <w:b/>
          <w:i/>
          <w:sz w:val="24"/>
          <w:szCs w:val="24"/>
          <w:u w:val="single"/>
        </w:rPr>
      </w:pPr>
      <w:r>
        <w:br w:type="page"/>
      </w:r>
      <w:r w:rsidR="007B0553">
        <w:lastRenderedPageBreak/>
        <w:t xml:space="preserve"> </w:t>
      </w:r>
    </w:p>
    <w:p w14:paraId="0000000D" w14:textId="77777777" w:rsidR="00FE6305" w:rsidRDefault="00AC5D8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Table of Contents</w:t>
      </w:r>
    </w:p>
    <w:sdt>
      <w:sdtPr>
        <w:id w:val="1821459136"/>
        <w:docPartObj>
          <w:docPartGallery w:val="Table of Contents"/>
          <w:docPartUnique/>
        </w:docPartObj>
      </w:sdtPr>
      <w:sdtEndPr/>
      <w:sdtContent>
        <w:p w14:paraId="0000000E" w14:textId="77777777" w:rsidR="00FE6305" w:rsidRDefault="00FE6305">
          <w:pPr>
            <w:widowControl w:val="0"/>
            <w:tabs>
              <w:tab w:val="right" w:leader="dot" w:pos="12000"/>
            </w:tabs>
            <w:spacing w:before="60" w:line="360" w:lineRule="auto"/>
            <w:rPr>
              <w:rFonts w:ascii="Times New Roman" w:eastAsia="Times New Roman" w:hAnsi="Times New Roman" w:cs="Times New Roman"/>
              <w:color w:val="000000"/>
              <w:sz w:val="24"/>
              <w:szCs w:val="24"/>
            </w:rPr>
          </w:pPr>
          <w:r>
            <w:fldChar w:fldCharType="begin"/>
          </w:r>
          <w:r w:rsidR="00AC5D8E">
            <w:instrText xml:space="preserve"> TOC \h \u \z \t "Heading 1,1,Heading 2,2,Heading 3,3,Heading 4,4,Heading 5,5,Heading 6,6,"</w:instrText>
          </w:r>
          <w:r>
            <w:fldChar w:fldCharType="separate"/>
          </w:r>
          <w:hyperlink w:anchor="_kjhkfhw4o78c">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0000000F" w14:textId="77777777" w:rsidR="00FE6305" w:rsidRDefault="00FE6305">
          <w:pPr>
            <w:widowControl w:val="0"/>
            <w:tabs>
              <w:tab w:val="right" w:leader="dot" w:pos="12000"/>
            </w:tabs>
            <w:spacing w:before="60" w:line="360" w:lineRule="auto"/>
            <w:rPr>
              <w:rFonts w:ascii="Times New Roman" w:eastAsia="Times New Roman" w:hAnsi="Times New Roman" w:cs="Times New Roman"/>
              <w:color w:val="000000"/>
              <w:sz w:val="24"/>
              <w:szCs w:val="24"/>
            </w:rPr>
          </w:pPr>
          <w:hyperlink w:anchor="_y4szxkvcjlyt">
            <w:r>
              <w:rPr>
                <w:rFonts w:ascii="Times New Roman" w:eastAsia="Times New Roman" w:hAnsi="Times New Roman" w:cs="Times New Roman"/>
                <w:color w:val="000000"/>
                <w:sz w:val="24"/>
                <w:szCs w:val="24"/>
              </w:rPr>
              <w:t>Discussion</w:t>
            </w:r>
            <w:r>
              <w:rPr>
                <w:rFonts w:ascii="Times New Roman" w:eastAsia="Times New Roman" w:hAnsi="Times New Roman" w:cs="Times New Roman"/>
                <w:color w:val="000000"/>
                <w:sz w:val="24"/>
                <w:szCs w:val="24"/>
              </w:rPr>
              <w:tab/>
              <w:t>3</w:t>
            </w:r>
          </w:hyperlink>
        </w:p>
        <w:p w14:paraId="00000010" w14:textId="77777777" w:rsidR="00FE6305" w:rsidRDefault="00FE6305">
          <w:pPr>
            <w:widowControl w:val="0"/>
            <w:tabs>
              <w:tab w:val="right" w:leader="dot" w:pos="12000"/>
            </w:tabs>
            <w:spacing w:before="60" w:line="360" w:lineRule="auto"/>
            <w:rPr>
              <w:rFonts w:ascii="Times New Roman" w:eastAsia="Times New Roman" w:hAnsi="Times New Roman" w:cs="Times New Roman"/>
              <w:color w:val="000000"/>
              <w:sz w:val="24"/>
              <w:szCs w:val="24"/>
            </w:rPr>
          </w:pPr>
          <w:hyperlink w:anchor="_ubih1zbzgztx">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9</w:t>
            </w:r>
          </w:hyperlink>
        </w:p>
        <w:p w14:paraId="00000011" w14:textId="77777777" w:rsidR="00FE6305" w:rsidRDefault="00FE6305">
          <w:pPr>
            <w:widowControl w:val="0"/>
            <w:tabs>
              <w:tab w:val="right" w:leader="dot" w:pos="12000"/>
            </w:tabs>
            <w:spacing w:before="60" w:line="360" w:lineRule="auto"/>
            <w:rPr>
              <w:rFonts w:ascii="Times New Roman" w:eastAsia="Times New Roman" w:hAnsi="Times New Roman" w:cs="Times New Roman"/>
              <w:color w:val="000000"/>
              <w:sz w:val="24"/>
              <w:szCs w:val="24"/>
            </w:rPr>
          </w:pPr>
          <w:hyperlink w:anchor="_s2rlb4bu1a6v">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10</w:t>
            </w:r>
          </w:hyperlink>
          <w:r>
            <w:fldChar w:fldCharType="end"/>
          </w:r>
        </w:p>
      </w:sdtContent>
    </w:sdt>
    <w:p w14:paraId="00000012" w14:textId="77777777" w:rsidR="00FE6305" w:rsidRDefault="00AC5D8E">
      <w:pPr>
        <w:spacing w:line="360" w:lineRule="auto"/>
        <w:jc w:val="center"/>
        <w:rPr>
          <w:rFonts w:ascii="Times New Roman" w:eastAsia="Times New Roman" w:hAnsi="Times New Roman" w:cs="Times New Roman"/>
          <w:sz w:val="24"/>
          <w:szCs w:val="24"/>
        </w:rPr>
      </w:pPr>
      <w:r>
        <w:br w:type="page"/>
      </w:r>
    </w:p>
    <w:p w14:paraId="00000013" w14:textId="77777777" w:rsidR="00FE6305" w:rsidRDefault="00AC5D8E">
      <w:pPr>
        <w:pStyle w:val="Heading1"/>
      </w:pPr>
      <w:bookmarkStart w:id="0" w:name="_kjhkfhw4o78c" w:colFirst="0" w:colLast="0"/>
      <w:bookmarkEnd w:id="0"/>
      <w:r>
        <w:lastRenderedPageBreak/>
        <w:t xml:space="preserve">Introduction </w:t>
      </w:r>
    </w:p>
    <w:p w14:paraId="00000014" w14:textId="77777777" w:rsidR="00FE6305" w:rsidRDefault="00AC5D8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strategic marketing process has to</w:t>
      </w:r>
      <w:r>
        <w:rPr>
          <w:rFonts w:ascii="Times New Roman" w:eastAsia="Times New Roman" w:hAnsi="Times New Roman" w:cs="Times New Roman"/>
          <w:sz w:val="24"/>
          <w:szCs w:val="24"/>
        </w:rPr>
        <w:t xml:space="preserve"> engage with a realistic interaction with what happens in the market, where time is a critical factor in determining competitive success. It is imperative for companies to properly assess whether being a Pioneer in their industry or a market trend follower is conducive to their sustainability. Pioneering incurs the benefit of extensive brand credibility and technological entitlement, whereas following enables conceptual adaptation at a lower risk and cost. A comprehensive approach to the underlying orientat</w:t>
      </w:r>
      <w:r>
        <w:rPr>
          <w:rFonts w:ascii="Times New Roman" w:eastAsia="Times New Roman" w:hAnsi="Times New Roman" w:cs="Times New Roman"/>
          <w:sz w:val="24"/>
          <w:szCs w:val="24"/>
        </w:rPr>
        <w:t>ions demand recognition of the relational impact of product life cycle strategies. The essay serves as a contextual emphasis enabling these strategies for action, while also addressing the competitive progression of both pioneers and followers using an empowerment-based framework for market penetration and continued consumer engagement.</w:t>
      </w:r>
    </w:p>
    <w:p w14:paraId="00000015" w14:textId="77777777" w:rsidR="00FE6305" w:rsidRDefault="00AC5D8E">
      <w:pPr>
        <w:pStyle w:val="Heading1"/>
      </w:pPr>
      <w:bookmarkStart w:id="1" w:name="_y4szxkvcjlyt" w:colFirst="0" w:colLast="0"/>
      <w:bookmarkEnd w:id="1"/>
      <w:r>
        <w:t xml:space="preserve">Discussion </w:t>
      </w:r>
    </w:p>
    <w:p w14:paraId="00000016" w14:textId="78F4E8EC" w:rsidR="00FE6305" w:rsidRDefault="0071583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Advantages of being a pioneer against follower </w:t>
      </w:r>
    </w:p>
    <w:p w14:paraId="00000018" w14:textId="77777777" w:rsidR="00FE6305" w:rsidRDefault="00AC5D8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Therefore, a realistic view to enter the market strategically highlights the significant competitive advantage of being a first mover, especially when it comes to achieving market dominance. Pioneers have been trained to intercept consumer demand, to set industry standards in a manner that gives them an empowered entitlement to early adopters (</w:t>
      </w:r>
      <w:r>
        <w:rPr>
          <w:rFonts w:ascii="Times New Roman" w:eastAsia="Times New Roman" w:hAnsi="Times New Roman" w:cs="Times New Roman"/>
          <w:sz w:val="24"/>
          <w:szCs w:val="24"/>
          <w:highlight w:val="white"/>
        </w:rPr>
        <w:t xml:space="preserve">Li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This way of thinking allows companies to determine price architectures, shape consumer tastes, and create barrier-rich relational spaces that resisters can hardly breach.</w:t>
      </w:r>
    </w:p>
    <w:p w14:paraId="00000019" w14:textId="77777777" w:rsidR="00FE6305" w:rsidRDefault="00AC5D8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best benefit of peering is one for better brand recognition and heavy customer loyalty. Having a brand so early establishes a sound consumer perception that is paramount to credibility and long-term retention. By fostering engagement, pausing along the journey, these pioneering firms not only amplify a brand’s issuance but also narratives within the sector (</w:t>
      </w:r>
      <w:r>
        <w:rPr>
          <w:rFonts w:ascii="Times New Roman" w:eastAsia="Times New Roman" w:hAnsi="Times New Roman" w:cs="Times New Roman"/>
          <w:sz w:val="24"/>
          <w:szCs w:val="24"/>
          <w:highlight w:val="white"/>
        </w:rPr>
        <w:t xml:space="preserve">Naffziger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The early adopters boast a relational aspect to their pioneer status, a distorted manifestation of the halo effect which guarantees that early adopters are the ones people think about when they think about transverse product quality, lending them credibility as competitive innovators in the field.</w:t>
      </w:r>
    </w:p>
    <w:p w14:paraId="0000001A" w14:textId="77777777" w:rsidR="00FE6305" w:rsidRDefault="00AC5D8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equally important component is the right to technological leadership and the benefits of intellectual property that together buttress enduring market empowerment (</w:t>
      </w:r>
      <w:r>
        <w:rPr>
          <w:rFonts w:ascii="Times New Roman" w:eastAsia="Times New Roman" w:hAnsi="Times New Roman" w:cs="Times New Roman"/>
          <w:sz w:val="24"/>
          <w:szCs w:val="24"/>
          <w:highlight w:val="white"/>
        </w:rPr>
        <w:t xml:space="preserve">Marco-Lajara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xml:space="preserve">). Pioneers often do a good job of conceptualizing the innovations that define industries and have the patent and proprietary technologies to protect their lead, often creating high barriers to entry for followers. The emergence of improved innovations in succession strengthens market stability and helps to constrain imitation and contextually consolidate technological leadership. Factually, Apple’s iPhone is an example of an innovative strategy </w:t>
      </w:r>
      <w:r>
        <w:rPr>
          <w:rFonts w:ascii="Times New Roman" w:eastAsia="Times New Roman" w:hAnsi="Times New Roman" w:cs="Times New Roman"/>
          <w:sz w:val="24"/>
          <w:szCs w:val="24"/>
        </w:rPr>
        <w:lastRenderedPageBreak/>
        <w:t>that was implemented with remarkable a</w:t>
      </w:r>
      <w:r>
        <w:rPr>
          <w:rFonts w:ascii="Times New Roman" w:eastAsia="Times New Roman" w:hAnsi="Times New Roman" w:cs="Times New Roman"/>
          <w:sz w:val="24"/>
          <w:szCs w:val="24"/>
        </w:rPr>
        <w:t>ccuracy (</w:t>
      </w:r>
      <w:r>
        <w:rPr>
          <w:rFonts w:ascii="Times New Roman" w:eastAsia="Times New Roman" w:hAnsi="Times New Roman" w:cs="Times New Roman"/>
          <w:sz w:val="24"/>
          <w:szCs w:val="24"/>
          <w:highlight w:val="white"/>
        </w:rPr>
        <w:t>Jiang, 2024</w:t>
      </w:r>
      <w:r>
        <w:rPr>
          <w:rFonts w:ascii="Times New Roman" w:eastAsia="Times New Roman" w:hAnsi="Times New Roman" w:cs="Times New Roman"/>
          <w:sz w:val="24"/>
          <w:szCs w:val="24"/>
        </w:rPr>
        <w:t xml:space="preserve">). By a smart, simplified and innovative user interface that was the first of its kind in the smartphone market, Apple empowered consumer expectations but also anchored a dominant relational impact. </w:t>
      </w:r>
    </w:p>
    <w:p w14:paraId="0000001B" w14:textId="0C0FD135" w:rsidR="00FE6305" w:rsidRPr="00715832" w:rsidRDefault="0071583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w:t>
      </w:r>
      <w:r w:rsidRPr="00715832">
        <w:rPr>
          <w:rFonts w:ascii="Times New Roman" w:eastAsia="Times New Roman" w:hAnsi="Times New Roman" w:cs="Times New Roman"/>
          <w:b/>
          <w:sz w:val="24"/>
          <w:szCs w:val="24"/>
        </w:rPr>
        <w:t>isks and challenges of being a pioneer</w:t>
      </w:r>
    </w:p>
    <w:p w14:paraId="0000001C" w14:textId="77777777" w:rsidR="00FE6305" w:rsidRDefault="00AC5D8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Familiarity with the pioneering strategy realism requires a careful study of its intrinsic dangers, which stand to impact its longevity. Some of the most significant hurdles are high research and development (R&amp;D) handling costs, further exacerbated by extensive marketing responsibilities. The right to tech innovation entails considerable investment as a result real pioneers must put money into ideas that the market has not yet validated (</w:t>
      </w:r>
      <w:r>
        <w:rPr>
          <w:rFonts w:ascii="Times New Roman" w:eastAsia="Times New Roman" w:hAnsi="Times New Roman" w:cs="Times New Roman"/>
          <w:sz w:val="24"/>
          <w:szCs w:val="24"/>
          <w:highlight w:val="white"/>
        </w:rPr>
        <w:t>Leão and da Silva, 2021</w:t>
      </w:r>
      <w:r>
        <w:rPr>
          <w:rFonts w:ascii="Times New Roman" w:eastAsia="Times New Roman" w:hAnsi="Times New Roman" w:cs="Times New Roman"/>
          <w:sz w:val="24"/>
          <w:szCs w:val="24"/>
        </w:rPr>
        <w:t>). Additionally, with no consumer knowledge existing, the need for a dynamic promotional campaign is on the go, hence it is a process which is expensive and also strategically risky.</w:t>
      </w:r>
    </w:p>
    <w:p w14:paraId="0000001D" w14:textId="77777777" w:rsidR="00FE6305" w:rsidRDefault="00AC5D8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equally reliant on the product's autophagous nature at the embryonic phase of market uncertainty in risk-averse consumers, who may not have the means to bring their existences in line with a disruptive product. Unlike followers, who can base their decisions on factual information about the market, pioneers must navigate a world where demand is still in question, and uncertainty reigns supreme (</w:t>
      </w:r>
      <w:r>
        <w:rPr>
          <w:rFonts w:ascii="Times New Roman" w:eastAsia="Times New Roman" w:hAnsi="Times New Roman" w:cs="Times New Roman"/>
          <w:sz w:val="24"/>
          <w:szCs w:val="24"/>
          <w:highlight w:val="white"/>
        </w:rPr>
        <w:t xml:space="preserve">Favoretto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Moreover, as consumers often hesitate to embrace new technologies, relational hesitations are predominantly reported, led by distrust in untried innovations. If one does not identify the market needs well, once the product is ready, adoption will be slow, losing the expected first-mover advantage.</w:t>
      </w:r>
    </w:p>
    <w:p w14:paraId="0000001E" w14:textId="77777777" w:rsidR="00FE6305" w:rsidRDefault="00AC5D8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need to move forward relies on the risk of becoming obsolete technologically, an ever-constant struggle for pioneers that must be contextualized further. Due to the fast advance of technological landscapes, a specific product that in the past ensured competitive advancement can quickly develop into obsolete with the introduction of transverse developments (</w:t>
      </w:r>
      <w:r>
        <w:rPr>
          <w:rFonts w:ascii="Times New Roman" w:eastAsia="Times New Roman" w:hAnsi="Times New Roman" w:cs="Times New Roman"/>
          <w:sz w:val="24"/>
          <w:szCs w:val="24"/>
          <w:highlight w:val="white"/>
        </w:rPr>
        <w:t xml:space="preserve">Reim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The incremental innovations brought by follower firms typically include improvements that the pioneers missed, erasing any advantage. This failure to adapt their models has led some companies, like BlackBerry, which through smartphones sparked the mobile revolution, to give up their early claim and entitlement.</w:t>
      </w:r>
    </w:p>
    <w:p w14:paraId="0000001F" w14:textId="472C93AA" w:rsidR="00FE6305" w:rsidRDefault="00AC5D8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Advantages of </w:t>
      </w:r>
      <w:r w:rsidR="00715832">
        <w:rPr>
          <w:rFonts w:ascii="Times New Roman" w:eastAsia="Times New Roman" w:hAnsi="Times New Roman" w:cs="Times New Roman"/>
          <w:b/>
          <w:sz w:val="24"/>
          <w:szCs w:val="24"/>
        </w:rPr>
        <w:t>being a follower</w:t>
      </w:r>
    </w:p>
    <w:p w14:paraId="00000020" w14:textId="77777777" w:rsidR="00FE6305" w:rsidRDefault="00AC5D8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Understanding the follower strategy in an honest light reveals its considerable perks particularly in adequately capturing market trends without exposing oneself to too much risk. For follower companies the most strategically important orientation is their ability to learn from the mistakes made by pioneers in the marketplace, and thus tailor product offering and sidestep early stage problems (</w:t>
      </w:r>
      <w:r>
        <w:rPr>
          <w:rFonts w:ascii="Times New Roman" w:eastAsia="Times New Roman" w:hAnsi="Times New Roman" w:cs="Times New Roman"/>
          <w:sz w:val="24"/>
          <w:szCs w:val="24"/>
          <w:highlight w:val="white"/>
        </w:rPr>
        <w:t xml:space="preserve">Antony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2023</w:t>
      </w:r>
      <w:r>
        <w:rPr>
          <w:rFonts w:ascii="Times New Roman" w:eastAsia="Times New Roman" w:hAnsi="Times New Roman" w:cs="Times New Roman"/>
          <w:sz w:val="24"/>
          <w:szCs w:val="24"/>
        </w:rPr>
        <w:t xml:space="preserve">). While pioneers have significant conceptual </w:t>
      </w:r>
      <w:r>
        <w:rPr>
          <w:rFonts w:ascii="Times New Roman" w:eastAsia="Times New Roman" w:hAnsi="Times New Roman" w:cs="Times New Roman"/>
          <w:sz w:val="24"/>
          <w:szCs w:val="24"/>
        </w:rPr>
        <w:lastRenderedPageBreak/>
        <w:t>uncertainty, followers enjoy the advantage of available market feedback, allowing them to provide empowered innovations that better their functionality, user experience, and affordability. Thus, it simply means follower implementations can take place in a sequential manner as consumer reactions are seen to first-movers, such consumer responses creating a temporal context that will confirm the preferences of consumer choices in the resulting emphasis being on eff</w:t>
      </w:r>
      <w:r>
        <w:rPr>
          <w:rFonts w:ascii="Times New Roman" w:eastAsia="Times New Roman" w:hAnsi="Times New Roman" w:cs="Times New Roman"/>
          <w:sz w:val="24"/>
          <w:szCs w:val="24"/>
        </w:rPr>
        <w:t>iciency over experimentation.</w:t>
      </w:r>
    </w:p>
    <w:p w14:paraId="00000021" w14:textId="77777777" w:rsidR="00FE6305" w:rsidRDefault="00AC5D8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relational impact of lower R&amp;D and marketing costs remains a signature of the follower strategy (</w:t>
      </w:r>
      <w:r>
        <w:rPr>
          <w:rFonts w:ascii="Times New Roman" w:eastAsia="Times New Roman" w:hAnsi="Times New Roman" w:cs="Times New Roman"/>
          <w:sz w:val="24"/>
          <w:szCs w:val="24"/>
          <w:highlight w:val="white"/>
        </w:rPr>
        <w:t xml:space="preserve">Antony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2024</w:t>
      </w:r>
      <w:r>
        <w:rPr>
          <w:rFonts w:ascii="Times New Roman" w:eastAsia="Times New Roman" w:hAnsi="Times New Roman" w:cs="Times New Roman"/>
          <w:sz w:val="24"/>
          <w:szCs w:val="24"/>
        </w:rPr>
        <w:t>). Innovators spend considerable money on product development, technical advances, and extensive marketing. On the other hand, followers are able to take advantage of already established technological architectures and define innovations without the high cost associated with initial invention. Followers are forced to differentiate their product and lower costs instead through intercepting consumer awareness already created by innovator pioneers rather than educating the market from scratch</w:t>
      </w:r>
      <w:r>
        <w:rPr>
          <w:rFonts w:ascii="Times New Roman" w:eastAsia="Times New Roman" w:hAnsi="Times New Roman" w:cs="Times New Roman"/>
          <w:sz w:val="24"/>
          <w:szCs w:val="24"/>
        </w:rPr>
        <w:t>. The strategy also promotes competitive progression to ensure long-term economic success (</w:t>
      </w:r>
      <w:r>
        <w:rPr>
          <w:rFonts w:ascii="Times New Roman" w:eastAsia="Times New Roman" w:hAnsi="Times New Roman" w:cs="Times New Roman"/>
          <w:sz w:val="24"/>
          <w:szCs w:val="24"/>
          <w:highlight w:val="white"/>
        </w:rPr>
        <w:t>Sziklai and Lengyel, 2022</w:t>
      </w:r>
      <w:r>
        <w:rPr>
          <w:rFonts w:ascii="Times New Roman" w:eastAsia="Times New Roman" w:hAnsi="Times New Roman" w:cs="Times New Roman"/>
          <w:sz w:val="24"/>
          <w:szCs w:val="24"/>
        </w:rPr>
        <w:t>).</w:t>
      </w:r>
    </w:p>
    <w:p w14:paraId="00000022" w14:textId="77777777" w:rsidR="00FE6305" w:rsidRDefault="00AC5D8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Another significant privilege of follower firms is the ability to exploit established demand. Unlike pioneers, which need to establish and create the demand for untested innovations, followers gain access to a market where consumer tastes have already been established, thus lowering the impedance to adoption. Samsung’s strategy in the smartphone is a real-life example of this approach (</w:t>
      </w:r>
      <w:r>
        <w:rPr>
          <w:rFonts w:ascii="Times New Roman" w:eastAsia="Times New Roman" w:hAnsi="Times New Roman" w:cs="Times New Roman"/>
          <w:sz w:val="24"/>
          <w:szCs w:val="24"/>
          <w:highlight w:val="white"/>
        </w:rPr>
        <w:t>Stratopoulos and Wang, 2022</w:t>
      </w:r>
      <w:r>
        <w:rPr>
          <w:rFonts w:ascii="Times New Roman" w:eastAsia="Times New Roman" w:hAnsi="Times New Roman" w:cs="Times New Roman"/>
          <w:sz w:val="24"/>
          <w:szCs w:val="24"/>
        </w:rPr>
        <w:t>). If Apple arguably invented the modern touchscreen smartphone, Samsung’s lateral application of the concept of larger displays, stylus functionality, multiple price tiers allowed it to theoretically maintain market leadership longer term, whilst riding the immediate coattails of Apple’s linear proposition of market extension.</w:t>
      </w:r>
    </w:p>
    <w:p w14:paraId="00000023" w14:textId="1FC2F2F0" w:rsidR="00FE6305" w:rsidRDefault="00AC5D8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Risks </w:t>
      </w:r>
      <w:r w:rsidR="00715832">
        <w:rPr>
          <w:rFonts w:ascii="Times New Roman" w:eastAsia="Times New Roman" w:hAnsi="Times New Roman" w:cs="Times New Roman"/>
          <w:b/>
          <w:sz w:val="24"/>
          <w:szCs w:val="24"/>
        </w:rPr>
        <w:t>and challenges of being a follower</w:t>
      </w:r>
    </w:p>
    <w:p w14:paraId="00000024" w14:textId="77777777" w:rsidR="00FE6305" w:rsidRDefault="00AC5D8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realistic understanding of the follower strategic operations warrants close attention to those inherent limits, which often represent consequential obstacles to capturing the market and achieving sustainable success in the long term. A key one is differentiating from innovators and may need to deliver relational presence and market modality (</w:t>
      </w:r>
      <w:r>
        <w:rPr>
          <w:rFonts w:ascii="Times New Roman" w:eastAsia="Times New Roman" w:hAnsi="Times New Roman" w:cs="Times New Roman"/>
          <w:sz w:val="24"/>
          <w:szCs w:val="24"/>
          <w:highlight w:val="white"/>
        </w:rPr>
        <w:t>Chavez and Chen, 2022</w:t>
      </w:r>
      <w:r>
        <w:rPr>
          <w:rFonts w:ascii="Times New Roman" w:eastAsia="Times New Roman" w:hAnsi="Times New Roman" w:cs="Times New Roman"/>
          <w:sz w:val="24"/>
          <w:szCs w:val="24"/>
        </w:rPr>
        <w:t xml:space="preserve">). As pioneers have already intercepted consumer preferences and industry standards, followers need to bring something substantial and contextually empowered to the table to avoid being recognized as a clone. </w:t>
      </w:r>
    </w:p>
    <w:p w14:paraId="00000025" w14:textId="1A14A128" w:rsidR="00FE6305" w:rsidRDefault="00AC5D8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contextual-issue which should be noted is the inherent issue with brand recognition and customer loyalty in such follower firms being rather weak and still being one of the key obstacles for such </w:t>
      </w:r>
      <w:r w:rsidR="00755AA1">
        <w:rPr>
          <w:rFonts w:ascii="Times New Roman" w:eastAsia="Times New Roman" w:hAnsi="Times New Roman" w:cs="Times New Roman"/>
          <w:sz w:val="24"/>
          <w:szCs w:val="24"/>
        </w:rPr>
        <w:t>firms</w:t>
      </w:r>
      <w:r>
        <w:rPr>
          <w:rFonts w:ascii="Times New Roman" w:eastAsia="Times New Roman" w:hAnsi="Times New Roman" w:cs="Times New Roman"/>
          <w:sz w:val="24"/>
          <w:szCs w:val="24"/>
        </w:rPr>
        <w:t xml:space="preserve">. Pioneer brands enjoy high consumer credibility due to time in the </w:t>
      </w:r>
      <w:r>
        <w:rPr>
          <w:rFonts w:ascii="Times New Roman" w:eastAsia="Times New Roman" w:hAnsi="Times New Roman" w:cs="Times New Roman"/>
          <w:sz w:val="24"/>
          <w:szCs w:val="24"/>
        </w:rPr>
        <w:lastRenderedPageBreak/>
        <w:t>market and relational consumer engagement (</w:t>
      </w:r>
      <w:r>
        <w:rPr>
          <w:rFonts w:ascii="Times New Roman" w:eastAsia="Times New Roman" w:hAnsi="Times New Roman" w:cs="Times New Roman"/>
          <w:sz w:val="24"/>
          <w:szCs w:val="24"/>
          <w:highlight w:val="white"/>
        </w:rPr>
        <w:t xml:space="preserve">Miake-Lye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By contrast, followers do not benefit sufficiently from these advantages, since customers tend to correlate long-standing presence with enabled reliability. However, investment in orientation in competitive markets needs to be adequate, which might reduce the steps to lead lower follower cost. Without a domain market presence, followers are at risk of being overtaken by</w:t>
      </w:r>
      <w:r>
        <w:rPr>
          <w:rFonts w:ascii="Times New Roman" w:eastAsia="Times New Roman" w:hAnsi="Times New Roman" w:cs="Times New Roman"/>
          <w:sz w:val="24"/>
          <w:szCs w:val="24"/>
        </w:rPr>
        <w:t xml:space="preserve"> their pioneers, who hold a significant amount of consumer trust over time due to a sequencing of brand reinforcement.</w:t>
      </w:r>
    </w:p>
    <w:p w14:paraId="00000026" w14:textId="77777777" w:rsidR="00FE6305" w:rsidRDefault="00AC5D8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Moreover, for the followers, there is always a risk of over-dependence on the innovations made by the pioneers, which can equally affect long-term sustainability (</w:t>
      </w:r>
      <w:r>
        <w:rPr>
          <w:rFonts w:ascii="Times New Roman" w:eastAsia="Times New Roman" w:hAnsi="Times New Roman" w:cs="Times New Roman"/>
          <w:sz w:val="24"/>
          <w:szCs w:val="24"/>
          <w:highlight w:val="white"/>
        </w:rPr>
        <w:t>Chintalapati, 2021</w:t>
      </w:r>
      <w:r>
        <w:rPr>
          <w:rFonts w:ascii="Times New Roman" w:eastAsia="Times New Roman" w:hAnsi="Times New Roman" w:cs="Times New Roman"/>
          <w:sz w:val="24"/>
          <w:szCs w:val="24"/>
        </w:rPr>
        <w:t>). Followers end up building on existing tech stacks and may end up substantially limited due to lack of patents, software, and growing market saturation which impedes their ability to achieve meaningful product differentiation. Developments in paradigms of technological integration rather than groundbreaking solutions, on the other hand, leads to a situation where followers are in a dangerous position of being placed in a market orientation where their usefulness depends on the technology</w:t>
      </w:r>
      <w:r>
        <w:rPr>
          <w:rFonts w:ascii="Times New Roman" w:eastAsia="Times New Roman" w:hAnsi="Times New Roman" w:cs="Times New Roman"/>
          <w:sz w:val="24"/>
          <w:szCs w:val="24"/>
        </w:rPr>
        <w:t xml:space="preserve"> evolution of leading-edge companies (</w:t>
      </w:r>
      <w:r>
        <w:rPr>
          <w:rFonts w:ascii="Times New Roman" w:eastAsia="Times New Roman" w:hAnsi="Times New Roman" w:cs="Times New Roman"/>
          <w:sz w:val="24"/>
          <w:szCs w:val="24"/>
          <w:highlight w:val="white"/>
        </w:rPr>
        <w:t xml:space="preserve">Saari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This challenge is especially pronounced when pioneers introduce rapid sequential developments that followers must respond to rather than anticipate from the beginning.</w:t>
      </w:r>
    </w:p>
    <w:p w14:paraId="00000027" w14:textId="220055F4" w:rsidR="00FE6305" w:rsidRDefault="00AC5D8E">
      <w:pPr>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sz w:val="24"/>
          <w:szCs w:val="24"/>
        </w:rPr>
        <w:t xml:space="preserve">Product </w:t>
      </w:r>
      <w:r w:rsidR="00715832">
        <w:rPr>
          <w:rFonts w:ascii="Times New Roman" w:eastAsia="Times New Roman" w:hAnsi="Times New Roman" w:cs="Times New Roman"/>
          <w:b/>
          <w:sz w:val="24"/>
          <w:szCs w:val="24"/>
        </w:rPr>
        <w:t>life cycle strategies for pioneers and followers</w:t>
      </w:r>
    </w:p>
    <w:p w14:paraId="00000028" w14:textId="77777777" w:rsidR="00FE6305" w:rsidRDefault="00AC5D8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Product Life Cycle (PLC) represents a series of stages that span from market entry until product removal (Udokporo 2021). The model includes four essential steps. The products move through Introduction and Growth phases, which include initial market launches along with awareness-building activities (Wang and Zhang, 2020). Maturity represents the business cycle stage when sales reach their peak yet competition strength increases, leading toward Decline where sales start to decline from market saturation </w:t>
      </w:r>
      <w:r>
        <w:rPr>
          <w:rFonts w:ascii="Times New Roman" w:eastAsia="Times New Roman" w:hAnsi="Times New Roman" w:cs="Times New Roman"/>
          <w:sz w:val="24"/>
          <w:szCs w:val="24"/>
        </w:rPr>
        <w:t>or new innovations (Wang and Zhang, 2020). The PLC helps companies create pricing methods and market approaches for new products while developing innovations to optimise their growth throughout different market stages.</w:t>
      </w:r>
    </w:p>
    <w:p w14:paraId="00000029" w14:textId="2CD2AADE" w:rsidR="00FE6305" w:rsidRDefault="00AC5D8E">
      <w:pPr>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sz w:val="24"/>
          <w:szCs w:val="24"/>
        </w:rPr>
        <w:t xml:space="preserve">Pioneer </w:t>
      </w:r>
      <w:r w:rsidR="00715832">
        <w:rPr>
          <w:rFonts w:ascii="Times New Roman" w:eastAsia="Times New Roman" w:hAnsi="Times New Roman" w:cs="Times New Roman"/>
          <w:b/>
          <w:sz w:val="24"/>
          <w:szCs w:val="24"/>
        </w:rPr>
        <w:t>company and its product life cycle strategies</w:t>
      </w:r>
    </w:p>
    <w:p w14:paraId="0000002A" w14:textId="77777777" w:rsidR="00FE6305" w:rsidRDefault="00AC5D8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Tesla Inc. stands out in the electric vehicle sector for its revolutionary products in battery technology alongside autonomous screening </w:t>
      </w:r>
      <w:r>
        <w:rPr>
          <w:rFonts w:ascii="Times New Roman" w:eastAsia="Times New Roman" w:hAnsi="Times New Roman" w:cs="Times New Roman"/>
          <w:sz w:val="24"/>
          <w:szCs w:val="24"/>
        </w:rPr>
        <w:t>systems and worldwide growth initiatives (Hopkins and Lazonick, 2024). Platformed on innovations from manufacturing excellence together with modern software applications, Tesla breaks automotive conventions worldwide by producing new records for output, generating enormous revenue and leading market development.</w:t>
      </w:r>
    </w:p>
    <w:p w14:paraId="0000002B" w14:textId="77777777" w:rsidR="00FE6305" w:rsidRDefault="00AC5D8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founding purpose of Tesla was to develop speed-orientated electric sports cars that would reshape public opinion toward electric vehicle technology. The Roadster gained distinction when it launched in 2008 because it sprinted from 0-60 mph in under 4 seconds (DeMattia 2024). The Roadster built by Tesla between 2012 and 2018 managed to show the possibilities of electric power systems through its production of 2,450 units (Hopkins and Lazonick, 2024). The early strategy of Tesla focused on attracting high</w:t>
      </w:r>
      <w:r>
        <w:rPr>
          <w:rFonts w:ascii="Times New Roman" w:eastAsia="Times New Roman" w:hAnsi="Times New Roman" w:cs="Times New Roman"/>
          <w:sz w:val="24"/>
          <w:szCs w:val="24"/>
        </w:rPr>
        <w:t>-net-worth individuals to fund their future mass-market vehicles, which created conditions for electric vehicles to gain general market acceptance.</w:t>
      </w:r>
    </w:p>
    <w:p w14:paraId="0000002C" w14:textId="77777777" w:rsidR="00FE6305" w:rsidRDefault="00AC5D8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unveiled its Model S luxury sedan to the market during 2012 (Li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The global vehicle sales of the company exceeded 75,600 units during 2016 (Carlier, 2025). The company delivered its distinctive strategy through automated software downloads that enabled perpetual vehicle improvement. The year 2015 brought the Model X SUV to the market as Tesla implemented new additions to their product range (</w:t>
      </w:r>
      <w:r>
        <w:rPr>
          <w:rFonts w:ascii="Times New Roman" w:eastAsia="Times New Roman" w:hAnsi="Times New Roman" w:cs="Times New Roman"/>
          <w:sz w:val="24"/>
          <w:szCs w:val="24"/>
          <w:highlight w:val="white"/>
        </w:rPr>
        <w:t xml:space="preserve">Liu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2025</w:t>
      </w:r>
      <w:r>
        <w:rPr>
          <w:rFonts w:ascii="Times New Roman" w:eastAsia="Times New Roman" w:hAnsi="Times New Roman" w:cs="Times New Roman"/>
          <w:sz w:val="24"/>
          <w:szCs w:val="24"/>
        </w:rPr>
        <w:t>).</w:t>
      </w:r>
    </w:p>
    <w:p w14:paraId="0000002D" w14:textId="77777777" w:rsidR="00FE6305" w:rsidRDefault="00AC5D8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2017 release of the Model 3 marked Tesla's move toward the broad market. However, in 2025, Tesla enters a situation that reveals characteristics of a developing product life cycle. Production numbers fell by 4% in 2024 while the delivery volume stayed constant, indicating the market has reached its full capacity (Bekker, 2025). On the other hand, the market entry of BYD and similar manufacturers decreased Tesla's market share to 10.4% during 2024 (Reuters, 2025). The rebalancing of Tesla's Model Y produ</w:t>
      </w:r>
      <w:r>
        <w:rPr>
          <w:rFonts w:ascii="Times New Roman" w:eastAsia="Times New Roman" w:hAnsi="Times New Roman" w:cs="Times New Roman"/>
          <w:sz w:val="24"/>
          <w:szCs w:val="24"/>
        </w:rPr>
        <w:t>ction line in 2025 aims at lowering costs by at least 20% (Reuters, 2025).</w:t>
      </w:r>
    </w:p>
    <w:p w14:paraId="0000002E" w14:textId="77777777" w:rsidR="00FE6305" w:rsidRDefault="00AC5D8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decline stage has not affected Tesla at present but several potential risks exist that could contain such a transformation. Recent market performance has sent the company stock plummeting 15% in what represents its biggest drop in the last five years, with more than 50% depletion since December peaks (Hawkins, 2025). The decrease in Tesla stock value stems from Elon Musk's disruptive management style, which has displeased customers while intensified competition provides better electric vehicle options t</w:t>
      </w:r>
      <w:r>
        <w:rPr>
          <w:rFonts w:ascii="Times New Roman" w:eastAsia="Times New Roman" w:hAnsi="Times New Roman" w:cs="Times New Roman"/>
          <w:sz w:val="24"/>
          <w:szCs w:val="24"/>
        </w:rPr>
        <w:t xml:space="preserve">o consumers. The company faces criticism because of its ageing product selection and inability to launch cost-effective electric models (Hawkins, 2025). Tesla intends to release a $30,000 or less EV model during the first half of 2025 to reach specific markets like India, where it seeks growth despite diminishing EV demand and emerging economic competition (Altchek, 2025). </w:t>
      </w:r>
    </w:p>
    <w:p w14:paraId="0000002F" w14:textId="77777777" w:rsidR="00FE6305" w:rsidRDefault="00AC5D8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Thus, Tesla demonstrates innovative market strategies along with competition challenges throughout its product life cycle phase in a progressively changing market environment.</w:t>
      </w:r>
    </w:p>
    <w:p w14:paraId="00000030" w14:textId="5FA601F5" w:rsidR="00FE6305" w:rsidRDefault="00AC5D8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Follower </w:t>
      </w:r>
      <w:r w:rsidR="00715832">
        <w:rPr>
          <w:rFonts w:ascii="Times New Roman" w:eastAsia="Times New Roman" w:hAnsi="Times New Roman" w:cs="Times New Roman"/>
          <w:b/>
          <w:sz w:val="24"/>
          <w:szCs w:val="24"/>
        </w:rPr>
        <w:t>companies and product life cycle strategies</w:t>
      </w:r>
    </w:p>
    <w:p w14:paraId="00000031" w14:textId="77777777" w:rsidR="00FE6305" w:rsidRDefault="00AC5D8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Since its launch in 2010, Xiaomi has achieved swift growth through its products of high-quality smartphones at affordable prices (Hammer and Yusuf, 2020).</w:t>
      </w:r>
    </w:p>
    <w:p w14:paraId="00000032" w14:textId="77777777" w:rsidR="00FE6305" w:rsidRDefault="00AC5D8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smartphone manufacturer Xiaomi released its initial device Mi 1 during 2011 at the price point of 1,999 yuan (LUAN, 2022). The device entered the market with a dual-core 1.5 GHz processor and 1 GB of RAM, thus offering affordable price competition against established brands. Consumers could buy Xiaomi products directly through online channels, which created cost efficiency along with the ability to set competitive prices (Nandi, 2023). The company combined software updates every week with community user</w:t>
      </w:r>
      <w:r>
        <w:rPr>
          <w:rFonts w:ascii="Times New Roman" w:eastAsia="Times New Roman" w:hAnsi="Times New Roman" w:cs="Times New Roman"/>
          <w:sz w:val="24"/>
          <w:szCs w:val="24"/>
        </w:rPr>
        <w:t xml:space="preserve"> involvement and dedicated feedback events to gain loyal customers through iterative development.</w:t>
      </w:r>
    </w:p>
    <w:p w14:paraId="00000033" w14:textId="77777777" w:rsidR="00FE6305" w:rsidRDefault="00AC5D8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Xiaomi reached the top spot in China's smartphone market during 2014 and sold over 60 million units while controlling 14% of the market segment. The company achieved significant success in India through global expansion when it became the leading smartphone brand by 2018 (Tabassum and Ahmed, 2020). The company achieved ecosystem growth through its expanded product line that included smartphones as well as smart TVs and wearables. Xiaomi achieved $37 billion in revenue in 2020 alongside the distribution of m</w:t>
      </w:r>
      <w:r>
        <w:rPr>
          <w:rFonts w:ascii="Times New Roman" w:eastAsia="Times New Roman" w:hAnsi="Times New Roman" w:cs="Times New Roman"/>
          <w:sz w:val="24"/>
          <w:szCs w:val="24"/>
        </w:rPr>
        <w:t>ore than 210 million IoT devices to customers throughout greater than 90 nations (Slotta, 2024).</w:t>
      </w:r>
    </w:p>
    <w:p w14:paraId="00000034" w14:textId="77777777" w:rsidR="00FE6305" w:rsidRDefault="00AC5D8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Xiaomi developed its ecosystem capabilities and entered new market segments because smartphone sales reached saturation point. The company introduced its first electric vehicle model, the SU7 sedan, in 2023 with a starting price of under thirty thousand dollars (Goh and Mo, 2024). During October 2024, the SU7 received rapid market acceptance when it sold more than 20,000 units, which pushed Xiaomi to increase its annual delivery goals to 130,000 units (Goh and Mo, 2024). Xiaomi demonstrated through this acc</w:t>
      </w:r>
      <w:r>
        <w:rPr>
          <w:rFonts w:ascii="Times New Roman" w:eastAsia="Times New Roman" w:hAnsi="Times New Roman" w:cs="Times New Roman"/>
          <w:sz w:val="24"/>
          <w:szCs w:val="24"/>
        </w:rPr>
        <w:t>omplishment that its brand, together with technological capabilities, allow effective market entry into the competitive EV sector.</w:t>
      </w:r>
    </w:p>
    <w:p w14:paraId="00000035" w14:textId="77777777" w:rsidR="00FE6305" w:rsidRDefault="00AC5D8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Xiaomi continues to pioneer new products, although several product lines have lost their appeal in the market. For instance, the company suffered declining smartphone sales of its early models during competitive times when the market became saturated. In response, Xiaomi reacted to declining demand by releasing the SU7 Ultra luxury electric sports car, which competes against the Model S Plaid from Tesla in China at its high price point of 114,000 USD (Financial Times, 2024). The company designs this strateg</w:t>
      </w:r>
      <w:r>
        <w:rPr>
          <w:rFonts w:ascii="Times New Roman" w:eastAsia="Times New Roman" w:hAnsi="Times New Roman" w:cs="Times New Roman"/>
          <w:sz w:val="24"/>
          <w:szCs w:val="24"/>
        </w:rPr>
        <w:t>ic move to both gain new customer segments that want premium items and protect its market position against possible future decline.</w:t>
      </w:r>
    </w:p>
    <w:p w14:paraId="00000036" w14:textId="77777777" w:rsidR="00FE6305" w:rsidRDefault="00AC5D8E">
      <w:pPr>
        <w:pStyle w:val="Heading1"/>
      </w:pPr>
      <w:bookmarkStart w:id="2" w:name="_ubih1zbzgztx" w:colFirst="0" w:colLast="0"/>
      <w:bookmarkEnd w:id="2"/>
      <w:r>
        <w:lastRenderedPageBreak/>
        <w:t>Conclusion</w:t>
      </w:r>
    </w:p>
    <w:p w14:paraId="00000037" w14:textId="77777777" w:rsidR="00FE6305" w:rsidRDefault="00AC5D8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mover and the late mover strategies have their own pros and cons when it comes to positioning in any respective market. According to visionary innovators like tesla, they set a certain level of industry standards for others to follow and they become the technological leaders of their industry and gain brand loyalty, but the R&amp;D costs are high, and the future of the market is uncertain for them. Followers, such as Xiaomi, enjoy high demand, lower risks, and most of the innovations are installed at </w:t>
      </w:r>
      <w:r>
        <w:rPr>
          <w:rFonts w:ascii="Times New Roman" w:eastAsia="Times New Roman" w:hAnsi="Times New Roman" w:cs="Times New Roman"/>
          <w:sz w:val="24"/>
          <w:szCs w:val="24"/>
        </w:rPr>
        <w:t>cheaper prices, but they pay a price in terms of brand recognition and differentiation. Pioneers spark innovation, followed by imitators that continue to innovate and expand the market, all described hierarchically in the product life cycle. Therefore, sustainable success, after all, is based on the ability to adapt and to innovate and the strength to respond strategically to changing tastes and competitive pressures in fast-moving sectors.</w:t>
      </w:r>
    </w:p>
    <w:p w14:paraId="00000038" w14:textId="77777777" w:rsidR="00FE6305" w:rsidRDefault="00AC5D8E">
      <w:pPr>
        <w:pStyle w:val="Heading1"/>
      </w:pPr>
      <w:bookmarkStart w:id="3" w:name="_x7nxw62q3hmt" w:colFirst="0" w:colLast="0"/>
      <w:bookmarkEnd w:id="3"/>
      <w:r>
        <w:br w:type="page"/>
      </w:r>
    </w:p>
    <w:p w14:paraId="6E841880" w14:textId="77777777" w:rsidR="00111628" w:rsidRDefault="00111628" w:rsidP="00111628"/>
    <w:p w14:paraId="6BA06CA9" w14:textId="77777777" w:rsidR="00111628" w:rsidRDefault="00111628" w:rsidP="00111628"/>
    <w:p w14:paraId="2C355C5D" w14:textId="77777777" w:rsidR="00111628" w:rsidRDefault="00111628" w:rsidP="00111628"/>
    <w:p w14:paraId="2A5C45C2" w14:textId="77777777" w:rsidR="00111628" w:rsidRDefault="00111628" w:rsidP="00111628"/>
    <w:p w14:paraId="0D23D098" w14:textId="77777777" w:rsidR="00111628" w:rsidRDefault="00111628" w:rsidP="00111628"/>
    <w:p w14:paraId="2ED7A930" w14:textId="77777777" w:rsidR="00111628" w:rsidRDefault="00111628" w:rsidP="00111628"/>
    <w:p w14:paraId="7FB8955E" w14:textId="77777777" w:rsidR="00111628" w:rsidRDefault="00111628" w:rsidP="00111628"/>
    <w:p w14:paraId="334B5C33" w14:textId="77777777" w:rsidR="00111628" w:rsidRDefault="00111628" w:rsidP="00111628"/>
    <w:p w14:paraId="053EB907" w14:textId="77777777" w:rsidR="00111628" w:rsidRDefault="00111628" w:rsidP="00111628"/>
    <w:p w14:paraId="6E85C54B" w14:textId="77777777" w:rsidR="00111628" w:rsidRDefault="00111628" w:rsidP="00111628"/>
    <w:p w14:paraId="10A0E175" w14:textId="77777777" w:rsidR="00111628" w:rsidRDefault="00111628" w:rsidP="00111628"/>
    <w:p w14:paraId="27F588FC" w14:textId="77777777" w:rsidR="00111628" w:rsidRDefault="00111628" w:rsidP="00111628"/>
    <w:p w14:paraId="183C8F58" w14:textId="77777777" w:rsidR="00111628" w:rsidRDefault="00111628" w:rsidP="00111628"/>
    <w:p w14:paraId="3BCC28C4" w14:textId="77777777" w:rsidR="00111628" w:rsidRDefault="00111628" w:rsidP="00111628"/>
    <w:p w14:paraId="3F98183C" w14:textId="77777777" w:rsidR="00111628" w:rsidRPr="00111628" w:rsidRDefault="00111628" w:rsidP="00111628"/>
    <w:p w14:paraId="00000039" w14:textId="77777777" w:rsidR="00FE6305" w:rsidRDefault="00AC5D8E">
      <w:pPr>
        <w:pStyle w:val="Heading1"/>
      </w:pPr>
      <w:bookmarkStart w:id="4" w:name="_s2rlb4bu1a6v" w:colFirst="0" w:colLast="0"/>
      <w:bookmarkEnd w:id="4"/>
      <w:r>
        <w:t>References</w:t>
      </w:r>
    </w:p>
    <w:p w14:paraId="0000003A" w14:textId="77777777" w:rsidR="00FE6305" w:rsidRDefault="00AC5D8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Altchek, A., (2025). </w:t>
      </w:r>
      <w:r>
        <w:rPr>
          <w:rFonts w:ascii="Times New Roman" w:eastAsia="Times New Roman" w:hAnsi="Times New Roman" w:cs="Times New Roman"/>
          <w:i/>
          <w:sz w:val="24"/>
          <w:szCs w:val="24"/>
          <w:highlight w:val="white"/>
        </w:rPr>
        <w:t xml:space="preserve">The Tesla deadline Elon Musk needs to hit - Business Insider. </w:t>
      </w:r>
      <w:r>
        <w:rPr>
          <w:rFonts w:ascii="Times New Roman" w:eastAsia="Times New Roman" w:hAnsi="Times New Roman" w:cs="Times New Roman"/>
          <w:sz w:val="24"/>
          <w:szCs w:val="24"/>
          <w:highlight w:val="white"/>
        </w:rPr>
        <w:t xml:space="preserve">[Online]. Available at: </w:t>
      </w:r>
      <w:hyperlink r:id="rId5">
        <w:r w:rsidR="00FE6305">
          <w:rPr>
            <w:rFonts w:ascii="Times New Roman" w:eastAsia="Times New Roman" w:hAnsi="Times New Roman" w:cs="Times New Roman"/>
            <w:color w:val="1155CC"/>
            <w:sz w:val="24"/>
            <w:szCs w:val="24"/>
            <w:highlight w:val="white"/>
            <w:u w:val="single"/>
          </w:rPr>
          <w:t>https://www.businessinsider.com/tesla-low-cost-cheaper-car-production-deadline-2025-3</w:t>
        </w:r>
      </w:hyperlink>
      <w:r>
        <w:rPr>
          <w:rFonts w:ascii="Times New Roman" w:eastAsia="Times New Roman" w:hAnsi="Times New Roman" w:cs="Times New Roman"/>
          <w:sz w:val="24"/>
          <w:szCs w:val="24"/>
          <w:highlight w:val="white"/>
        </w:rPr>
        <w:t xml:space="preserve"> [Accessed on 16 March 2025]</w:t>
      </w:r>
    </w:p>
    <w:p w14:paraId="0000003B" w14:textId="77777777" w:rsidR="00FE6305" w:rsidRDefault="00AC5D8E">
      <w:pPr>
        <w:widowControl w:v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Antony, J., Sony, M., McDermott, O., Furterer, S., and Pepper, M. (2023). How does performance vary between early and late adopters of Industry 4.0? A qualitative viewpoint. </w:t>
      </w:r>
      <w:r>
        <w:rPr>
          <w:rFonts w:ascii="Times New Roman" w:eastAsia="Times New Roman" w:hAnsi="Times New Roman" w:cs="Times New Roman"/>
          <w:i/>
          <w:sz w:val="24"/>
          <w:szCs w:val="24"/>
          <w:highlight w:val="white"/>
        </w:rPr>
        <w:t>International Journal of Quality and Reliability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40</w:t>
      </w:r>
      <w:r>
        <w:rPr>
          <w:rFonts w:ascii="Times New Roman" w:eastAsia="Times New Roman" w:hAnsi="Times New Roman" w:cs="Times New Roman"/>
          <w:sz w:val="24"/>
          <w:szCs w:val="24"/>
          <w:highlight w:val="white"/>
        </w:rPr>
        <w:t>(1), 1-24.</w:t>
      </w:r>
    </w:p>
    <w:p w14:paraId="0000003C" w14:textId="77777777" w:rsidR="00FE6305" w:rsidRDefault="00AC5D8E">
      <w:pPr>
        <w:widowControl w:v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Antony, J., Swarnakar, V., Sony, M., McDermott, O., and Jayaraman, R. (2024). How do organizational performances vary between early adopters and late adopters of Quality 4.0? An exploratory qualitative study. </w:t>
      </w:r>
      <w:r>
        <w:rPr>
          <w:rFonts w:ascii="Times New Roman" w:eastAsia="Times New Roman" w:hAnsi="Times New Roman" w:cs="Times New Roman"/>
          <w:i/>
          <w:sz w:val="24"/>
          <w:szCs w:val="24"/>
          <w:highlight w:val="white"/>
        </w:rPr>
        <w:t>The TQM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36</w:t>
      </w:r>
      <w:r>
        <w:rPr>
          <w:rFonts w:ascii="Times New Roman" w:eastAsia="Times New Roman" w:hAnsi="Times New Roman" w:cs="Times New Roman"/>
          <w:sz w:val="24"/>
          <w:szCs w:val="24"/>
          <w:highlight w:val="white"/>
        </w:rPr>
        <w:t>(8), 2338-2359.</w:t>
      </w:r>
    </w:p>
    <w:p w14:paraId="0000003D" w14:textId="77777777" w:rsidR="00FE6305" w:rsidRDefault="00AC5D8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Bekker, H., (2025). </w:t>
      </w:r>
      <w:r>
        <w:rPr>
          <w:rFonts w:ascii="Times New Roman" w:eastAsia="Times New Roman" w:hAnsi="Times New Roman" w:cs="Times New Roman"/>
          <w:i/>
          <w:sz w:val="24"/>
          <w:szCs w:val="24"/>
          <w:highlight w:val="white"/>
        </w:rPr>
        <w:t xml:space="preserve">2024 (Full Year) Global: Tesla Worldwide Car Sales and Production by Model. </w:t>
      </w:r>
      <w:r>
        <w:rPr>
          <w:rFonts w:ascii="Times New Roman" w:eastAsia="Times New Roman" w:hAnsi="Times New Roman" w:cs="Times New Roman"/>
          <w:sz w:val="24"/>
          <w:szCs w:val="24"/>
          <w:highlight w:val="white"/>
        </w:rPr>
        <w:t xml:space="preserve">[Online]. Available at: </w:t>
      </w:r>
      <w:hyperlink r:id="rId6">
        <w:r w:rsidR="00FE6305">
          <w:rPr>
            <w:rFonts w:ascii="Times New Roman" w:eastAsia="Times New Roman" w:hAnsi="Times New Roman" w:cs="Times New Roman"/>
            <w:color w:val="1155CC"/>
            <w:sz w:val="24"/>
            <w:szCs w:val="24"/>
            <w:highlight w:val="white"/>
            <w:u w:val="single"/>
          </w:rPr>
          <w:t>https://www.best-selling-cars.com/brands/2024-full-year-global-tesla-worldwide-car-sales-and-production-by-model/</w:t>
        </w:r>
      </w:hyperlink>
      <w:r>
        <w:rPr>
          <w:rFonts w:ascii="Times New Roman" w:eastAsia="Times New Roman" w:hAnsi="Times New Roman" w:cs="Times New Roman"/>
          <w:sz w:val="24"/>
          <w:szCs w:val="24"/>
          <w:highlight w:val="white"/>
        </w:rPr>
        <w:t xml:space="preserve"> [Accessed on 16 March 2025]</w:t>
      </w:r>
    </w:p>
    <w:p w14:paraId="0000003E" w14:textId="77777777" w:rsidR="00FE6305" w:rsidRDefault="00AC5D8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Carlier, M., (2025). </w:t>
      </w:r>
      <w:r>
        <w:rPr>
          <w:rFonts w:ascii="Times New Roman" w:eastAsia="Times New Roman" w:hAnsi="Times New Roman" w:cs="Times New Roman"/>
          <w:i/>
          <w:sz w:val="24"/>
          <w:szCs w:val="24"/>
          <w:highlight w:val="white"/>
        </w:rPr>
        <w:t xml:space="preserve">Tesla's vehicle sales by quarter YTD Q4 2024 | Statista. </w:t>
      </w:r>
      <w:r>
        <w:rPr>
          <w:rFonts w:ascii="Times New Roman" w:eastAsia="Times New Roman" w:hAnsi="Times New Roman" w:cs="Times New Roman"/>
          <w:sz w:val="24"/>
          <w:szCs w:val="24"/>
          <w:highlight w:val="white"/>
        </w:rPr>
        <w:t xml:space="preserve">[Online]. Available at: </w:t>
      </w:r>
      <w:hyperlink r:id="rId7">
        <w:r w:rsidR="00FE6305">
          <w:rPr>
            <w:rFonts w:ascii="Times New Roman" w:eastAsia="Times New Roman" w:hAnsi="Times New Roman" w:cs="Times New Roman"/>
            <w:color w:val="1155CC"/>
            <w:sz w:val="24"/>
            <w:szCs w:val="24"/>
            <w:highlight w:val="white"/>
            <w:u w:val="single"/>
          </w:rPr>
          <w:t>https://www.statista.com/statistics/502208/tesla-quarterly-vehicle-deliveries/</w:t>
        </w:r>
      </w:hyperlink>
      <w:r>
        <w:rPr>
          <w:rFonts w:ascii="Times New Roman" w:eastAsia="Times New Roman" w:hAnsi="Times New Roman" w:cs="Times New Roman"/>
          <w:sz w:val="24"/>
          <w:szCs w:val="24"/>
          <w:highlight w:val="white"/>
        </w:rPr>
        <w:t xml:space="preserve"> [Accessed on 16 March 2025]</w:t>
      </w:r>
    </w:p>
    <w:p w14:paraId="0000003F" w14:textId="77777777" w:rsidR="00FE6305" w:rsidRDefault="00AC5D8E">
      <w:pPr>
        <w:widowControl w:v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Chavez, D. E., and Chen, H. (2022). First-mover advantages and innovation success: A contingency approach. </w:t>
      </w:r>
      <w:r>
        <w:rPr>
          <w:rFonts w:ascii="Times New Roman" w:eastAsia="Times New Roman" w:hAnsi="Times New Roman" w:cs="Times New Roman"/>
          <w:i/>
          <w:sz w:val="24"/>
          <w:szCs w:val="24"/>
          <w:highlight w:val="white"/>
        </w:rPr>
        <w:t>Journal of Business and Industrial Marketing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37</w:t>
      </w:r>
      <w:r>
        <w:rPr>
          <w:rFonts w:ascii="Times New Roman" w:eastAsia="Times New Roman" w:hAnsi="Times New Roman" w:cs="Times New Roman"/>
          <w:sz w:val="24"/>
          <w:szCs w:val="24"/>
          <w:highlight w:val="white"/>
        </w:rPr>
        <w:t>(6), 1169-1181.</w:t>
      </w:r>
    </w:p>
    <w:p w14:paraId="00000040" w14:textId="77777777" w:rsidR="00FE6305" w:rsidRDefault="00AC5D8E">
      <w:pPr>
        <w:widowControl w:v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Chintalapati, S. (2021). Early adopters to early majority—what’s driving the artificial intelligence and machine learning powered transformation in financial services. </w:t>
      </w:r>
      <w:r>
        <w:rPr>
          <w:rFonts w:ascii="Times New Roman" w:eastAsia="Times New Roman" w:hAnsi="Times New Roman" w:cs="Times New Roman"/>
          <w:i/>
          <w:sz w:val="24"/>
          <w:szCs w:val="24"/>
          <w:highlight w:val="white"/>
        </w:rPr>
        <w:t xml:space="preserve">Int J Financ </w:t>
      </w:r>
      <w:r>
        <w:rPr>
          <w:rFonts w:ascii="Times New Roman" w:eastAsia="Times New Roman" w:hAnsi="Times New Roman" w:cs="Times New Roman"/>
          <w:i/>
          <w:sz w:val="24"/>
          <w:szCs w:val="24"/>
          <w:highlight w:val="white"/>
        </w:rPr>
        <w:lastRenderedPageBreak/>
        <w:t>Res</w:t>
      </w:r>
      <w:r>
        <w:rPr>
          <w:rFonts w:ascii="Times New Roman" w:eastAsia="Times New Roman" w:hAnsi="Times New Roman" w:cs="Times New Roman"/>
          <w:sz w:val="24"/>
          <w:szCs w:val="24"/>
          <w:highlight w:val="white"/>
        </w:rPr>
        <w:t>.</w:t>
      </w:r>
    </w:p>
    <w:p w14:paraId="00000041" w14:textId="77777777" w:rsidR="00FE6305" w:rsidRDefault="00AC5D8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DeMattia, N., (2024). </w:t>
      </w:r>
      <w:r>
        <w:rPr>
          <w:rFonts w:ascii="Times New Roman" w:eastAsia="Times New Roman" w:hAnsi="Times New Roman" w:cs="Times New Roman"/>
          <w:i/>
          <w:sz w:val="24"/>
          <w:szCs w:val="24"/>
          <w:highlight w:val="white"/>
        </w:rPr>
        <w:t xml:space="preserve">Musk Says the Tesla Roadster Will Do 0-60 In Under a Second. Sure, Whatever | The Drive. </w:t>
      </w:r>
      <w:r>
        <w:rPr>
          <w:rFonts w:ascii="Times New Roman" w:eastAsia="Times New Roman" w:hAnsi="Times New Roman" w:cs="Times New Roman"/>
          <w:sz w:val="24"/>
          <w:szCs w:val="24"/>
          <w:highlight w:val="white"/>
        </w:rPr>
        <w:t xml:space="preserve">[Online]. Available at: </w:t>
      </w:r>
      <w:hyperlink r:id="rId8">
        <w:r w:rsidR="00FE6305">
          <w:rPr>
            <w:rFonts w:ascii="Times New Roman" w:eastAsia="Times New Roman" w:hAnsi="Times New Roman" w:cs="Times New Roman"/>
            <w:color w:val="1155CC"/>
            <w:sz w:val="24"/>
            <w:szCs w:val="24"/>
            <w:highlight w:val="white"/>
            <w:u w:val="single"/>
          </w:rPr>
          <w:t>https://www.thedrive.com/news/musk-says-the-tesla-roadster-will-do-0-60-in-under-a-second-sure-whatever</w:t>
        </w:r>
      </w:hyperlink>
      <w:r>
        <w:rPr>
          <w:rFonts w:ascii="Times New Roman" w:eastAsia="Times New Roman" w:hAnsi="Times New Roman" w:cs="Times New Roman"/>
          <w:sz w:val="24"/>
          <w:szCs w:val="24"/>
          <w:highlight w:val="white"/>
        </w:rPr>
        <w:t xml:space="preserve"> [Accessed on 16 March 2025]</w:t>
      </w:r>
    </w:p>
    <w:p w14:paraId="00000042" w14:textId="77777777" w:rsidR="00FE6305" w:rsidRDefault="00AC5D8E">
      <w:pPr>
        <w:widowControl w:v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Favoretto</w:t>
      </w:r>
      <w:r>
        <w:rPr>
          <w:rFonts w:ascii="Times New Roman" w:eastAsia="Times New Roman" w:hAnsi="Times New Roman" w:cs="Times New Roman"/>
          <w:sz w:val="24"/>
          <w:szCs w:val="24"/>
          <w:highlight w:val="white"/>
        </w:rPr>
        <w:t xml:space="preserve">, C., Mendes, G. H. D. S., Filho, M. G., Gouvea de Oliveira, M., and Ganga, G. M. D. (2022). Digital transformation of business model in manufacturing companies: challenges and research agenda. </w:t>
      </w:r>
      <w:r>
        <w:rPr>
          <w:rFonts w:ascii="Times New Roman" w:eastAsia="Times New Roman" w:hAnsi="Times New Roman" w:cs="Times New Roman"/>
          <w:i/>
          <w:sz w:val="24"/>
          <w:szCs w:val="24"/>
          <w:highlight w:val="white"/>
        </w:rPr>
        <w:t>Journal of Business and Industrial Marketing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37</w:t>
      </w:r>
      <w:r>
        <w:rPr>
          <w:rFonts w:ascii="Times New Roman" w:eastAsia="Times New Roman" w:hAnsi="Times New Roman" w:cs="Times New Roman"/>
          <w:sz w:val="24"/>
          <w:szCs w:val="24"/>
          <w:highlight w:val="white"/>
        </w:rPr>
        <w:t>(4), 748-767.</w:t>
      </w:r>
    </w:p>
    <w:p w14:paraId="00000043" w14:textId="77777777" w:rsidR="00FE6305" w:rsidRDefault="00AC5D8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Financial Times, (2024). </w:t>
      </w:r>
      <w:r>
        <w:rPr>
          <w:rFonts w:ascii="Times New Roman" w:eastAsia="Times New Roman" w:hAnsi="Times New Roman" w:cs="Times New Roman"/>
          <w:i/>
          <w:sz w:val="24"/>
          <w:szCs w:val="24"/>
          <w:highlight w:val="white"/>
        </w:rPr>
        <w:t xml:space="preserve">Premium EVs should help put Xiaomi on the podium | Financial Times. </w:t>
      </w:r>
      <w:r>
        <w:rPr>
          <w:rFonts w:ascii="Times New Roman" w:eastAsia="Times New Roman" w:hAnsi="Times New Roman" w:cs="Times New Roman"/>
          <w:sz w:val="24"/>
          <w:szCs w:val="24"/>
          <w:highlight w:val="white"/>
        </w:rPr>
        <w:t xml:space="preserve">[Online]. Available at: </w:t>
      </w:r>
      <w:hyperlink r:id="rId9">
        <w:r w:rsidR="00FE6305">
          <w:rPr>
            <w:rFonts w:ascii="Times New Roman" w:eastAsia="Times New Roman" w:hAnsi="Times New Roman" w:cs="Times New Roman"/>
            <w:color w:val="1155CC"/>
            <w:sz w:val="24"/>
            <w:szCs w:val="24"/>
            <w:highlight w:val="white"/>
            <w:u w:val="single"/>
          </w:rPr>
          <w:t>https://www.ft.com/content/a51ec040-d1e2-4c36-9d6a-acd91a11eb93</w:t>
        </w:r>
      </w:hyperlink>
      <w:r>
        <w:rPr>
          <w:rFonts w:ascii="Times New Roman" w:eastAsia="Times New Roman" w:hAnsi="Times New Roman" w:cs="Times New Roman"/>
          <w:sz w:val="24"/>
          <w:szCs w:val="24"/>
          <w:highlight w:val="white"/>
        </w:rPr>
        <w:t xml:space="preserve"> [Accessed on 16 March 2025]</w:t>
      </w:r>
    </w:p>
    <w:p w14:paraId="00000044" w14:textId="77777777" w:rsidR="00FE6305" w:rsidRDefault="00AC5D8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Goh, B., and Mo, L., (2024). </w:t>
      </w:r>
      <w:r>
        <w:rPr>
          <w:rFonts w:ascii="Times New Roman" w:eastAsia="Times New Roman" w:hAnsi="Times New Roman" w:cs="Times New Roman"/>
          <w:i/>
          <w:sz w:val="24"/>
          <w:szCs w:val="24"/>
          <w:highlight w:val="white"/>
        </w:rPr>
        <w:t xml:space="preserve">Xiaomi raises EV deliveries goal again on surging demand | Reuters. </w:t>
      </w:r>
      <w:r>
        <w:rPr>
          <w:rFonts w:ascii="Times New Roman" w:eastAsia="Times New Roman" w:hAnsi="Times New Roman" w:cs="Times New Roman"/>
          <w:sz w:val="24"/>
          <w:szCs w:val="24"/>
          <w:highlight w:val="white"/>
        </w:rPr>
        <w:t xml:space="preserve">[Online]. Available at: </w:t>
      </w:r>
      <w:hyperlink r:id="rId10">
        <w:r w:rsidR="00FE6305">
          <w:rPr>
            <w:rFonts w:ascii="Times New Roman" w:eastAsia="Times New Roman" w:hAnsi="Times New Roman" w:cs="Times New Roman"/>
            <w:color w:val="1155CC"/>
            <w:sz w:val="24"/>
            <w:szCs w:val="24"/>
            <w:highlight w:val="white"/>
            <w:u w:val="single"/>
          </w:rPr>
          <w:t>https://www.reuters.com/technology/xiaomi-posts-jump-third-quarter-revenue-beats-estimates-2024-11-18/</w:t>
        </w:r>
      </w:hyperlink>
      <w:r>
        <w:rPr>
          <w:rFonts w:ascii="Times New Roman" w:eastAsia="Times New Roman" w:hAnsi="Times New Roman" w:cs="Times New Roman"/>
          <w:sz w:val="24"/>
          <w:szCs w:val="24"/>
          <w:highlight w:val="white"/>
        </w:rPr>
        <w:t xml:space="preserve"> [Accessed on 16 March 2025]</w:t>
      </w:r>
    </w:p>
    <w:p w14:paraId="00000045" w14:textId="77777777" w:rsidR="00FE6305" w:rsidRDefault="00AC5D8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Hammer, A.B. and Yusuf, S., (2020). </w:t>
      </w:r>
      <w:r>
        <w:rPr>
          <w:rFonts w:ascii="Times New Roman" w:eastAsia="Times New Roman" w:hAnsi="Times New Roman" w:cs="Times New Roman"/>
          <w:i/>
          <w:sz w:val="24"/>
          <w:szCs w:val="24"/>
          <w:highlight w:val="white"/>
        </w:rPr>
        <w:t>Is China in a High-tech, Low-productivity Trap?</w:t>
      </w:r>
      <w:r>
        <w:rPr>
          <w:rFonts w:ascii="Times New Roman" w:eastAsia="Times New Roman" w:hAnsi="Times New Roman" w:cs="Times New Roman"/>
          <w:sz w:val="24"/>
          <w:szCs w:val="24"/>
          <w:highlight w:val="white"/>
        </w:rPr>
        <w:t>. US International Trade Commission.</w:t>
      </w:r>
    </w:p>
    <w:p w14:paraId="00000046" w14:textId="77777777" w:rsidR="00FE6305" w:rsidRDefault="00AC5D8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Hawkins, A. J., (2025). </w:t>
      </w:r>
      <w:r>
        <w:rPr>
          <w:rFonts w:ascii="Times New Roman" w:eastAsia="Times New Roman" w:hAnsi="Times New Roman" w:cs="Times New Roman"/>
          <w:i/>
          <w:sz w:val="24"/>
          <w:szCs w:val="24"/>
          <w:highlight w:val="white"/>
        </w:rPr>
        <w:t xml:space="preserve">Is Tesla cooked? | The Verge. </w:t>
      </w:r>
      <w:r>
        <w:rPr>
          <w:rFonts w:ascii="Times New Roman" w:eastAsia="Times New Roman" w:hAnsi="Times New Roman" w:cs="Times New Roman"/>
          <w:sz w:val="24"/>
          <w:szCs w:val="24"/>
          <w:highlight w:val="white"/>
        </w:rPr>
        <w:t xml:space="preserve">[Online]. Available at: </w:t>
      </w:r>
      <w:hyperlink r:id="rId11">
        <w:r w:rsidR="00FE6305">
          <w:rPr>
            <w:rFonts w:ascii="Times New Roman" w:eastAsia="Times New Roman" w:hAnsi="Times New Roman" w:cs="Times New Roman"/>
            <w:color w:val="1155CC"/>
            <w:sz w:val="24"/>
            <w:szCs w:val="24"/>
            <w:highlight w:val="white"/>
            <w:u w:val="single"/>
          </w:rPr>
          <w:t>https://www.theverge.com/tesla/627894/tesla-stock-sales-protest-musk-trump-doge</w:t>
        </w:r>
      </w:hyperlink>
      <w:r>
        <w:rPr>
          <w:rFonts w:ascii="Times New Roman" w:eastAsia="Times New Roman" w:hAnsi="Times New Roman" w:cs="Times New Roman"/>
          <w:sz w:val="24"/>
          <w:szCs w:val="24"/>
          <w:highlight w:val="white"/>
        </w:rPr>
        <w:t xml:space="preserve"> [Accessed on 16 March 2025]</w:t>
      </w:r>
    </w:p>
    <w:p w14:paraId="00000047" w14:textId="77777777" w:rsidR="00FE6305" w:rsidRDefault="00AC5D8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Hopkins, M. and Lazonick, W., (2024). Tesla as a Global Competitor: Strategic Control in the EV Transition. </w:t>
      </w:r>
      <w:r>
        <w:rPr>
          <w:rFonts w:ascii="Times New Roman" w:eastAsia="Times New Roman" w:hAnsi="Times New Roman" w:cs="Times New Roman"/>
          <w:i/>
          <w:sz w:val="24"/>
          <w:szCs w:val="24"/>
          <w:highlight w:val="white"/>
        </w:rPr>
        <w:t>Institute for New Economic Thinking Working Paper Series</w:t>
      </w:r>
      <w:r>
        <w:rPr>
          <w:rFonts w:ascii="Times New Roman" w:eastAsia="Times New Roman" w:hAnsi="Times New Roman" w:cs="Times New Roman"/>
          <w:sz w:val="24"/>
          <w:szCs w:val="24"/>
          <w:highlight w:val="white"/>
        </w:rPr>
        <w:t>, (225).</w:t>
      </w:r>
    </w:p>
    <w:p w14:paraId="00000048" w14:textId="77777777" w:rsidR="00FE6305" w:rsidRDefault="00AC5D8E">
      <w:pPr>
        <w:widowControl w:val="0"/>
        <w:spacing w:before="200" w:after="200" w:line="360" w:lineRule="auto"/>
        <w:jc w:val="both"/>
        <w:rPr>
          <w:rFonts w:ascii="Times New Roman" w:eastAsia="Times New Roman" w:hAnsi="Times New Roman" w:cs="Times New Roman"/>
          <w:sz w:val="28"/>
          <w:szCs w:val="28"/>
          <w:highlight w:val="white"/>
        </w:rPr>
      </w:pPr>
      <w:r>
        <w:rPr>
          <w:rFonts w:ascii="Times New Roman" w:eastAsia="Times New Roman" w:hAnsi="Times New Roman" w:cs="Times New Roman"/>
          <w:sz w:val="24"/>
          <w:szCs w:val="24"/>
          <w:highlight w:val="white"/>
        </w:rPr>
        <w:t xml:space="preserve">Jiang, B. (2024). Apple’s Journey: The strategic evolution from startup to tech Giant. In </w:t>
      </w:r>
      <w:r>
        <w:rPr>
          <w:rFonts w:ascii="Times New Roman" w:eastAsia="Times New Roman" w:hAnsi="Times New Roman" w:cs="Times New Roman"/>
          <w:i/>
          <w:sz w:val="24"/>
          <w:szCs w:val="24"/>
          <w:highlight w:val="white"/>
        </w:rPr>
        <w:t>SHS Web of Conferences</w:t>
      </w:r>
      <w:r>
        <w:rPr>
          <w:rFonts w:ascii="Times New Roman" w:eastAsia="Times New Roman" w:hAnsi="Times New Roman" w:cs="Times New Roman"/>
          <w:sz w:val="24"/>
          <w:szCs w:val="24"/>
          <w:highlight w:val="white"/>
        </w:rPr>
        <w:t xml:space="preserve"> (Vol. 207, p. 01027). EDP Sciences.</w:t>
      </w:r>
    </w:p>
    <w:p w14:paraId="00000049" w14:textId="77777777" w:rsidR="00FE6305" w:rsidRDefault="00AC5D8E">
      <w:pPr>
        <w:widowControl w:v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Leão, P., and da Silva, M. M. (2021). Impacts of digital transformation on firms' competitive advantages: A systematic literature review. </w:t>
      </w:r>
      <w:r>
        <w:rPr>
          <w:rFonts w:ascii="Times New Roman" w:eastAsia="Times New Roman" w:hAnsi="Times New Roman" w:cs="Times New Roman"/>
          <w:i/>
          <w:sz w:val="24"/>
          <w:szCs w:val="24"/>
          <w:highlight w:val="white"/>
        </w:rPr>
        <w:t>Strategic Change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30</w:t>
      </w:r>
      <w:r>
        <w:rPr>
          <w:rFonts w:ascii="Times New Roman" w:eastAsia="Times New Roman" w:hAnsi="Times New Roman" w:cs="Times New Roman"/>
          <w:sz w:val="24"/>
          <w:szCs w:val="24"/>
          <w:highlight w:val="white"/>
        </w:rPr>
        <w:t>(5), 421-441.</w:t>
      </w:r>
    </w:p>
    <w:p w14:paraId="0000004A" w14:textId="77777777" w:rsidR="00FE6305" w:rsidRDefault="00AC5D8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Li, C., Na, J., Nan, K., Qin, J. and Wu, M., (2024). Tesla's Product Improvement Strategies in the Electric Vehicle Market. </w:t>
      </w:r>
      <w:r>
        <w:rPr>
          <w:rFonts w:ascii="Times New Roman" w:eastAsia="Times New Roman" w:hAnsi="Times New Roman" w:cs="Times New Roman"/>
          <w:i/>
          <w:sz w:val="24"/>
          <w:szCs w:val="24"/>
          <w:highlight w:val="white"/>
        </w:rPr>
        <w:t>Advances in Economics, Management and Political Sciences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92</w:t>
      </w:r>
      <w:r>
        <w:rPr>
          <w:rFonts w:ascii="Times New Roman" w:eastAsia="Times New Roman" w:hAnsi="Times New Roman" w:cs="Times New Roman"/>
          <w:sz w:val="24"/>
          <w:szCs w:val="24"/>
          <w:highlight w:val="white"/>
        </w:rPr>
        <w:t>, pp.177-185.</w:t>
      </w:r>
    </w:p>
    <w:p w14:paraId="0000004B" w14:textId="77777777" w:rsidR="00FE6305" w:rsidRDefault="00AC5D8E">
      <w:pPr>
        <w:widowControl w:v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Li, X., Nosheen, S., Haq, N. U., and Gao, X. (2021). Value creation during fourth industrial </w:t>
      </w:r>
      <w:r>
        <w:rPr>
          <w:rFonts w:ascii="Times New Roman" w:eastAsia="Times New Roman" w:hAnsi="Times New Roman" w:cs="Times New Roman"/>
          <w:sz w:val="24"/>
          <w:szCs w:val="24"/>
          <w:highlight w:val="white"/>
        </w:rPr>
        <w:lastRenderedPageBreak/>
        <w:t xml:space="preserve">revolution: Use of intellectual capital by most innovative companies of the world. </w:t>
      </w:r>
      <w:r>
        <w:rPr>
          <w:rFonts w:ascii="Times New Roman" w:eastAsia="Times New Roman" w:hAnsi="Times New Roman" w:cs="Times New Roman"/>
          <w:i/>
          <w:sz w:val="24"/>
          <w:szCs w:val="24"/>
          <w:highlight w:val="white"/>
        </w:rPr>
        <w:t>Technological forecasting and social change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163</w:t>
      </w:r>
      <w:r>
        <w:rPr>
          <w:rFonts w:ascii="Times New Roman" w:eastAsia="Times New Roman" w:hAnsi="Times New Roman" w:cs="Times New Roman"/>
          <w:sz w:val="24"/>
          <w:szCs w:val="24"/>
          <w:highlight w:val="white"/>
        </w:rPr>
        <w:t>, 120479.</w:t>
      </w:r>
    </w:p>
    <w:p w14:paraId="0000004C" w14:textId="77777777" w:rsidR="00FE6305" w:rsidRDefault="00AC5D8E">
      <w:pPr>
        <w:spacing w:before="200" w:line="360" w:lineRule="auto"/>
        <w:jc w:val="both"/>
        <w:rPr>
          <w:rFonts w:ascii="Times New Roman" w:eastAsia="Times New Roman" w:hAnsi="Times New Roman" w:cs="Times New Roman"/>
          <w:sz w:val="28"/>
          <w:szCs w:val="28"/>
          <w:highlight w:val="white"/>
        </w:rPr>
      </w:pPr>
      <w:r>
        <w:rPr>
          <w:rFonts w:ascii="Times New Roman" w:eastAsia="Times New Roman" w:hAnsi="Times New Roman" w:cs="Times New Roman"/>
          <w:sz w:val="24"/>
          <w:szCs w:val="24"/>
          <w:highlight w:val="white"/>
        </w:rPr>
        <w:t xml:space="preserve">Liu, C., Boothman, S.G. and Graham, J.D., (2025). The Rise and Recent Decline of Tesla's Share of the US Electric Vehicle Market. </w:t>
      </w:r>
      <w:r>
        <w:rPr>
          <w:rFonts w:ascii="Times New Roman" w:eastAsia="Times New Roman" w:hAnsi="Times New Roman" w:cs="Times New Roman"/>
          <w:i/>
          <w:sz w:val="24"/>
          <w:szCs w:val="24"/>
          <w:highlight w:val="white"/>
        </w:rPr>
        <w:t>World Electric Vehicle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16</w:t>
      </w:r>
      <w:r>
        <w:rPr>
          <w:rFonts w:ascii="Times New Roman" w:eastAsia="Times New Roman" w:hAnsi="Times New Roman" w:cs="Times New Roman"/>
          <w:sz w:val="24"/>
          <w:szCs w:val="24"/>
          <w:highlight w:val="white"/>
        </w:rPr>
        <w:t>(2).</w:t>
      </w:r>
    </w:p>
    <w:p w14:paraId="0000004D" w14:textId="77777777" w:rsidR="00FE6305" w:rsidRDefault="00AC5D8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LUAN, Z., (2022). The Marketing Strategy of Xiaomi Company from the Perspective of Brand Value Research. </w:t>
      </w:r>
      <w:r>
        <w:rPr>
          <w:rFonts w:ascii="Times New Roman" w:eastAsia="Times New Roman" w:hAnsi="Times New Roman" w:cs="Times New Roman"/>
          <w:i/>
          <w:sz w:val="24"/>
          <w:szCs w:val="24"/>
          <w:highlight w:val="white"/>
        </w:rPr>
        <w:t>Graduate School of Business, Siam University</w:t>
      </w:r>
      <w:r>
        <w:rPr>
          <w:rFonts w:ascii="Times New Roman" w:eastAsia="Times New Roman" w:hAnsi="Times New Roman" w:cs="Times New Roman"/>
          <w:sz w:val="24"/>
          <w:szCs w:val="24"/>
          <w:highlight w:val="white"/>
        </w:rPr>
        <w:t>.</w:t>
      </w:r>
    </w:p>
    <w:p w14:paraId="0000004E" w14:textId="77777777" w:rsidR="00FE6305" w:rsidRDefault="00AC5D8E">
      <w:pPr>
        <w:widowControl w:v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Marco-Lajara, B., Zaragoza-Sáez, P., Martínez-Falcó, J., and Ruiz-Fernández, L. (2022). The effect of green intellectual capital on green performance in the Spanish wine industry: A structural equation modeling approach. </w:t>
      </w:r>
      <w:r>
        <w:rPr>
          <w:rFonts w:ascii="Times New Roman" w:eastAsia="Times New Roman" w:hAnsi="Times New Roman" w:cs="Times New Roman"/>
          <w:i/>
          <w:sz w:val="24"/>
          <w:szCs w:val="24"/>
          <w:highlight w:val="white"/>
        </w:rPr>
        <w:t>Complexity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2022</w:t>
      </w:r>
      <w:r>
        <w:rPr>
          <w:rFonts w:ascii="Times New Roman" w:eastAsia="Times New Roman" w:hAnsi="Times New Roman" w:cs="Times New Roman"/>
          <w:sz w:val="24"/>
          <w:szCs w:val="24"/>
          <w:highlight w:val="white"/>
        </w:rPr>
        <w:t>(1), 6024077.</w:t>
      </w:r>
    </w:p>
    <w:p w14:paraId="0000004F" w14:textId="77777777" w:rsidR="00FE6305" w:rsidRDefault="00AC5D8E">
      <w:pPr>
        <w:widowControl w:v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Miake-Lye, I., Mak, S., Lam, C. A., Lambert-Kerzner, A. C., Delevan, D., Olmos-Ochoa, T., and Shekelle, P. (2021). Scaling beyond early adopters: a content analysis of literature and key informant perspectives. </w:t>
      </w:r>
      <w:r>
        <w:rPr>
          <w:rFonts w:ascii="Times New Roman" w:eastAsia="Times New Roman" w:hAnsi="Times New Roman" w:cs="Times New Roman"/>
          <w:i/>
          <w:sz w:val="24"/>
          <w:szCs w:val="24"/>
          <w:highlight w:val="white"/>
        </w:rPr>
        <w:t>Journal of General Internal Medicine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36</w:t>
      </w:r>
      <w:r>
        <w:rPr>
          <w:rFonts w:ascii="Times New Roman" w:eastAsia="Times New Roman" w:hAnsi="Times New Roman" w:cs="Times New Roman"/>
          <w:sz w:val="24"/>
          <w:szCs w:val="24"/>
          <w:highlight w:val="white"/>
        </w:rPr>
        <w:t>, 383-395.</w:t>
      </w:r>
    </w:p>
    <w:p w14:paraId="00000050" w14:textId="77777777" w:rsidR="00FE6305" w:rsidRDefault="00AC5D8E">
      <w:pPr>
        <w:widowControl w:v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Naffziger, S., Beck, N., Burd, T., Lepak, K., Loh, G. H., Subramony, M., and White, S. (2021, June). Pioneering chiplet technology and design for the amd epyc™ and ryzen™ processor families: Industrial product. In </w:t>
      </w:r>
      <w:r>
        <w:rPr>
          <w:rFonts w:ascii="Times New Roman" w:eastAsia="Times New Roman" w:hAnsi="Times New Roman" w:cs="Times New Roman"/>
          <w:i/>
          <w:sz w:val="24"/>
          <w:szCs w:val="24"/>
          <w:highlight w:val="white"/>
        </w:rPr>
        <w:t>2021 ACM/IEEE 48th Annual International Symposium on Computer Architecture (ISCA)</w:t>
      </w:r>
      <w:r>
        <w:rPr>
          <w:rFonts w:ascii="Times New Roman" w:eastAsia="Times New Roman" w:hAnsi="Times New Roman" w:cs="Times New Roman"/>
          <w:sz w:val="24"/>
          <w:szCs w:val="24"/>
          <w:highlight w:val="white"/>
        </w:rPr>
        <w:t xml:space="preserve"> (pp. 57-70). IEEE.</w:t>
      </w:r>
    </w:p>
    <w:p w14:paraId="00000051" w14:textId="77777777" w:rsidR="00FE6305" w:rsidRDefault="00AC5D8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Nandi, S., (2023). </w:t>
      </w:r>
      <w:r>
        <w:rPr>
          <w:rFonts w:ascii="Times New Roman" w:eastAsia="Times New Roman" w:hAnsi="Times New Roman" w:cs="Times New Roman"/>
          <w:i/>
          <w:sz w:val="24"/>
          <w:szCs w:val="24"/>
          <w:highlight w:val="white"/>
        </w:rPr>
        <w:t xml:space="preserve">How Xiaomi Penetrated Indian Market? Xiaomi’s India Story | The Business Rule. </w:t>
      </w:r>
      <w:r>
        <w:rPr>
          <w:rFonts w:ascii="Times New Roman" w:eastAsia="Times New Roman" w:hAnsi="Times New Roman" w:cs="Times New Roman"/>
          <w:sz w:val="24"/>
          <w:szCs w:val="24"/>
          <w:highlight w:val="white"/>
        </w:rPr>
        <w:t xml:space="preserve">[Online]. Available at: </w:t>
      </w:r>
      <w:hyperlink r:id="rId12">
        <w:r w:rsidR="00FE6305">
          <w:rPr>
            <w:rFonts w:ascii="Times New Roman" w:eastAsia="Times New Roman" w:hAnsi="Times New Roman" w:cs="Times New Roman"/>
            <w:color w:val="1155CC"/>
            <w:sz w:val="24"/>
            <w:szCs w:val="24"/>
            <w:highlight w:val="white"/>
            <w:u w:val="single"/>
          </w:rPr>
          <w:t>https://thebusinessrule.com/how-xiaomi-penetrated-indian-market-xiaomis-india-story/</w:t>
        </w:r>
      </w:hyperlink>
      <w:r>
        <w:rPr>
          <w:rFonts w:ascii="Times New Roman" w:eastAsia="Times New Roman" w:hAnsi="Times New Roman" w:cs="Times New Roman"/>
          <w:sz w:val="24"/>
          <w:szCs w:val="24"/>
          <w:highlight w:val="white"/>
        </w:rPr>
        <w:t xml:space="preserve"> [Accessed on 16 March 2025]</w:t>
      </w:r>
    </w:p>
    <w:p w14:paraId="00000052" w14:textId="77777777" w:rsidR="00FE6305" w:rsidRDefault="00AC5D8E">
      <w:pPr>
        <w:widowControl w:v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Reim, W., Yli-Viitala, P., Arrasvuori, J., and Parida, V. (2022). Tackling business model challenges in SME internationalization through digitalization. </w:t>
      </w:r>
      <w:r>
        <w:rPr>
          <w:rFonts w:ascii="Times New Roman" w:eastAsia="Times New Roman" w:hAnsi="Times New Roman" w:cs="Times New Roman"/>
          <w:i/>
          <w:sz w:val="24"/>
          <w:szCs w:val="24"/>
          <w:highlight w:val="white"/>
        </w:rPr>
        <w:t>Journal of Innovation and Knowledge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w:t>
      </w:r>
      <w:r>
        <w:rPr>
          <w:rFonts w:ascii="Times New Roman" w:eastAsia="Times New Roman" w:hAnsi="Times New Roman" w:cs="Times New Roman"/>
          <w:sz w:val="24"/>
          <w:szCs w:val="24"/>
          <w:highlight w:val="white"/>
        </w:rPr>
        <w:t>(3), 100199.</w:t>
      </w:r>
    </w:p>
    <w:p w14:paraId="00000053" w14:textId="77777777" w:rsidR="00FE6305" w:rsidRDefault="00AC5D8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Reuters, (2025). </w:t>
      </w:r>
      <w:r>
        <w:rPr>
          <w:rFonts w:ascii="Times New Roman" w:eastAsia="Times New Roman" w:hAnsi="Times New Roman" w:cs="Times New Roman"/>
          <w:i/>
          <w:sz w:val="24"/>
          <w:szCs w:val="24"/>
          <w:highlight w:val="white"/>
        </w:rPr>
        <w:t xml:space="preserve">Exclusive: Tesla plans Model Y costing at least 20% less to produce to defend China share, sources say | Reuters. </w:t>
      </w:r>
      <w:r>
        <w:rPr>
          <w:rFonts w:ascii="Times New Roman" w:eastAsia="Times New Roman" w:hAnsi="Times New Roman" w:cs="Times New Roman"/>
          <w:sz w:val="24"/>
          <w:szCs w:val="24"/>
          <w:highlight w:val="white"/>
        </w:rPr>
        <w:t xml:space="preserve">[Online]. Available at: </w:t>
      </w:r>
      <w:hyperlink r:id="rId13">
        <w:r w:rsidR="00FE6305">
          <w:rPr>
            <w:rFonts w:ascii="Times New Roman" w:eastAsia="Times New Roman" w:hAnsi="Times New Roman" w:cs="Times New Roman"/>
            <w:color w:val="1155CC"/>
            <w:sz w:val="24"/>
            <w:szCs w:val="24"/>
            <w:highlight w:val="white"/>
            <w:u w:val="single"/>
          </w:rPr>
          <w:t>https://www.reuters.com/business/autos-transportation/tesla-plans-model-y-costing-least-20-less-produce-defend-china-share-sources-say-2025-03-14/</w:t>
        </w:r>
      </w:hyperlink>
      <w:r>
        <w:rPr>
          <w:rFonts w:ascii="Times New Roman" w:eastAsia="Times New Roman" w:hAnsi="Times New Roman" w:cs="Times New Roman"/>
          <w:sz w:val="24"/>
          <w:szCs w:val="24"/>
          <w:highlight w:val="white"/>
        </w:rPr>
        <w:t xml:space="preserve"> [Accessed on 16 March 2025]</w:t>
      </w:r>
    </w:p>
    <w:p w14:paraId="00000054" w14:textId="77777777" w:rsidR="00FE6305" w:rsidRDefault="00AC5D8E">
      <w:pPr>
        <w:widowControl w:v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Saari, U. A., Tossavainen, A., Kaipainen, K., and Mäkinen, S. J. (2022). Exploring factors influencing the acceptance of social robots among early adopters and mass market representatives. </w:t>
      </w:r>
      <w:r>
        <w:rPr>
          <w:rFonts w:ascii="Times New Roman" w:eastAsia="Times New Roman" w:hAnsi="Times New Roman" w:cs="Times New Roman"/>
          <w:i/>
          <w:sz w:val="24"/>
          <w:szCs w:val="24"/>
          <w:highlight w:val="white"/>
        </w:rPr>
        <w:t>Robotics and Autonomous Systems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151</w:t>
      </w:r>
      <w:r>
        <w:rPr>
          <w:rFonts w:ascii="Times New Roman" w:eastAsia="Times New Roman" w:hAnsi="Times New Roman" w:cs="Times New Roman"/>
          <w:sz w:val="24"/>
          <w:szCs w:val="24"/>
          <w:highlight w:val="white"/>
        </w:rPr>
        <w:t>, 104033.</w:t>
      </w:r>
    </w:p>
    <w:p w14:paraId="00000055" w14:textId="77777777" w:rsidR="00FE6305" w:rsidRDefault="00AC5D8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Slotta, D., (2024). </w:t>
      </w:r>
      <w:r>
        <w:rPr>
          <w:rFonts w:ascii="Times New Roman" w:eastAsia="Times New Roman" w:hAnsi="Times New Roman" w:cs="Times New Roman"/>
          <w:i/>
          <w:sz w:val="24"/>
          <w:szCs w:val="24"/>
          <w:highlight w:val="white"/>
        </w:rPr>
        <w:t xml:space="preserve">Xiaomi's annual revenue 2015-2023. | Statista. </w:t>
      </w:r>
      <w:r>
        <w:rPr>
          <w:rFonts w:ascii="Times New Roman" w:eastAsia="Times New Roman" w:hAnsi="Times New Roman" w:cs="Times New Roman"/>
          <w:sz w:val="24"/>
          <w:szCs w:val="24"/>
          <w:highlight w:val="white"/>
        </w:rPr>
        <w:t xml:space="preserve">[Online]. Available at: </w:t>
      </w:r>
      <w:hyperlink r:id="rId14">
        <w:r w:rsidR="00FE6305">
          <w:rPr>
            <w:rFonts w:ascii="Times New Roman" w:eastAsia="Times New Roman" w:hAnsi="Times New Roman" w:cs="Times New Roman"/>
            <w:color w:val="1155CC"/>
            <w:sz w:val="24"/>
            <w:szCs w:val="24"/>
            <w:highlight w:val="white"/>
            <w:u w:val="single"/>
          </w:rPr>
          <w:t>https://www.statista.com/statistics/881238/china-xiaomi-annual-revenue/</w:t>
        </w:r>
      </w:hyperlink>
      <w:r>
        <w:rPr>
          <w:rFonts w:ascii="Times New Roman" w:eastAsia="Times New Roman" w:hAnsi="Times New Roman" w:cs="Times New Roman"/>
          <w:sz w:val="24"/>
          <w:szCs w:val="24"/>
          <w:highlight w:val="white"/>
        </w:rPr>
        <w:t xml:space="preserve"> [Accessed on 16 March 2025]</w:t>
      </w:r>
    </w:p>
    <w:p w14:paraId="00000056" w14:textId="77777777" w:rsidR="00FE6305" w:rsidRDefault="00AC5D8E">
      <w:pPr>
        <w:widowControl w:v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Stratopoulos, T. C., and Wang, V. X. (2022). Estimating the duration of competitive advantage from emerging technology adoption. </w:t>
      </w:r>
      <w:r>
        <w:rPr>
          <w:rFonts w:ascii="Times New Roman" w:eastAsia="Times New Roman" w:hAnsi="Times New Roman" w:cs="Times New Roman"/>
          <w:i/>
          <w:sz w:val="24"/>
          <w:szCs w:val="24"/>
          <w:highlight w:val="white"/>
        </w:rPr>
        <w:t>International Journal of Accounting Information Systems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47</w:t>
      </w:r>
      <w:r>
        <w:rPr>
          <w:rFonts w:ascii="Times New Roman" w:eastAsia="Times New Roman" w:hAnsi="Times New Roman" w:cs="Times New Roman"/>
          <w:sz w:val="24"/>
          <w:szCs w:val="24"/>
          <w:highlight w:val="white"/>
        </w:rPr>
        <w:t>, 100577.</w:t>
      </w:r>
    </w:p>
    <w:p w14:paraId="00000057" w14:textId="77777777" w:rsidR="00FE6305" w:rsidRDefault="00AC5D8E">
      <w:pPr>
        <w:widowControl w:v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Sziklai, B. R., and Lengyel, B. (2022). Finding early adopters of innovation in social networks. </w:t>
      </w:r>
      <w:r>
        <w:rPr>
          <w:rFonts w:ascii="Times New Roman" w:eastAsia="Times New Roman" w:hAnsi="Times New Roman" w:cs="Times New Roman"/>
          <w:i/>
          <w:sz w:val="24"/>
          <w:szCs w:val="24"/>
          <w:highlight w:val="white"/>
        </w:rPr>
        <w:t>Social Network Analysis and Mining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(1), 4.</w:t>
      </w:r>
    </w:p>
    <w:p w14:paraId="00000058" w14:textId="77777777" w:rsidR="00FE6305" w:rsidRDefault="00AC5D8E">
      <w:pPr>
        <w:spacing w:before="200" w:line="360" w:lineRule="auto"/>
        <w:jc w:val="both"/>
        <w:rPr>
          <w:rFonts w:ascii="Times New Roman" w:eastAsia="Times New Roman" w:hAnsi="Times New Roman" w:cs="Times New Roman"/>
          <w:sz w:val="28"/>
          <w:szCs w:val="28"/>
          <w:highlight w:val="white"/>
        </w:rPr>
      </w:pPr>
      <w:r>
        <w:rPr>
          <w:rFonts w:ascii="Times New Roman" w:eastAsia="Times New Roman" w:hAnsi="Times New Roman" w:cs="Times New Roman"/>
          <w:sz w:val="24"/>
          <w:szCs w:val="24"/>
          <w:highlight w:val="white"/>
        </w:rPr>
        <w:t xml:space="preserve">Tabassum, R. and Ahmed, S., (2020). Xiaomi invades the smartphone market in India. </w:t>
      </w:r>
      <w:r>
        <w:rPr>
          <w:rFonts w:ascii="Times New Roman" w:eastAsia="Times New Roman" w:hAnsi="Times New Roman" w:cs="Times New Roman"/>
          <w:i/>
          <w:sz w:val="24"/>
          <w:szCs w:val="24"/>
          <w:highlight w:val="white"/>
        </w:rPr>
        <w:t>Decision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47</w:t>
      </w:r>
      <w:r>
        <w:rPr>
          <w:rFonts w:ascii="Times New Roman" w:eastAsia="Times New Roman" w:hAnsi="Times New Roman" w:cs="Times New Roman"/>
          <w:sz w:val="24"/>
          <w:szCs w:val="24"/>
          <w:highlight w:val="white"/>
        </w:rPr>
        <w:t>(2), pp.215-228.</w:t>
      </w:r>
    </w:p>
    <w:p w14:paraId="00000059" w14:textId="77777777" w:rsidR="00FE6305" w:rsidRDefault="00AC5D8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Udokporo, C.K., (2021). Understanding the stages of the product life cycle. In </w:t>
      </w:r>
      <w:r>
        <w:rPr>
          <w:rFonts w:ascii="Times New Roman" w:eastAsia="Times New Roman" w:hAnsi="Times New Roman" w:cs="Times New Roman"/>
          <w:i/>
          <w:sz w:val="24"/>
          <w:szCs w:val="24"/>
          <w:highlight w:val="white"/>
        </w:rPr>
        <w:t>Product Life Cycle-Opportunities for Digital and Sustainable Transformation</w:t>
      </w:r>
      <w:r>
        <w:rPr>
          <w:rFonts w:ascii="Times New Roman" w:eastAsia="Times New Roman" w:hAnsi="Times New Roman" w:cs="Times New Roman"/>
          <w:sz w:val="24"/>
          <w:szCs w:val="24"/>
          <w:highlight w:val="white"/>
        </w:rPr>
        <w:t>. IntechOpen.</w:t>
      </w:r>
    </w:p>
    <w:p w14:paraId="0000005A" w14:textId="77777777" w:rsidR="00FE6305" w:rsidRDefault="00AC5D8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Wang, Z. and Zhang, M., (2020). Linking product modularity to supply chain integration and flexibility. </w:t>
      </w:r>
      <w:r>
        <w:rPr>
          <w:rFonts w:ascii="Times New Roman" w:eastAsia="Times New Roman" w:hAnsi="Times New Roman" w:cs="Times New Roman"/>
          <w:i/>
          <w:sz w:val="24"/>
          <w:szCs w:val="24"/>
          <w:highlight w:val="white"/>
        </w:rPr>
        <w:t>Production Planning &amp; Control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31</w:t>
      </w:r>
      <w:r>
        <w:rPr>
          <w:rFonts w:ascii="Times New Roman" w:eastAsia="Times New Roman" w:hAnsi="Times New Roman" w:cs="Times New Roman"/>
          <w:sz w:val="24"/>
          <w:szCs w:val="24"/>
          <w:highlight w:val="white"/>
        </w:rPr>
        <w:t>(14), pp.1149-1163.</w:t>
      </w:r>
    </w:p>
    <w:p w14:paraId="0000005B" w14:textId="77777777" w:rsidR="00FE6305" w:rsidRDefault="00FE6305">
      <w:pPr>
        <w:widowControl w:val="0"/>
        <w:pBdr>
          <w:top w:val="nil"/>
          <w:left w:val="nil"/>
          <w:bottom w:val="nil"/>
          <w:right w:val="nil"/>
          <w:between w:val="nil"/>
        </w:pBdr>
      </w:pPr>
    </w:p>
    <w:sectPr w:rsidR="00FE6305">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6305"/>
    <w:rsid w:val="00035EA3"/>
    <w:rsid w:val="000A53C5"/>
    <w:rsid w:val="000D3570"/>
    <w:rsid w:val="00111628"/>
    <w:rsid w:val="0013326E"/>
    <w:rsid w:val="00171626"/>
    <w:rsid w:val="001764E0"/>
    <w:rsid w:val="001F61CA"/>
    <w:rsid w:val="00241F0B"/>
    <w:rsid w:val="00261D3A"/>
    <w:rsid w:val="002F42FC"/>
    <w:rsid w:val="004B551F"/>
    <w:rsid w:val="00503B8A"/>
    <w:rsid w:val="00506C70"/>
    <w:rsid w:val="005261C0"/>
    <w:rsid w:val="005D52DA"/>
    <w:rsid w:val="005D671A"/>
    <w:rsid w:val="00715832"/>
    <w:rsid w:val="0072707D"/>
    <w:rsid w:val="00755AA1"/>
    <w:rsid w:val="007B0553"/>
    <w:rsid w:val="0087363B"/>
    <w:rsid w:val="00AA0A3D"/>
    <w:rsid w:val="00AC5D8E"/>
    <w:rsid w:val="00B07C4A"/>
    <w:rsid w:val="00B83828"/>
    <w:rsid w:val="00BF7E3D"/>
    <w:rsid w:val="00CE07CF"/>
    <w:rsid w:val="00D5457B"/>
    <w:rsid w:val="00D80993"/>
    <w:rsid w:val="00DC636C"/>
    <w:rsid w:val="00EB2017"/>
    <w:rsid w:val="00ED45A3"/>
    <w:rsid w:val="00FE6305"/>
    <w:rsid w:val="00FE7F42"/>
    <w:rsid w:val="00FF0A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B7D89"/>
  <w15:docId w15:val="{1389568F-F586-48A8-B695-513237725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TitleChar">
    <w:name w:val="Title Char"/>
    <w:basedOn w:val="DefaultParagraphFont"/>
    <w:link w:val="Title"/>
    <w:uiPriority w:val="10"/>
    <w:rsid w:val="00D80993"/>
    <w:rPr>
      <w:sz w:val="52"/>
      <w:szCs w:val="52"/>
    </w:rPr>
  </w:style>
  <w:style w:type="character" w:styleId="Hyperlink">
    <w:name w:val="Hyperlink"/>
    <w:basedOn w:val="DefaultParagraphFont"/>
    <w:uiPriority w:val="99"/>
    <w:unhideWhenUsed/>
    <w:rsid w:val="00503B8A"/>
    <w:rPr>
      <w:color w:val="0000FF" w:themeColor="hyperlink"/>
      <w:u w:val="single"/>
    </w:rPr>
  </w:style>
  <w:style w:type="character" w:styleId="UnresolvedMention">
    <w:name w:val="Unresolved Mention"/>
    <w:basedOn w:val="DefaultParagraphFont"/>
    <w:uiPriority w:val="99"/>
    <w:semiHidden/>
    <w:unhideWhenUsed/>
    <w:rsid w:val="00503B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thedrive.com/news/musk-says-the-tesla-roadster-will-do-0-60-in-under-a-second-sure-whatever" TargetMode="External"/><Relationship Id="rId13" Type="http://schemas.openxmlformats.org/officeDocument/2006/relationships/hyperlink" Target="https://www.reuters.com/business/autos-transportation/tesla-plans-model-y-costing-least-20-less-produce-defend-china-share-sources-say-2025-03-14/" TargetMode="External"/><Relationship Id="rId3" Type="http://schemas.openxmlformats.org/officeDocument/2006/relationships/webSettings" Target="webSettings.xml"/><Relationship Id="rId7" Type="http://schemas.openxmlformats.org/officeDocument/2006/relationships/hyperlink" Target="https://www.statista.com/statistics/502208/tesla-quarterly-vehicle-deliveries/" TargetMode="External"/><Relationship Id="rId12" Type="http://schemas.openxmlformats.org/officeDocument/2006/relationships/hyperlink" Target="https://thebusinessrule.com/how-xiaomi-penetrated-indian-market-xiaomis-india-story/"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est-selling-cars.com/brands/2024-full-year-global-tesla-worldwide-car-sales-and-production-by-model/" TargetMode="External"/><Relationship Id="rId11" Type="http://schemas.openxmlformats.org/officeDocument/2006/relationships/hyperlink" Target="https://www.theverge.com/tesla/627894/tesla-stock-sales-protest-musk-trump-doge" TargetMode="External"/><Relationship Id="rId5" Type="http://schemas.openxmlformats.org/officeDocument/2006/relationships/hyperlink" Target="https://www.businessinsider.com/tesla-low-cost-cheaper-car-production-deadline-2025-3" TargetMode="External"/><Relationship Id="rId15" Type="http://schemas.openxmlformats.org/officeDocument/2006/relationships/fontTable" Target="fontTable.xml"/><Relationship Id="rId10" Type="http://schemas.openxmlformats.org/officeDocument/2006/relationships/hyperlink" Target="https://www.reuters.com/technology/xiaomi-posts-jump-third-quarter-revenue-beats-estimates-2024-11-18/" TargetMode="External"/><Relationship Id="rId4" Type="http://schemas.openxmlformats.org/officeDocument/2006/relationships/image" Target="media/image1.jpeg"/><Relationship Id="rId9" Type="http://schemas.openxmlformats.org/officeDocument/2006/relationships/hyperlink" Target="https://www.ft.com/content/a51ec040-d1e2-4c36-9d6a-acd91a11eb93" TargetMode="External"/><Relationship Id="rId14" Type="http://schemas.openxmlformats.org/officeDocument/2006/relationships/hyperlink" Target="https://www.statista.com/statistics/881238/china-xiaomi-annual-reven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1050</TotalTime>
  <Pages>13</Pages>
  <Words>3929</Words>
  <Characters>22398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vinaykumar kativarapu</cp:lastModifiedBy>
  <cp:revision>33</cp:revision>
  <dcterms:created xsi:type="dcterms:W3CDTF">2025-03-19T09:15:00Z</dcterms:created>
  <dcterms:modified xsi:type="dcterms:W3CDTF">2025-03-21T16:20:00Z</dcterms:modified>
</cp:coreProperties>
</file>