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E9158" w14:textId="655F44F0" w:rsidR="00421860" w:rsidRPr="005F13FA" w:rsidRDefault="00D97A9A" w:rsidP="005F13FA">
      <w:pPr>
        <w:pStyle w:val="ListParagraph"/>
        <w:numPr>
          <w:ilvl w:val="0"/>
          <w:numId w:val="1"/>
        </w:numPr>
        <w:spacing w:line="360" w:lineRule="auto"/>
        <w:rPr>
          <w:rFonts w:ascii="Arial" w:hAnsi="Arial" w:cs="Arial"/>
        </w:rPr>
      </w:pPr>
      <w:r w:rsidRPr="005F13FA">
        <w:rPr>
          <w:rFonts w:ascii="Arial" w:hAnsi="Arial" w:cs="Arial"/>
        </w:rPr>
        <w:t>Introduction</w:t>
      </w:r>
    </w:p>
    <w:p w14:paraId="304AC669" w14:textId="77777777" w:rsidR="00D97A9A" w:rsidRPr="005F13FA" w:rsidRDefault="00D97A9A" w:rsidP="005F13FA">
      <w:pPr>
        <w:spacing w:line="360" w:lineRule="auto"/>
        <w:rPr>
          <w:rFonts w:ascii="Arial" w:hAnsi="Arial" w:cs="Arial"/>
        </w:rPr>
      </w:pPr>
      <w:r w:rsidRPr="005F13FA">
        <w:rPr>
          <w:rFonts w:ascii="Arial" w:hAnsi="Arial" w:cs="Arial"/>
        </w:rPr>
        <w:t xml:space="preserve">This report will critically examine the current legal framework and the need for reform of trustees' duties to disclose to beneficiaries in trusts. The wider issue is regarding the framework governing trustee accountability, fiduciary obligations, and the proper management of trusts. Currently, trustees are required to administer the trust in good faith and in the best interests of the beneficiaries. However, the law does not set out clear regulations or a framework specifying what information beneficiaries are entitled to receive. Instead, the law has developed incrementally through equitable principles and case law, especially following Schmidt v Rosewood Ltd (2003), resulting in a fragmented and uncertain framework. </w:t>
      </w:r>
    </w:p>
    <w:p w14:paraId="696D6E8D" w14:textId="3FAA7B11" w:rsidR="00D97A9A" w:rsidRPr="005F13FA" w:rsidRDefault="00D97A9A" w:rsidP="005F13FA">
      <w:pPr>
        <w:spacing w:line="360" w:lineRule="auto"/>
        <w:rPr>
          <w:rFonts w:ascii="Arial" w:hAnsi="Arial" w:cs="Arial"/>
        </w:rPr>
      </w:pPr>
      <w:r w:rsidRPr="005F13FA">
        <w:rPr>
          <w:rFonts w:ascii="Arial" w:hAnsi="Arial" w:cs="Arial"/>
        </w:rPr>
        <w:t xml:space="preserve">Following a collaborative discussion of trustees' duties, the group identified disclosure of trust information as a pertinent topic, as it enables beneficiaries to hold trustees accountable. Key case law and relevant statutory provisions were identified, so a bill could be drafted to propose reform that improves transparency while preserving confidentiality.  This issue was prioritised because the current legal framework is inconsistent with principles of equity, such as accountability and the requirement that trustees act in the best interests of beneficiaries. This report will outline the current legal position, evaluate current challenges, and critically analyse the group's reform proposal to determine whether it offers a viable solution. </w:t>
      </w:r>
    </w:p>
    <w:p w14:paraId="25509F01" w14:textId="77777777" w:rsidR="00842589" w:rsidRPr="005F13FA" w:rsidRDefault="00842589" w:rsidP="005F13FA">
      <w:pPr>
        <w:spacing w:line="360" w:lineRule="auto"/>
        <w:ind w:left="360"/>
        <w:rPr>
          <w:rFonts w:ascii="Arial" w:hAnsi="Arial" w:cs="Arial"/>
        </w:rPr>
      </w:pPr>
    </w:p>
    <w:p w14:paraId="4A02B2AC" w14:textId="5B251D56" w:rsidR="00842589" w:rsidRPr="005F13FA" w:rsidRDefault="00842589" w:rsidP="005F13FA">
      <w:pPr>
        <w:pStyle w:val="ListParagraph"/>
        <w:numPr>
          <w:ilvl w:val="0"/>
          <w:numId w:val="1"/>
        </w:numPr>
        <w:spacing w:line="360" w:lineRule="auto"/>
        <w:rPr>
          <w:rFonts w:ascii="Arial" w:hAnsi="Arial" w:cs="Arial"/>
        </w:rPr>
      </w:pPr>
      <w:r w:rsidRPr="005F13FA">
        <w:rPr>
          <w:rFonts w:ascii="Arial" w:hAnsi="Arial" w:cs="Arial"/>
        </w:rPr>
        <w:t>Current position</w:t>
      </w:r>
    </w:p>
    <w:p w14:paraId="63B8CF1D" w14:textId="22B62135" w:rsidR="00842589" w:rsidRPr="005F13FA" w:rsidRDefault="00842589" w:rsidP="005F13FA">
      <w:pPr>
        <w:spacing w:line="360" w:lineRule="auto"/>
        <w:rPr>
          <w:rFonts w:ascii="Arial" w:hAnsi="Arial" w:cs="Arial"/>
        </w:rPr>
      </w:pPr>
      <w:r w:rsidRPr="005F13FA">
        <w:rPr>
          <w:rFonts w:ascii="Arial" w:hAnsi="Arial" w:cs="Arial"/>
        </w:rPr>
        <w:t xml:space="preserve">Rather than being created by statute, the law governing beneficiaries' rights to trust information is developed by the courts. Previously, beneficiaries who had a proprietary interest in the trust could access trust </w:t>
      </w:r>
      <w:r w:rsidRPr="005F13FA">
        <w:rPr>
          <w:rFonts w:ascii="Arial" w:hAnsi="Arial" w:cs="Arial"/>
        </w:rPr>
        <w:t>documents (</w:t>
      </w:r>
      <w:r w:rsidR="00324962" w:rsidRPr="005F13FA">
        <w:rPr>
          <w:rFonts w:ascii="Arial" w:hAnsi="Arial" w:cs="Arial"/>
        </w:rPr>
        <w:t>O’Rourke</w:t>
      </w:r>
      <w:r w:rsidRPr="005F13FA">
        <w:rPr>
          <w:rFonts w:ascii="Arial" w:hAnsi="Arial" w:cs="Arial"/>
        </w:rPr>
        <w:t xml:space="preserve"> v Dabishire, 1920). However, the Court of Appeal limited disclosure in Re Londonderry's Settlement (1965), holding that beneficiaries could no longer see documents revealing the trustees' deliberations or the reasons for their discretionary decision.</w:t>
      </w:r>
      <w:r w:rsidRPr="005F13FA">
        <w:rPr>
          <w:rFonts w:ascii="Arial" w:hAnsi="Arial" w:cs="Arial"/>
        </w:rPr>
        <w:t xml:space="preserve"> </w:t>
      </w:r>
      <w:r w:rsidRPr="005F13FA">
        <w:rPr>
          <w:rFonts w:ascii="Arial" w:hAnsi="Arial" w:cs="Arial"/>
        </w:rPr>
        <w:t xml:space="preserve">The courts sought to protect trustees' confidentiality during decision-making, preventing excessive scrutiny that could interfere with trust administration. This limitation highlights the tension between trustee confidentiality and beneficiaries' ability to hold them to account. </w:t>
      </w:r>
    </w:p>
    <w:p w14:paraId="6EF741F9" w14:textId="2BD69992" w:rsidR="00324962" w:rsidRPr="005F13FA" w:rsidRDefault="00324962" w:rsidP="005F13FA">
      <w:pPr>
        <w:spacing w:line="360" w:lineRule="auto"/>
        <w:rPr>
          <w:rFonts w:ascii="Arial" w:hAnsi="Arial" w:cs="Arial"/>
        </w:rPr>
      </w:pPr>
      <w:r w:rsidRPr="005F13FA">
        <w:rPr>
          <w:rFonts w:ascii="Arial" w:hAnsi="Arial" w:cs="Arial"/>
        </w:rPr>
        <w:t xml:space="preserve">The current position was affirmed in Schmidt v Rosewood (2003), where it was held that a beneficiary's right to trust documents does not arise from a proprietary interest; there is no automatic right to trust documents, but the court may order disclosure where it considers it necessary to ensure trustee accountability. This illustrates a change from proprietary reasoning to the idea that trustees are under the court's supervision. Breakspear v Ackland </w:t>
      </w:r>
      <w:r w:rsidRPr="005F13FA">
        <w:rPr>
          <w:rFonts w:ascii="Arial" w:hAnsi="Arial" w:cs="Arial"/>
        </w:rPr>
        <w:lastRenderedPageBreak/>
        <w:t xml:space="preserve">(2008) confirms that disclosure is decided on an individual basis rather than in accordance with statutory authority. When sensitive documents, such as letters of wishes, are involved, the courts must balance the trustee's confidentiality with the beneficiary's accountability. </w:t>
      </w:r>
    </w:p>
    <w:p w14:paraId="5B5FB1F2" w14:textId="77777777" w:rsidR="00324962" w:rsidRPr="005F13FA" w:rsidRDefault="00324962" w:rsidP="005F13FA">
      <w:pPr>
        <w:spacing w:line="360" w:lineRule="auto"/>
        <w:ind w:left="360"/>
        <w:rPr>
          <w:rFonts w:ascii="Arial" w:hAnsi="Arial" w:cs="Arial"/>
        </w:rPr>
      </w:pPr>
    </w:p>
    <w:p w14:paraId="6AB5439D" w14:textId="2EB469EC" w:rsidR="001F0778" w:rsidRPr="005F13FA" w:rsidRDefault="00324962" w:rsidP="005F13FA">
      <w:pPr>
        <w:pStyle w:val="ListParagraph"/>
        <w:numPr>
          <w:ilvl w:val="0"/>
          <w:numId w:val="1"/>
        </w:numPr>
        <w:spacing w:line="360" w:lineRule="auto"/>
        <w:rPr>
          <w:rFonts w:ascii="Arial" w:hAnsi="Arial" w:cs="Arial"/>
        </w:rPr>
      </w:pPr>
      <w:r w:rsidRPr="005F13FA">
        <w:rPr>
          <w:rFonts w:ascii="Arial" w:hAnsi="Arial" w:cs="Arial"/>
        </w:rPr>
        <w:t>Current challenges</w:t>
      </w:r>
    </w:p>
    <w:p w14:paraId="398CE118" w14:textId="2C939F73" w:rsidR="00324962" w:rsidRPr="005F13FA" w:rsidRDefault="00592AA2" w:rsidP="005F13FA">
      <w:pPr>
        <w:spacing w:line="360" w:lineRule="auto"/>
        <w:rPr>
          <w:rFonts w:ascii="Arial" w:hAnsi="Arial" w:cs="Arial"/>
        </w:rPr>
      </w:pPr>
      <w:r w:rsidRPr="005F13FA">
        <w:rPr>
          <w:rFonts w:ascii="Arial" w:hAnsi="Arial" w:cs="Arial"/>
        </w:rPr>
        <w:t xml:space="preserve">The existing legal framework offers flexibility but also creates challenges, particularly uncertainty about beneficiaries' disclosure rights. In Schmidt v Rosewood (2003), it was held that beneficiaries are not automatically entitled to disclosure or access to trust documents, and the court's supervisory jurisdiction governs access. This created uncertainty because disclosure is now determined on a case-by-case basis, although it has broadened potential access to documents to discretionary beneficiaries. </w:t>
      </w:r>
      <w:r w:rsidR="001F0778" w:rsidRPr="005F13FA">
        <w:rPr>
          <w:rFonts w:ascii="Arial" w:hAnsi="Arial" w:cs="Arial"/>
        </w:rPr>
        <w:t xml:space="preserve">The legal uncertainty and unpredictability of this approach are shown in recent cases. In Breakspear v Ackland (2008), the court held that a letter of wishes should not be disclosed, which illustrates the importance of confidentiality in trust administration. Similarly In Lewis and others v Tamplin and others (2018), the court held that trustees' deliberations should not be disclosed. These cases highlight the uncertainty of the current law on </w:t>
      </w:r>
      <w:proofErr w:type="gramStart"/>
      <w:r w:rsidR="001F0778" w:rsidRPr="005F13FA">
        <w:rPr>
          <w:rFonts w:ascii="Arial" w:hAnsi="Arial" w:cs="Arial"/>
        </w:rPr>
        <w:t>disclosure</w:t>
      </w:r>
      <w:proofErr w:type="gramEnd"/>
      <w:r w:rsidR="001F0778" w:rsidRPr="005F13FA">
        <w:rPr>
          <w:rFonts w:ascii="Arial" w:hAnsi="Arial" w:cs="Arial"/>
        </w:rPr>
        <w:t xml:space="preserve"> and the difficulty beneficiaries face in understanding what information they are entitled to.</w:t>
      </w:r>
    </w:p>
    <w:p w14:paraId="29873234" w14:textId="77777777" w:rsidR="001F0778" w:rsidRPr="005F13FA" w:rsidRDefault="001F0778" w:rsidP="005F13FA">
      <w:pPr>
        <w:spacing w:line="360" w:lineRule="auto"/>
        <w:rPr>
          <w:rFonts w:ascii="Arial" w:hAnsi="Arial" w:cs="Arial"/>
        </w:rPr>
      </w:pPr>
      <w:r w:rsidRPr="005F13FA">
        <w:rPr>
          <w:rFonts w:ascii="Arial" w:hAnsi="Arial" w:cs="Arial"/>
        </w:rPr>
        <w:t xml:space="preserve">Another challenge is regarding holding trustees accountable for the administration of trust properties. Since trustees are fiduciaries, they must act with loyalty and good faith, and in the best interests of the beneficiaries, reflecting the nature of the obligations recognised in Bristol and West Building Society v </w:t>
      </w:r>
      <w:proofErr w:type="spellStart"/>
      <w:r w:rsidRPr="005F13FA">
        <w:rPr>
          <w:rFonts w:ascii="Arial" w:hAnsi="Arial" w:cs="Arial"/>
        </w:rPr>
        <w:t>Mothew</w:t>
      </w:r>
      <w:proofErr w:type="spellEnd"/>
      <w:r w:rsidRPr="005F13FA">
        <w:rPr>
          <w:rFonts w:ascii="Arial" w:hAnsi="Arial" w:cs="Arial"/>
        </w:rPr>
        <w:t xml:space="preserve"> (1998). The trust must also be administered honestly and act in accordance with the trust's terms as recognised in Armitage v Nurse (1998). Despite this, to hold trustees accountable, beneficiaries must have access to sufficient information to monitor their conduct. Beneficiaries could find it hard to identify potential breaches or mismanagement without access to trust accounts or an understanding of why trustees made their decisions. </w:t>
      </w:r>
    </w:p>
    <w:p w14:paraId="4C3675A9" w14:textId="3D9635AB" w:rsidR="001F0778" w:rsidRPr="005F13FA" w:rsidRDefault="001F0778" w:rsidP="005F13FA">
      <w:pPr>
        <w:spacing w:line="360" w:lineRule="auto"/>
        <w:rPr>
          <w:rFonts w:ascii="Arial" w:hAnsi="Arial" w:cs="Arial"/>
        </w:rPr>
      </w:pPr>
      <w:r w:rsidRPr="005F13FA">
        <w:rPr>
          <w:rFonts w:ascii="Arial" w:hAnsi="Arial" w:cs="Arial"/>
        </w:rPr>
        <w:t xml:space="preserve">Nestle v National Westminster Bank Plc (1993) highlights </w:t>
      </w:r>
      <w:r w:rsidRPr="005F13FA">
        <w:rPr>
          <w:rFonts w:ascii="Arial" w:hAnsi="Arial" w:cs="Arial"/>
        </w:rPr>
        <w:t>the difficulty of enforcing</w:t>
      </w:r>
      <w:r w:rsidRPr="005F13FA">
        <w:rPr>
          <w:rFonts w:ascii="Arial" w:hAnsi="Arial" w:cs="Arial"/>
        </w:rPr>
        <w:t xml:space="preserve"> trustee duties. The trustees failed to review investments for a significant period. However, the beneficiaries could not recover compensation because they could not show a financial loss, even though the trustees were not acting in their best interests. Similarly, the House of Lords held in Target Holdings Ltd v </w:t>
      </w:r>
      <w:proofErr w:type="spellStart"/>
      <w:r w:rsidRPr="005F13FA">
        <w:rPr>
          <w:rFonts w:ascii="Arial" w:hAnsi="Arial" w:cs="Arial"/>
        </w:rPr>
        <w:t>Redferns</w:t>
      </w:r>
      <w:proofErr w:type="spellEnd"/>
      <w:r w:rsidRPr="005F13FA">
        <w:rPr>
          <w:rFonts w:ascii="Arial" w:hAnsi="Arial" w:cs="Arial"/>
        </w:rPr>
        <w:t xml:space="preserve"> (1995) that the compensation for a breach of trust must equate to the loss caused by the breach. When disclosure is restricted, it may prove difficult to present this evidence. Beneficiaries can struggle to hold trustees to account due to a lack of evidence under the current disclosure framework, which restricts the information available.</w:t>
      </w:r>
    </w:p>
    <w:p w14:paraId="44B7FF31" w14:textId="53256BB9" w:rsidR="001F0778" w:rsidRPr="005F13FA" w:rsidRDefault="001F0778" w:rsidP="005F13FA">
      <w:pPr>
        <w:spacing w:line="360" w:lineRule="auto"/>
        <w:rPr>
          <w:rFonts w:ascii="Arial" w:hAnsi="Arial" w:cs="Arial"/>
        </w:rPr>
      </w:pPr>
      <w:r w:rsidRPr="005F13FA">
        <w:rPr>
          <w:rFonts w:ascii="Arial" w:hAnsi="Arial" w:cs="Arial"/>
        </w:rPr>
        <w:lastRenderedPageBreak/>
        <w:t>T</w:t>
      </w:r>
      <w:r w:rsidRPr="005F13FA">
        <w:rPr>
          <w:rFonts w:ascii="Arial" w:hAnsi="Arial" w:cs="Arial"/>
        </w:rPr>
        <w:t xml:space="preserve">he balance between transparency and confidentiality raises another issue: trustees must have some confidentiality to administer trusts properly, thereby avoiding over-scrutiny that can interfere with trust administration. In Re Londonderry’s Settlement (1965), it was held that trustees are not required to disclose any documents that state reasons for their discretionary powers. In Rouse v IOOF Australia Ltd (1999), it was affirmed that beneficiaries don’t have the right to disclosure of all trust documents, especially when disclosure would compromise confidentiality. </w:t>
      </w:r>
    </w:p>
    <w:p w14:paraId="0B1FAC6D" w14:textId="29F523D4" w:rsidR="00C06BF7" w:rsidRPr="005F13FA" w:rsidRDefault="00C06BF7" w:rsidP="005F13FA">
      <w:pPr>
        <w:spacing w:line="360" w:lineRule="auto"/>
        <w:rPr>
          <w:rFonts w:ascii="Arial" w:hAnsi="Arial" w:cs="Arial"/>
        </w:rPr>
      </w:pPr>
      <w:r w:rsidRPr="005F13FA">
        <w:rPr>
          <w:rFonts w:ascii="Arial" w:hAnsi="Arial" w:cs="Arial"/>
        </w:rPr>
        <w:t xml:space="preserve">In </w:t>
      </w:r>
      <w:r w:rsidR="005F13FA">
        <w:rPr>
          <w:rFonts w:ascii="Arial" w:hAnsi="Arial" w:cs="Arial"/>
        </w:rPr>
        <w:t>a</w:t>
      </w:r>
      <w:r w:rsidRPr="005F13FA">
        <w:rPr>
          <w:rFonts w:ascii="Arial" w:hAnsi="Arial" w:cs="Arial"/>
        </w:rPr>
        <w:t xml:space="preserve">ddition, Trustees </w:t>
      </w:r>
      <w:r w:rsidRPr="005F13FA">
        <w:rPr>
          <w:rFonts w:ascii="Arial" w:hAnsi="Arial" w:cs="Arial"/>
        </w:rPr>
        <w:t>must comply with</w:t>
      </w:r>
      <w:r w:rsidRPr="005F13FA">
        <w:rPr>
          <w:rFonts w:ascii="Arial" w:hAnsi="Arial" w:cs="Arial"/>
        </w:rPr>
        <w:t xml:space="preserve"> the Trustees Act 2000, which requires them to exercise their powers with reasonable skill and care. However, the act fails to establish any right to disclosure or to access information for beneficiaries. Trustees must also act in accordance with the Data Protection Act 2018. This means that if there is any mention of third parties' personal details, disclosure can be further limited. This creates tension between transparency and privacy.</w:t>
      </w:r>
    </w:p>
    <w:p w14:paraId="40E5B024" w14:textId="62D00B11" w:rsidR="00D32EA0" w:rsidRPr="005F13FA" w:rsidRDefault="00D32EA0" w:rsidP="005F13FA">
      <w:pPr>
        <w:spacing w:line="360" w:lineRule="auto"/>
        <w:rPr>
          <w:rFonts w:ascii="Arial" w:hAnsi="Arial" w:cs="Arial"/>
        </w:rPr>
      </w:pPr>
      <w:r w:rsidRPr="005F13FA">
        <w:rPr>
          <w:rFonts w:ascii="Arial" w:hAnsi="Arial" w:cs="Arial"/>
        </w:rPr>
        <w:t>Overall, the existing framework attempts to balance the interests of trustees who need confidentiality to prevent excessive scrutiny, beneficiaries who need more disclosure to ensure trustees are being held to account, and settlors who want privacy. However, the lack of statutory authority makes disclosure unclear and creates uncertainty, and trustees must remain accountable, underscoring the need to reform beneficiaries' disclosure rights.</w:t>
      </w:r>
    </w:p>
    <w:p w14:paraId="1B103E53" w14:textId="77777777" w:rsidR="00D32EA0" w:rsidRPr="005F13FA" w:rsidRDefault="00D32EA0" w:rsidP="005F13FA">
      <w:pPr>
        <w:spacing w:line="360" w:lineRule="auto"/>
        <w:rPr>
          <w:rFonts w:ascii="Arial" w:hAnsi="Arial" w:cs="Arial"/>
        </w:rPr>
      </w:pPr>
    </w:p>
    <w:p w14:paraId="2BB6F84D" w14:textId="15EDACF3" w:rsidR="00D32EA0" w:rsidRPr="005F13FA" w:rsidRDefault="00D32EA0" w:rsidP="005F13FA">
      <w:pPr>
        <w:pStyle w:val="ListParagraph"/>
        <w:numPr>
          <w:ilvl w:val="0"/>
          <w:numId w:val="1"/>
        </w:numPr>
        <w:spacing w:line="360" w:lineRule="auto"/>
        <w:rPr>
          <w:rFonts w:ascii="Arial" w:hAnsi="Arial" w:cs="Arial"/>
        </w:rPr>
      </w:pPr>
      <w:r w:rsidRPr="005F13FA">
        <w:rPr>
          <w:rFonts w:ascii="Arial" w:hAnsi="Arial" w:cs="Arial"/>
        </w:rPr>
        <w:t>Proposal for reform</w:t>
      </w:r>
    </w:p>
    <w:p w14:paraId="079F3082" w14:textId="4A419693" w:rsidR="00D32EA0" w:rsidRPr="005F13FA" w:rsidRDefault="00D32EA0" w:rsidP="005F13FA">
      <w:pPr>
        <w:spacing w:line="360" w:lineRule="auto"/>
        <w:rPr>
          <w:rFonts w:ascii="Arial" w:hAnsi="Arial" w:cs="Arial"/>
        </w:rPr>
      </w:pPr>
      <w:r w:rsidRPr="005F13FA">
        <w:rPr>
          <w:rFonts w:ascii="Arial" w:hAnsi="Arial" w:cs="Arial"/>
        </w:rPr>
        <w:t xml:space="preserve">The group's proposal will address several </w:t>
      </w:r>
      <w:r w:rsidRPr="005F13FA">
        <w:rPr>
          <w:rFonts w:ascii="Arial" w:hAnsi="Arial" w:cs="Arial"/>
        </w:rPr>
        <w:t>challenges</w:t>
      </w:r>
      <w:r w:rsidRPr="005F13FA">
        <w:rPr>
          <w:rFonts w:ascii="Arial" w:hAnsi="Arial" w:cs="Arial"/>
        </w:rPr>
        <w:t xml:space="preserve"> stated above and introduce clear statutory legislation. </w:t>
      </w:r>
    </w:p>
    <w:p w14:paraId="1D5D2D23" w14:textId="77777777" w:rsidR="00D32EA0" w:rsidRPr="00D32EA0" w:rsidRDefault="00D32EA0" w:rsidP="005F13FA">
      <w:pPr>
        <w:spacing w:line="360" w:lineRule="auto"/>
        <w:rPr>
          <w:rFonts w:ascii="Arial" w:hAnsi="Arial" w:cs="Arial"/>
          <w:b/>
          <w:bCs/>
          <w:u w:val="single"/>
        </w:rPr>
      </w:pPr>
      <w:r w:rsidRPr="00D32EA0">
        <w:rPr>
          <w:rFonts w:ascii="Arial" w:hAnsi="Arial" w:cs="Arial"/>
          <w:b/>
          <w:bCs/>
          <w:u w:val="single"/>
        </w:rPr>
        <w:t>BILL TITLE – TRUSTEE DISCLOSURE AND BENEFICIARY INFORMATION ACT 2026.  </w:t>
      </w:r>
    </w:p>
    <w:p w14:paraId="1A9954A2" w14:textId="77777777" w:rsidR="00D32EA0" w:rsidRPr="00D32EA0" w:rsidRDefault="00D32EA0" w:rsidP="005F13FA">
      <w:pPr>
        <w:spacing w:line="360" w:lineRule="auto"/>
        <w:rPr>
          <w:rFonts w:ascii="Arial" w:hAnsi="Arial" w:cs="Arial"/>
        </w:rPr>
      </w:pPr>
      <w:r w:rsidRPr="00D32EA0">
        <w:rPr>
          <w:rFonts w:ascii="Arial" w:hAnsi="Arial" w:cs="Arial"/>
          <w:b/>
          <w:bCs/>
          <w:u w:val="single"/>
        </w:rPr>
        <w:t>Long Title &amp; Summary – </w:t>
      </w:r>
      <w:r w:rsidRPr="00D32EA0">
        <w:rPr>
          <w:rFonts w:ascii="Arial" w:hAnsi="Arial" w:cs="Arial"/>
        </w:rPr>
        <w:t>An Act to clarify and regulate trustees' duties to provide information to beneficiaries, to define categories of trust documents subject to disclosure and to establish principles governing trustee discretion and for connected purposes.  </w:t>
      </w:r>
    </w:p>
    <w:p w14:paraId="0750982E" w14:textId="77777777" w:rsidR="00D32EA0" w:rsidRPr="00D32EA0" w:rsidRDefault="00D32EA0" w:rsidP="005F13FA">
      <w:pPr>
        <w:spacing w:line="360" w:lineRule="auto"/>
        <w:rPr>
          <w:rFonts w:ascii="Arial" w:hAnsi="Arial" w:cs="Arial"/>
          <w:b/>
          <w:bCs/>
          <w:u w:val="single"/>
        </w:rPr>
      </w:pPr>
      <w:r w:rsidRPr="00D32EA0">
        <w:rPr>
          <w:rFonts w:ascii="Arial" w:hAnsi="Arial" w:cs="Arial"/>
          <w:b/>
          <w:bCs/>
          <w:u w:val="single"/>
        </w:rPr>
        <w:t>Clause 1 – Statutory Right to Core Information </w:t>
      </w:r>
    </w:p>
    <w:p w14:paraId="39EAE192" w14:textId="77777777" w:rsidR="00D32EA0" w:rsidRPr="00D32EA0" w:rsidRDefault="00D32EA0" w:rsidP="005F13FA">
      <w:pPr>
        <w:spacing w:line="360" w:lineRule="auto"/>
        <w:rPr>
          <w:rFonts w:ascii="Arial" w:hAnsi="Arial" w:cs="Arial"/>
        </w:rPr>
      </w:pPr>
      <w:r w:rsidRPr="00D32EA0">
        <w:rPr>
          <w:rFonts w:ascii="Arial" w:hAnsi="Arial" w:cs="Arial"/>
        </w:rPr>
        <w:t>A trustee shall, upon reasonable request, provide a beneficiary with: (a) the trust instrument; (b) annual trust accounts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 </w:t>
      </w:r>
    </w:p>
    <w:p w14:paraId="02DC751C" w14:textId="77777777" w:rsidR="00D32EA0" w:rsidRPr="00D32EA0" w:rsidRDefault="00D32EA0" w:rsidP="005F13FA">
      <w:pPr>
        <w:spacing w:line="360" w:lineRule="auto"/>
        <w:rPr>
          <w:rFonts w:ascii="Arial" w:hAnsi="Arial" w:cs="Arial"/>
          <w:b/>
          <w:bCs/>
          <w:u w:val="single"/>
        </w:rPr>
      </w:pPr>
      <w:r w:rsidRPr="00D32EA0">
        <w:rPr>
          <w:rFonts w:ascii="Arial" w:hAnsi="Arial" w:cs="Arial"/>
          <w:b/>
          <w:bCs/>
          <w:u w:val="single"/>
        </w:rPr>
        <w:lastRenderedPageBreak/>
        <w:t>Clause 2 – Confidential and Deliberative Documents </w:t>
      </w:r>
    </w:p>
    <w:p w14:paraId="5E856932" w14:textId="77777777" w:rsidR="00D32EA0" w:rsidRPr="00D32EA0" w:rsidRDefault="00D32EA0" w:rsidP="005F13FA">
      <w:pPr>
        <w:spacing w:line="360" w:lineRule="auto"/>
        <w:rPr>
          <w:rFonts w:ascii="Arial" w:hAnsi="Arial" w:cs="Arial"/>
        </w:rPr>
      </w:pPr>
      <w:r w:rsidRPr="00D32EA0">
        <w:rPr>
          <w:rFonts w:ascii="Arial" w:hAnsi="Arial" w:cs="Arial"/>
        </w:rPr>
        <w:t>Trustees shall not be required to disclose documents recording their deliberations or reasons for discretionary decisions. Letters of wishes shall be presumed confidential. The court may order disclosure where necessary to ensure proper administration and where just and equitable in the circumstances. </w:t>
      </w:r>
    </w:p>
    <w:p w14:paraId="3F217B95" w14:textId="77777777" w:rsidR="00D32EA0" w:rsidRPr="00D32EA0" w:rsidRDefault="00D32EA0" w:rsidP="005F13FA">
      <w:pPr>
        <w:spacing w:line="360" w:lineRule="auto"/>
        <w:rPr>
          <w:rFonts w:ascii="Arial" w:hAnsi="Arial" w:cs="Arial"/>
          <w:b/>
          <w:bCs/>
          <w:u w:val="single"/>
        </w:rPr>
      </w:pPr>
      <w:r w:rsidRPr="00D32EA0">
        <w:rPr>
          <w:rFonts w:ascii="Arial" w:hAnsi="Arial" w:cs="Arial"/>
          <w:b/>
          <w:bCs/>
          <w:u w:val="single"/>
        </w:rPr>
        <w:t>Clause 3 – Alternative Dispute Resolution </w:t>
      </w:r>
    </w:p>
    <w:p w14:paraId="028EDA80" w14:textId="77777777" w:rsidR="00D32EA0" w:rsidRPr="00D32EA0" w:rsidRDefault="00D32EA0" w:rsidP="005F13FA">
      <w:pPr>
        <w:spacing w:line="360" w:lineRule="auto"/>
        <w:rPr>
          <w:rFonts w:ascii="Arial" w:hAnsi="Arial" w:cs="Arial"/>
        </w:rPr>
      </w:pPr>
      <w:r w:rsidRPr="00D32EA0">
        <w:rPr>
          <w:rFonts w:ascii="Arial" w:hAnsi="Arial" w:cs="Arial"/>
        </w:rPr>
        <w:t>Before commencing court proceedings relating to disclosure under this Act, the parties shall attempt resolution through mediation or another recognised form of alternative dispute resolution. The court may consider non-compliance when determining costs. </w:t>
      </w:r>
    </w:p>
    <w:p w14:paraId="3AE17FA7" w14:textId="77777777" w:rsidR="00D32EA0" w:rsidRPr="005F13FA" w:rsidRDefault="00D32EA0" w:rsidP="005F13FA">
      <w:pPr>
        <w:spacing w:line="360" w:lineRule="auto"/>
        <w:rPr>
          <w:rFonts w:ascii="Arial" w:hAnsi="Arial" w:cs="Arial"/>
          <w:b/>
          <w:bCs/>
          <w:u w:val="single"/>
        </w:rPr>
      </w:pPr>
    </w:p>
    <w:p w14:paraId="0BDBBBF5" w14:textId="798A980D" w:rsidR="00D32EA0" w:rsidRPr="005F13FA" w:rsidRDefault="00D32EA0" w:rsidP="005F13FA">
      <w:pPr>
        <w:pStyle w:val="ListParagraph"/>
        <w:numPr>
          <w:ilvl w:val="0"/>
          <w:numId w:val="1"/>
        </w:numPr>
        <w:spacing w:line="360" w:lineRule="auto"/>
        <w:rPr>
          <w:rFonts w:ascii="Arial" w:hAnsi="Arial" w:cs="Arial"/>
        </w:rPr>
      </w:pPr>
      <w:r w:rsidRPr="005F13FA">
        <w:rPr>
          <w:rFonts w:ascii="Arial" w:hAnsi="Arial" w:cs="Arial"/>
        </w:rPr>
        <w:t>Evaluation of reform proposal</w:t>
      </w:r>
    </w:p>
    <w:p w14:paraId="4FE9D3F7" w14:textId="0C882350" w:rsidR="00D32EA0" w:rsidRPr="005F13FA" w:rsidRDefault="00D32EA0" w:rsidP="005F13FA">
      <w:pPr>
        <w:spacing w:line="360" w:lineRule="auto"/>
        <w:rPr>
          <w:rFonts w:ascii="Arial" w:hAnsi="Arial" w:cs="Arial"/>
        </w:rPr>
      </w:pPr>
      <w:r w:rsidRPr="005F13FA">
        <w:rPr>
          <w:rFonts w:ascii="Arial" w:hAnsi="Arial" w:cs="Arial"/>
        </w:rPr>
        <w:t xml:space="preserve">The bill addresses issues relating to beneficiaries' disclosure rights identified in section 3. The proposed legislation will </w:t>
      </w:r>
      <w:r w:rsidR="00273A62" w:rsidRPr="005F13FA">
        <w:rPr>
          <w:rFonts w:ascii="Arial" w:hAnsi="Arial" w:cs="Arial"/>
        </w:rPr>
        <w:t xml:space="preserve">clarify disclosure obligations, </w:t>
      </w:r>
      <w:proofErr w:type="gramStart"/>
      <w:r w:rsidR="00273A62" w:rsidRPr="005F13FA">
        <w:rPr>
          <w:rFonts w:ascii="Arial" w:hAnsi="Arial" w:cs="Arial"/>
        </w:rPr>
        <w:t>reducing</w:t>
      </w:r>
      <w:proofErr w:type="gramEnd"/>
      <w:r w:rsidR="00273A62" w:rsidRPr="005F13FA">
        <w:rPr>
          <w:rFonts w:ascii="Arial" w:hAnsi="Arial" w:cs="Arial"/>
        </w:rPr>
        <w:t xml:space="preserve"> the current legal uncertainty</w:t>
      </w:r>
      <w:r w:rsidRPr="005F13FA">
        <w:rPr>
          <w:rFonts w:ascii="Arial" w:hAnsi="Arial" w:cs="Arial"/>
        </w:rPr>
        <w:t xml:space="preserve">, while finding the right balance to maintain confidentiality and encourage proper trust administration. To evaluate the effectiveness of the reform suggestions, it is necessary to examine how they resolve the difficulties under the current law and whether they risk creating new challenges. </w:t>
      </w:r>
    </w:p>
    <w:p w14:paraId="01ABAC40" w14:textId="77777777" w:rsidR="00273A62" w:rsidRPr="005F13FA" w:rsidRDefault="00273A62" w:rsidP="005F13FA">
      <w:pPr>
        <w:spacing w:line="360" w:lineRule="auto"/>
        <w:rPr>
          <w:rFonts w:ascii="Arial" w:hAnsi="Arial" w:cs="Arial"/>
        </w:rPr>
      </w:pPr>
      <w:r w:rsidRPr="005F13FA">
        <w:rPr>
          <w:rFonts w:ascii="Arial" w:hAnsi="Arial" w:cs="Arial"/>
        </w:rPr>
        <w:t>Clause 1 introduces a statutory right to core trust information, which is a significant strength, as under the current law, disclosure is case-by-case through the courts' supervisory jurisdiction, with no legal entitlement. The current position was confirmed in Schmidt v Rosewood (2003) where it was established that beneficiaries do not have an automatic right to trust documents and that disclosure is based on judicial discretion. As mentioned in section 3, this framework creates uncertainty and could require beneficiaries to initiate costly litigation to obtain disclosure of basic information to ensure proper trust administration. Clause 1 addresses this problem by requiring trustees to disclose key documents, for instance, the trust instrument and trust accounts. The categories of documents they are obligated to disclose upon request are clearly identified, which would increase certainty and reduce judicial discretion for beneficiaries, equipping them with a clear path to obtaining information. In addition to increasing certainty, the reform may strengthen beneficiary accountability.</w:t>
      </w:r>
    </w:p>
    <w:p w14:paraId="39CD9264" w14:textId="480B4F24" w:rsidR="00D32EA0" w:rsidRPr="005F13FA" w:rsidRDefault="00273A62" w:rsidP="005F13FA">
      <w:pPr>
        <w:spacing w:line="360" w:lineRule="auto"/>
        <w:rPr>
          <w:rFonts w:ascii="Arial" w:hAnsi="Arial" w:cs="Arial"/>
        </w:rPr>
      </w:pPr>
      <w:r w:rsidRPr="005F13FA">
        <w:rPr>
          <w:rFonts w:ascii="Arial" w:hAnsi="Arial" w:cs="Arial"/>
        </w:rPr>
        <w:t xml:space="preserve">The reform strengthens beneficiaries' ability to hold trustees to account for the administration of trust property. Trustees must administer the trust </w:t>
      </w:r>
      <w:r w:rsidRPr="005F13FA">
        <w:rPr>
          <w:rFonts w:ascii="Arial" w:hAnsi="Arial" w:cs="Arial"/>
        </w:rPr>
        <w:t>in accordance with the fiduciary principles of</w:t>
      </w:r>
      <w:r w:rsidRPr="005F13FA">
        <w:rPr>
          <w:rFonts w:ascii="Arial" w:hAnsi="Arial" w:cs="Arial"/>
        </w:rPr>
        <w:t xml:space="preserve"> loyalty and good faith, as recognised in Bristol and West Building Society v </w:t>
      </w:r>
      <w:proofErr w:type="spellStart"/>
      <w:r w:rsidRPr="005F13FA">
        <w:rPr>
          <w:rFonts w:ascii="Arial" w:hAnsi="Arial" w:cs="Arial"/>
        </w:rPr>
        <w:lastRenderedPageBreak/>
        <w:t>Mothew</w:t>
      </w:r>
      <w:proofErr w:type="spellEnd"/>
      <w:r w:rsidRPr="005F13FA">
        <w:rPr>
          <w:rFonts w:ascii="Arial" w:hAnsi="Arial" w:cs="Arial"/>
        </w:rPr>
        <w:t xml:space="preserve"> (1998). Despite this, beneficiaries with limited access to information may struggle to enforce trustee duties. Maurice, c (2005) emphasises that beneficiaries often request information when they suspect mismanagement and must have access to it to </w:t>
      </w:r>
      <w:r w:rsidRPr="005F13FA">
        <w:rPr>
          <w:rFonts w:ascii="Arial" w:hAnsi="Arial" w:cs="Arial"/>
        </w:rPr>
        <w:t>properly enforce trustee obligations</w:t>
      </w:r>
      <w:r w:rsidRPr="005F13FA">
        <w:rPr>
          <w:rFonts w:ascii="Arial" w:hAnsi="Arial" w:cs="Arial"/>
        </w:rPr>
        <w:t>.</w:t>
      </w:r>
    </w:p>
    <w:p w14:paraId="28081101" w14:textId="5DA9A6AC" w:rsidR="00766801" w:rsidRPr="005F13FA" w:rsidRDefault="00766801" w:rsidP="005F13FA">
      <w:pPr>
        <w:spacing w:line="360" w:lineRule="auto"/>
        <w:rPr>
          <w:rFonts w:ascii="Arial" w:hAnsi="Arial" w:cs="Arial"/>
        </w:rPr>
      </w:pPr>
      <w:r w:rsidRPr="005F13FA">
        <w:rPr>
          <w:rFonts w:ascii="Arial" w:hAnsi="Arial" w:cs="Arial"/>
        </w:rPr>
        <w:t xml:space="preserve">The bill recognises that trustees do require some confidentiality to administer trusts effectively. Clause 2 of the bill protects documents relating to the </w:t>
      </w:r>
      <w:r w:rsidRPr="005F13FA">
        <w:rPr>
          <w:rFonts w:ascii="Arial" w:hAnsi="Arial" w:cs="Arial"/>
        </w:rPr>
        <w:t>trustees' deliberations</w:t>
      </w:r>
      <w:r w:rsidRPr="005F13FA">
        <w:rPr>
          <w:rFonts w:ascii="Arial" w:hAnsi="Arial" w:cs="Arial"/>
        </w:rPr>
        <w:t xml:space="preserve"> and the reasoning behind discretionary decisions. This is in line with Re Londonderry Settlement (1965), where the court held that trustees are not required to disclose documents containing deliberations.</w:t>
      </w:r>
      <w:r w:rsidRPr="005F13FA">
        <w:rPr>
          <w:rFonts w:ascii="Arial" w:hAnsi="Arial" w:cs="Arial"/>
        </w:rPr>
        <w:t xml:space="preserve"> </w:t>
      </w:r>
      <w:r w:rsidRPr="005F13FA">
        <w:rPr>
          <w:rFonts w:ascii="Arial" w:hAnsi="Arial" w:cs="Arial"/>
        </w:rPr>
        <w:t xml:space="preserve">The bill states that letters of wishes should be confidential. This was established in Breakspear v Ackland (2008). This is due to the bill trying to balance the interests of beneficiaries, trustees, and settlors by obligating trustees to disclose core documents while maintaining the confidentiality of trustees' deliberations. This allows for more disclosure while allowing trustees to exercise their discretion. </w:t>
      </w:r>
    </w:p>
    <w:p w14:paraId="2FF10BFD" w14:textId="47592B66" w:rsidR="00766801" w:rsidRPr="005F13FA" w:rsidRDefault="00766801" w:rsidP="005F13FA">
      <w:pPr>
        <w:spacing w:line="360" w:lineRule="auto"/>
        <w:rPr>
          <w:rFonts w:ascii="Arial" w:hAnsi="Arial" w:cs="Arial"/>
        </w:rPr>
      </w:pPr>
      <w:r w:rsidRPr="005F13FA">
        <w:rPr>
          <w:rFonts w:ascii="Arial" w:hAnsi="Arial" w:cs="Arial"/>
        </w:rPr>
        <w:t xml:space="preserve">The proposed legislation requires parties to attempt alternative dispute resolution before commencing court proceedings under clause 3, which may reduce the number of proceedings that go to court and encourage a different approach to resolution. Disclosure disagreements can quickly end up in litigation when a beneficiary wants information regarding a trust, as seen in cases like Murphy v Murphy (2021). Hayton, D (2022) notes that beneficiaries who are refused information can apply to the court for disclosure. Mediation can reduce the financial burden and emotional costs of going to court in a trust dispute. </w:t>
      </w:r>
    </w:p>
    <w:p w14:paraId="4DB8A6D0" w14:textId="339AF4FA" w:rsidR="00D32EA0" w:rsidRPr="005F13FA" w:rsidRDefault="00762457" w:rsidP="005F13FA">
      <w:pPr>
        <w:spacing w:line="360" w:lineRule="auto"/>
        <w:rPr>
          <w:rFonts w:ascii="Arial" w:hAnsi="Arial" w:cs="Arial"/>
        </w:rPr>
      </w:pPr>
      <w:r w:rsidRPr="005F13FA">
        <w:rPr>
          <w:rFonts w:ascii="Arial" w:hAnsi="Arial" w:cs="Arial"/>
        </w:rPr>
        <w:t xml:space="preserve">Despite the strengths of the proposed bill, it may not resolve all the challenges with beneficiaries' right to trust information. Clause 1 lists some core documents that should be disclosed, but it does not cover the full range of documents beneficiaries may require to evaluate the trustees' conduct. This may still leave judicial interpretation necessary in certain circumstances. Additionally, the wording for when a trustee can deny disclosure may require interpretation by the courts; the phrase "Vexatious, manifestly unreasonable or contrary to the proper administration of the trust" is not clear and could be interpreted differently by different people. </w:t>
      </w:r>
    </w:p>
    <w:p w14:paraId="40B9D509" w14:textId="0FF55E37" w:rsidR="00762457" w:rsidRPr="005F13FA" w:rsidRDefault="00762457" w:rsidP="005F13FA">
      <w:pPr>
        <w:spacing w:line="360" w:lineRule="auto"/>
        <w:rPr>
          <w:rFonts w:ascii="Arial" w:hAnsi="Arial" w:cs="Arial"/>
        </w:rPr>
      </w:pPr>
      <w:r w:rsidRPr="005F13FA">
        <w:rPr>
          <w:rFonts w:ascii="Arial" w:hAnsi="Arial" w:cs="Arial"/>
        </w:rPr>
        <w:t>The rules would need to operate and interact with pre-existing legislation. Trustees have obligations under the</w:t>
      </w:r>
      <w:r w:rsidRPr="005F13FA">
        <w:rPr>
          <w:rFonts w:ascii="Arial" w:hAnsi="Arial" w:cs="Arial"/>
          <w:i/>
          <w:iCs/>
        </w:rPr>
        <w:t xml:space="preserve"> Trustee Act 2000</w:t>
      </w:r>
      <w:r w:rsidRPr="005F13FA">
        <w:rPr>
          <w:rFonts w:ascii="Arial" w:hAnsi="Arial" w:cs="Arial"/>
        </w:rPr>
        <w:t xml:space="preserve"> and must comply with the </w:t>
      </w:r>
      <w:r w:rsidRPr="005F13FA">
        <w:rPr>
          <w:rFonts w:ascii="Arial" w:hAnsi="Arial" w:cs="Arial"/>
          <w:i/>
          <w:iCs/>
        </w:rPr>
        <w:t>Data Protection Act 2018</w:t>
      </w:r>
      <w:r w:rsidRPr="005F13FA">
        <w:rPr>
          <w:rFonts w:ascii="Arial" w:hAnsi="Arial" w:cs="Arial"/>
        </w:rPr>
        <w:t xml:space="preserve"> when handling personal data in trust documents. In Dawson-Damer &amp; Others v Taylor Wessing LLP (2020), there were disputes regarding how data protection and trust disclosure obligations interact. The reform will require careful interpretation to ensure </w:t>
      </w:r>
      <w:r w:rsidR="00E53F41" w:rsidRPr="005F13FA">
        <w:rPr>
          <w:rFonts w:ascii="Arial" w:hAnsi="Arial" w:cs="Arial"/>
        </w:rPr>
        <w:t xml:space="preserve">its </w:t>
      </w:r>
      <w:r w:rsidR="00C51F10" w:rsidRPr="005F13FA">
        <w:rPr>
          <w:rFonts w:ascii="Arial" w:hAnsi="Arial" w:cs="Arial"/>
        </w:rPr>
        <w:t xml:space="preserve">coherent </w:t>
      </w:r>
      <w:r w:rsidRPr="005F13FA">
        <w:rPr>
          <w:rFonts w:ascii="Arial" w:hAnsi="Arial" w:cs="Arial"/>
        </w:rPr>
        <w:t xml:space="preserve">with pre-existing principles of the </w:t>
      </w:r>
      <w:proofErr w:type="spellStart"/>
      <w:r w:rsidRPr="005F13FA">
        <w:rPr>
          <w:rFonts w:ascii="Arial" w:hAnsi="Arial" w:cs="Arial"/>
        </w:rPr>
        <w:t>law.</w:t>
      </w:r>
      <w:proofErr w:type="spellEnd"/>
      <w:r w:rsidRPr="005F13FA">
        <w:rPr>
          <w:rFonts w:ascii="Arial" w:hAnsi="Arial" w:cs="Arial"/>
        </w:rPr>
        <w:t xml:space="preserve"> </w:t>
      </w:r>
    </w:p>
    <w:p w14:paraId="3EECD925" w14:textId="2A1CE6C5" w:rsidR="00762457" w:rsidRPr="005F13FA" w:rsidRDefault="00762457" w:rsidP="005F13FA">
      <w:pPr>
        <w:spacing w:line="360" w:lineRule="auto"/>
        <w:rPr>
          <w:rFonts w:ascii="Arial" w:hAnsi="Arial" w:cs="Arial"/>
        </w:rPr>
      </w:pPr>
      <w:r w:rsidRPr="005F13FA">
        <w:rPr>
          <w:rFonts w:ascii="Arial" w:hAnsi="Arial" w:cs="Arial"/>
        </w:rPr>
        <w:lastRenderedPageBreak/>
        <w:t xml:space="preserve">The proposed legislation does not eliminate all challenges in the current system, but it aims to improve transparency and accountability while maintaining an appropriate balance among the interests of trustees, beneficiaries, and settlors. </w:t>
      </w:r>
    </w:p>
    <w:p w14:paraId="652F5A10" w14:textId="77777777" w:rsidR="00762457" w:rsidRPr="005F13FA" w:rsidRDefault="00762457" w:rsidP="005F13FA">
      <w:pPr>
        <w:spacing w:line="360" w:lineRule="auto"/>
        <w:rPr>
          <w:rFonts w:ascii="Arial" w:hAnsi="Arial" w:cs="Arial"/>
        </w:rPr>
      </w:pPr>
    </w:p>
    <w:p w14:paraId="4469FCD5" w14:textId="2D45560F" w:rsidR="00762457" w:rsidRPr="005F13FA" w:rsidRDefault="00762457" w:rsidP="005F13FA">
      <w:pPr>
        <w:pStyle w:val="ListParagraph"/>
        <w:numPr>
          <w:ilvl w:val="0"/>
          <w:numId w:val="1"/>
        </w:numPr>
        <w:spacing w:line="360" w:lineRule="auto"/>
        <w:rPr>
          <w:rFonts w:ascii="Arial" w:hAnsi="Arial" w:cs="Arial"/>
        </w:rPr>
      </w:pPr>
      <w:r w:rsidRPr="005F13FA">
        <w:rPr>
          <w:rFonts w:ascii="Arial" w:hAnsi="Arial" w:cs="Arial"/>
        </w:rPr>
        <w:t>Conclusion</w:t>
      </w:r>
    </w:p>
    <w:p w14:paraId="183871EC" w14:textId="1FC26B4A" w:rsidR="00762457" w:rsidRDefault="006439FA" w:rsidP="005F13FA">
      <w:pPr>
        <w:spacing w:line="360" w:lineRule="auto"/>
        <w:rPr>
          <w:rFonts w:ascii="Arial" w:hAnsi="Arial" w:cs="Arial"/>
        </w:rPr>
      </w:pPr>
      <w:r w:rsidRPr="005F13FA">
        <w:rPr>
          <w:rFonts w:ascii="Arial" w:hAnsi="Arial" w:cs="Arial"/>
        </w:rPr>
        <w:t xml:space="preserve">This report has evaluated the current statutory framework, discussed the challenges associated with beneficiaries' rights to disclosure, and then examined the proposed Trustee Disclosure and Beneficiary Information Act 2026. As seen in Schmidt v Rosewood (2003), the current law is largely based on judicial discretion and case law, rather than on clear statutory authority. This bill aims to address this and create a clear framework for disclosure, increasing certainty for beneficiaries seeking information about trusts. The first clause establishes a right to disclose core trust information, which improves transparency; however, it provides only a vague outline of the documents. A more in-depth list is necessary. Refined wording may also be necessary so avoid any unclear wording that could be interpreted differently from person to person. Clause 2 maintains confidentiality regarding letters of wishes and trustee deliberations, recognising the importance of trustee discretion. The last clause states that parties must try alternative dispute resolution before court proceedings, which can reduce financial and emotional burden. </w:t>
      </w:r>
      <w:r w:rsidR="00DA385E" w:rsidRPr="005F13FA">
        <w:rPr>
          <w:rFonts w:ascii="Arial" w:hAnsi="Arial" w:cs="Arial"/>
        </w:rPr>
        <w:t xml:space="preserve">The bill is an improvement </w:t>
      </w:r>
      <w:r w:rsidR="005F13FA">
        <w:rPr>
          <w:rFonts w:ascii="Arial" w:hAnsi="Arial" w:cs="Arial"/>
        </w:rPr>
        <w:t>on current law and will enhance</w:t>
      </w:r>
      <w:r w:rsidR="005F13FA" w:rsidRPr="005F13FA">
        <w:rPr>
          <w:rFonts w:ascii="Arial" w:hAnsi="Arial" w:cs="Arial"/>
        </w:rPr>
        <w:t xml:space="preserve"> transparency and accountability within trust administration. </w:t>
      </w:r>
    </w:p>
    <w:p w14:paraId="027CC87F" w14:textId="77777777" w:rsidR="005F13FA" w:rsidRDefault="005F13FA" w:rsidP="005F13FA">
      <w:pPr>
        <w:spacing w:line="360" w:lineRule="auto"/>
        <w:rPr>
          <w:rFonts w:ascii="Arial" w:hAnsi="Arial" w:cs="Arial"/>
        </w:rPr>
      </w:pPr>
    </w:p>
    <w:p w14:paraId="767316B1" w14:textId="77777777" w:rsidR="005F13FA" w:rsidRDefault="005F13FA" w:rsidP="005F13FA">
      <w:pPr>
        <w:spacing w:line="360" w:lineRule="auto"/>
        <w:rPr>
          <w:rFonts w:ascii="Arial" w:hAnsi="Arial" w:cs="Arial"/>
        </w:rPr>
      </w:pPr>
    </w:p>
    <w:p w14:paraId="34760727" w14:textId="77777777" w:rsidR="005F13FA" w:rsidRDefault="005F13FA" w:rsidP="005F13FA">
      <w:pPr>
        <w:spacing w:line="360" w:lineRule="auto"/>
        <w:rPr>
          <w:rFonts w:ascii="Arial" w:hAnsi="Arial" w:cs="Arial"/>
        </w:rPr>
      </w:pPr>
    </w:p>
    <w:p w14:paraId="43A46CB3" w14:textId="77777777" w:rsidR="005F13FA" w:rsidRDefault="005F13FA" w:rsidP="005F13FA">
      <w:pPr>
        <w:spacing w:line="360" w:lineRule="auto"/>
        <w:rPr>
          <w:rFonts w:ascii="Arial" w:hAnsi="Arial" w:cs="Arial"/>
        </w:rPr>
      </w:pPr>
    </w:p>
    <w:p w14:paraId="72362453" w14:textId="77777777" w:rsidR="005F13FA" w:rsidRDefault="005F13FA" w:rsidP="005F13FA">
      <w:pPr>
        <w:spacing w:line="360" w:lineRule="auto"/>
        <w:rPr>
          <w:rFonts w:ascii="Arial" w:hAnsi="Arial" w:cs="Arial"/>
        </w:rPr>
      </w:pPr>
    </w:p>
    <w:p w14:paraId="379630D8" w14:textId="77777777" w:rsidR="005F13FA" w:rsidRDefault="005F13FA" w:rsidP="005F13FA">
      <w:pPr>
        <w:spacing w:line="360" w:lineRule="auto"/>
        <w:rPr>
          <w:rFonts w:ascii="Arial" w:hAnsi="Arial" w:cs="Arial"/>
        </w:rPr>
      </w:pPr>
    </w:p>
    <w:p w14:paraId="0493EE82" w14:textId="77777777" w:rsidR="005F13FA" w:rsidRDefault="005F13FA" w:rsidP="005F13FA">
      <w:pPr>
        <w:spacing w:line="360" w:lineRule="auto"/>
        <w:rPr>
          <w:rFonts w:ascii="Arial" w:hAnsi="Arial" w:cs="Arial"/>
        </w:rPr>
      </w:pPr>
    </w:p>
    <w:p w14:paraId="1DA23DE7" w14:textId="77777777" w:rsidR="005F13FA" w:rsidRDefault="005F13FA" w:rsidP="005F13FA">
      <w:pPr>
        <w:spacing w:line="360" w:lineRule="auto"/>
        <w:rPr>
          <w:rFonts w:ascii="Arial" w:hAnsi="Arial" w:cs="Arial"/>
        </w:rPr>
      </w:pPr>
    </w:p>
    <w:p w14:paraId="0FDCE4F2" w14:textId="77777777" w:rsidR="005F13FA" w:rsidRDefault="005F13FA" w:rsidP="005F13FA">
      <w:pPr>
        <w:spacing w:line="360" w:lineRule="auto"/>
        <w:rPr>
          <w:rFonts w:ascii="Arial" w:hAnsi="Arial" w:cs="Arial"/>
        </w:rPr>
      </w:pPr>
    </w:p>
    <w:p w14:paraId="6438D9AC" w14:textId="77777777" w:rsidR="005F13FA" w:rsidRDefault="005F13FA" w:rsidP="005F13FA">
      <w:pPr>
        <w:spacing w:line="360" w:lineRule="auto"/>
        <w:rPr>
          <w:rFonts w:ascii="Arial" w:hAnsi="Arial" w:cs="Arial"/>
        </w:rPr>
      </w:pPr>
    </w:p>
    <w:p w14:paraId="4F9E0FDA" w14:textId="77777777" w:rsidR="005F13FA" w:rsidRDefault="005F13FA" w:rsidP="005F13FA">
      <w:pPr>
        <w:spacing w:line="360" w:lineRule="auto"/>
        <w:rPr>
          <w:rFonts w:ascii="Arial" w:hAnsi="Arial" w:cs="Arial"/>
        </w:rPr>
      </w:pPr>
    </w:p>
    <w:p w14:paraId="05D64EA3" w14:textId="169DF7E2" w:rsidR="005F13FA" w:rsidRDefault="005F13FA" w:rsidP="005F13FA">
      <w:pPr>
        <w:spacing w:line="360" w:lineRule="auto"/>
        <w:rPr>
          <w:rFonts w:ascii="Arial" w:hAnsi="Arial" w:cs="Arial"/>
          <w:u w:val="single"/>
        </w:rPr>
      </w:pPr>
      <w:r w:rsidRPr="005F13FA">
        <w:rPr>
          <w:rFonts w:ascii="Arial" w:hAnsi="Arial" w:cs="Arial"/>
          <w:u w:val="single"/>
        </w:rPr>
        <w:lastRenderedPageBreak/>
        <w:t>References</w:t>
      </w:r>
    </w:p>
    <w:p w14:paraId="3F7C56AA" w14:textId="1F843F11" w:rsidR="00C626A4" w:rsidRDefault="00C626A4" w:rsidP="00C626A4">
      <w:pPr>
        <w:rPr>
          <w:rFonts w:ascii="Arial" w:hAnsi="Arial" w:cs="Arial"/>
        </w:rPr>
      </w:pPr>
      <w:r w:rsidRPr="0078396F">
        <w:rPr>
          <w:rFonts w:ascii="Arial" w:hAnsi="Arial" w:cs="Arial"/>
        </w:rPr>
        <w:t>Hayton, D., Matthews, P. and Mitchell, C. (2022) </w:t>
      </w:r>
      <w:r w:rsidRPr="0078396F">
        <w:rPr>
          <w:rFonts w:ascii="Arial" w:hAnsi="Arial" w:cs="Arial"/>
          <w:i/>
          <w:iCs/>
        </w:rPr>
        <w:t>Underhill and Hayton: Law of Trusts and Trustees</w:t>
      </w:r>
      <w:r w:rsidRPr="0078396F">
        <w:rPr>
          <w:rFonts w:ascii="Arial" w:hAnsi="Arial" w:cs="Arial"/>
        </w:rPr>
        <w:t>. 21st </w:t>
      </w:r>
      <w:proofErr w:type="spellStart"/>
      <w:r w:rsidRPr="0078396F">
        <w:rPr>
          <w:rFonts w:ascii="Arial" w:hAnsi="Arial" w:cs="Arial"/>
        </w:rPr>
        <w:t>edn</w:t>
      </w:r>
      <w:proofErr w:type="spellEnd"/>
      <w:r w:rsidRPr="0078396F">
        <w:rPr>
          <w:rFonts w:ascii="Arial" w:hAnsi="Arial" w:cs="Arial"/>
        </w:rPr>
        <w:t>. London: LexisNexis. </w:t>
      </w:r>
    </w:p>
    <w:p w14:paraId="2AB904B6" w14:textId="1257FA09" w:rsidR="00C626A4" w:rsidRDefault="00C626A4" w:rsidP="00C626A4">
      <w:pPr>
        <w:rPr>
          <w:rFonts w:ascii="Arial" w:hAnsi="Arial" w:cs="Arial"/>
        </w:rPr>
      </w:pPr>
      <w:r w:rsidRPr="00EC436A">
        <w:rPr>
          <w:rFonts w:ascii="Arial" w:hAnsi="Arial" w:cs="Arial"/>
        </w:rPr>
        <w:t>M</w:t>
      </w:r>
      <w:r>
        <w:rPr>
          <w:rFonts w:ascii="Arial" w:hAnsi="Arial" w:cs="Arial"/>
        </w:rPr>
        <w:t>aurice, C</w:t>
      </w:r>
      <w:r w:rsidRPr="00EC436A">
        <w:rPr>
          <w:rFonts w:ascii="Arial" w:hAnsi="Arial" w:cs="Arial"/>
        </w:rPr>
        <w:t xml:space="preserve"> </w:t>
      </w:r>
      <w:r>
        <w:rPr>
          <w:rFonts w:ascii="Arial" w:hAnsi="Arial" w:cs="Arial"/>
        </w:rPr>
        <w:t>(</w:t>
      </w:r>
      <w:r w:rsidRPr="00EC436A">
        <w:rPr>
          <w:rFonts w:ascii="Arial" w:hAnsi="Arial" w:cs="Arial"/>
        </w:rPr>
        <w:t xml:space="preserve">2005) Trustees’ Reaction to </w:t>
      </w:r>
      <w:r>
        <w:rPr>
          <w:rFonts w:ascii="Arial" w:hAnsi="Arial" w:cs="Arial"/>
        </w:rPr>
        <w:t>Beneficiaries'</w:t>
      </w:r>
      <w:r w:rsidRPr="00EC436A">
        <w:rPr>
          <w:rFonts w:ascii="Arial" w:hAnsi="Arial" w:cs="Arial"/>
        </w:rPr>
        <w:t xml:space="preserve"> Rights to information, </w:t>
      </w:r>
      <w:r>
        <w:rPr>
          <w:rFonts w:ascii="Arial" w:hAnsi="Arial" w:cs="Arial"/>
        </w:rPr>
        <w:t xml:space="preserve">Vol. </w:t>
      </w:r>
      <w:r w:rsidRPr="00EC436A">
        <w:rPr>
          <w:rFonts w:ascii="Arial" w:hAnsi="Arial" w:cs="Arial"/>
        </w:rPr>
        <w:t xml:space="preserve">11, </w:t>
      </w:r>
      <w:r>
        <w:rPr>
          <w:rFonts w:ascii="Arial" w:hAnsi="Arial" w:cs="Arial"/>
        </w:rPr>
        <w:t xml:space="preserve">Iss. </w:t>
      </w:r>
      <w:r w:rsidRPr="00EC436A">
        <w:rPr>
          <w:rFonts w:ascii="Arial" w:hAnsi="Arial" w:cs="Arial"/>
        </w:rPr>
        <w:t>4, available at </w:t>
      </w:r>
      <w:hyperlink r:id="rId8" w:tgtFrame="_blank" w:history="1">
        <w:r w:rsidRPr="00EC436A">
          <w:rPr>
            <w:rStyle w:val="Hyperlink"/>
            <w:rFonts w:ascii="Arial" w:hAnsi="Arial" w:cs="Arial"/>
          </w:rPr>
          <w:t>https://www.proquest.com/docview/1953153284?accountid=130472&amp;parentSessionId=aSmDcVVLusHodnS1pGsqtpX2o%2BXCjSxjCo0Kk%2B0t2i8%3D&amp;pq-origsite=primo&amp;sourcetype=Scholarly%20Journals</w:t>
        </w:r>
      </w:hyperlink>
      <w:r>
        <w:rPr>
          <w:rFonts w:ascii="Arial" w:hAnsi="Arial" w:cs="Arial"/>
        </w:rPr>
        <w:t xml:space="preserve"> Accessed:8/03/2026</w:t>
      </w:r>
    </w:p>
    <w:p w14:paraId="2260B0D1" w14:textId="77777777" w:rsidR="00C626A4" w:rsidRDefault="00C626A4" w:rsidP="005F13FA">
      <w:pPr>
        <w:spacing w:line="360" w:lineRule="auto"/>
        <w:rPr>
          <w:rFonts w:ascii="Arial" w:hAnsi="Arial" w:cs="Arial"/>
          <w:u w:val="single"/>
        </w:rPr>
      </w:pPr>
    </w:p>
    <w:p w14:paraId="64D3C104" w14:textId="6D10AC26" w:rsidR="00C626A4" w:rsidRDefault="00C626A4" w:rsidP="005F13FA">
      <w:pPr>
        <w:spacing w:line="360" w:lineRule="auto"/>
        <w:rPr>
          <w:rFonts w:ascii="Arial" w:hAnsi="Arial" w:cs="Arial"/>
          <w:u w:val="single"/>
        </w:rPr>
      </w:pPr>
      <w:r>
        <w:rPr>
          <w:rFonts w:ascii="Arial" w:hAnsi="Arial" w:cs="Arial"/>
          <w:u w:val="single"/>
        </w:rPr>
        <w:t>Legislation</w:t>
      </w:r>
    </w:p>
    <w:p w14:paraId="53E3517C" w14:textId="77777777" w:rsidR="006834D8" w:rsidRDefault="006834D8" w:rsidP="006834D8">
      <w:pPr>
        <w:rPr>
          <w:rFonts w:ascii="Arial" w:hAnsi="Arial" w:cs="Arial"/>
        </w:rPr>
      </w:pPr>
      <w:r w:rsidRPr="005D4ACA">
        <w:rPr>
          <w:rFonts w:ascii="Arial" w:hAnsi="Arial" w:cs="Arial"/>
          <w:i/>
          <w:iCs/>
        </w:rPr>
        <w:t>Data Protection Act 2018, c.12.</w:t>
      </w:r>
      <w:r>
        <w:rPr>
          <w:rFonts w:ascii="Arial" w:hAnsi="Arial" w:cs="Arial"/>
        </w:rPr>
        <w:t xml:space="preserve"> Available at: </w:t>
      </w:r>
      <w:hyperlink r:id="rId9" w:history="1">
        <w:r w:rsidRPr="005E536D">
          <w:rPr>
            <w:rStyle w:val="Hyperlink"/>
            <w:rFonts w:ascii="Arial" w:hAnsi="Arial" w:cs="Arial"/>
          </w:rPr>
          <w:t>https://www.legislation.gov.uk/ukpga/2018/12/contents</w:t>
        </w:r>
      </w:hyperlink>
    </w:p>
    <w:p w14:paraId="3ED68968" w14:textId="77777777" w:rsidR="006834D8" w:rsidRDefault="006834D8" w:rsidP="006834D8">
      <w:pPr>
        <w:rPr>
          <w:rFonts w:ascii="Arial" w:hAnsi="Arial" w:cs="Arial"/>
        </w:rPr>
      </w:pPr>
      <w:r w:rsidRPr="00EC436A">
        <w:rPr>
          <w:rFonts w:ascii="Arial" w:hAnsi="Arial" w:cs="Arial"/>
          <w:i/>
          <w:iCs/>
        </w:rPr>
        <w:t>Trustee Act 2000</w:t>
      </w:r>
      <w:r>
        <w:rPr>
          <w:rFonts w:ascii="Arial" w:hAnsi="Arial" w:cs="Arial"/>
        </w:rPr>
        <w:t xml:space="preserve">, </w:t>
      </w:r>
      <w:r w:rsidRPr="00EC436A">
        <w:rPr>
          <w:rFonts w:ascii="Arial" w:hAnsi="Arial" w:cs="Arial"/>
          <w:i/>
          <w:iCs/>
        </w:rPr>
        <w:t>c.29</w:t>
      </w:r>
      <w:r>
        <w:rPr>
          <w:rFonts w:ascii="Arial" w:hAnsi="Arial" w:cs="Arial"/>
          <w:i/>
          <w:iCs/>
        </w:rPr>
        <w:t>.</w:t>
      </w:r>
      <w:r w:rsidRPr="00EC436A">
        <w:rPr>
          <w:rFonts w:ascii="Arial" w:hAnsi="Arial" w:cs="Arial"/>
          <w:i/>
          <w:iCs/>
        </w:rPr>
        <w:t xml:space="preserve"> </w:t>
      </w:r>
      <w:r w:rsidRPr="00EC436A">
        <w:rPr>
          <w:rFonts w:ascii="Arial" w:hAnsi="Arial" w:cs="Arial"/>
        </w:rPr>
        <w:t>Available at: </w:t>
      </w:r>
      <w:hyperlink r:id="rId10" w:tgtFrame="_blank" w:history="1">
        <w:r w:rsidRPr="00EC436A">
          <w:rPr>
            <w:rStyle w:val="Hyperlink"/>
            <w:rFonts w:ascii="Arial" w:hAnsi="Arial" w:cs="Arial"/>
          </w:rPr>
          <w:t>https://www.legislation.gov.uk/ukpga/2000/29/contents</w:t>
        </w:r>
      </w:hyperlink>
    </w:p>
    <w:p w14:paraId="7BC43AFE" w14:textId="77777777" w:rsidR="00C626A4" w:rsidRDefault="00C626A4" w:rsidP="005F13FA">
      <w:pPr>
        <w:spacing w:line="360" w:lineRule="auto"/>
        <w:rPr>
          <w:rFonts w:ascii="Arial" w:hAnsi="Arial" w:cs="Arial"/>
        </w:rPr>
      </w:pPr>
    </w:p>
    <w:p w14:paraId="7254C46D" w14:textId="647C239F" w:rsidR="006834D8" w:rsidRDefault="006834D8" w:rsidP="005F13FA">
      <w:pPr>
        <w:spacing w:line="360" w:lineRule="auto"/>
        <w:rPr>
          <w:rFonts w:ascii="Arial" w:hAnsi="Arial" w:cs="Arial"/>
          <w:u w:val="single"/>
        </w:rPr>
      </w:pPr>
      <w:r w:rsidRPr="006834D8">
        <w:rPr>
          <w:rFonts w:ascii="Arial" w:hAnsi="Arial" w:cs="Arial"/>
          <w:u w:val="single"/>
        </w:rPr>
        <w:t>Case law</w:t>
      </w:r>
    </w:p>
    <w:p w14:paraId="64F90E8D" w14:textId="77777777" w:rsidR="005B3828" w:rsidRPr="008779E2" w:rsidRDefault="005B3828" w:rsidP="005B3828">
      <w:pPr>
        <w:rPr>
          <w:rFonts w:ascii="Arial" w:hAnsi="Arial" w:cs="Arial"/>
        </w:rPr>
      </w:pPr>
      <w:r w:rsidRPr="004072A4">
        <w:rPr>
          <w:rFonts w:ascii="Arial" w:hAnsi="Arial" w:cs="Arial"/>
        </w:rPr>
        <w:t>Armitage v</w:t>
      </w:r>
      <w:r w:rsidRPr="008779E2">
        <w:rPr>
          <w:rFonts w:ascii="Arial" w:hAnsi="Arial" w:cs="Arial"/>
          <w:i/>
          <w:iCs/>
        </w:rPr>
        <w:t xml:space="preserve"> Nurse</w:t>
      </w:r>
      <w:r w:rsidRPr="008779E2">
        <w:rPr>
          <w:rFonts w:ascii="Arial" w:hAnsi="Arial" w:cs="Arial"/>
        </w:rPr>
        <w:t> [1998] Ch 241</w:t>
      </w:r>
    </w:p>
    <w:p w14:paraId="4925B732" w14:textId="77777777" w:rsidR="004072A4" w:rsidRDefault="004072A4" w:rsidP="004072A4">
      <w:pPr>
        <w:rPr>
          <w:rFonts w:ascii="Arial" w:hAnsi="Arial" w:cs="Arial"/>
        </w:rPr>
      </w:pPr>
      <w:r w:rsidRPr="0078396F">
        <w:rPr>
          <w:rFonts w:ascii="Arial" w:hAnsi="Arial" w:cs="Arial"/>
        </w:rPr>
        <w:t xml:space="preserve">Bristol and West Building Society v </w:t>
      </w:r>
      <w:proofErr w:type="spellStart"/>
      <w:r w:rsidRPr="0078396F">
        <w:rPr>
          <w:rFonts w:ascii="Arial" w:hAnsi="Arial" w:cs="Arial"/>
        </w:rPr>
        <w:t>Mothew</w:t>
      </w:r>
      <w:proofErr w:type="spellEnd"/>
      <w:r w:rsidRPr="0078396F">
        <w:rPr>
          <w:rFonts w:ascii="Arial" w:hAnsi="Arial" w:cs="Arial"/>
        </w:rPr>
        <w:t xml:space="preserve"> (1998)</w:t>
      </w:r>
      <w:r>
        <w:rPr>
          <w:rFonts w:ascii="Arial" w:hAnsi="Arial" w:cs="Arial"/>
        </w:rPr>
        <w:t xml:space="preserve"> EWCA Civ 533</w:t>
      </w:r>
    </w:p>
    <w:p w14:paraId="4960166F" w14:textId="77777777" w:rsidR="00AD1A4A" w:rsidRPr="00AD1A4A" w:rsidRDefault="00AD1A4A" w:rsidP="00AD1A4A">
      <w:pPr>
        <w:rPr>
          <w:rFonts w:ascii="Arial" w:hAnsi="Arial" w:cs="Arial"/>
        </w:rPr>
      </w:pPr>
      <w:r w:rsidRPr="00AD1A4A">
        <w:rPr>
          <w:rFonts w:ascii="Arial" w:hAnsi="Arial" w:cs="Arial"/>
        </w:rPr>
        <w:t>Breakspear v Ackland [2008] EWHC 220 (Ch)</w:t>
      </w:r>
    </w:p>
    <w:p w14:paraId="374C1138" w14:textId="77777777" w:rsidR="00EE44E5" w:rsidRDefault="00EE44E5" w:rsidP="00EE44E5">
      <w:pPr>
        <w:rPr>
          <w:rFonts w:ascii="Arial" w:hAnsi="Arial" w:cs="Arial"/>
        </w:rPr>
      </w:pPr>
      <w:r w:rsidRPr="008779E2">
        <w:rPr>
          <w:rFonts w:ascii="Arial" w:hAnsi="Arial" w:cs="Arial"/>
        </w:rPr>
        <w:t>Dawson-Damer &amp; Others v Taylor Wessing LLP (2020) EWCA Civ 352 </w:t>
      </w:r>
    </w:p>
    <w:p w14:paraId="164B99AF" w14:textId="2B9D0053" w:rsidR="001B223F" w:rsidRDefault="001B223F" w:rsidP="001B223F">
      <w:r w:rsidRPr="008779E2">
        <w:rPr>
          <w:rFonts w:ascii="Arial" w:hAnsi="Arial" w:cs="Arial"/>
          <w:lang w:val="en-US"/>
        </w:rPr>
        <w:t xml:space="preserve">Lewis and others v Tamplin and others [2018] EWHC 77 (Ch), 21 ITELR 277, [2018] WTLR 215. </w:t>
      </w:r>
    </w:p>
    <w:p w14:paraId="015C7491" w14:textId="77777777" w:rsidR="00CD7672" w:rsidRDefault="00CD7672" w:rsidP="00CD7672">
      <w:pPr>
        <w:rPr>
          <w:rFonts w:ascii="Arial" w:hAnsi="Arial" w:cs="Arial"/>
        </w:rPr>
      </w:pPr>
      <w:r w:rsidRPr="00EC436A">
        <w:rPr>
          <w:rFonts w:ascii="Arial" w:hAnsi="Arial" w:cs="Arial"/>
        </w:rPr>
        <w:t>Murphy v Murphy [2021] EWHC 94 (Ch)  </w:t>
      </w:r>
    </w:p>
    <w:p w14:paraId="022A502F" w14:textId="7CAB38DA" w:rsidR="00CD7672" w:rsidRDefault="00CD7672" w:rsidP="00CD7672">
      <w:pPr>
        <w:rPr>
          <w:rFonts w:ascii="Arial" w:hAnsi="Arial" w:cs="Arial"/>
        </w:rPr>
      </w:pPr>
      <w:r w:rsidRPr="008779E2">
        <w:rPr>
          <w:rFonts w:ascii="Arial" w:hAnsi="Arial" w:cs="Arial"/>
        </w:rPr>
        <w:t>Nestle v National Westminster Bank Plc (1993) 1 WLR </w:t>
      </w:r>
    </w:p>
    <w:p w14:paraId="2C52BA2C" w14:textId="77777777" w:rsidR="00CD7672" w:rsidRDefault="00CD7672" w:rsidP="00CD7672">
      <w:pPr>
        <w:rPr>
          <w:rFonts w:ascii="Arial" w:hAnsi="Arial" w:cs="Arial"/>
        </w:rPr>
      </w:pPr>
      <w:proofErr w:type="spellStart"/>
      <w:r w:rsidRPr="0078396F">
        <w:rPr>
          <w:rFonts w:ascii="Arial" w:hAnsi="Arial" w:cs="Arial"/>
        </w:rPr>
        <w:t>O’Rouke</w:t>
      </w:r>
      <w:proofErr w:type="spellEnd"/>
      <w:r w:rsidRPr="0078396F">
        <w:rPr>
          <w:rFonts w:ascii="Arial" w:hAnsi="Arial" w:cs="Arial"/>
        </w:rPr>
        <w:t xml:space="preserve"> v Dabishire</w:t>
      </w:r>
      <w:r>
        <w:rPr>
          <w:rFonts w:ascii="Arial" w:hAnsi="Arial" w:cs="Arial"/>
        </w:rPr>
        <w:t xml:space="preserve"> (</w:t>
      </w:r>
      <w:r w:rsidRPr="0078396F">
        <w:rPr>
          <w:rFonts w:ascii="Arial" w:hAnsi="Arial" w:cs="Arial"/>
        </w:rPr>
        <w:t>1920</w:t>
      </w:r>
      <w:r>
        <w:rPr>
          <w:rFonts w:ascii="Arial" w:hAnsi="Arial" w:cs="Arial"/>
        </w:rPr>
        <w:t>) AC 581</w:t>
      </w:r>
    </w:p>
    <w:p w14:paraId="2E258B6F" w14:textId="77777777" w:rsidR="00AC0E3D" w:rsidRDefault="00AC0E3D" w:rsidP="00AC0E3D">
      <w:pPr>
        <w:rPr>
          <w:rFonts w:ascii="Arial" w:hAnsi="Arial" w:cs="Arial"/>
        </w:rPr>
      </w:pPr>
      <w:r w:rsidRPr="00AC0E3D">
        <w:rPr>
          <w:rFonts w:ascii="Arial" w:hAnsi="Arial" w:cs="Arial"/>
        </w:rPr>
        <w:t>Re Londonderry’s Settlement</w:t>
      </w:r>
      <w:r w:rsidRPr="008779E2">
        <w:rPr>
          <w:rFonts w:ascii="Arial" w:hAnsi="Arial" w:cs="Arial"/>
        </w:rPr>
        <w:t> [1965] Ch 918.</w:t>
      </w:r>
    </w:p>
    <w:p w14:paraId="0069954D" w14:textId="62C88238" w:rsidR="005B3828" w:rsidRDefault="00F14FD3" w:rsidP="005F13FA">
      <w:pPr>
        <w:spacing w:line="360" w:lineRule="auto"/>
        <w:rPr>
          <w:rFonts w:ascii="Arial" w:hAnsi="Arial" w:cs="Arial"/>
        </w:rPr>
      </w:pPr>
      <w:r w:rsidRPr="00F14FD3">
        <w:rPr>
          <w:rFonts w:ascii="Arial" w:hAnsi="Arial" w:cs="Arial"/>
        </w:rPr>
        <w:t>Rouse v IOOF Australia Ltd [1999] 2 ITELR 289</w:t>
      </w:r>
    </w:p>
    <w:p w14:paraId="33923B5A" w14:textId="77777777" w:rsidR="00581014" w:rsidRPr="008779E2" w:rsidRDefault="00581014" w:rsidP="00581014">
      <w:pPr>
        <w:rPr>
          <w:rFonts w:ascii="Arial" w:hAnsi="Arial" w:cs="Arial"/>
        </w:rPr>
      </w:pPr>
      <w:r w:rsidRPr="008779E2">
        <w:rPr>
          <w:rFonts w:ascii="Arial" w:hAnsi="Arial" w:cs="Arial"/>
          <w:i/>
          <w:iCs/>
        </w:rPr>
        <w:t>Schmidt v Rosewood Trust Ltd</w:t>
      </w:r>
      <w:r w:rsidRPr="008779E2">
        <w:rPr>
          <w:rFonts w:ascii="Arial" w:hAnsi="Arial" w:cs="Arial"/>
        </w:rPr>
        <w:t> [2003] UKPC 26, [2003] 2 AC 709</w:t>
      </w:r>
    </w:p>
    <w:p w14:paraId="0331AEC0" w14:textId="77777777" w:rsidR="00581014" w:rsidRDefault="00581014" w:rsidP="00581014">
      <w:pPr>
        <w:rPr>
          <w:rFonts w:ascii="Arial" w:hAnsi="Arial" w:cs="Arial"/>
        </w:rPr>
      </w:pPr>
      <w:r w:rsidRPr="008779E2">
        <w:rPr>
          <w:rFonts w:ascii="Arial" w:hAnsi="Arial" w:cs="Arial"/>
        </w:rPr>
        <w:t>Target Holdings Ltd v Redferns (1995) UKHL 10 </w:t>
      </w:r>
    </w:p>
    <w:p w14:paraId="51332EAB" w14:textId="77777777" w:rsidR="00581014" w:rsidRDefault="00581014" w:rsidP="005F13FA">
      <w:pPr>
        <w:spacing w:line="360" w:lineRule="auto"/>
        <w:rPr>
          <w:rFonts w:ascii="Arial" w:hAnsi="Arial" w:cs="Arial"/>
          <w:u w:val="single"/>
        </w:rPr>
      </w:pPr>
    </w:p>
    <w:p w14:paraId="2B1737BB" w14:textId="77777777" w:rsidR="00297834" w:rsidRDefault="00297834" w:rsidP="005F13FA">
      <w:pPr>
        <w:spacing w:line="360" w:lineRule="auto"/>
        <w:rPr>
          <w:rFonts w:ascii="Arial" w:hAnsi="Arial" w:cs="Arial"/>
          <w:u w:val="single"/>
        </w:rPr>
      </w:pPr>
    </w:p>
    <w:p w14:paraId="08E1F2E9" w14:textId="77777777" w:rsidR="00297834" w:rsidRDefault="00297834" w:rsidP="005F13FA">
      <w:pPr>
        <w:spacing w:line="360" w:lineRule="auto"/>
        <w:rPr>
          <w:rFonts w:ascii="Arial" w:hAnsi="Arial" w:cs="Arial"/>
          <w:u w:val="single"/>
        </w:rPr>
      </w:pPr>
    </w:p>
    <w:p w14:paraId="55038CDA" w14:textId="77777777" w:rsidR="00297834" w:rsidRDefault="00297834" w:rsidP="005F13FA">
      <w:pPr>
        <w:spacing w:line="360" w:lineRule="auto"/>
        <w:rPr>
          <w:rFonts w:ascii="Arial" w:hAnsi="Arial" w:cs="Arial"/>
          <w:u w:val="single"/>
        </w:rPr>
      </w:pPr>
    </w:p>
    <w:p w14:paraId="425B78FA" w14:textId="77777777" w:rsidR="00D74845" w:rsidRDefault="00D74845" w:rsidP="00297834"/>
    <w:p w14:paraId="1AD0CE6F" w14:textId="77777777" w:rsidR="00D74845" w:rsidRDefault="00D74845" w:rsidP="00297834"/>
    <w:p w14:paraId="3B83FA96" w14:textId="77777777" w:rsidR="00D74845" w:rsidRDefault="00D74845" w:rsidP="00297834"/>
    <w:p w14:paraId="676A0799" w14:textId="77777777" w:rsidR="00D74845" w:rsidRDefault="00D74845" w:rsidP="00297834"/>
    <w:p w14:paraId="7C6F241B" w14:textId="77777777" w:rsidR="00D74845" w:rsidRDefault="00D74845" w:rsidP="00297834"/>
    <w:p w14:paraId="137F349E" w14:textId="77777777" w:rsidR="00D74845" w:rsidRDefault="00D74845" w:rsidP="00297834"/>
    <w:p w14:paraId="637E64CF" w14:textId="77777777" w:rsidR="00D74845" w:rsidRDefault="00D74845" w:rsidP="00297834"/>
    <w:p w14:paraId="0BFFC092" w14:textId="77777777" w:rsidR="00D74845" w:rsidRDefault="00D74845" w:rsidP="00297834"/>
    <w:p w14:paraId="136D292F" w14:textId="77777777" w:rsidR="00D74845" w:rsidRDefault="00D74845" w:rsidP="00297834"/>
    <w:p w14:paraId="51000CED" w14:textId="77777777" w:rsidR="00D74845" w:rsidRDefault="00D74845" w:rsidP="00297834"/>
    <w:p w14:paraId="3F08C2C6" w14:textId="77777777" w:rsidR="00D74845" w:rsidRDefault="00D74845" w:rsidP="00297834"/>
    <w:p w14:paraId="7CDC7594" w14:textId="77777777" w:rsidR="00D74845" w:rsidRDefault="00D74845" w:rsidP="00297834"/>
    <w:p w14:paraId="46D269D2" w14:textId="77777777" w:rsidR="00D74845" w:rsidRDefault="00D74845" w:rsidP="00297834"/>
    <w:p w14:paraId="5AFF3CE8" w14:textId="77777777" w:rsidR="00D74845" w:rsidRDefault="00D74845" w:rsidP="00297834"/>
    <w:p w14:paraId="323C1C2B" w14:textId="77777777" w:rsidR="00D74845" w:rsidRDefault="00D74845" w:rsidP="00297834"/>
    <w:p w14:paraId="0240B124" w14:textId="77777777" w:rsidR="00D74845" w:rsidRDefault="00D74845" w:rsidP="00297834"/>
    <w:p w14:paraId="36526F0C" w14:textId="77777777" w:rsidR="00D74845" w:rsidRDefault="00D74845" w:rsidP="00297834"/>
    <w:p w14:paraId="6D32AC27" w14:textId="77777777" w:rsidR="00D74845" w:rsidRDefault="00D74845" w:rsidP="00297834"/>
    <w:p w14:paraId="36C2D285" w14:textId="77777777" w:rsidR="00D74845" w:rsidRDefault="00D74845" w:rsidP="00297834"/>
    <w:p w14:paraId="5222E2F1" w14:textId="77777777" w:rsidR="00D74845" w:rsidRDefault="00D74845" w:rsidP="00297834"/>
    <w:p w14:paraId="1BD00662" w14:textId="77777777" w:rsidR="00D74845" w:rsidRDefault="00D74845" w:rsidP="00297834"/>
    <w:p w14:paraId="6C0120B5" w14:textId="77777777" w:rsidR="00D74845" w:rsidRDefault="00D74845" w:rsidP="00297834"/>
    <w:p w14:paraId="6D377EE3" w14:textId="77777777" w:rsidR="00D74845" w:rsidRDefault="00D74845" w:rsidP="00297834"/>
    <w:p w14:paraId="30CF8658" w14:textId="77777777" w:rsidR="00D74845" w:rsidRDefault="00D74845" w:rsidP="00297834"/>
    <w:p w14:paraId="54D5265C" w14:textId="77777777" w:rsidR="00D74845" w:rsidRDefault="00D74845" w:rsidP="00297834"/>
    <w:p w14:paraId="3CD46CB1" w14:textId="77777777" w:rsidR="00D74845" w:rsidRDefault="00D74845" w:rsidP="00297834"/>
    <w:p w14:paraId="780E6650" w14:textId="77777777" w:rsidR="00D74845" w:rsidRDefault="00D74845" w:rsidP="00297834"/>
    <w:p w14:paraId="24A040B2" w14:textId="77777777" w:rsidR="00D74845" w:rsidRDefault="00D74845" w:rsidP="00297834"/>
    <w:p w14:paraId="2313E6D8" w14:textId="77777777" w:rsidR="00D74845" w:rsidRDefault="00D74845" w:rsidP="00297834"/>
    <w:p w14:paraId="04F9053F" w14:textId="77777777" w:rsidR="00D74845" w:rsidRDefault="00D74845" w:rsidP="00297834"/>
    <w:p w14:paraId="7E97D031" w14:textId="77777777" w:rsidR="00D74845" w:rsidRDefault="00D74845" w:rsidP="00297834"/>
    <w:p w14:paraId="67B099B4" w14:textId="418DF90A" w:rsidR="00297834" w:rsidRDefault="00297834" w:rsidP="00297834">
      <w:r>
        <w:lastRenderedPageBreak/>
        <w:t>Collaboration Log – Equity and Trusts Law Reform Project</w:t>
      </w:r>
    </w:p>
    <w:p w14:paraId="7D0584A0" w14:textId="77777777" w:rsidR="00297834" w:rsidRDefault="00297834" w:rsidP="00297834">
      <w:r>
        <w:t>Deadline Date: 25/02/2026</w:t>
      </w:r>
    </w:p>
    <w:p w14:paraId="57BDE017" w14:textId="77777777" w:rsidR="00297834" w:rsidRDefault="00297834" w:rsidP="00297834">
      <w:r w:rsidRPr="00B57BEC">
        <w:rPr>
          <w:highlight w:val="green"/>
        </w:rPr>
        <w:t>Date: 18</w:t>
      </w:r>
      <w:r w:rsidRPr="00B57BEC">
        <w:rPr>
          <w:highlight w:val="green"/>
          <w:vertAlign w:val="superscript"/>
        </w:rPr>
        <w:t>th</w:t>
      </w:r>
      <w:r w:rsidRPr="00B57BEC">
        <w:rPr>
          <w:highlight w:val="green"/>
        </w:rPr>
        <w:t xml:space="preserve"> February 2026 – Teams</w:t>
      </w:r>
      <w:r>
        <w:t xml:space="preserve"> </w:t>
      </w:r>
    </w:p>
    <w:p w14:paraId="2A4AB6D6" w14:textId="77777777" w:rsidR="00297834" w:rsidRDefault="00297834" w:rsidP="00297834">
      <w:r>
        <w:t xml:space="preserve">Purpose of Meeting: To discuss and agree on a topic for a Law reform project and start any research for this. </w:t>
      </w:r>
    </w:p>
    <w:p w14:paraId="0F54F97A" w14:textId="77777777" w:rsidR="00297834" w:rsidRDefault="00297834" w:rsidP="00297834">
      <w:r>
        <w:t>Discussed possible areas of trustee’s duties suitable for reform.</w:t>
      </w:r>
    </w:p>
    <w:p w14:paraId="49F3669B" w14:textId="77777777" w:rsidR="00297834" w:rsidRDefault="00297834" w:rsidP="00297834">
      <w:r>
        <w:t xml:space="preserve">Considered whether the duty to provide information to beneficiaries presents uncertainty in the current </w:t>
      </w:r>
      <w:proofErr w:type="spellStart"/>
      <w:r>
        <w:t>law.</w:t>
      </w:r>
      <w:proofErr w:type="spellEnd"/>
      <w:r>
        <w:t xml:space="preserve"> </w:t>
      </w:r>
    </w:p>
    <w:p w14:paraId="19B4255F" w14:textId="77777777" w:rsidR="00297834" w:rsidRDefault="00297834" w:rsidP="00297834">
      <w:r>
        <w:t xml:space="preserve">Discussed key cases relevant to disclosure of trust information. </w:t>
      </w:r>
    </w:p>
    <w:p w14:paraId="2F0A77EB" w14:textId="77777777" w:rsidR="00297834" w:rsidRDefault="00297834" w:rsidP="00297834">
      <w:r>
        <w:t xml:space="preserve">Agreed to focus on research on beneficiaries’ rights to information and trustee accountability. </w:t>
      </w:r>
    </w:p>
    <w:p w14:paraId="3FA73402" w14:textId="77777777" w:rsidR="00297834" w:rsidRDefault="00297834" w:rsidP="00297834">
      <w:r>
        <w:t>Allocated individual research tasks for the next meeting</w:t>
      </w:r>
    </w:p>
    <w:p w14:paraId="0C830F11" w14:textId="77777777" w:rsidR="00297834" w:rsidRPr="00B57BEC" w:rsidRDefault="00297834" w:rsidP="00297834">
      <w:r w:rsidRPr="2D083342">
        <w:rPr>
          <w:rFonts w:ascii="Aptos" w:eastAsia="Aptos" w:hAnsi="Aptos" w:cs="Aptos"/>
          <w:b/>
          <w:bCs/>
          <w:color w:val="000000" w:themeColor="text1"/>
          <w:u w:val="single"/>
        </w:rPr>
        <w:t xml:space="preserve">Group Contract for Equity and Trust Assessment for Section A </w:t>
      </w:r>
    </w:p>
    <w:p w14:paraId="1AE5A697" w14:textId="77777777" w:rsidR="00297834" w:rsidRDefault="00297834" w:rsidP="00297834">
      <w:pPr>
        <w:spacing w:before="240" w:after="240"/>
        <w:rPr>
          <w:rFonts w:ascii="Aptos" w:eastAsia="Aptos" w:hAnsi="Aptos" w:cs="Aptos"/>
          <w:color w:val="000000" w:themeColor="text1"/>
        </w:rPr>
      </w:pPr>
      <w:r w:rsidRPr="2D083342">
        <w:rPr>
          <w:rFonts w:ascii="Aptos" w:eastAsia="Aptos" w:hAnsi="Aptos" w:cs="Aptos"/>
          <w:b/>
          <w:bCs/>
          <w:color w:val="000000" w:themeColor="text1"/>
        </w:rPr>
        <w:t>Participants:</w:t>
      </w:r>
      <w:r w:rsidRPr="2D083342">
        <w:rPr>
          <w:rFonts w:ascii="Aptos" w:eastAsia="Aptos" w:hAnsi="Aptos" w:cs="Aptos"/>
          <w:color w:val="000000" w:themeColor="text1"/>
        </w:rPr>
        <w:t xml:space="preserve"> Jade</w:t>
      </w:r>
      <w:r w:rsidRPr="1C499DF9">
        <w:rPr>
          <w:rFonts w:ascii="Aptos" w:eastAsia="Aptos" w:hAnsi="Aptos" w:cs="Aptos"/>
          <w:color w:val="000000" w:themeColor="text1"/>
        </w:rPr>
        <w:t xml:space="preserve"> </w:t>
      </w:r>
      <w:r w:rsidRPr="4B7D598A">
        <w:rPr>
          <w:rFonts w:ascii="Aptos" w:eastAsia="Aptos" w:hAnsi="Aptos" w:cs="Aptos"/>
          <w:color w:val="000000" w:themeColor="text1"/>
        </w:rPr>
        <w:t>Brown</w:t>
      </w:r>
      <w:r w:rsidRPr="2D083342">
        <w:rPr>
          <w:rFonts w:ascii="Aptos" w:eastAsia="Aptos" w:hAnsi="Aptos" w:cs="Aptos"/>
          <w:color w:val="000000" w:themeColor="text1"/>
        </w:rPr>
        <w:t>, Sarah</w:t>
      </w:r>
      <w:r w:rsidRPr="4B7D598A">
        <w:rPr>
          <w:rFonts w:ascii="Aptos" w:eastAsia="Aptos" w:hAnsi="Aptos" w:cs="Aptos"/>
          <w:color w:val="000000" w:themeColor="text1"/>
        </w:rPr>
        <w:t xml:space="preserve"> Hoffmann</w:t>
      </w:r>
      <w:r w:rsidRPr="2D083342">
        <w:rPr>
          <w:rFonts w:ascii="Aptos" w:eastAsia="Aptos" w:hAnsi="Aptos" w:cs="Aptos"/>
          <w:color w:val="000000" w:themeColor="text1"/>
        </w:rPr>
        <w:t>, Chloe</w:t>
      </w:r>
      <w:r w:rsidRPr="4B7D598A">
        <w:rPr>
          <w:rFonts w:ascii="Aptos" w:eastAsia="Aptos" w:hAnsi="Aptos" w:cs="Aptos"/>
          <w:color w:val="000000" w:themeColor="text1"/>
        </w:rPr>
        <w:t xml:space="preserve"> Foulis</w:t>
      </w:r>
      <w:r w:rsidRPr="2D083342">
        <w:rPr>
          <w:rFonts w:ascii="Aptos" w:eastAsia="Aptos" w:hAnsi="Aptos" w:cs="Aptos"/>
          <w:color w:val="000000" w:themeColor="text1"/>
        </w:rPr>
        <w:t>, Teresa</w:t>
      </w:r>
      <w:r w:rsidRPr="4A555163">
        <w:rPr>
          <w:rFonts w:ascii="Aptos" w:eastAsia="Aptos" w:hAnsi="Aptos" w:cs="Aptos"/>
          <w:color w:val="000000" w:themeColor="text1"/>
        </w:rPr>
        <w:t xml:space="preserve"> Kan</w:t>
      </w:r>
      <w:r w:rsidRPr="2D083342">
        <w:rPr>
          <w:rFonts w:ascii="Aptos" w:eastAsia="Aptos" w:hAnsi="Aptos" w:cs="Aptos"/>
          <w:color w:val="000000" w:themeColor="text1"/>
        </w:rPr>
        <w:t>, Sajid</w:t>
      </w:r>
      <w:r w:rsidRPr="72CCDBE7">
        <w:rPr>
          <w:rFonts w:ascii="Aptos" w:eastAsia="Aptos" w:hAnsi="Aptos" w:cs="Aptos"/>
          <w:color w:val="000000" w:themeColor="text1"/>
        </w:rPr>
        <w:t xml:space="preserve"> Khan</w:t>
      </w:r>
      <w:r w:rsidRPr="2D083342">
        <w:rPr>
          <w:rFonts w:ascii="Aptos" w:eastAsia="Aptos" w:hAnsi="Aptos" w:cs="Aptos"/>
          <w:color w:val="000000" w:themeColor="text1"/>
        </w:rPr>
        <w:t>, Diana</w:t>
      </w:r>
      <w:r w:rsidRPr="31BF30EB">
        <w:rPr>
          <w:rFonts w:ascii="Aptos" w:eastAsia="Aptos" w:hAnsi="Aptos" w:cs="Aptos"/>
          <w:color w:val="000000" w:themeColor="text1"/>
        </w:rPr>
        <w:t xml:space="preserve"> </w:t>
      </w:r>
      <w:r w:rsidRPr="31BF30EB">
        <w:rPr>
          <w:rFonts w:ascii="Aptos" w:eastAsia="Aptos" w:hAnsi="Aptos" w:cs="Aptos"/>
        </w:rPr>
        <w:t>Demeterova</w:t>
      </w:r>
      <w:r w:rsidRPr="2D083342">
        <w:rPr>
          <w:rFonts w:ascii="Aptos" w:eastAsia="Aptos" w:hAnsi="Aptos" w:cs="Aptos"/>
          <w:color w:val="000000" w:themeColor="text1"/>
        </w:rPr>
        <w:t>, Mohamed</w:t>
      </w:r>
      <w:r w:rsidRPr="72CCDBE7">
        <w:rPr>
          <w:rFonts w:ascii="Aptos" w:eastAsia="Aptos" w:hAnsi="Aptos" w:cs="Aptos"/>
          <w:color w:val="000000" w:themeColor="text1"/>
        </w:rPr>
        <w:t xml:space="preserve"> Djalo</w:t>
      </w:r>
      <w:r w:rsidRPr="2D083342">
        <w:rPr>
          <w:rFonts w:ascii="Aptos" w:eastAsia="Aptos" w:hAnsi="Aptos" w:cs="Aptos"/>
          <w:color w:val="000000" w:themeColor="text1"/>
        </w:rPr>
        <w:t>, Ffion</w:t>
      </w:r>
      <w:r w:rsidRPr="4A555163">
        <w:rPr>
          <w:rFonts w:ascii="Aptos" w:eastAsia="Aptos" w:hAnsi="Aptos" w:cs="Aptos"/>
          <w:color w:val="000000" w:themeColor="text1"/>
        </w:rPr>
        <w:t xml:space="preserve"> Oliver</w:t>
      </w:r>
      <w:r w:rsidRPr="2D083342">
        <w:rPr>
          <w:rFonts w:ascii="Aptos" w:eastAsia="Aptos" w:hAnsi="Aptos" w:cs="Aptos"/>
          <w:color w:val="000000" w:themeColor="text1"/>
        </w:rPr>
        <w:t>, Alexandra</w:t>
      </w:r>
      <w:r w:rsidRPr="4A555163">
        <w:rPr>
          <w:rFonts w:ascii="Aptos" w:eastAsia="Aptos" w:hAnsi="Aptos" w:cs="Aptos"/>
          <w:color w:val="000000" w:themeColor="text1"/>
        </w:rPr>
        <w:t xml:space="preserve"> Baloi</w:t>
      </w:r>
      <w:r w:rsidRPr="44CD7F0C">
        <w:rPr>
          <w:rFonts w:ascii="Aptos" w:eastAsia="Aptos" w:hAnsi="Aptos" w:cs="Aptos"/>
          <w:color w:val="000000" w:themeColor="text1"/>
        </w:rPr>
        <w:t xml:space="preserve">, </w:t>
      </w:r>
      <w:r w:rsidRPr="6C282270">
        <w:rPr>
          <w:rFonts w:ascii="Aptos" w:eastAsia="Aptos" w:hAnsi="Aptos" w:cs="Aptos"/>
          <w:color w:val="000000" w:themeColor="text1"/>
        </w:rPr>
        <w:t>Gabrial Harris, Shannon Davies</w:t>
      </w:r>
    </w:p>
    <w:p w14:paraId="7734B729"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We, the above</w:t>
      </w:r>
      <w:r w:rsidRPr="2D083342">
        <w:rPr>
          <w:rFonts w:ascii="Cambria Math" w:eastAsia="Aptos" w:hAnsi="Cambria Math" w:cs="Cambria Math"/>
          <w:color w:val="000000" w:themeColor="text1"/>
        </w:rPr>
        <w:t>‑</w:t>
      </w:r>
      <w:r w:rsidRPr="2D083342">
        <w:rPr>
          <w:rFonts w:ascii="Aptos" w:eastAsia="Aptos" w:hAnsi="Aptos" w:cs="Aptos"/>
          <w:color w:val="000000" w:themeColor="text1"/>
        </w:rPr>
        <w:t>named participants, agree to collaboratively work together to complete Section A of the Equity and Trust assessment. This contract outlines our shared expectations, responsibilities, and commitments to ensure fair contribution and effective teamwork.</w:t>
      </w:r>
    </w:p>
    <w:p w14:paraId="3C638499"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We agree to use the shared Word document to upload our individual work, research, and contributions. We agree to communicate actively and respectfully within the Teams chat to coordinate tasks, share updates, and support one another.</w:t>
      </w:r>
    </w:p>
    <w:p w14:paraId="50E2C037"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We agree to participate fairly and contribute meaningfully to the group task. To treat all group members with respect and professionalism and to ensure that all contributions are constructive and aligned with the group’s goals.</w:t>
      </w:r>
    </w:p>
    <w:p w14:paraId="25F4E7A2"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Each member agrees to complete the following tasks:</w:t>
      </w:r>
    </w:p>
    <w:tbl>
      <w:tblPr>
        <w:tblStyle w:val="TableGrid"/>
        <w:tblW w:w="0" w:type="auto"/>
        <w:tblLook w:val="06A0" w:firstRow="1" w:lastRow="0" w:firstColumn="1" w:lastColumn="0" w:noHBand="1" w:noVBand="1"/>
      </w:tblPr>
      <w:tblGrid>
        <w:gridCol w:w="1380"/>
        <w:gridCol w:w="7455"/>
      </w:tblGrid>
      <w:tr w:rsidR="00297834" w14:paraId="4E8D9D7C" w14:textId="77777777" w:rsidTr="004C77D3">
        <w:trPr>
          <w:trHeight w:val="300"/>
        </w:trPr>
        <w:tc>
          <w:tcPr>
            <w:tcW w:w="1380" w:type="dxa"/>
            <w:tcMar>
              <w:left w:w="105" w:type="dxa"/>
              <w:right w:w="105" w:type="dxa"/>
            </w:tcMar>
          </w:tcPr>
          <w:p w14:paraId="3F66E9AC" w14:textId="77777777" w:rsidR="00297834" w:rsidRDefault="00297834" w:rsidP="004C77D3">
            <w:pPr>
              <w:jc w:val="both"/>
              <w:rPr>
                <w:rFonts w:ascii="Aptos" w:eastAsia="Aptos" w:hAnsi="Aptos" w:cs="Aptos"/>
              </w:rPr>
            </w:pPr>
            <w:r w:rsidRPr="2D083342">
              <w:rPr>
                <w:rFonts w:ascii="Aptos" w:eastAsia="Aptos" w:hAnsi="Aptos" w:cs="Aptos"/>
                <w:b/>
                <w:bCs/>
              </w:rPr>
              <w:t>Member</w:t>
            </w:r>
          </w:p>
        </w:tc>
        <w:tc>
          <w:tcPr>
            <w:tcW w:w="7455" w:type="dxa"/>
            <w:tcMar>
              <w:left w:w="105" w:type="dxa"/>
              <w:right w:w="105" w:type="dxa"/>
            </w:tcMar>
          </w:tcPr>
          <w:p w14:paraId="6A1F51AF" w14:textId="77777777" w:rsidR="00297834" w:rsidRDefault="00297834" w:rsidP="004C77D3">
            <w:pPr>
              <w:jc w:val="both"/>
              <w:rPr>
                <w:rFonts w:ascii="Aptos" w:eastAsia="Aptos" w:hAnsi="Aptos" w:cs="Aptos"/>
              </w:rPr>
            </w:pPr>
            <w:r w:rsidRPr="2D083342">
              <w:rPr>
                <w:rFonts w:ascii="Aptos" w:eastAsia="Aptos" w:hAnsi="Aptos" w:cs="Aptos"/>
                <w:b/>
                <w:bCs/>
              </w:rPr>
              <w:t>Contribution</w:t>
            </w:r>
          </w:p>
        </w:tc>
      </w:tr>
      <w:tr w:rsidR="00297834" w14:paraId="3A4B1C58" w14:textId="77777777" w:rsidTr="004C77D3">
        <w:trPr>
          <w:trHeight w:val="300"/>
        </w:trPr>
        <w:tc>
          <w:tcPr>
            <w:tcW w:w="1380" w:type="dxa"/>
            <w:tcMar>
              <w:left w:w="105" w:type="dxa"/>
              <w:right w:w="105" w:type="dxa"/>
            </w:tcMar>
          </w:tcPr>
          <w:p w14:paraId="29DF8201" w14:textId="77777777" w:rsidR="00297834" w:rsidRDefault="00297834" w:rsidP="004C77D3">
            <w:pPr>
              <w:jc w:val="both"/>
              <w:rPr>
                <w:rFonts w:ascii="Aptos" w:eastAsia="Aptos" w:hAnsi="Aptos" w:cs="Aptos"/>
              </w:rPr>
            </w:pPr>
            <w:r w:rsidRPr="2D083342">
              <w:rPr>
                <w:rFonts w:ascii="Aptos" w:eastAsia="Aptos" w:hAnsi="Aptos" w:cs="Aptos"/>
                <w:b/>
                <w:bCs/>
              </w:rPr>
              <w:t>Jade</w:t>
            </w:r>
          </w:p>
        </w:tc>
        <w:tc>
          <w:tcPr>
            <w:tcW w:w="7455" w:type="dxa"/>
            <w:tcMar>
              <w:left w:w="105" w:type="dxa"/>
              <w:right w:w="105" w:type="dxa"/>
            </w:tcMar>
          </w:tcPr>
          <w:p w14:paraId="7E8B1FAD" w14:textId="77777777" w:rsidR="00297834" w:rsidRDefault="00297834" w:rsidP="004C77D3">
            <w:pPr>
              <w:jc w:val="both"/>
              <w:rPr>
                <w:rFonts w:ascii="Aptos" w:eastAsia="Aptos" w:hAnsi="Aptos" w:cs="Aptos"/>
              </w:rPr>
            </w:pPr>
            <w:r w:rsidRPr="2D083342">
              <w:rPr>
                <w:rFonts w:ascii="Aptos" w:eastAsia="Aptos" w:hAnsi="Aptos" w:cs="Aptos"/>
              </w:rPr>
              <w:t xml:space="preserve">Suggested the topic and researched the development of the </w:t>
            </w:r>
            <w:proofErr w:type="spellStart"/>
            <w:r w:rsidRPr="2D083342">
              <w:rPr>
                <w:rFonts w:ascii="Aptos" w:eastAsia="Aptos" w:hAnsi="Aptos" w:cs="Aptos"/>
              </w:rPr>
              <w:t>law.</w:t>
            </w:r>
            <w:proofErr w:type="spellEnd"/>
            <w:r w:rsidRPr="6B205D60">
              <w:rPr>
                <w:rFonts w:ascii="Aptos" w:eastAsia="Aptos" w:hAnsi="Aptos" w:cs="Aptos"/>
              </w:rPr>
              <w:t xml:space="preserve">  Created a Bill with 3 Clauses for a new Act called the Trustee Disclosure and Beneficiary Information Act 2026.</w:t>
            </w:r>
            <w:r w:rsidRPr="45F14B6E">
              <w:rPr>
                <w:rFonts w:ascii="Aptos" w:eastAsia="Aptos" w:hAnsi="Aptos" w:cs="Aptos"/>
              </w:rPr>
              <w:t xml:space="preserve"> Researched reform ideas. </w:t>
            </w:r>
          </w:p>
        </w:tc>
      </w:tr>
      <w:tr w:rsidR="00297834" w14:paraId="0A7FEEAE" w14:textId="77777777" w:rsidTr="004C77D3">
        <w:trPr>
          <w:trHeight w:val="405"/>
        </w:trPr>
        <w:tc>
          <w:tcPr>
            <w:tcW w:w="1380" w:type="dxa"/>
            <w:tcMar>
              <w:left w:w="105" w:type="dxa"/>
              <w:right w:w="105" w:type="dxa"/>
            </w:tcMar>
          </w:tcPr>
          <w:p w14:paraId="6E8B3668" w14:textId="77777777" w:rsidR="00297834" w:rsidRDefault="00297834" w:rsidP="004C77D3">
            <w:pPr>
              <w:jc w:val="both"/>
              <w:rPr>
                <w:rFonts w:ascii="Aptos" w:eastAsia="Aptos" w:hAnsi="Aptos" w:cs="Aptos"/>
              </w:rPr>
            </w:pPr>
            <w:r w:rsidRPr="2D083342">
              <w:rPr>
                <w:rFonts w:ascii="Aptos" w:eastAsia="Aptos" w:hAnsi="Aptos" w:cs="Aptos"/>
                <w:b/>
                <w:bCs/>
              </w:rPr>
              <w:t>Sarah</w:t>
            </w:r>
          </w:p>
        </w:tc>
        <w:tc>
          <w:tcPr>
            <w:tcW w:w="7455" w:type="dxa"/>
            <w:tcMar>
              <w:left w:w="105" w:type="dxa"/>
              <w:right w:w="105" w:type="dxa"/>
            </w:tcMar>
          </w:tcPr>
          <w:p w14:paraId="6DB316D6" w14:textId="77777777" w:rsidR="00297834" w:rsidRDefault="00297834" w:rsidP="004C77D3">
            <w:pPr>
              <w:jc w:val="both"/>
              <w:rPr>
                <w:rFonts w:ascii="Aptos" w:eastAsia="Aptos" w:hAnsi="Aptos" w:cs="Aptos"/>
              </w:rPr>
            </w:pPr>
            <w:r w:rsidRPr="2D083342">
              <w:rPr>
                <w:rFonts w:ascii="Aptos" w:eastAsia="Aptos" w:hAnsi="Aptos" w:cs="Aptos"/>
              </w:rPr>
              <w:t>Conducted case research</w:t>
            </w:r>
            <w:r w:rsidRPr="45E209E9">
              <w:rPr>
                <w:rFonts w:ascii="Aptos" w:eastAsia="Aptos" w:hAnsi="Aptos" w:cs="Aptos"/>
              </w:rPr>
              <w:t xml:space="preserve"> – Murphy v Murphy (2021). Drafted the group contract for each person to electronically sign.</w:t>
            </w:r>
            <w:r w:rsidRPr="6C282270">
              <w:rPr>
                <w:rFonts w:ascii="Aptos" w:eastAsia="Aptos" w:hAnsi="Aptos" w:cs="Aptos"/>
              </w:rPr>
              <w:t xml:space="preserve"> </w:t>
            </w:r>
            <w:r w:rsidRPr="0107524B">
              <w:rPr>
                <w:rFonts w:ascii="Aptos" w:eastAsia="Aptos" w:hAnsi="Aptos" w:cs="Aptos"/>
              </w:rPr>
              <w:t>Compiled reference list and cases</w:t>
            </w:r>
            <w:r w:rsidRPr="01C86341">
              <w:rPr>
                <w:rFonts w:ascii="Aptos" w:eastAsia="Aptos" w:hAnsi="Aptos" w:cs="Aptos"/>
              </w:rPr>
              <w:t xml:space="preserve"> with case </w:t>
            </w:r>
            <w:proofErr w:type="spellStart"/>
            <w:r w:rsidRPr="01C86341">
              <w:rPr>
                <w:rFonts w:ascii="Aptos" w:eastAsia="Aptos" w:hAnsi="Aptos" w:cs="Aptos"/>
              </w:rPr>
              <w:t>law.</w:t>
            </w:r>
            <w:proofErr w:type="spellEnd"/>
            <w:r w:rsidRPr="01C86341">
              <w:rPr>
                <w:rFonts w:ascii="Aptos" w:eastAsia="Aptos" w:hAnsi="Aptos" w:cs="Aptos"/>
              </w:rPr>
              <w:t xml:space="preserve"> </w:t>
            </w:r>
            <w:proofErr w:type="spellStart"/>
            <w:r w:rsidRPr="2764B12F">
              <w:rPr>
                <w:rFonts w:ascii="Aptos" w:eastAsia="Aptos" w:hAnsi="Aptos" w:cs="Aptos"/>
              </w:rPr>
              <w:t>Anaylise</w:t>
            </w:r>
            <w:proofErr w:type="spellEnd"/>
            <w:r w:rsidRPr="01C86341">
              <w:rPr>
                <w:rFonts w:ascii="Aptos" w:eastAsia="Aptos" w:hAnsi="Aptos" w:cs="Aptos"/>
              </w:rPr>
              <w:t xml:space="preserve"> the draft Bill we are proposing</w:t>
            </w:r>
          </w:p>
        </w:tc>
      </w:tr>
      <w:tr w:rsidR="00297834" w14:paraId="4983EB30" w14:textId="77777777" w:rsidTr="004C77D3">
        <w:trPr>
          <w:trHeight w:val="300"/>
        </w:trPr>
        <w:tc>
          <w:tcPr>
            <w:tcW w:w="1380" w:type="dxa"/>
            <w:tcMar>
              <w:left w:w="105" w:type="dxa"/>
              <w:right w:w="105" w:type="dxa"/>
            </w:tcMar>
          </w:tcPr>
          <w:p w14:paraId="68F44214" w14:textId="77777777" w:rsidR="00297834" w:rsidRDefault="00297834" w:rsidP="004C77D3">
            <w:pPr>
              <w:jc w:val="both"/>
              <w:rPr>
                <w:rFonts w:ascii="Aptos" w:eastAsia="Aptos" w:hAnsi="Aptos" w:cs="Aptos"/>
              </w:rPr>
            </w:pPr>
            <w:r w:rsidRPr="2D083342">
              <w:rPr>
                <w:rFonts w:ascii="Aptos" w:eastAsia="Aptos" w:hAnsi="Aptos" w:cs="Aptos"/>
                <w:b/>
                <w:bCs/>
              </w:rPr>
              <w:t>Chloe</w:t>
            </w:r>
          </w:p>
        </w:tc>
        <w:tc>
          <w:tcPr>
            <w:tcW w:w="7455" w:type="dxa"/>
            <w:tcMar>
              <w:left w:w="105" w:type="dxa"/>
              <w:right w:w="105" w:type="dxa"/>
            </w:tcMar>
          </w:tcPr>
          <w:p w14:paraId="7D97F44B" w14:textId="77777777" w:rsidR="00297834" w:rsidRDefault="00297834" w:rsidP="004C77D3">
            <w:pPr>
              <w:spacing w:before="240" w:after="240"/>
              <w:rPr>
                <w:rFonts w:ascii="Aptos" w:eastAsia="Aptos" w:hAnsi="Aptos" w:cs="Aptos"/>
              </w:rPr>
            </w:pPr>
            <w:r w:rsidRPr="2D083342">
              <w:rPr>
                <w:rFonts w:ascii="Aptos" w:eastAsia="Aptos" w:hAnsi="Aptos" w:cs="Aptos"/>
              </w:rPr>
              <w:t xml:space="preserve">Researched </w:t>
            </w:r>
            <w:r w:rsidRPr="2D083342">
              <w:rPr>
                <w:rFonts w:ascii="Aptos" w:eastAsia="Aptos" w:hAnsi="Aptos" w:cs="Aptos"/>
                <w:i/>
                <w:iCs/>
              </w:rPr>
              <w:t>Schmidt v Rosewood Trust</w:t>
            </w:r>
            <w:r w:rsidRPr="2D083342">
              <w:rPr>
                <w:rFonts w:ascii="Aptos" w:eastAsia="Aptos" w:hAnsi="Aptos" w:cs="Aptos"/>
              </w:rPr>
              <w:t xml:space="preserve"> and s22(4) of the Trustee Act 1925.</w:t>
            </w:r>
            <w:r w:rsidRPr="0984858B">
              <w:rPr>
                <w:rFonts w:ascii="Aptos" w:eastAsia="Aptos" w:hAnsi="Aptos" w:cs="Aptos"/>
              </w:rPr>
              <w:t xml:space="preserve"> Researched case facts for</w:t>
            </w:r>
            <w:r w:rsidRPr="0984858B">
              <w:rPr>
                <w:rFonts w:ascii="Aptos" w:eastAsia="Aptos" w:hAnsi="Aptos" w:cs="Aptos"/>
                <w:i/>
                <w:iCs/>
              </w:rPr>
              <w:t xml:space="preserve"> </w:t>
            </w:r>
            <w:r w:rsidRPr="0984858B">
              <w:rPr>
                <w:rFonts w:ascii="Aptos" w:eastAsia="Aptos" w:hAnsi="Aptos" w:cs="Aptos"/>
                <w:i/>
                <w:iCs/>
                <w:color w:val="000000" w:themeColor="text1"/>
              </w:rPr>
              <w:t xml:space="preserve">Rouse v IOOF Australia Ltd </w:t>
            </w:r>
            <w:r w:rsidRPr="0984858B">
              <w:rPr>
                <w:rFonts w:ascii="Aptos" w:eastAsia="Aptos" w:hAnsi="Aptos" w:cs="Aptos"/>
                <w:color w:val="000000" w:themeColor="text1"/>
              </w:rPr>
              <w:t>[1999] and identified how this can help us with part B.</w:t>
            </w:r>
          </w:p>
        </w:tc>
      </w:tr>
      <w:tr w:rsidR="00297834" w14:paraId="1EB29F19" w14:textId="77777777" w:rsidTr="004C77D3">
        <w:trPr>
          <w:trHeight w:val="300"/>
        </w:trPr>
        <w:tc>
          <w:tcPr>
            <w:tcW w:w="1380" w:type="dxa"/>
            <w:tcMar>
              <w:left w:w="105" w:type="dxa"/>
              <w:right w:w="105" w:type="dxa"/>
            </w:tcMar>
          </w:tcPr>
          <w:p w14:paraId="64E279B6" w14:textId="77777777" w:rsidR="00297834" w:rsidRDefault="00297834" w:rsidP="004C77D3">
            <w:pPr>
              <w:jc w:val="both"/>
              <w:rPr>
                <w:rFonts w:ascii="Aptos" w:eastAsia="Aptos" w:hAnsi="Aptos" w:cs="Aptos"/>
              </w:rPr>
            </w:pPr>
            <w:r w:rsidRPr="2D083342">
              <w:rPr>
                <w:rFonts w:ascii="Aptos" w:eastAsia="Aptos" w:hAnsi="Aptos" w:cs="Aptos"/>
                <w:b/>
                <w:bCs/>
              </w:rPr>
              <w:lastRenderedPageBreak/>
              <w:t>Teresa</w:t>
            </w:r>
          </w:p>
        </w:tc>
        <w:tc>
          <w:tcPr>
            <w:tcW w:w="7455" w:type="dxa"/>
            <w:tcMar>
              <w:left w:w="105" w:type="dxa"/>
              <w:right w:w="105" w:type="dxa"/>
            </w:tcMar>
          </w:tcPr>
          <w:p w14:paraId="5F641CD2" w14:textId="77777777" w:rsidR="00297834" w:rsidRDefault="00297834" w:rsidP="004C77D3">
            <w:pPr>
              <w:jc w:val="both"/>
              <w:rPr>
                <w:rFonts w:ascii="Aptos" w:eastAsia="Aptos" w:hAnsi="Aptos" w:cs="Aptos"/>
              </w:rPr>
            </w:pPr>
            <w:r w:rsidRPr="2D083342">
              <w:rPr>
                <w:rFonts w:ascii="Aptos" w:eastAsia="Aptos" w:hAnsi="Aptos" w:cs="Aptos"/>
              </w:rPr>
              <w:t xml:space="preserve">Identified a relevant case: </w:t>
            </w:r>
            <w:r w:rsidRPr="2D083342">
              <w:rPr>
                <w:rFonts w:ascii="Aptos" w:eastAsia="Aptos" w:hAnsi="Aptos" w:cs="Aptos"/>
                <w:i/>
                <w:iCs/>
              </w:rPr>
              <w:t>Schmidt v Rosewood Trust Ltd</w:t>
            </w:r>
            <w:r w:rsidRPr="2D083342">
              <w:rPr>
                <w:rFonts w:ascii="Aptos" w:eastAsia="Aptos" w:hAnsi="Aptos" w:cs="Aptos"/>
              </w:rPr>
              <w:t>.</w:t>
            </w:r>
            <w:r>
              <w:rPr>
                <w:rFonts w:ascii="Aptos" w:eastAsia="Aptos" w:hAnsi="Aptos" w:cs="Aptos"/>
              </w:rPr>
              <w:t xml:space="preserve"> Researched case facts </w:t>
            </w:r>
            <w:r w:rsidRPr="0984858B">
              <w:rPr>
                <w:rFonts w:ascii="Aptos" w:eastAsia="Aptos" w:hAnsi="Aptos" w:cs="Aptos"/>
              </w:rPr>
              <w:t>for</w:t>
            </w:r>
            <w:r>
              <w:rPr>
                <w:rFonts w:ascii="Aptos" w:eastAsia="Aptos" w:hAnsi="Aptos" w:cs="Aptos"/>
              </w:rPr>
              <w:t xml:space="preserve"> Nestle v National Westminster Bank and Target Holdings LTD v </w:t>
            </w:r>
            <w:proofErr w:type="spellStart"/>
            <w:r>
              <w:rPr>
                <w:rFonts w:ascii="Aptos" w:eastAsia="Aptos" w:hAnsi="Aptos" w:cs="Aptos"/>
              </w:rPr>
              <w:t>Redferns</w:t>
            </w:r>
            <w:proofErr w:type="spellEnd"/>
            <w:r>
              <w:rPr>
                <w:rFonts w:ascii="Aptos" w:eastAsia="Aptos" w:hAnsi="Aptos" w:cs="Aptos"/>
              </w:rPr>
              <w:t xml:space="preserve"> and applied the facts of the case to beneficiary rights.</w:t>
            </w:r>
          </w:p>
        </w:tc>
      </w:tr>
      <w:tr w:rsidR="00297834" w14:paraId="0E905377" w14:textId="77777777" w:rsidTr="004C77D3">
        <w:trPr>
          <w:trHeight w:val="300"/>
        </w:trPr>
        <w:tc>
          <w:tcPr>
            <w:tcW w:w="1380" w:type="dxa"/>
            <w:tcMar>
              <w:left w:w="105" w:type="dxa"/>
              <w:right w:w="105" w:type="dxa"/>
            </w:tcMar>
          </w:tcPr>
          <w:p w14:paraId="458E50C2" w14:textId="77777777" w:rsidR="00297834" w:rsidRDefault="00297834" w:rsidP="004C77D3">
            <w:pPr>
              <w:jc w:val="both"/>
              <w:rPr>
                <w:rFonts w:ascii="Aptos" w:eastAsia="Aptos" w:hAnsi="Aptos" w:cs="Aptos"/>
              </w:rPr>
            </w:pPr>
            <w:r w:rsidRPr="2D083342">
              <w:rPr>
                <w:rFonts w:ascii="Aptos" w:eastAsia="Aptos" w:hAnsi="Aptos" w:cs="Aptos"/>
                <w:b/>
                <w:bCs/>
              </w:rPr>
              <w:t>Sajid</w:t>
            </w:r>
          </w:p>
        </w:tc>
        <w:tc>
          <w:tcPr>
            <w:tcW w:w="7455" w:type="dxa"/>
            <w:tcMar>
              <w:left w:w="105" w:type="dxa"/>
              <w:right w:w="105" w:type="dxa"/>
            </w:tcMar>
          </w:tcPr>
          <w:p w14:paraId="7FBCF1AC" w14:textId="77777777" w:rsidR="00297834" w:rsidRDefault="00297834" w:rsidP="004C77D3">
            <w:pPr>
              <w:jc w:val="both"/>
              <w:rPr>
                <w:rFonts w:ascii="Aptos" w:eastAsia="Aptos" w:hAnsi="Aptos" w:cs="Aptos"/>
              </w:rPr>
            </w:pPr>
            <w:r w:rsidRPr="2D083342">
              <w:rPr>
                <w:rFonts w:ascii="Aptos" w:eastAsia="Aptos" w:hAnsi="Aptos" w:cs="Aptos"/>
              </w:rPr>
              <w:t>Conducted case research</w:t>
            </w:r>
            <w:r>
              <w:rPr>
                <w:rFonts w:ascii="Aptos" w:eastAsia="Aptos" w:hAnsi="Aptos" w:cs="Aptos"/>
              </w:rPr>
              <w:t xml:space="preserve"> </w:t>
            </w:r>
            <w:r w:rsidRPr="407F9A0A">
              <w:rPr>
                <w:rFonts w:ascii="Aptos" w:eastAsia="Aptos" w:hAnsi="Aptos" w:cs="Aptos"/>
              </w:rPr>
              <w:t>on</w:t>
            </w:r>
            <w:r w:rsidRPr="7C6BCDA0">
              <w:rPr>
                <w:rFonts w:ascii="Aptos" w:eastAsia="Aptos" w:hAnsi="Aptos" w:cs="Aptos"/>
              </w:rPr>
              <w:t xml:space="preserve"> </w:t>
            </w:r>
            <w:r w:rsidRPr="5A1DBAF4">
              <w:rPr>
                <w:rFonts w:ascii="Aptos" w:eastAsia="Aptos" w:hAnsi="Aptos" w:cs="Aptos"/>
              </w:rPr>
              <w:t xml:space="preserve">Trust </w:t>
            </w:r>
            <w:r w:rsidRPr="407F9A0A">
              <w:rPr>
                <w:rFonts w:ascii="Aptos" w:eastAsia="Aptos" w:hAnsi="Aptos" w:cs="Aptos"/>
              </w:rPr>
              <w:t>Accounts.</w:t>
            </w:r>
            <w:r w:rsidRPr="230A91A5">
              <w:rPr>
                <w:rFonts w:ascii="Aptos" w:eastAsia="Aptos" w:hAnsi="Aptos" w:cs="Aptos"/>
              </w:rPr>
              <w:t xml:space="preserve"> </w:t>
            </w:r>
            <w:r w:rsidRPr="407F9A0A">
              <w:rPr>
                <w:rFonts w:ascii="Arial Nova" w:eastAsia="Arial Nova" w:hAnsi="Arial Nova" w:cs="Arial Nova"/>
                <w:i/>
                <w:iCs/>
                <w:color w:val="253C49"/>
              </w:rPr>
              <w:t>Schmidt</w:t>
            </w:r>
            <w:r w:rsidRPr="7C6BCDA0">
              <w:rPr>
                <w:rFonts w:ascii="Arial Nova" w:eastAsia="Arial Nova" w:hAnsi="Arial Nova" w:cs="Arial Nova"/>
                <w:i/>
                <w:color w:val="253C49"/>
              </w:rPr>
              <w:t xml:space="preserve"> </w:t>
            </w:r>
            <w:r w:rsidRPr="230A91A5">
              <w:rPr>
                <w:rFonts w:ascii="Arial Nova" w:eastAsia="Arial Nova" w:hAnsi="Arial Nova" w:cs="Arial Nova"/>
                <w:i/>
                <w:iCs/>
                <w:color w:val="253C49"/>
              </w:rPr>
              <w:t xml:space="preserve">v </w:t>
            </w:r>
            <w:r w:rsidRPr="7C6BCDA0">
              <w:rPr>
                <w:rFonts w:ascii="Arial Nova" w:eastAsia="Arial Nova" w:hAnsi="Arial Nova" w:cs="Arial Nova"/>
                <w:i/>
                <w:color w:val="253C49"/>
              </w:rPr>
              <w:t>Rosewood Trust Ltd</w:t>
            </w:r>
            <w:r w:rsidRPr="45F14B6E">
              <w:rPr>
                <w:rFonts w:ascii="Arial Nova" w:eastAsia="Arial Nova" w:hAnsi="Arial Nova" w:cs="Arial Nova"/>
                <w:color w:val="253C49"/>
              </w:rPr>
              <w:t>.</w:t>
            </w:r>
          </w:p>
        </w:tc>
      </w:tr>
      <w:tr w:rsidR="00297834" w14:paraId="108B6D6F" w14:textId="77777777" w:rsidTr="004C77D3">
        <w:trPr>
          <w:trHeight w:val="300"/>
        </w:trPr>
        <w:tc>
          <w:tcPr>
            <w:tcW w:w="1380" w:type="dxa"/>
            <w:tcMar>
              <w:left w:w="105" w:type="dxa"/>
              <w:right w:w="105" w:type="dxa"/>
            </w:tcMar>
          </w:tcPr>
          <w:p w14:paraId="51DEB8FF" w14:textId="77777777" w:rsidR="00297834" w:rsidRDefault="00297834" w:rsidP="004C77D3">
            <w:pPr>
              <w:jc w:val="both"/>
              <w:rPr>
                <w:rFonts w:ascii="Aptos" w:eastAsia="Aptos" w:hAnsi="Aptos" w:cs="Aptos"/>
              </w:rPr>
            </w:pPr>
            <w:r w:rsidRPr="2D083342">
              <w:rPr>
                <w:rFonts w:ascii="Aptos" w:eastAsia="Aptos" w:hAnsi="Aptos" w:cs="Aptos"/>
                <w:b/>
                <w:bCs/>
              </w:rPr>
              <w:t>Diana</w:t>
            </w:r>
          </w:p>
        </w:tc>
        <w:tc>
          <w:tcPr>
            <w:tcW w:w="7455" w:type="dxa"/>
            <w:tcMar>
              <w:left w:w="105" w:type="dxa"/>
              <w:right w:w="105" w:type="dxa"/>
            </w:tcMar>
          </w:tcPr>
          <w:p w14:paraId="686BF463" w14:textId="77777777" w:rsidR="00297834" w:rsidRDefault="00297834" w:rsidP="004C77D3">
            <w:pPr>
              <w:jc w:val="both"/>
              <w:rPr>
                <w:rFonts w:ascii="Calibri" w:eastAsia="Calibri" w:hAnsi="Calibri" w:cs="Calibri"/>
              </w:rPr>
            </w:pPr>
            <w:r w:rsidRPr="3620520F">
              <w:rPr>
                <w:rFonts w:ascii="Aptos" w:eastAsia="Aptos" w:hAnsi="Aptos" w:cs="Aptos"/>
              </w:rPr>
              <w:t xml:space="preserve">Researched </w:t>
            </w:r>
            <w:r w:rsidRPr="3620520F">
              <w:rPr>
                <w:rFonts w:ascii="Aptos" w:eastAsia="Aptos" w:hAnsi="Aptos" w:cs="Aptos"/>
                <w:i/>
                <w:iCs/>
              </w:rPr>
              <w:t>Lewis v Tamplin</w:t>
            </w:r>
            <w:r w:rsidRPr="5A1DBAF4">
              <w:rPr>
                <w:rFonts w:ascii="Aptos" w:eastAsia="Aptos" w:hAnsi="Aptos" w:cs="Aptos"/>
                <w:i/>
                <w:iCs/>
              </w:rPr>
              <w:t xml:space="preserve">. </w:t>
            </w:r>
            <w:r w:rsidRPr="3620520F">
              <w:rPr>
                <w:rFonts w:ascii="Aptos" w:eastAsia="Aptos" w:hAnsi="Aptos" w:cs="Aptos"/>
              </w:rPr>
              <w:t>Research the challenges associated with beneficiary rights.</w:t>
            </w:r>
            <w:r w:rsidRPr="0CAC110E">
              <w:rPr>
                <w:rFonts w:ascii="Aptos" w:eastAsia="Aptos" w:hAnsi="Aptos" w:cs="Aptos"/>
              </w:rPr>
              <w:t xml:space="preserve"> Researched </w:t>
            </w:r>
            <w:r w:rsidRPr="22090C3C">
              <w:rPr>
                <w:rFonts w:ascii="Aptos" w:eastAsia="Aptos" w:hAnsi="Aptos" w:cs="Aptos"/>
              </w:rPr>
              <w:t xml:space="preserve">the </w:t>
            </w:r>
            <w:r w:rsidRPr="0CAC110E">
              <w:rPr>
                <w:rFonts w:ascii="Calibri" w:eastAsia="Calibri" w:hAnsi="Calibri" w:cs="Calibri"/>
                <w:b/>
                <w:bCs/>
              </w:rPr>
              <w:t>Data Protection Act 2018 (DPA 2018)</w:t>
            </w:r>
            <w:r w:rsidRPr="0CAC110E">
              <w:rPr>
                <w:rFonts w:ascii="Calibri" w:eastAsia="Calibri" w:hAnsi="Calibri" w:cs="Calibri"/>
              </w:rPr>
              <w:t xml:space="preserve">, and </w:t>
            </w:r>
            <w:r w:rsidRPr="006348DF">
              <w:rPr>
                <w:rFonts w:ascii="Calibri" w:eastAsia="Calibri" w:hAnsi="Calibri" w:cs="Calibri"/>
              </w:rPr>
              <w:t xml:space="preserve">the </w:t>
            </w:r>
            <w:r w:rsidRPr="22090C3C">
              <w:rPr>
                <w:rFonts w:ascii="Calibri" w:eastAsia="Calibri" w:hAnsi="Calibri" w:cs="Calibri"/>
              </w:rPr>
              <w:t>Inheritance (Provision for Family and Dependants) Act 1975</w:t>
            </w:r>
            <w:r w:rsidRPr="006348DF">
              <w:rPr>
                <w:rFonts w:ascii="Calibri" w:eastAsia="Calibri" w:hAnsi="Calibri" w:cs="Calibri"/>
              </w:rPr>
              <w:t>.</w:t>
            </w:r>
          </w:p>
        </w:tc>
      </w:tr>
      <w:tr w:rsidR="00297834" w14:paraId="251BF3F9" w14:textId="77777777" w:rsidTr="004C77D3">
        <w:trPr>
          <w:trHeight w:val="300"/>
        </w:trPr>
        <w:tc>
          <w:tcPr>
            <w:tcW w:w="1380" w:type="dxa"/>
            <w:tcMar>
              <w:left w:w="105" w:type="dxa"/>
              <w:right w:w="105" w:type="dxa"/>
            </w:tcMar>
          </w:tcPr>
          <w:p w14:paraId="4FF1EB47" w14:textId="77777777" w:rsidR="00297834" w:rsidRDefault="00297834" w:rsidP="004C77D3">
            <w:pPr>
              <w:jc w:val="both"/>
              <w:rPr>
                <w:rFonts w:ascii="Aptos" w:eastAsia="Aptos" w:hAnsi="Aptos" w:cs="Aptos"/>
              </w:rPr>
            </w:pPr>
            <w:r w:rsidRPr="2D083342">
              <w:rPr>
                <w:rFonts w:ascii="Aptos" w:eastAsia="Aptos" w:hAnsi="Aptos" w:cs="Aptos"/>
                <w:b/>
                <w:bCs/>
              </w:rPr>
              <w:t>Mohamed</w:t>
            </w:r>
          </w:p>
        </w:tc>
        <w:tc>
          <w:tcPr>
            <w:tcW w:w="7455" w:type="dxa"/>
            <w:tcMar>
              <w:left w:w="105" w:type="dxa"/>
              <w:right w:w="105" w:type="dxa"/>
            </w:tcMar>
          </w:tcPr>
          <w:p w14:paraId="0EDBE63A" w14:textId="77777777" w:rsidR="00297834" w:rsidRDefault="00297834" w:rsidP="004C77D3">
            <w:pPr>
              <w:jc w:val="both"/>
              <w:rPr>
                <w:rFonts w:ascii="Aptos" w:eastAsia="Aptos" w:hAnsi="Aptos" w:cs="Aptos"/>
              </w:rPr>
            </w:pPr>
            <w:r w:rsidRPr="2D083342">
              <w:rPr>
                <w:rFonts w:ascii="Aptos" w:eastAsia="Aptos" w:hAnsi="Aptos" w:cs="Aptos"/>
              </w:rPr>
              <w:t>Conducted case research.</w:t>
            </w:r>
            <w:r w:rsidRPr="77A2E86F">
              <w:rPr>
                <w:rFonts w:ascii="Aptos" w:eastAsia="Aptos" w:hAnsi="Aptos" w:cs="Aptos"/>
              </w:rPr>
              <w:t xml:space="preserve"> Journal Research</w:t>
            </w:r>
            <w:r w:rsidRPr="0984858B">
              <w:rPr>
                <w:rFonts w:ascii="Aptos" w:eastAsia="Aptos" w:hAnsi="Aptos" w:cs="Aptos"/>
              </w:rPr>
              <w:t>. Possible Reform Suggestions from a Journal</w:t>
            </w:r>
          </w:p>
        </w:tc>
      </w:tr>
      <w:tr w:rsidR="00297834" w14:paraId="1D444C31" w14:textId="77777777" w:rsidTr="004C77D3">
        <w:trPr>
          <w:trHeight w:val="300"/>
        </w:trPr>
        <w:tc>
          <w:tcPr>
            <w:tcW w:w="1380" w:type="dxa"/>
            <w:tcMar>
              <w:left w:w="105" w:type="dxa"/>
              <w:right w:w="105" w:type="dxa"/>
            </w:tcMar>
          </w:tcPr>
          <w:p w14:paraId="3C6B5413" w14:textId="77777777" w:rsidR="00297834" w:rsidRDefault="00297834" w:rsidP="004C77D3">
            <w:pPr>
              <w:jc w:val="both"/>
              <w:rPr>
                <w:rFonts w:ascii="Aptos" w:eastAsia="Aptos" w:hAnsi="Aptos" w:cs="Aptos"/>
              </w:rPr>
            </w:pPr>
            <w:r w:rsidRPr="2D083342">
              <w:rPr>
                <w:rFonts w:ascii="Aptos" w:eastAsia="Aptos" w:hAnsi="Aptos" w:cs="Aptos"/>
                <w:b/>
                <w:bCs/>
              </w:rPr>
              <w:t>Ffion</w:t>
            </w:r>
          </w:p>
        </w:tc>
        <w:tc>
          <w:tcPr>
            <w:tcW w:w="7455" w:type="dxa"/>
            <w:tcMar>
              <w:left w:w="105" w:type="dxa"/>
              <w:right w:w="105" w:type="dxa"/>
            </w:tcMar>
          </w:tcPr>
          <w:p w14:paraId="7C8534B7" w14:textId="77777777" w:rsidR="00297834" w:rsidRDefault="00297834" w:rsidP="004C77D3">
            <w:pPr>
              <w:jc w:val="both"/>
              <w:rPr>
                <w:rFonts w:ascii="Aptos" w:eastAsia="Aptos" w:hAnsi="Aptos" w:cs="Aptos"/>
              </w:rPr>
            </w:pPr>
            <w:r w:rsidRPr="2D083342">
              <w:rPr>
                <w:rFonts w:ascii="Aptos" w:eastAsia="Aptos" w:hAnsi="Aptos" w:cs="Aptos"/>
              </w:rPr>
              <w:t>Researched the current legal position relating to a trustee’s duties</w:t>
            </w:r>
            <w:r w:rsidRPr="141CE0B9">
              <w:rPr>
                <w:rFonts w:ascii="Aptos" w:eastAsia="Aptos" w:hAnsi="Aptos" w:cs="Aptos"/>
              </w:rPr>
              <w:t xml:space="preserve"> and researched the case Boardman v Phipps [1966] UKHL </w:t>
            </w:r>
          </w:p>
        </w:tc>
      </w:tr>
      <w:tr w:rsidR="00297834" w14:paraId="242C24BF" w14:textId="77777777" w:rsidTr="004C77D3">
        <w:trPr>
          <w:trHeight w:val="300"/>
        </w:trPr>
        <w:tc>
          <w:tcPr>
            <w:tcW w:w="1380" w:type="dxa"/>
            <w:tcMar>
              <w:left w:w="105" w:type="dxa"/>
              <w:right w:w="105" w:type="dxa"/>
            </w:tcMar>
          </w:tcPr>
          <w:p w14:paraId="602BA314" w14:textId="77777777" w:rsidR="00297834" w:rsidRDefault="00297834" w:rsidP="004C77D3">
            <w:pPr>
              <w:jc w:val="both"/>
              <w:rPr>
                <w:rFonts w:ascii="Aptos" w:eastAsia="Aptos" w:hAnsi="Aptos" w:cs="Aptos"/>
              </w:rPr>
            </w:pPr>
            <w:r w:rsidRPr="2D083342">
              <w:rPr>
                <w:rFonts w:ascii="Aptos" w:eastAsia="Aptos" w:hAnsi="Aptos" w:cs="Aptos"/>
                <w:b/>
                <w:bCs/>
              </w:rPr>
              <w:t>Alexandra</w:t>
            </w:r>
          </w:p>
        </w:tc>
        <w:tc>
          <w:tcPr>
            <w:tcW w:w="7455" w:type="dxa"/>
            <w:tcMar>
              <w:left w:w="105" w:type="dxa"/>
              <w:right w:w="105" w:type="dxa"/>
            </w:tcMar>
          </w:tcPr>
          <w:p w14:paraId="051C27B6" w14:textId="77777777" w:rsidR="00297834" w:rsidRDefault="00297834" w:rsidP="004C77D3">
            <w:pPr>
              <w:jc w:val="both"/>
              <w:rPr>
                <w:rFonts w:ascii="Aptos" w:eastAsia="Aptos" w:hAnsi="Aptos" w:cs="Aptos"/>
              </w:rPr>
            </w:pPr>
            <w:r w:rsidRPr="2D083342">
              <w:rPr>
                <w:rFonts w:ascii="Aptos" w:eastAsia="Aptos" w:hAnsi="Aptos" w:cs="Aptos"/>
              </w:rPr>
              <w:t>Conducted case research</w:t>
            </w:r>
            <w:r>
              <w:rPr>
                <w:rFonts w:ascii="Aptos" w:eastAsia="Aptos" w:hAnsi="Aptos" w:cs="Aptos"/>
              </w:rPr>
              <w:t xml:space="preserve"> </w:t>
            </w:r>
            <w:r w:rsidRPr="00FE3102">
              <w:rPr>
                <w:rFonts w:cs="AppleSystemUIFont"/>
                <w:kern w:val="0"/>
              </w:rPr>
              <w:t xml:space="preserve">Breakspear v Ackland [2008] EWHC 220 (Ch), </w:t>
            </w:r>
            <w:r>
              <w:rPr>
                <w:rFonts w:ascii="Aptos" w:eastAsia="Aptos" w:hAnsi="Aptos" w:cs="Aptos"/>
              </w:rPr>
              <w:t>/Researched the Charities Act 2011.</w:t>
            </w:r>
          </w:p>
        </w:tc>
      </w:tr>
      <w:tr w:rsidR="00297834" w14:paraId="578152F9" w14:textId="77777777" w:rsidTr="004C77D3">
        <w:trPr>
          <w:trHeight w:val="300"/>
        </w:trPr>
        <w:tc>
          <w:tcPr>
            <w:tcW w:w="1380" w:type="dxa"/>
            <w:tcMar>
              <w:left w:w="105" w:type="dxa"/>
              <w:right w:w="105" w:type="dxa"/>
            </w:tcMar>
          </w:tcPr>
          <w:p w14:paraId="4C8A6CA2" w14:textId="77777777" w:rsidR="00297834" w:rsidRDefault="00297834" w:rsidP="004C77D3">
            <w:pPr>
              <w:jc w:val="both"/>
              <w:rPr>
                <w:rFonts w:ascii="Aptos" w:eastAsia="Aptos" w:hAnsi="Aptos" w:cs="Aptos"/>
                <w:b/>
                <w:bCs/>
              </w:rPr>
            </w:pPr>
            <w:r w:rsidRPr="3EB138AA">
              <w:rPr>
                <w:rFonts w:ascii="Aptos" w:eastAsia="Aptos" w:hAnsi="Aptos" w:cs="Aptos"/>
                <w:b/>
                <w:bCs/>
              </w:rPr>
              <w:t>Shannon</w:t>
            </w:r>
          </w:p>
        </w:tc>
        <w:tc>
          <w:tcPr>
            <w:tcW w:w="7455" w:type="dxa"/>
            <w:tcMar>
              <w:left w:w="105" w:type="dxa"/>
              <w:right w:w="105" w:type="dxa"/>
            </w:tcMar>
          </w:tcPr>
          <w:p w14:paraId="757653FF" w14:textId="77777777" w:rsidR="00297834" w:rsidRDefault="00297834" w:rsidP="004C77D3">
            <w:pPr>
              <w:jc w:val="both"/>
              <w:rPr>
                <w:rFonts w:ascii="Aptos" w:eastAsia="Aptos" w:hAnsi="Aptos" w:cs="Aptos"/>
              </w:rPr>
            </w:pPr>
            <w:r>
              <w:rPr>
                <w:rFonts w:ascii="Aptos" w:eastAsia="Aptos" w:hAnsi="Aptos" w:cs="Aptos"/>
              </w:rPr>
              <w:t>How reform interacts with existing Statutory duties</w:t>
            </w:r>
          </w:p>
        </w:tc>
      </w:tr>
      <w:tr w:rsidR="00297834" w14:paraId="078C6F2F" w14:textId="77777777" w:rsidTr="004C77D3">
        <w:trPr>
          <w:trHeight w:val="300"/>
        </w:trPr>
        <w:tc>
          <w:tcPr>
            <w:tcW w:w="1380" w:type="dxa"/>
            <w:tcMar>
              <w:left w:w="105" w:type="dxa"/>
              <w:right w:w="105" w:type="dxa"/>
            </w:tcMar>
          </w:tcPr>
          <w:p w14:paraId="175905AF" w14:textId="77777777" w:rsidR="00297834" w:rsidRDefault="00297834" w:rsidP="004C77D3">
            <w:pPr>
              <w:jc w:val="both"/>
              <w:rPr>
                <w:rFonts w:ascii="Aptos" w:eastAsia="Aptos" w:hAnsi="Aptos" w:cs="Aptos"/>
                <w:b/>
                <w:bCs/>
              </w:rPr>
            </w:pPr>
            <w:r w:rsidRPr="3EB138AA">
              <w:rPr>
                <w:rFonts w:ascii="Aptos" w:eastAsia="Aptos" w:hAnsi="Aptos" w:cs="Aptos"/>
                <w:b/>
                <w:bCs/>
              </w:rPr>
              <w:t>Gabriel</w:t>
            </w:r>
          </w:p>
        </w:tc>
        <w:tc>
          <w:tcPr>
            <w:tcW w:w="7455" w:type="dxa"/>
            <w:tcMar>
              <w:left w:w="105" w:type="dxa"/>
              <w:right w:w="105" w:type="dxa"/>
            </w:tcMar>
          </w:tcPr>
          <w:p w14:paraId="4D3BBB47" w14:textId="77777777" w:rsidR="00297834" w:rsidRDefault="00297834" w:rsidP="004C77D3">
            <w:pPr>
              <w:jc w:val="both"/>
              <w:rPr>
                <w:rFonts w:ascii="Aptos" w:eastAsia="Aptos" w:hAnsi="Aptos" w:cs="Aptos"/>
              </w:rPr>
            </w:pPr>
            <w:r>
              <w:rPr>
                <w:rFonts w:ascii="Aptos" w:eastAsia="Aptos" w:hAnsi="Aptos" w:cs="Aptos"/>
              </w:rPr>
              <w:t>Research on Acts comparable in nature to the proposed bill and its provisions (Trusts and Succession (Scotland) Act 2024)</w:t>
            </w:r>
          </w:p>
        </w:tc>
      </w:tr>
    </w:tbl>
    <w:p w14:paraId="31921021"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 xml:space="preserve">We agree that all work and research submitted is our own. We will not use AI tools or another student’s work in completing our contributions. We will uphold academic honesty and the standards expected as set out in the assessment guidelines. </w:t>
      </w:r>
    </w:p>
    <w:p w14:paraId="4B81825A"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 xml:space="preserve">We agree to adhere to the deadline set: </w:t>
      </w:r>
      <w:r w:rsidRPr="4B9447FD">
        <w:rPr>
          <w:rFonts w:ascii="Aptos" w:eastAsia="Aptos" w:hAnsi="Aptos" w:cs="Aptos"/>
          <w:color w:val="000000" w:themeColor="text1"/>
        </w:rPr>
        <w:t>25</w:t>
      </w:r>
      <w:r w:rsidRPr="4B9447FD">
        <w:rPr>
          <w:rFonts w:ascii="Aptos" w:eastAsia="Aptos" w:hAnsi="Aptos" w:cs="Aptos"/>
          <w:color w:val="000000" w:themeColor="text1"/>
          <w:vertAlign w:val="superscript"/>
        </w:rPr>
        <w:t>th</w:t>
      </w:r>
      <w:r w:rsidRPr="4B9447FD">
        <w:rPr>
          <w:rFonts w:ascii="Aptos" w:eastAsia="Aptos" w:hAnsi="Aptos" w:cs="Aptos"/>
          <w:color w:val="000000" w:themeColor="text1"/>
        </w:rPr>
        <w:t xml:space="preserve"> of February 2026</w:t>
      </w:r>
    </w:p>
    <w:p w14:paraId="427291A9" w14:textId="77777777" w:rsidR="00297834" w:rsidRDefault="00297834" w:rsidP="00297834">
      <w:pPr>
        <w:spacing w:before="240" w:after="240"/>
        <w:jc w:val="both"/>
        <w:rPr>
          <w:rFonts w:ascii="Aptos" w:eastAsia="Aptos" w:hAnsi="Aptos" w:cs="Aptos"/>
          <w:color w:val="000000" w:themeColor="text1"/>
        </w:rPr>
      </w:pPr>
      <w:r w:rsidRPr="2D083342">
        <w:rPr>
          <w:rFonts w:ascii="Aptos" w:eastAsia="Aptos" w:hAnsi="Aptos" w:cs="Aptos"/>
          <w:color w:val="000000" w:themeColor="text1"/>
        </w:rPr>
        <w:t>By signing below, each participant confirms their agreement to the terms of this contract:</w:t>
      </w:r>
    </w:p>
    <w:p w14:paraId="404AC780"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0FB0750">
        <w:rPr>
          <w:rFonts w:ascii="Aptos" w:eastAsia="Aptos" w:hAnsi="Aptos" w:cs="Aptos"/>
          <w:color w:val="000000" w:themeColor="text1"/>
          <w:highlight w:val="yellow"/>
        </w:rPr>
        <w:t>JADE</w:t>
      </w:r>
      <w:r w:rsidRPr="2D083342">
        <w:rPr>
          <w:rFonts w:ascii="Aptos" w:eastAsia="Aptos" w:hAnsi="Aptos" w:cs="Aptos"/>
          <w:color w:val="000000" w:themeColor="text1"/>
        </w:rPr>
        <w:t>_______________________ (Jade)</w:t>
      </w:r>
    </w:p>
    <w:p w14:paraId="0FD461CE"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4A7BC74E">
        <w:rPr>
          <w:rFonts w:ascii="Aptos" w:eastAsia="Aptos" w:hAnsi="Aptos" w:cs="Aptos"/>
          <w:color w:val="000000" w:themeColor="text1"/>
          <w:highlight w:val="yellow"/>
        </w:rPr>
        <w:t>Sarah Hoffmann_</w:t>
      </w:r>
      <w:r w:rsidRPr="3A0CA819">
        <w:rPr>
          <w:rFonts w:ascii="Aptos" w:eastAsia="Aptos" w:hAnsi="Aptos" w:cs="Aptos"/>
          <w:color w:val="000000" w:themeColor="text1"/>
        </w:rPr>
        <w:t>___________</w:t>
      </w:r>
      <w:r w:rsidRPr="5C92BC8F">
        <w:rPr>
          <w:rFonts w:ascii="Aptos" w:eastAsia="Aptos" w:hAnsi="Aptos" w:cs="Aptos"/>
          <w:color w:val="000000" w:themeColor="text1"/>
        </w:rPr>
        <w:t xml:space="preserve"> (Sarah)</w:t>
      </w:r>
    </w:p>
    <w:p w14:paraId="61B8C951"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56A6C9F5">
        <w:rPr>
          <w:rFonts w:ascii="Aptos" w:eastAsia="Aptos" w:hAnsi="Aptos" w:cs="Aptos"/>
          <w:color w:val="000000" w:themeColor="text1"/>
          <w:highlight w:val="yellow"/>
        </w:rPr>
        <w:t>CHLOE</w:t>
      </w:r>
      <w:r w:rsidRPr="56A6C9F5">
        <w:rPr>
          <w:rFonts w:ascii="Aptos" w:eastAsia="Aptos" w:hAnsi="Aptos" w:cs="Aptos"/>
          <w:color w:val="000000" w:themeColor="text1"/>
        </w:rPr>
        <w:t>_____________________ (Chloe)</w:t>
      </w:r>
    </w:p>
    <w:p w14:paraId="09100C16"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8FF997B">
        <w:rPr>
          <w:rFonts w:ascii="Aptos" w:eastAsia="Aptos" w:hAnsi="Aptos" w:cs="Aptos"/>
          <w:color w:val="000000" w:themeColor="text1"/>
          <w:highlight w:val="yellow"/>
        </w:rPr>
        <w:t>Teresa Kan</w:t>
      </w:r>
      <w:r w:rsidRPr="2D083342">
        <w:rPr>
          <w:rFonts w:ascii="Aptos" w:eastAsia="Aptos" w:hAnsi="Aptos" w:cs="Aptos"/>
          <w:color w:val="000000" w:themeColor="text1"/>
        </w:rPr>
        <w:t>__________________ (Teresa)</w:t>
      </w:r>
    </w:p>
    <w:p w14:paraId="47AC4B6F"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63D55CC">
        <w:rPr>
          <w:rFonts w:ascii="Aptos" w:eastAsia="Aptos" w:hAnsi="Aptos" w:cs="Aptos"/>
          <w:color w:val="000000" w:themeColor="text1"/>
          <w:highlight w:val="yellow"/>
        </w:rPr>
        <w:t>Sajid Mohammed Abbas Khan</w:t>
      </w:r>
      <w:r w:rsidRPr="76C8E9F8">
        <w:rPr>
          <w:rFonts w:ascii="Aptos" w:eastAsia="Aptos" w:hAnsi="Aptos" w:cs="Aptos"/>
          <w:color w:val="000000" w:themeColor="text1"/>
        </w:rPr>
        <w:t xml:space="preserve"> (Sajid)</w:t>
      </w:r>
    </w:p>
    <w:p w14:paraId="37D6B7F1"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3620520F">
        <w:rPr>
          <w:rFonts w:ascii="Aptos" w:eastAsia="Aptos" w:hAnsi="Aptos" w:cs="Aptos"/>
          <w:color w:val="000000" w:themeColor="text1"/>
          <w:highlight w:val="yellow"/>
        </w:rPr>
        <w:t>DIANA_</w:t>
      </w:r>
      <w:r w:rsidRPr="3620520F">
        <w:rPr>
          <w:rFonts w:ascii="Aptos" w:eastAsia="Aptos" w:hAnsi="Aptos" w:cs="Aptos"/>
          <w:color w:val="000000" w:themeColor="text1"/>
        </w:rPr>
        <w:t>_____________________ (Diana)</w:t>
      </w:r>
    </w:p>
    <w:p w14:paraId="435B717E"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3620520F">
        <w:rPr>
          <w:rFonts w:ascii="Aptos" w:eastAsia="Aptos" w:hAnsi="Aptos" w:cs="Aptos"/>
          <w:color w:val="000000" w:themeColor="text1"/>
          <w:highlight w:val="yellow"/>
        </w:rPr>
        <w:t>MOHAMED</w:t>
      </w:r>
      <w:r w:rsidRPr="3620520F">
        <w:rPr>
          <w:rFonts w:ascii="Aptos" w:eastAsia="Aptos" w:hAnsi="Aptos" w:cs="Aptos"/>
          <w:color w:val="000000" w:themeColor="text1"/>
        </w:rPr>
        <w:t>__________________ (Mohamed)</w:t>
      </w:r>
    </w:p>
    <w:p w14:paraId="261DB98E"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63D55CC">
        <w:rPr>
          <w:rFonts w:ascii="Aptos" w:eastAsia="Aptos" w:hAnsi="Aptos" w:cs="Aptos"/>
          <w:color w:val="000000" w:themeColor="text1"/>
          <w:highlight w:val="yellow"/>
        </w:rPr>
        <w:t>Ffion Oliver</w:t>
      </w:r>
      <w:r w:rsidRPr="64211C9D">
        <w:rPr>
          <w:rFonts w:ascii="Aptos" w:eastAsia="Aptos" w:hAnsi="Aptos" w:cs="Aptos"/>
          <w:color w:val="000000" w:themeColor="text1"/>
        </w:rPr>
        <w:t>________________</w:t>
      </w:r>
      <w:r w:rsidRPr="094C9D46">
        <w:rPr>
          <w:rFonts w:ascii="Aptos" w:eastAsia="Aptos" w:hAnsi="Aptos" w:cs="Aptos"/>
          <w:color w:val="000000" w:themeColor="text1"/>
        </w:rPr>
        <w:t xml:space="preserve"> (Ffion)</w:t>
      </w:r>
    </w:p>
    <w:p w14:paraId="5D643AB3"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0B96CAF">
        <w:rPr>
          <w:rFonts w:ascii="Aptos" w:eastAsia="Aptos" w:hAnsi="Aptos" w:cs="Aptos"/>
          <w:color w:val="000000" w:themeColor="text1"/>
          <w:highlight w:val="yellow"/>
        </w:rPr>
        <w:t>ALEXANDRA</w:t>
      </w:r>
      <w:r w:rsidRPr="01C86341">
        <w:rPr>
          <w:rFonts w:ascii="Aptos" w:eastAsia="Aptos" w:hAnsi="Aptos" w:cs="Aptos"/>
          <w:color w:val="000000" w:themeColor="text1"/>
        </w:rPr>
        <w:t>___________________</w:t>
      </w:r>
      <w:r w:rsidRPr="2D083342">
        <w:rPr>
          <w:rFonts w:ascii="Aptos" w:eastAsia="Aptos" w:hAnsi="Aptos" w:cs="Aptos"/>
          <w:color w:val="000000" w:themeColor="text1"/>
        </w:rPr>
        <w:t xml:space="preserve"> (Alexandra)</w:t>
      </w:r>
    </w:p>
    <w:p w14:paraId="692CD51E"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8FF997B">
        <w:rPr>
          <w:rFonts w:ascii="Aptos" w:eastAsia="Aptos" w:hAnsi="Aptos" w:cs="Aptos"/>
          <w:color w:val="000000" w:themeColor="text1"/>
          <w:highlight w:val="yellow"/>
        </w:rPr>
        <w:t>Shannon</w:t>
      </w:r>
      <w:r w:rsidRPr="08FF997B">
        <w:rPr>
          <w:rFonts w:ascii="Aptos" w:eastAsia="Aptos" w:hAnsi="Aptos" w:cs="Aptos"/>
          <w:color w:val="000000" w:themeColor="text1"/>
        </w:rPr>
        <w:t>______________________(Shannon)</w:t>
      </w:r>
    </w:p>
    <w:p w14:paraId="77F8D5E8" w14:textId="77777777" w:rsidR="00297834" w:rsidRDefault="00297834" w:rsidP="00297834">
      <w:pPr>
        <w:pStyle w:val="ListParagraph"/>
        <w:numPr>
          <w:ilvl w:val="0"/>
          <w:numId w:val="6"/>
        </w:numPr>
        <w:spacing w:before="240" w:after="240" w:line="278" w:lineRule="auto"/>
        <w:jc w:val="both"/>
        <w:rPr>
          <w:rFonts w:ascii="Aptos" w:eastAsia="Aptos" w:hAnsi="Aptos" w:cs="Aptos"/>
          <w:color w:val="000000" w:themeColor="text1"/>
        </w:rPr>
      </w:pPr>
      <w:r w:rsidRPr="08FF997B">
        <w:rPr>
          <w:rFonts w:ascii="Aptos" w:eastAsia="Aptos" w:hAnsi="Aptos" w:cs="Aptos"/>
          <w:color w:val="000000" w:themeColor="text1"/>
          <w:highlight w:val="yellow"/>
        </w:rPr>
        <w:t>Gabrial</w:t>
      </w:r>
      <w:r w:rsidRPr="08FF997B">
        <w:rPr>
          <w:rFonts w:ascii="Aptos" w:eastAsia="Aptos" w:hAnsi="Aptos" w:cs="Aptos"/>
          <w:color w:val="000000" w:themeColor="text1"/>
        </w:rPr>
        <w:t xml:space="preserve">________________ (Gabrial) </w:t>
      </w:r>
    </w:p>
    <w:p w14:paraId="203328B5" w14:textId="77777777" w:rsidR="00297834" w:rsidRDefault="00297834" w:rsidP="00297834">
      <w:pPr>
        <w:jc w:val="both"/>
        <w:rPr>
          <w:rFonts w:ascii="Aptos" w:eastAsia="Aptos" w:hAnsi="Aptos" w:cs="Aptos"/>
          <w:color w:val="000000" w:themeColor="text1"/>
        </w:rPr>
      </w:pPr>
    </w:p>
    <w:p w14:paraId="65AD724E" w14:textId="77777777" w:rsidR="00297834" w:rsidRDefault="00297834" w:rsidP="00297834"/>
    <w:p w14:paraId="4A071046" w14:textId="77777777" w:rsidR="00297834" w:rsidRDefault="00297834" w:rsidP="00297834">
      <w:r>
        <w:br w:type="page"/>
      </w:r>
    </w:p>
    <w:p w14:paraId="0C082387" w14:textId="77777777" w:rsidR="00297834" w:rsidRPr="00A92AB2" w:rsidRDefault="00297834" w:rsidP="00297834">
      <w:pPr>
        <w:rPr>
          <w:b/>
          <w:bCs/>
          <w:highlight w:val="yellow"/>
          <w:u w:val="single"/>
        </w:rPr>
      </w:pPr>
      <w:r w:rsidRPr="00AF331C">
        <w:rPr>
          <w:b/>
          <w:bCs/>
          <w:u w:val="single"/>
        </w:rPr>
        <w:lastRenderedPageBreak/>
        <w:t xml:space="preserve">JADE BROWN </w:t>
      </w:r>
    </w:p>
    <w:p w14:paraId="2F479A35" w14:textId="77777777" w:rsidR="00297834" w:rsidRPr="00A92AB2" w:rsidRDefault="00297834" w:rsidP="00297834">
      <w:pPr>
        <w:rPr>
          <w:b/>
          <w:bCs/>
          <w:highlight w:val="yellow"/>
          <w:u w:val="single"/>
        </w:rPr>
      </w:pPr>
      <w:r w:rsidRPr="2EB7639A">
        <w:rPr>
          <w:b/>
          <w:bCs/>
          <w:highlight w:val="yellow"/>
          <w:u w:val="single"/>
        </w:rPr>
        <w:t>BILLTITLE – TRUSTEE DISCLOSURE AND BENEFICIARY</w:t>
      </w:r>
      <w:r w:rsidRPr="7252BB90">
        <w:rPr>
          <w:b/>
          <w:bCs/>
          <w:highlight w:val="yellow"/>
          <w:u w:val="single"/>
        </w:rPr>
        <w:t xml:space="preserve"> INFORMATION ACT</w:t>
      </w:r>
      <w:r w:rsidRPr="2EB7639A">
        <w:rPr>
          <w:b/>
          <w:bCs/>
          <w:highlight w:val="yellow"/>
          <w:u w:val="single"/>
        </w:rPr>
        <w:t xml:space="preserve"> 2026.</w:t>
      </w:r>
    </w:p>
    <w:p w14:paraId="68F3A484" w14:textId="77777777" w:rsidR="00297834" w:rsidRDefault="00297834" w:rsidP="00297834">
      <w:pPr>
        <w:rPr>
          <w:highlight w:val="yellow"/>
        </w:rPr>
      </w:pPr>
      <w:r w:rsidRPr="7CFD0188">
        <w:rPr>
          <w:b/>
          <w:bCs/>
          <w:highlight w:val="yellow"/>
          <w:u w:val="single"/>
        </w:rPr>
        <w:t xml:space="preserve">Long Title &amp; Summary – </w:t>
      </w:r>
      <w:r w:rsidRPr="7CFD0188">
        <w:rPr>
          <w:highlight w:val="yellow"/>
        </w:rPr>
        <w:t>An Act to clarify and regulate trustees' duties to provide information to beneficiaries</w:t>
      </w:r>
      <w:r w:rsidRPr="54E4B284">
        <w:rPr>
          <w:highlight w:val="yellow"/>
        </w:rPr>
        <w:t xml:space="preserve">, to define categories of trust documents subject to </w:t>
      </w:r>
      <w:r w:rsidRPr="1CA0F7DD">
        <w:rPr>
          <w:highlight w:val="yellow"/>
        </w:rPr>
        <w:t>disclosure</w:t>
      </w:r>
      <w:r w:rsidRPr="54E4B284">
        <w:rPr>
          <w:highlight w:val="yellow"/>
        </w:rPr>
        <w:t xml:space="preserve"> and to establish principles governing</w:t>
      </w:r>
      <w:r w:rsidRPr="7CFD0188">
        <w:rPr>
          <w:highlight w:val="yellow"/>
        </w:rPr>
        <w:t xml:space="preserve"> </w:t>
      </w:r>
      <w:r w:rsidRPr="1CA0F7DD">
        <w:rPr>
          <w:highlight w:val="yellow"/>
        </w:rPr>
        <w:t>trustee discretion and for connected purposes.</w:t>
      </w:r>
    </w:p>
    <w:p w14:paraId="65FB3DCF" w14:textId="77777777" w:rsidR="00297834" w:rsidRPr="00AF331C" w:rsidRDefault="00297834" w:rsidP="00297834">
      <w:r w:rsidRPr="00AF331C">
        <w:t>“When the Trustee Bill was proceeding through parliament, there were attempts to amend it to give more protection to the beneficiaries. These attempts failed. The beneficiaries have limited rights to information from the trustees, and the trustees do not have to explain or justify their decisions to the beneficiaries. The reason for this is that the courts wish to protect trustees from being ‘harassed’ by the beneficiaries, otherwise no one would want to be a trustee.</w:t>
      </w:r>
      <w:r>
        <w:t xml:space="preserve">                                                     </w:t>
      </w:r>
    </w:p>
    <w:p w14:paraId="727F1094" w14:textId="77777777" w:rsidR="00297834" w:rsidRDefault="00297834" w:rsidP="00297834">
      <w:pPr>
        <w:rPr>
          <w:highlight w:val="cyan"/>
        </w:rPr>
      </w:pPr>
      <w:r w:rsidRPr="5D9CFF78">
        <w:rPr>
          <w:highlight w:val="cyan"/>
        </w:rPr>
        <w:t xml:space="preserve">Thinking point – more emphasis should be placed on the beneficiaries’ rights to see information, because otherwise they cannot properly enforce the trust against the trustees. </w:t>
      </w:r>
      <w:r w:rsidRPr="78777D2D">
        <w:rPr>
          <w:rFonts w:ascii="Aptos" w:eastAsia="Aptos" w:hAnsi="Aptos" w:cs="Aptos"/>
          <w:highlight w:val="cyan"/>
        </w:rPr>
        <w:t>While confidentiality of letters of wishes serves an important function in protecting settlor intention and trustee independence, a rebuttable presumption of disclosure may better reflect modern expectations of transparency</w:t>
      </w:r>
      <w:r w:rsidRPr="78777D2D">
        <w:rPr>
          <w:highlight w:val="cyan"/>
        </w:rPr>
        <w:t xml:space="preserve"> (Clements &amp; Abass, Equity and Trusts,2015)</w:t>
      </w:r>
    </w:p>
    <w:p w14:paraId="0FABEA91" w14:textId="77777777" w:rsidR="00297834" w:rsidRDefault="00297834" w:rsidP="00297834">
      <w:pPr>
        <w:rPr>
          <w:rFonts w:ascii="Arial Nova" w:eastAsia="Arial Nova" w:hAnsi="Arial Nova" w:cs="Arial Nova"/>
          <w:color w:val="253C49"/>
        </w:rPr>
      </w:pPr>
      <w:r w:rsidRPr="00AF331C">
        <w:rPr>
          <w:b/>
          <w:bCs/>
          <w:u w:val="single"/>
        </w:rPr>
        <w:t>SAJID KHAN</w:t>
      </w:r>
      <w:r>
        <w:t xml:space="preserve"> - </w:t>
      </w:r>
      <w:r w:rsidRPr="5C3B1C77">
        <w:rPr>
          <w:rFonts w:ascii="Arial Nova" w:eastAsia="Arial Nova" w:hAnsi="Arial Nova" w:cs="Arial Nova"/>
        </w:rPr>
        <w:t xml:space="preserve">It is a fundamental right of a beneficiary to have the trust administered properly in accordance with its terms and in compliance with the applicable principles of general </w:t>
      </w:r>
      <w:proofErr w:type="spellStart"/>
      <w:r w:rsidRPr="5C3B1C77">
        <w:rPr>
          <w:rFonts w:ascii="Arial Nova" w:eastAsia="Arial Nova" w:hAnsi="Arial Nova" w:cs="Arial Nova"/>
        </w:rPr>
        <w:t>law.</w:t>
      </w:r>
      <w:proofErr w:type="spellEnd"/>
      <w:r w:rsidRPr="5C3B1C77">
        <w:rPr>
          <w:rFonts w:ascii="Arial Nova" w:eastAsia="Arial Nova" w:hAnsi="Arial Nova" w:cs="Arial Nova"/>
        </w:rPr>
        <w:t xml:space="preserve"> Beneficiaries have standing to hold trustees to account and ensure that the trust is being duly administered. Therefore, there is an expectation (which may be enforced by the court) that beneficiaries will be given sufficient information about the trust to do so.</w:t>
      </w:r>
      <w:r w:rsidRPr="470EDA25">
        <w:rPr>
          <w:rFonts w:ascii="Arial Nova" w:eastAsia="Arial Nova" w:hAnsi="Arial Nova" w:cs="Arial Nova"/>
          <w:color w:val="253C49"/>
        </w:rPr>
        <w:t xml:space="preserve"> This approach, rooted in the court's “supervisory jurisdiction” over trusts, is set out in the decision of Schmidt v Rosewood Trust Ltd.</w:t>
      </w:r>
    </w:p>
    <w:p w14:paraId="51526643" w14:textId="77777777" w:rsidR="00297834" w:rsidRDefault="00297834" w:rsidP="00297834">
      <w:pPr>
        <w:rPr>
          <w:rFonts w:ascii="Arial Nova" w:eastAsia="Arial Nova" w:hAnsi="Arial Nova" w:cs="Arial Nova"/>
          <w:color w:val="253C49"/>
        </w:rPr>
      </w:pPr>
      <w:r w:rsidRPr="5C3B1C77">
        <w:rPr>
          <w:rFonts w:ascii="Arial Nova" w:eastAsia="Arial Nova" w:hAnsi="Arial Nova" w:cs="Arial Nova"/>
        </w:rPr>
        <w:t>Create a new regulatory body called the Trustee Commissioner.</w:t>
      </w:r>
      <w:r w:rsidRPr="470EDA25">
        <w:rPr>
          <w:rFonts w:ascii="Arial Nova" w:eastAsia="Arial Nova" w:hAnsi="Arial Nova" w:cs="Arial Nova"/>
          <w:color w:val="253C49"/>
        </w:rPr>
        <w:t xml:space="preserve"> </w:t>
      </w:r>
    </w:p>
    <w:p w14:paraId="6129EAE9" w14:textId="77777777" w:rsidR="00297834" w:rsidRDefault="00297834" w:rsidP="00297834">
      <w:pPr>
        <w:rPr>
          <w:rFonts w:ascii="Arial Nova" w:eastAsia="Arial Nova" w:hAnsi="Arial Nova" w:cs="Arial Nova"/>
          <w:color w:val="253C49"/>
        </w:rPr>
      </w:pPr>
      <w:r w:rsidRPr="26349EE4">
        <w:rPr>
          <w:rFonts w:ascii="Arial Nova" w:eastAsia="Arial Nova" w:hAnsi="Arial Nova" w:cs="Arial Nova"/>
          <w:color w:val="253C49"/>
          <w:sz w:val="25"/>
          <w:szCs w:val="25"/>
        </w:rPr>
        <w:t>The provision of accounting records is one aspect of a trustee’s duty to account to the beneficiaries for their stewardship of trust property</w:t>
      </w:r>
      <w:r w:rsidRPr="26349EE4">
        <w:rPr>
          <w:rFonts w:ascii="Arial Nova" w:eastAsia="Arial Nova" w:hAnsi="Arial Nova" w:cs="Arial Nova"/>
          <w:color w:val="253C49"/>
        </w:rPr>
        <w:t>.</w:t>
      </w:r>
      <w:r w:rsidRPr="470EDA25">
        <w:rPr>
          <w:rFonts w:ascii="Arial Nova" w:eastAsia="Arial Nova" w:hAnsi="Arial Nova" w:cs="Arial Nova"/>
          <w:color w:val="253C49"/>
        </w:rPr>
        <w:t xml:space="preserve"> This means that trustees must be ready to justify what has been done with the trust assets that they are responsible for administering.  </w:t>
      </w:r>
    </w:p>
    <w:p w14:paraId="2025CCEE" w14:textId="77777777" w:rsidR="00297834" w:rsidRDefault="00297834" w:rsidP="00297834">
      <w:pPr>
        <w:rPr>
          <w:rFonts w:ascii="Arial Nova" w:eastAsia="Arial Nova" w:hAnsi="Arial Nova" w:cs="Arial Nova"/>
          <w:color w:val="172B4D"/>
        </w:rPr>
      </w:pPr>
      <w:r w:rsidRPr="5C3B1C77">
        <w:rPr>
          <w:rFonts w:ascii="Arial Nova" w:eastAsia="Arial Nova" w:hAnsi="Arial Nova" w:cs="Arial Nova"/>
          <w:color w:val="172B4D"/>
        </w:rPr>
        <w:t>Failure to do so may amount to breach of trust</w:t>
      </w:r>
      <w:r w:rsidRPr="4E483D3E">
        <w:rPr>
          <w:rFonts w:ascii="Arial Nova" w:eastAsia="Arial Nova" w:hAnsi="Arial Nova" w:cs="Arial Nova"/>
          <w:color w:val="172B4D"/>
        </w:rPr>
        <w:t>,</w:t>
      </w:r>
      <w:r w:rsidRPr="6F92BAB6">
        <w:rPr>
          <w:rFonts w:ascii="Arial Nova" w:eastAsia="Arial Nova" w:hAnsi="Arial Nova" w:cs="Arial Nova"/>
          <w:color w:val="172B4D"/>
        </w:rPr>
        <w:t xml:space="preserve"> and </w:t>
      </w:r>
      <w:r w:rsidRPr="56FAC69E">
        <w:rPr>
          <w:rFonts w:ascii="Arial Nova" w:eastAsia="Arial Nova" w:hAnsi="Arial Nova" w:cs="Arial Nova"/>
          <w:color w:val="172B4D"/>
        </w:rPr>
        <w:t>the</w:t>
      </w:r>
      <w:r w:rsidRPr="4BFCDA16">
        <w:rPr>
          <w:rFonts w:ascii="Arial Nova" w:eastAsia="Arial Nova" w:hAnsi="Arial Nova" w:cs="Arial Nova"/>
          <w:color w:val="172B4D"/>
        </w:rPr>
        <w:t xml:space="preserve"> beneficiary may seek an order </w:t>
      </w:r>
      <w:r w:rsidRPr="56FAC69E">
        <w:rPr>
          <w:rFonts w:ascii="Arial Nova" w:eastAsia="Arial Nova" w:hAnsi="Arial Nova" w:cs="Arial Nova"/>
          <w:color w:val="172B4D"/>
        </w:rPr>
        <w:t>from</w:t>
      </w:r>
      <w:r w:rsidRPr="4BFCDA16">
        <w:rPr>
          <w:rFonts w:ascii="Arial Nova" w:eastAsia="Arial Nova" w:hAnsi="Arial Nova" w:cs="Arial Nova"/>
          <w:color w:val="172B4D"/>
        </w:rPr>
        <w:t xml:space="preserve"> the </w:t>
      </w:r>
      <w:r w:rsidRPr="79A57BC2">
        <w:rPr>
          <w:rFonts w:ascii="Arial Nova" w:eastAsia="Arial Nova" w:hAnsi="Arial Nova" w:cs="Arial Nova"/>
          <w:color w:val="172B4D"/>
        </w:rPr>
        <w:t>court.</w:t>
      </w:r>
      <w:r w:rsidRPr="4E483D3E">
        <w:rPr>
          <w:rFonts w:ascii="Arial Nova" w:eastAsia="Arial Nova" w:hAnsi="Arial Nova" w:cs="Arial Nova"/>
          <w:color w:val="172B4D"/>
        </w:rPr>
        <w:t xml:space="preserve"> </w:t>
      </w:r>
      <w:r w:rsidRPr="4EAD8CE9">
        <w:rPr>
          <w:rFonts w:ascii="Arial Nova" w:eastAsia="Arial Nova" w:hAnsi="Arial Nova" w:cs="Arial Nova"/>
          <w:color w:val="172B4D"/>
        </w:rPr>
        <w:t>Trust</w:t>
      </w:r>
      <w:r w:rsidRPr="5C3B1C77">
        <w:rPr>
          <w:rFonts w:ascii="Arial Nova" w:eastAsia="Arial Nova" w:hAnsi="Arial Nova" w:cs="Arial Nova"/>
          <w:color w:val="172B4D"/>
        </w:rPr>
        <w:t xml:space="preserve"> accounts frequently take the form of annual financial statements</w:t>
      </w:r>
      <w:r w:rsidRPr="4BFCDA16">
        <w:rPr>
          <w:rFonts w:ascii="Arial Nova" w:eastAsia="Arial Nova" w:hAnsi="Arial Nova" w:cs="Arial Nova"/>
          <w:color w:val="172B4D"/>
        </w:rPr>
        <w:t>,</w:t>
      </w:r>
      <w:r w:rsidRPr="5C3B1C77">
        <w:rPr>
          <w:rFonts w:ascii="Arial Nova" w:eastAsia="Arial Nova" w:hAnsi="Arial Nova" w:cs="Arial Nova"/>
          <w:color w:val="172B4D"/>
        </w:rPr>
        <w:t xml:space="preserve"> and in addition, trustees should be able to </w:t>
      </w:r>
      <w:r w:rsidRPr="5AF0605C">
        <w:rPr>
          <w:rFonts w:ascii="Arial Nova" w:eastAsia="Arial Nova" w:hAnsi="Arial Nova" w:cs="Arial Nova"/>
          <w:color w:val="172B4D"/>
        </w:rPr>
        <w:t>evidence</w:t>
      </w:r>
      <w:r w:rsidRPr="5C3B1C77">
        <w:rPr>
          <w:rFonts w:ascii="Arial Nova" w:eastAsia="Arial Nova" w:hAnsi="Arial Nova" w:cs="Arial Nova"/>
          <w:color w:val="172B4D"/>
        </w:rPr>
        <w:t xml:space="preserve"> transactions with trust property, with invoices and receipts.</w:t>
      </w:r>
    </w:p>
    <w:p w14:paraId="65338998" w14:textId="77777777" w:rsidR="00297834" w:rsidRDefault="00297834" w:rsidP="00297834">
      <w:pPr>
        <w:spacing w:before="255" w:after="360"/>
        <w:rPr>
          <w:rFonts w:ascii="Arial Nova" w:eastAsia="Arial Nova" w:hAnsi="Arial Nova" w:cs="Arial Nova"/>
          <w:color w:val="253C49"/>
        </w:rPr>
      </w:pPr>
      <w:r w:rsidRPr="5A66073F">
        <w:rPr>
          <w:rFonts w:ascii="Arial Nova" w:eastAsia="Arial Nova" w:hAnsi="Arial Nova" w:cs="Arial Nova"/>
          <w:b/>
          <w:color w:val="253C49"/>
        </w:rPr>
        <w:t>Conclusion</w:t>
      </w:r>
      <w:r w:rsidRPr="03EFA41C">
        <w:rPr>
          <w:rFonts w:ascii="Arial Nova" w:eastAsia="Arial Nova" w:hAnsi="Arial Nova" w:cs="Arial Nova"/>
          <w:color w:val="253C49"/>
        </w:rPr>
        <w:t>:</w:t>
      </w:r>
      <w:r w:rsidRPr="5A66073F">
        <w:rPr>
          <w:rFonts w:ascii="Arial Nova" w:eastAsia="Arial Nova" w:hAnsi="Arial Nova" w:cs="Arial Nova"/>
          <w:color w:val="253C49"/>
        </w:rPr>
        <w:t xml:space="preserve"> </w:t>
      </w:r>
      <w:r w:rsidRPr="03EFA41C">
        <w:rPr>
          <w:rFonts w:ascii="Arial Nova" w:eastAsia="Arial Nova" w:hAnsi="Arial Nova" w:cs="Arial Nova"/>
          <w:color w:val="253C49"/>
        </w:rPr>
        <w:t xml:space="preserve">There will occasionally be circumstances where questions or disagreements arise. In those cases, trustees and beneficiaries both </w:t>
      </w:r>
      <w:r w:rsidRPr="5A66073F">
        <w:rPr>
          <w:rFonts w:ascii="Arial Nova" w:eastAsia="Arial Nova" w:hAnsi="Arial Nova" w:cs="Arial Nova"/>
          <w:color w:val="253C49"/>
        </w:rPr>
        <w:t>can</w:t>
      </w:r>
      <w:r w:rsidRPr="03EFA41C">
        <w:rPr>
          <w:rFonts w:ascii="Arial Nova" w:eastAsia="Arial Nova" w:hAnsi="Arial Nova" w:cs="Arial Nova"/>
          <w:color w:val="253C49"/>
        </w:rPr>
        <w:t xml:space="preserve"> apply to the court for remedies including directions about disclosure. With advance planning and good communication, the scope for such issues will reduce and beneficiaries will have the trust and confidence they need in their trustees.</w:t>
      </w:r>
    </w:p>
    <w:p w14:paraId="053282D6" w14:textId="77777777" w:rsidR="00297834" w:rsidRDefault="00297834" w:rsidP="00297834">
      <w:pPr>
        <w:rPr>
          <w:rFonts w:ascii="Arial Nova" w:eastAsia="Arial Nova" w:hAnsi="Arial Nova" w:cs="Arial Nova"/>
          <w:color w:val="172B4D"/>
        </w:rPr>
      </w:pPr>
      <w:r>
        <w:br/>
      </w:r>
    </w:p>
    <w:p w14:paraId="7DD1ED75" w14:textId="77777777" w:rsidR="00297834" w:rsidRDefault="00297834" w:rsidP="00297834">
      <w:r w:rsidRPr="00794517">
        <w:rPr>
          <w:b/>
          <w:bCs/>
          <w:u w:val="single"/>
        </w:rPr>
        <w:t>TERESA KAN</w:t>
      </w:r>
      <w:r>
        <w:t xml:space="preserve"> - </w:t>
      </w:r>
      <w:r w:rsidRPr="00794517">
        <w:t>Nestle v National Westminster bank Plc (1993)</w:t>
      </w:r>
      <w:r w:rsidRPr="00794517">
        <w:br/>
        <w:t>Case facts:</w:t>
      </w:r>
      <w:r>
        <w:t xml:space="preserve"> </w:t>
      </w:r>
      <w:r w:rsidRPr="00794517">
        <w:t>A trust fund worth $53,000 (this is pounds only have a dollar sign on my keyboard) in 1922 was managed by the bank trustee.</w:t>
      </w:r>
      <w:r w:rsidRPr="00794517">
        <w:br/>
      </w:r>
      <w:r w:rsidRPr="00794517">
        <w:lastRenderedPageBreak/>
        <w:br/>
        <w:t>Trustees failed to review the investments for many years, by the time the last tenant died, the fund had grown far less than it should have. Beneficiaries argued that the trustee breached its duty by failing to invest prudently.</w:t>
      </w:r>
    </w:p>
    <w:p w14:paraId="798F97AA" w14:textId="77777777" w:rsidR="00297834" w:rsidRDefault="00297834" w:rsidP="00297834">
      <w:r w:rsidRPr="00794517">
        <w:t>Outcome:</w:t>
      </w:r>
      <w:r w:rsidRPr="00794517">
        <w:br/>
        <w:t xml:space="preserve">The court accepted that the trustee had acted inadequately. However, the beneficiaries failed to recover compensation because they could not prove what the fund would have been worth had reports funds been managed properly. Ultimately the loss must be proven. </w:t>
      </w:r>
      <w:r w:rsidRPr="00794517">
        <w:br/>
        <w:t xml:space="preserve">How this helps with Part B: </w:t>
      </w:r>
      <w:r w:rsidRPr="00794517">
        <w:br/>
        <w:t xml:space="preserve">This case demonstrates a weakness in beneficiary protection and shows the limits imposed on beneficiaries. The trustees breached their duty by failing to review investments, the beneficiaries were denied compensation because they could not prove the hypothetical financial loss. This demonstrates the difficulty beneficiaries face enforcing trustee duties and suggests that reform may be justified. </w:t>
      </w:r>
      <w:r w:rsidRPr="00794517">
        <w:br/>
        <w:t>The possible reform could invest shifting the burden of proof once a breach has been established which could strengthen disclosure obligations and expand remedy to ensure fiduciary accountability.</w:t>
      </w:r>
      <w:r>
        <w:t xml:space="preserve"> </w:t>
      </w:r>
      <w:r w:rsidRPr="00AD22C7">
        <w:t xml:space="preserve">This case also ties to Target Holdings v </w:t>
      </w:r>
      <w:proofErr w:type="spellStart"/>
      <w:r w:rsidRPr="00AD22C7">
        <w:t>Redferns</w:t>
      </w:r>
      <w:proofErr w:type="spellEnd"/>
    </w:p>
    <w:p w14:paraId="14BA3FD5" w14:textId="77777777" w:rsidR="00297834" w:rsidRDefault="00297834" w:rsidP="00297834">
      <w:pPr>
        <w:rPr>
          <w:b/>
          <w:bCs/>
          <w:u w:val="single"/>
        </w:rPr>
      </w:pPr>
      <w:r w:rsidRPr="009D5A9A">
        <w:rPr>
          <w:b/>
          <w:bCs/>
          <w:u w:val="single"/>
        </w:rPr>
        <w:t>CHLOE FOULIS</w:t>
      </w:r>
      <w:r>
        <w:rPr>
          <w:b/>
          <w:bCs/>
          <w:u w:val="single"/>
        </w:rPr>
        <w:t xml:space="preserve"> </w:t>
      </w:r>
    </w:p>
    <w:p w14:paraId="482F9795" w14:textId="77777777" w:rsidR="00297834" w:rsidRDefault="00297834" w:rsidP="00297834">
      <w:pPr>
        <w:spacing w:before="240" w:after="240"/>
      </w:pPr>
      <w:r w:rsidRPr="00173923">
        <w:rPr>
          <w:rFonts w:ascii="Aptos" w:eastAsia="Aptos" w:hAnsi="Aptos" w:cs="Aptos"/>
        </w:rPr>
        <w:t xml:space="preserve">S22(4) of the Trustees Act 1925 </w:t>
      </w:r>
      <w:r>
        <w:br/>
      </w:r>
      <w:r w:rsidRPr="00173923">
        <w:rPr>
          <w:rFonts w:ascii="Aptos" w:eastAsia="Aptos" w:hAnsi="Aptos" w:cs="Aptos"/>
        </w:rPr>
        <w:t>- Trustees may audit accounts to ensure accuracy; they only need to do this once every 3 years.</w:t>
      </w:r>
      <w:r>
        <w:br/>
      </w:r>
      <w:r w:rsidRPr="00173923">
        <w:rPr>
          <w:rFonts w:ascii="Aptos" w:eastAsia="Aptos" w:hAnsi="Aptos" w:cs="Aptos"/>
        </w:rPr>
        <w:t>-Examination must be conducted by an accountant, and the costs are paid from the trust.</w:t>
      </w:r>
    </w:p>
    <w:p w14:paraId="64D71AB9" w14:textId="77777777" w:rsidR="00297834" w:rsidRDefault="00297834" w:rsidP="00297834">
      <w:pPr>
        <w:spacing w:before="240" w:after="240"/>
      </w:pPr>
      <w:r w:rsidRPr="00173923">
        <w:rPr>
          <w:rFonts w:ascii="Aptos" w:eastAsia="Aptos" w:hAnsi="Aptos" w:cs="Aptos"/>
        </w:rPr>
        <w:t xml:space="preserve">S 22(4) Trustee Act 2000 </w:t>
      </w:r>
      <w:r>
        <w:br/>
      </w:r>
      <w:r w:rsidRPr="00173923">
        <w:rPr>
          <w:rFonts w:ascii="Aptos" w:eastAsia="Aptos" w:hAnsi="Aptos" w:cs="Aptos"/>
        </w:rPr>
        <w:t>- When trustees employ an agent under s11 (right to consult beneficiaries), they must keep it under review and must consider whether to intervene if the agent is not acting properly.</w:t>
      </w:r>
      <w:r>
        <w:br/>
      </w:r>
      <w:r w:rsidRPr="00173923">
        <w:rPr>
          <w:rFonts w:ascii="Aptos" w:eastAsia="Aptos" w:hAnsi="Aptos" w:cs="Aptos"/>
        </w:rPr>
        <w:t xml:space="preserve">If necessary, they must terminate </w:t>
      </w:r>
    </w:p>
    <w:p w14:paraId="2B29251E" w14:textId="77777777" w:rsidR="00297834" w:rsidRDefault="00297834" w:rsidP="00297834">
      <w:pPr>
        <w:spacing w:before="240" w:after="240"/>
      </w:pPr>
      <w:r w:rsidRPr="00173923">
        <w:rPr>
          <w:rFonts w:ascii="Aptos" w:eastAsia="Aptos" w:hAnsi="Aptos" w:cs="Aptos"/>
          <w:b/>
          <w:bCs/>
        </w:rPr>
        <w:t>Schmidt v. Rosewood [2003]</w:t>
      </w:r>
      <w:r w:rsidRPr="00173923">
        <w:rPr>
          <w:rFonts w:ascii="Aptos" w:eastAsia="Aptos" w:hAnsi="Aptos" w:cs="Aptos"/>
        </w:rPr>
        <w:t xml:space="preserve"> </w:t>
      </w:r>
    </w:p>
    <w:p w14:paraId="6481B7AE" w14:textId="77777777" w:rsidR="00297834" w:rsidRDefault="00297834" w:rsidP="00297834">
      <w:pPr>
        <w:spacing w:before="240" w:after="240"/>
      </w:pPr>
      <w:r w:rsidRPr="00173923">
        <w:rPr>
          <w:rFonts w:ascii="Aptos" w:eastAsia="Aptos" w:hAnsi="Aptos" w:cs="Aptos"/>
        </w:rPr>
        <w:t xml:space="preserve">Case facts </w:t>
      </w:r>
    </w:p>
    <w:p w14:paraId="5F70687F" w14:textId="77777777" w:rsidR="00297834" w:rsidRDefault="00297834" w:rsidP="00297834">
      <w:pPr>
        <w:pStyle w:val="ListParagraph"/>
        <w:numPr>
          <w:ilvl w:val="0"/>
          <w:numId w:val="29"/>
        </w:numPr>
        <w:spacing w:before="240" w:after="240" w:line="278" w:lineRule="auto"/>
        <w:rPr>
          <w:rFonts w:ascii="Aptos" w:eastAsia="Aptos" w:hAnsi="Aptos" w:cs="Aptos"/>
        </w:rPr>
      </w:pPr>
      <w:r w:rsidRPr="00173923">
        <w:rPr>
          <w:rFonts w:ascii="Aptos" w:eastAsia="Aptos" w:hAnsi="Aptos" w:cs="Aptos"/>
        </w:rPr>
        <w:t xml:space="preserve">Appellant (son of senior executive director of oil company) </w:t>
      </w:r>
    </w:p>
    <w:p w14:paraId="7665CB9E" w14:textId="77777777" w:rsidR="00297834" w:rsidRDefault="00297834" w:rsidP="00297834">
      <w:pPr>
        <w:pStyle w:val="ListParagraph"/>
        <w:numPr>
          <w:ilvl w:val="0"/>
          <w:numId w:val="28"/>
        </w:numPr>
        <w:spacing w:before="240" w:after="240" w:line="278" w:lineRule="auto"/>
        <w:rPr>
          <w:rFonts w:ascii="Aptos" w:eastAsia="Aptos" w:hAnsi="Aptos" w:cs="Aptos"/>
        </w:rPr>
      </w:pPr>
      <w:r w:rsidRPr="00173923">
        <w:rPr>
          <w:rFonts w:ascii="Aptos" w:eastAsia="Aptos" w:hAnsi="Aptos" w:cs="Aptos"/>
        </w:rPr>
        <w:t xml:space="preserve">Settlor (father) died in 1997; letters of admission were granted to appellant in August 1998. </w:t>
      </w:r>
    </w:p>
    <w:p w14:paraId="3A41536D" w14:textId="77777777" w:rsidR="00297834" w:rsidRDefault="00297834" w:rsidP="00297834">
      <w:pPr>
        <w:pStyle w:val="ListParagraph"/>
        <w:numPr>
          <w:ilvl w:val="0"/>
          <w:numId w:val="27"/>
        </w:numPr>
        <w:spacing w:before="240" w:after="240" w:line="278" w:lineRule="auto"/>
        <w:rPr>
          <w:rFonts w:ascii="Aptos" w:eastAsia="Aptos" w:hAnsi="Aptos" w:cs="Aptos"/>
        </w:rPr>
      </w:pPr>
      <w:r w:rsidRPr="00173923">
        <w:rPr>
          <w:rFonts w:ascii="Aptos" w:eastAsia="Aptos" w:hAnsi="Aptos" w:cs="Aptos"/>
        </w:rPr>
        <w:t xml:space="preserve">2 trust settlements were executed in 1995. </w:t>
      </w:r>
    </w:p>
    <w:p w14:paraId="772A4D24" w14:textId="77777777" w:rsidR="00297834" w:rsidRDefault="00297834" w:rsidP="00297834">
      <w:pPr>
        <w:pStyle w:val="ListParagraph"/>
        <w:numPr>
          <w:ilvl w:val="0"/>
          <w:numId w:val="26"/>
        </w:numPr>
        <w:spacing w:before="240" w:after="240" w:line="278" w:lineRule="auto"/>
        <w:rPr>
          <w:rFonts w:ascii="Aptos" w:eastAsia="Aptos" w:hAnsi="Aptos" w:cs="Aptos"/>
        </w:rPr>
      </w:pPr>
      <w:r w:rsidRPr="00173923">
        <w:rPr>
          <w:rFonts w:ascii="Aptos" w:eastAsia="Aptos" w:hAnsi="Aptos" w:cs="Aptos"/>
        </w:rPr>
        <w:t xml:space="preserve">1995 settlement—Everest Trust </w:t>
      </w:r>
    </w:p>
    <w:p w14:paraId="2CDE6866" w14:textId="77777777" w:rsidR="00297834" w:rsidRDefault="00297834" w:rsidP="00297834">
      <w:pPr>
        <w:pStyle w:val="ListParagraph"/>
        <w:numPr>
          <w:ilvl w:val="0"/>
          <w:numId w:val="25"/>
        </w:numPr>
        <w:spacing w:before="240" w:after="240" w:line="278" w:lineRule="auto"/>
        <w:rPr>
          <w:rFonts w:ascii="Aptos" w:eastAsia="Aptos" w:hAnsi="Aptos" w:cs="Aptos"/>
        </w:rPr>
      </w:pPr>
      <w:r w:rsidRPr="00173923">
        <w:rPr>
          <w:rFonts w:ascii="Aptos" w:eastAsia="Aptos" w:hAnsi="Aptos" w:cs="Aptos"/>
        </w:rPr>
        <w:t>1992 settlement—Angora trust</w:t>
      </w:r>
    </w:p>
    <w:p w14:paraId="6B57D084" w14:textId="77777777" w:rsidR="00297834" w:rsidRDefault="00297834" w:rsidP="00297834">
      <w:pPr>
        <w:pStyle w:val="ListParagraph"/>
        <w:numPr>
          <w:ilvl w:val="0"/>
          <w:numId w:val="24"/>
        </w:numPr>
        <w:spacing w:before="240" w:after="240" w:line="278" w:lineRule="auto"/>
        <w:rPr>
          <w:rFonts w:ascii="Aptos" w:eastAsia="Aptos" w:hAnsi="Aptos" w:cs="Aptos"/>
        </w:rPr>
      </w:pPr>
      <w:r w:rsidRPr="00173923">
        <w:rPr>
          <w:rFonts w:ascii="Aptos" w:eastAsia="Aptos" w:hAnsi="Aptos" w:cs="Aptos"/>
        </w:rPr>
        <w:t xml:space="preserve">The settlor had written to the previous trustee of the Angora trust stating he was a beneficiary and that if he should die before the termination of the trust, he wished any portion to which he might have been entitled to be held on trust for his son. </w:t>
      </w:r>
    </w:p>
    <w:p w14:paraId="22E75263" w14:textId="77777777" w:rsidR="00297834" w:rsidRDefault="00297834" w:rsidP="00297834">
      <w:pPr>
        <w:pStyle w:val="ListParagraph"/>
        <w:numPr>
          <w:ilvl w:val="0"/>
          <w:numId w:val="23"/>
        </w:numPr>
        <w:spacing w:before="240" w:after="240" w:line="278" w:lineRule="auto"/>
        <w:rPr>
          <w:rFonts w:ascii="Aptos" w:eastAsia="Aptos" w:hAnsi="Aptos" w:cs="Aptos"/>
        </w:rPr>
      </w:pPr>
      <w:r w:rsidRPr="00173923">
        <w:rPr>
          <w:rFonts w:ascii="Aptos" w:eastAsia="Aptos" w:hAnsi="Aptos" w:cs="Aptos"/>
        </w:rPr>
        <w:t>In 1997 the respondent was appointed as sole trustee of 2 settlements.</w:t>
      </w:r>
    </w:p>
    <w:p w14:paraId="1F507250" w14:textId="77777777" w:rsidR="00297834" w:rsidRDefault="00297834" w:rsidP="00297834">
      <w:pPr>
        <w:pStyle w:val="ListParagraph"/>
        <w:numPr>
          <w:ilvl w:val="0"/>
          <w:numId w:val="22"/>
        </w:numPr>
        <w:spacing w:before="240" w:after="240" w:line="278" w:lineRule="auto"/>
        <w:rPr>
          <w:rFonts w:ascii="Aptos" w:eastAsia="Aptos" w:hAnsi="Aptos" w:cs="Aptos"/>
        </w:rPr>
      </w:pPr>
      <w:r w:rsidRPr="00173923">
        <w:rPr>
          <w:rFonts w:ascii="Aptos" w:eastAsia="Aptos" w:hAnsi="Aptos" w:cs="Aptos"/>
        </w:rPr>
        <w:t>On the settlor's death, the appellant sought to trace his father's assets, and he believed that his efforts were being frustrated by some of his father's co-directors.</w:t>
      </w:r>
    </w:p>
    <w:p w14:paraId="6C3E3270" w14:textId="77777777" w:rsidR="00297834" w:rsidRDefault="00297834" w:rsidP="00297834">
      <w:pPr>
        <w:pStyle w:val="ListParagraph"/>
        <w:numPr>
          <w:ilvl w:val="0"/>
          <w:numId w:val="21"/>
        </w:numPr>
        <w:spacing w:before="240" w:after="240" w:line="278" w:lineRule="auto"/>
        <w:rPr>
          <w:rFonts w:ascii="Aptos" w:eastAsia="Aptos" w:hAnsi="Aptos" w:cs="Aptos"/>
        </w:rPr>
      </w:pPr>
      <w:r w:rsidRPr="00173923">
        <w:rPr>
          <w:rFonts w:ascii="Aptos" w:eastAsia="Aptos" w:hAnsi="Aptos" w:cs="Aptos"/>
        </w:rPr>
        <w:t>In June 1998, he commenced proceedings against the respondent, alleging breach of trust and beneficiary duty.</w:t>
      </w:r>
    </w:p>
    <w:p w14:paraId="2921E88D" w14:textId="77777777" w:rsidR="00297834" w:rsidRDefault="00297834" w:rsidP="00297834">
      <w:pPr>
        <w:pStyle w:val="ListParagraph"/>
        <w:numPr>
          <w:ilvl w:val="0"/>
          <w:numId w:val="20"/>
        </w:numPr>
        <w:spacing w:before="240" w:after="240" w:line="278" w:lineRule="auto"/>
        <w:rPr>
          <w:rFonts w:ascii="Aptos" w:eastAsia="Aptos" w:hAnsi="Aptos" w:cs="Aptos"/>
        </w:rPr>
      </w:pPr>
      <w:r w:rsidRPr="00173923">
        <w:rPr>
          <w:rFonts w:ascii="Aptos" w:eastAsia="Aptos" w:hAnsi="Aptos" w:cs="Aptos"/>
        </w:rPr>
        <w:lastRenderedPageBreak/>
        <w:t>Obtained an ex parte order prohibiting the respondent and other defendants from dealing with assets comprised directly/indirectly in the Angora and Everest trusts</w:t>
      </w:r>
    </w:p>
    <w:p w14:paraId="14E3386D" w14:textId="77777777" w:rsidR="00297834" w:rsidRDefault="00297834" w:rsidP="00297834">
      <w:pPr>
        <w:pStyle w:val="ListParagraph"/>
        <w:numPr>
          <w:ilvl w:val="0"/>
          <w:numId w:val="19"/>
        </w:numPr>
        <w:spacing w:before="240" w:after="240" w:line="278" w:lineRule="auto"/>
        <w:rPr>
          <w:rFonts w:ascii="Aptos" w:eastAsia="Aptos" w:hAnsi="Aptos" w:cs="Aptos"/>
        </w:rPr>
      </w:pPr>
      <w:r w:rsidRPr="00173923">
        <w:rPr>
          <w:rFonts w:ascii="Aptos" w:eastAsia="Aptos" w:hAnsi="Aptos" w:cs="Aptos"/>
        </w:rPr>
        <w:t>Order provided for disclosure of information</w:t>
      </w:r>
    </w:p>
    <w:p w14:paraId="6BF860D9" w14:textId="77777777" w:rsidR="00297834" w:rsidRDefault="00297834" w:rsidP="00297834">
      <w:pPr>
        <w:pStyle w:val="ListParagraph"/>
        <w:numPr>
          <w:ilvl w:val="0"/>
          <w:numId w:val="18"/>
        </w:numPr>
        <w:spacing w:before="240" w:after="240" w:line="278" w:lineRule="auto"/>
        <w:rPr>
          <w:rFonts w:ascii="Aptos" w:eastAsia="Aptos" w:hAnsi="Aptos" w:cs="Aptos"/>
        </w:rPr>
      </w:pPr>
      <w:r w:rsidRPr="00173923">
        <w:rPr>
          <w:rFonts w:ascii="Aptos" w:eastAsia="Aptos" w:hAnsi="Aptos" w:cs="Aptos"/>
        </w:rPr>
        <w:t xml:space="preserve">At the hearing, the petition was not dismissed as an abuse of process, indicating that in principle the respondent as a trustee had to make a disclosure to its beneficiaries. </w:t>
      </w:r>
    </w:p>
    <w:p w14:paraId="32A847F7" w14:textId="77777777" w:rsidR="00297834" w:rsidRDefault="00297834" w:rsidP="00297834">
      <w:pPr>
        <w:pStyle w:val="ListParagraph"/>
        <w:numPr>
          <w:ilvl w:val="0"/>
          <w:numId w:val="17"/>
        </w:numPr>
        <w:spacing w:before="240" w:after="240" w:line="278" w:lineRule="auto"/>
        <w:rPr>
          <w:rFonts w:ascii="Aptos" w:eastAsia="Aptos" w:hAnsi="Aptos" w:cs="Aptos"/>
        </w:rPr>
      </w:pPr>
      <w:r w:rsidRPr="00173923">
        <w:rPr>
          <w:rFonts w:ascii="Aptos" w:eastAsia="Aptos" w:hAnsi="Aptos" w:cs="Aptos"/>
        </w:rPr>
        <w:t>Parties were unable to agree on a form of order, and the judge made an order that the respondent make extensive disclosure of unredacted documents and provide information to 3 named members of a certain firm on certain conditions.</w:t>
      </w:r>
    </w:p>
    <w:p w14:paraId="7CDD8E31" w14:textId="77777777" w:rsidR="00297834" w:rsidRDefault="00297834" w:rsidP="00297834">
      <w:pPr>
        <w:pStyle w:val="ListParagraph"/>
        <w:numPr>
          <w:ilvl w:val="0"/>
          <w:numId w:val="16"/>
        </w:numPr>
        <w:spacing w:before="240" w:after="240" w:line="278" w:lineRule="auto"/>
        <w:rPr>
          <w:rFonts w:ascii="Aptos" w:eastAsia="Aptos" w:hAnsi="Aptos" w:cs="Aptos"/>
        </w:rPr>
      </w:pPr>
      <w:r w:rsidRPr="00173923">
        <w:rPr>
          <w:rFonts w:ascii="Aptos" w:eastAsia="Aptos" w:hAnsi="Aptos" w:cs="Aptos"/>
        </w:rPr>
        <w:t>The respondent's appeal was allowed, and the deemster’s order was set aside.</w:t>
      </w:r>
    </w:p>
    <w:p w14:paraId="5AA4E83B" w14:textId="77777777" w:rsidR="00297834" w:rsidRDefault="00297834" w:rsidP="00297834">
      <w:pPr>
        <w:pStyle w:val="ListParagraph"/>
        <w:numPr>
          <w:ilvl w:val="0"/>
          <w:numId w:val="15"/>
        </w:numPr>
        <w:spacing w:before="240" w:after="240" w:line="278" w:lineRule="auto"/>
        <w:rPr>
          <w:rFonts w:ascii="Aptos" w:eastAsia="Aptos" w:hAnsi="Aptos" w:cs="Aptos"/>
        </w:rPr>
      </w:pPr>
      <w:r w:rsidRPr="00173923">
        <w:rPr>
          <w:rFonts w:ascii="Aptos" w:eastAsia="Aptos" w:hAnsi="Aptos" w:cs="Aptos"/>
        </w:rPr>
        <w:t>Special leave given to appellant to appeal—the main issue of appeal was appellant’s claim to obtain trust accounts and other information from respondent</w:t>
      </w:r>
    </w:p>
    <w:p w14:paraId="036E1826" w14:textId="77777777" w:rsidR="00297834" w:rsidRDefault="00297834" w:rsidP="00297834">
      <w:pPr>
        <w:pStyle w:val="ListParagraph"/>
        <w:numPr>
          <w:ilvl w:val="0"/>
          <w:numId w:val="14"/>
        </w:numPr>
        <w:spacing w:before="240" w:after="240" w:line="278" w:lineRule="auto"/>
        <w:rPr>
          <w:rFonts w:ascii="Aptos" w:eastAsia="Aptos" w:hAnsi="Aptos" w:cs="Aptos"/>
        </w:rPr>
      </w:pPr>
      <w:r w:rsidRPr="00173923">
        <w:rPr>
          <w:rFonts w:ascii="Aptos" w:eastAsia="Aptos" w:hAnsi="Aptos" w:cs="Aptos"/>
        </w:rPr>
        <w:t xml:space="preserve">Schmidt appealed to the judicial committee of the privy council, and his appeal was allowed because it was held that disclosure depends on the court's discretion, not on having a proprietary interest. </w:t>
      </w:r>
    </w:p>
    <w:p w14:paraId="31A10ED2" w14:textId="77777777" w:rsidR="00297834" w:rsidRDefault="00297834" w:rsidP="00297834">
      <w:pPr>
        <w:spacing w:before="240" w:after="240"/>
      </w:pPr>
      <w:r w:rsidRPr="00173923">
        <w:rPr>
          <w:rFonts w:ascii="Aptos" w:eastAsia="Aptos" w:hAnsi="Aptos" w:cs="Aptos"/>
        </w:rPr>
        <w:t xml:space="preserve"> </w:t>
      </w:r>
    </w:p>
    <w:p w14:paraId="0AC25DCB" w14:textId="77777777" w:rsidR="00297834" w:rsidRDefault="00297834" w:rsidP="00297834">
      <w:pPr>
        <w:spacing w:before="240" w:after="240"/>
      </w:pPr>
      <w:r w:rsidRPr="00173923">
        <w:rPr>
          <w:rFonts w:ascii="Aptos" w:eastAsia="Aptos" w:hAnsi="Aptos" w:cs="Aptos"/>
        </w:rPr>
        <w:t xml:space="preserve">How can this help us with part B? </w:t>
      </w:r>
    </w:p>
    <w:p w14:paraId="5D94DD81" w14:textId="77777777" w:rsidR="00297834" w:rsidRDefault="00297834" w:rsidP="00297834">
      <w:pPr>
        <w:pStyle w:val="ListParagraph"/>
        <w:numPr>
          <w:ilvl w:val="0"/>
          <w:numId w:val="13"/>
        </w:numPr>
        <w:spacing w:before="240" w:after="240" w:line="278" w:lineRule="auto"/>
        <w:rPr>
          <w:rFonts w:ascii="Aptos" w:eastAsia="Aptos" w:hAnsi="Aptos" w:cs="Aptos"/>
        </w:rPr>
      </w:pPr>
      <w:r w:rsidRPr="00173923">
        <w:rPr>
          <w:rFonts w:ascii="Aptos" w:eastAsia="Aptos" w:hAnsi="Aptos" w:cs="Aptos"/>
        </w:rPr>
        <w:t>Shows that beneficiaries do not need to have a proprietary interest in a trust to be entitled to information under a trust</w:t>
      </w:r>
    </w:p>
    <w:p w14:paraId="330296E0" w14:textId="77777777" w:rsidR="00297834" w:rsidRDefault="00297834" w:rsidP="00297834">
      <w:pPr>
        <w:spacing w:before="240" w:after="240"/>
        <w:rPr>
          <w:rFonts w:ascii="Aptos" w:eastAsia="Aptos" w:hAnsi="Aptos" w:cs="Aptos"/>
        </w:rPr>
      </w:pPr>
      <w:r w:rsidRPr="6F92BAB6">
        <w:rPr>
          <w:rFonts w:ascii="Aptos" w:eastAsia="Aptos" w:hAnsi="Aptos" w:cs="Aptos"/>
          <w:color w:val="000000" w:themeColor="text1"/>
        </w:rPr>
        <w:t>Rouse v IOOF Australia Ltd [1999] 2 ITELR 289</w:t>
      </w:r>
    </w:p>
    <w:p w14:paraId="0562D044" w14:textId="77777777" w:rsidR="00297834" w:rsidRDefault="00297834" w:rsidP="00297834">
      <w:pPr>
        <w:spacing w:before="240" w:after="240"/>
        <w:rPr>
          <w:rFonts w:ascii="Aptos" w:eastAsia="Aptos" w:hAnsi="Aptos" w:cs="Aptos"/>
          <w:color w:val="000000" w:themeColor="text1"/>
        </w:rPr>
      </w:pPr>
      <w:r w:rsidRPr="063D55CC">
        <w:rPr>
          <w:rFonts w:ascii="Aptos" w:eastAsia="Aptos" w:hAnsi="Aptos" w:cs="Aptos"/>
          <w:color w:val="000000" w:themeColor="text1"/>
        </w:rPr>
        <w:t xml:space="preserve">Case facts </w:t>
      </w:r>
    </w:p>
    <w:p w14:paraId="3ADC7FB8" w14:textId="77777777" w:rsidR="00297834" w:rsidRDefault="00297834" w:rsidP="00297834">
      <w:pPr>
        <w:pStyle w:val="ListParagraph"/>
        <w:numPr>
          <w:ilvl w:val="0"/>
          <w:numId w:val="30"/>
        </w:numPr>
        <w:spacing w:before="240" w:after="240" w:line="278" w:lineRule="auto"/>
        <w:rPr>
          <w:rFonts w:ascii="Aptos" w:eastAsia="Aptos" w:hAnsi="Aptos" w:cs="Aptos"/>
        </w:rPr>
      </w:pPr>
      <w:r w:rsidRPr="79A57BC2">
        <w:rPr>
          <w:rFonts w:ascii="Aptos" w:eastAsia="Aptos" w:hAnsi="Aptos" w:cs="Aptos"/>
        </w:rPr>
        <w:t xml:space="preserve">The appellants were beneficiaries and the respondent was a trustee of the trust </w:t>
      </w:r>
    </w:p>
    <w:p w14:paraId="381C8678" w14:textId="77777777" w:rsidR="00297834" w:rsidRDefault="00297834" w:rsidP="00297834">
      <w:pPr>
        <w:pStyle w:val="ListParagraph"/>
        <w:numPr>
          <w:ilvl w:val="0"/>
          <w:numId w:val="30"/>
        </w:numPr>
        <w:spacing w:before="240" w:after="240" w:line="278" w:lineRule="auto"/>
        <w:rPr>
          <w:rFonts w:ascii="Aptos" w:eastAsia="Aptos" w:hAnsi="Aptos" w:cs="Aptos"/>
        </w:rPr>
      </w:pPr>
      <w:r w:rsidRPr="56FAC69E">
        <w:rPr>
          <w:rFonts w:ascii="Aptos" w:eastAsia="Aptos" w:hAnsi="Aptos" w:cs="Aptos"/>
        </w:rPr>
        <w:t xml:space="preserve">The management scheme was part of the trust with 20,000 investors who became beneficiaries as part of the scheme </w:t>
      </w:r>
    </w:p>
    <w:p w14:paraId="395F6E27" w14:textId="77777777" w:rsidR="00297834" w:rsidRDefault="00297834" w:rsidP="00297834">
      <w:pPr>
        <w:pStyle w:val="ListParagraph"/>
        <w:numPr>
          <w:ilvl w:val="0"/>
          <w:numId w:val="30"/>
        </w:numPr>
        <w:spacing w:before="240" w:after="240" w:line="278" w:lineRule="auto"/>
        <w:rPr>
          <w:rFonts w:ascii="Aptos" w:eastAsia="Aptos" w:hAnsi="Aptos" w:cs="Aptos"/>
        </w:rPr>
      </w:pPr>
      <w:r w:rsidRPr="07953CE2">
        <w:rPr>
          <w:rFonts w:ascii="Aptos" w:eastAsia="Aptos" w:hAnsi="Aptos" w:cs="Aptos"/>
        </w:rPr>
        <w:t xml:space="preserve">The respondent was engaged in two different </w:t>
      </w:r>
      <w:r w:rsidRPr="63345F2D">
        <w:rPr>
          <w:rFonts w:ascii="Aptos" w:eastAsia="Aptos" w:hAnsi="Aptos" w:cs="Aptos"/>
        </w:rPr>
        <w:t xml:space="preserve">consolidated </w:t>
      </w:r>
      <w:proofErr w:type="gramStart"/>
      <w:r w:rsidRPr="63345F2D">
        <w:rPr>
          <w:rFonts w:ascii="Aptos" w:eastAsia="Aptos" w:hAnsi="Aptos" w:cs="Aptos"/>
        </w:rPr>
        <w:t>actions;</w:t>
      </w:r>
      <w:proofErr w:type="gramEnd"/>
      <w:r w:rsidRPr="63345F2D">
        <w:rPr>
          <w:rFonts w:ascii="Aptos" w:eastAsia="Aptos" w:hAnsi="Aptos" w:cs="Aptos"/>
        </w:rPr>
        <w:t xml:space="preserve"> against the forest </w:t>
      </w:r>
      <w:r w:rsidRPr="046E543E">
        <w:rPr>
          <w:rFonts w:ascii="Aptos" w:eastAsia="Aptos" w:hAnsi="Aptos" w:cs="Aptos"/>
        </w:rPr>
        <w:t xml:space="preserve">company and the milling company </w:t>
      </w:r>
    </w:p>
    <w:p w14:paraId="1D11AFBA" w14:textId="77777777" w:rsidR="00297834" w:rsidRDefault="00297834" w:rsidP="00297834">
      <w:pPr>
        <w:pStyle w:val="ListParagraph"/>
        <w:numPr>
          <w:ilvl w:val="0"/>
          <w:numId w:val="30"/>
        </w:numPr>
        <w:spacing w:before="240" w:after="240" w:line="278" w:lineRule="auto"/>
        <w:rPr>
          <w:rFonts w:ascii="Aptos" w:eastAsia="Aptos" w:hAnsi="Aptos" w:cs="Aptos"/>
        </w:rPr>
      </w:pPr>
      <w:r w:rsidRPr="0D6FCD08">
        <w:rPr>
          <w:rFonts w:ascii="Aptos" w:eastAsia="Aptos" w:hAnsi="Aptos" w:cs="Aptos"/>
        </w:rPr>
        <w:t xml:space="preserve">The appellants commenced this action </w:t>
      </w:r>
      <w:r w:rsidRPr="0C3528EA">
        <w:rPr>
          <w:rFonts w:ascii="Aptos" w:eastAsia="Aptos" w:hAnsi="Aptos" w:cs="Aptos"/>
        </w:rPr>
        <w:t>requiring</w:t>
      </w:r>
      <w:r w:rsidRPr="0D6FCD08">
        <w:rPr>
          <w:rFonts w:ascii="Aptos" w:eastAsia="Aptos" w:hAnsi="Aptos" w:cs="Aptos"/>
        </w:rPr>
        <w:t xml:space="preserve"> the appointment of an inspector under S 84 C of the Trustee </w:t>
      </w:r>
      <w:r w:rsidRPr="05C911C2">
        <w:rPr>
          <w:rFonts w:ascii="Aptos" w:eastAsia="Aptos" w:hAnsi="Aptos" w:cs="Aptos"/>
        </w:rPr>
        <w:t>Act 1936</w:t>
      </w:r>
      <w:r w:rsidRPr="006348DF">
        <w:rPr>
          <w:rFonts w:ascii="Aptos" w:eastAsia="Aptos" w:hAnsi="Aptos" w:cs="Aptos"/>
        </w:rPr>
        <w:t xml:space="preserve">. </w:t>
      </w:r>
      <w:r w:rsidRPr="7F83994A">
        <w:rPr>
          <w:rFonts w:ascii="Aptos" w:eastAsia="Aptos" w:hAnsi="Aptos" w:cs="Aptos"/>
        </w:rPr>
        <w:t xml:space="preserve">They sought an order that they should be permitted to inspect and copy documents in the </w:t>
      </w:r>
      <w:r w:rsidRPr="74284AD2">
        <w:rPr>
          <w:rFonts w:ascii="Aptos" w:eastAsia="Aptos" w:hAnsi="Aptos" w:cs="Aptos"/>
        </w:rPr>
        <w:t xml:space="preserve">possession of the respondent </w:t>
      </w:r>
      <w:r w:rsidRPr="66ECBEEA">
        <w:rPr>
          <w:rFonts w:ascii="Aptos" w:eastAsia="Aptos" w:hAnsi="Aptos" w:cs="Aptos"/>
        </w:rPr>
        <w:t xml:space="preserve">(these </w:t>
      </w:r>
      <w:r w:rsidRPr="482E563A">
        <w:rPr>
          <w:rFonts w:ascii="Aptos" w:eastAsia="Aptos" w:hAnsi="Aptos" w:cs="Aptos"/>
        </w:rPr>
        <w:t xml:space="preserve">included witness statement, </w:t>
      </w:r>
      <w:r w:rsidRPr="21E9E669">
        <w:rPr>
          <w:rFonts w:ascii="Aptos" w:eastAsia="Aptos" w:hAnsi="Aptos" w:cs="Aptos"/>
        </w:rPr>
        <w:t xml:space="preserve">expert reports, and legal advice </w:t>
      </w:r>
      <w:r w:rsidRPr="4052B724">
        <w:rPr>
          <w:rFonts w:ascii="Aptos" w:eastAsia="Aptos" w:hAnsi="Aptos" w:cs="Aptos"/>
        </w:rPr>
        <w:t>which helped form the brief for the dispute</w:t>
      </w:r>
      <w:r w:rsidRPr="21E9E669">
        <w:rPr>
          <w:rFonts w:ascii="Aptos" w:eastAsia="Aptos" w:hAnsi="Aptos" w:cs="Aptos"/>
        </w:rPr>
        <w:t>).</w:t>
      </w:r>
    </w:p>
    <w:p w14:paraId="4A8F3914" w14:textId="77777777" w:rsidR="00297834" w:rsidRDefault="00297834" w:rsidP="00297834">
      <w:pPr>
        <w:pStyle w:val="ListParagraph"/>
        <w:numPr>
          <w:ilvl w:val="0"/>
          <w:numId w:val="30"/>
        </w:numPr>
        <w:spacing w:before="240" w:after="240" w:line="278" w:lineRule="auto"/>
        <w:rPr>
          <w:rFonts w:ascii="Aptos" w:eastAsia="Aptos" w:hAnsi="Aptos" w:cs="Aptos"/>
        </w:rPr>
      </w:pPr>
      <w:r w:rsidRPr="4052B724">
        <w:rPr>
          <w:rFonts w:ascii="Aptos" w:eastAsia="Aptos" w:hAnsi="Aptos" w:cs="Aptos"/>
        </w:rPr>
        <w:t xml:space="preserve">The respondent refused the access to these documents </w:t>
      </w:r>
      <w:r w:rsidRPr="7BF95C98">
        <w:rPr>
          <w:rFonts w:ascii="Aptos" w:eastAsia="Aptos" w:hAnsi="Aptos" w:cs="Aptos"/>
        </w:rPr>
        <w:t xml:space="preserve">on the grounds of confidentiality, the appellants </w:t>
      </w:r>
      <w:r w:rsidRPr="7FCA309D">
        <w:rPr>
          <w:rFonts w:ascii="Aptos" w:eastAsia="Aptos" w:hAnsi="Aptos" w:cs="Aptos"/>
        </w:rPr>
        <w:t>were willing to give undertakings as confidentiality</w:t>
      </w:r>
    </w:p>
    <w:p w14:paraId="738D8B2E" w14:textId="77777777" w:rsidR="00297834" w:rsidRDefault="00297834" w:rsidP="00297834">
      <w:pPr>
        <w:pStyle w:val="ListParagraph"/>
        <w:numPr>
          <w:ilvl w:val="0"/>
          <w:numId w:val="30"/>
        </w:numPr>
        <w:spacing w:before="240" w:after="240" w:line="278" w:lineRule="auto"/>
        <w:rPr>
          <w:rFonts w:ascii="Aptos" w:eastAsia="Aptos" w:hAnsi="Aptos" w:cs="Aptos"/>
        </w:rPr>
      </w:pPr>
      <w:r w:rsidRPr="5AD853CE">
        <w:rPr>
          <w:rFonts w:ascii="Aptos" w:eastAsia="Aptos" w:hAnsi="Aptos" w:cs="Aptos"/>
        </w:rPr>
        <w:t xml:space="preserve">It was held that the appellants did not have unrestricted rights to inspect the documents  </w:t>
      </w:r>
    </w:p>
    <w:p w14:paraId="18215887" w14:textId="77777777" w:rsidR="00297834" w:rsidRDefault="00297834" w:rsidP="00297834">
      <w:pPr>
        <w:pStyle w:val="ListParagraph"/>
        <w:numPr>
          <w:ilvl w:val="0"/>
          <w:numId w:val="30"/>
        </w:numPr>
        <w:spacing w:before="240" w:after="240" w:line="278" w:lineRule="auto"/>
        <w:rPr>
          <w:rFonts w:ascii="Aptos" w:eastAsia="Aptos" w:hAnsi="Aptos" w:cs="Aptos"/>
        </w:rPr>
      </w:pPr>
      <w:r w:rsidRPr="1246F15E">
        <w:rPr>
          <w:rFonts w:ascii="Aptos" w:eastAsia="Aptos" w:hAnsi="Aptos" w:cs="Aptos"/>
        </w:rPr>
        <w:t xml:space="preserve">The appellants appealed </w:t>
      </w:r>
      <w:r w:rsidRPr="0DC48C60">
        <w:rPr>
          <w:rFonts w:ascii="Aptos" w:eastAsia="Aptos" w:hAnsi="Aptos" w:cs="Aptos"/>
        </w:rPr>
        <w:t>and</w:t>
      </w:r>
      <w:r w:rsidRPr="1246F15E">
        <w:rPr>
          <w:rFonts w:ascii="Aptos" w:eastAsia="Aptos" w:hAnsi="Aptos" w:cs="Aptos"/>
        </w:rPr>
        <w:t xml:space="preserve"> the </w:t>
      </w:r>
      <w:r w:rsidRPr="0DC48C60">
        <w:rPr>
          <w:rFonts w:ascii="Aptos" w:eastAsia="Aptos" w:hAnsi="Aptos" w:cs="Aptos"/>
        </w:rPr>
        <w:t>case was dismissed</w:t>
      </w:r>
      <w:r w:rsidRPr="1246F15E">
        <w:rPr>
          <w:rFonts w:ascii="Aptos" w:eastAsia="Aptos" w:hAnsi="Aptos" w:cs="Aptos"/>
        </w:rPr>
        <w:t xml:space="preserve"> </w:t>
      </w:r>
    </w:p>
    <w:p w14:paraId="524DED69" w14:textId="77777777" w:rsidR="00297834" w:rsidRDefault="00297834" w:rsidP="00297834">
      <w:pPr>
        <w:spacing w:before="240" w:after="240"/>
        <w:rPr>
          <w:rFonts w:ascii="Aptos" w:eastAsia="Aptos" w:hAnsi="Aptos" w:cs="Aptos"/>
        </w:rPr>
      </w:pPr>
      <w:r w:rsidRPr="0DC48C60">
        <w:rPr>
          <w:rFonts w:ascii="Aptos" w:eastAsia="Aptos" w:hAnsi="Aptos" w:cs="Aptos"/>
        </w:rPr>
        <w:t xml:space="preserve">How will this help us with part </w:t>
      </w:r>
      <w:r w:rsidRPr="70534646">
        <w:rPr>
          <w:rFonts w:ascii="Aptos" w:eastAsia="Aptos" w:hAnsi="Aptos" w:cs="Aptos"/>
        </w:rPr>
        <w:t>B?</w:t>
      </w:r>
    </w:p>
    <w:p w14:paraId="1299C218" w14:textId="77777777" w:rsidR="00297834" w:rsidRDefault="00297834" w:rsidP="00297834">
      <w:pPr>
        <w:pStyle w:val="ListParagraph"/>
        <w:numPr>
          <w:ilvl w:val="0"/>
          <w:numId w:val="34"/>
        </w:numPr>
        <w:spacing w:before="240" w:after="240" w:line="278" w:lineRule="auto"/>
        <w:rPr>
          <w:rFonts w:ascii="Aptos" w:eastAsia="Aptos" w:hAnsi="Aptos" w:cs="Aptos"/>
        </w:rPr>
      </w:pPr>
      <w:r w:rsidRPr="515EC23D">
        <w:rPr>
          <w:rFonts w:ascii="Aptos" w:eastAsia="Aptos" w:hAnsi="Aptos" w:cs="Aptos"/>
        </w:rPr>
        <w:t xml:space="preserve">Beneficiaries should have the right to comprehend choices that impact their interests </w:t>
      </w:r>
    </w:p>
    <w:p w14:paraId="2FB7CA3E" w14:textId="77777777" w:rsidR="00297834" w:rsidRDefault="00297834" w:rsidP="00297834">
      <w:pPr>
        <w:pStyle w:val="ListParagraph"/>
        <w:numPr>
          <w:ilvl w:val="0"/>
          <w:numId w:val="34"/>
        </w:numPr>
        <w:spacing w:before="240" w:after="240" w:line="278" w:lineRule="auto"/>
        <w:rPr>
          <w:rFonts w:ascii="Aptos" w:eastAsia="Aptos" w:hAnsi="Aptos" w:cs="Aptos"/>
        </w:rPr>
      </w:pPr>
      <w:r w:rsidRPr="6DC23E3B">
        <w:rPr>
          <w:rFonts w:ascii="Aptos" w:eastAsia="Aptos" w:hAnsi="Aptos" w:cs="Aptos"/>
        </w:rPr>
        <w:t xml:space="preserve">What is the point of being a beneficiary if they do not have access to basic information </w:t>
      </w:r>
      <w:r w:rsidRPr="7FE87BC4">
        <w:rPr>
          <w:rFonts w:ascii="Aptos" w:eastAsia="Aptos" w:hAnsi="Aptos" w:cs="Aptos"/>
        </w:rPr>
        <w:t>which effects</w:t>
      </w:r>
      <w:r w:rsidRPr="6DC23E3B">
        <w:rPr>
          <w:rFonts w:ascii="Aptos" w:eastAsia="Aptos" w:hAnsi="Aptos" w:cs="Aptos"/>
        </w:rPr>
        <w:t xml:space="preserve"> the trust </w:t>
      </w:r>
    </w:p>
    <w:p w14:paraId="38D676DA" w14:textId="77777777" w:rsidR="00297834" w:rsidRDefault="00297834" w:rsidP="00297834">
      <w:pPr>
        <w:rPr>
          <w:rFonts w:ascii="Aptos" w:eastAsia="Aptos" w:hAnsi="Aptos" w:cs="Aptos"/>
          <w:color w:val="000000" w:themeColor="text1"/>
        </w:rPr>
      </w:pPr>
    </w:p>
    <w:p w14:paraId="169A6A3B" w14:textId="77777777" w:rsidR="00297834" w:rsidRDefault="00297834" w:rsidP="00297834">
      <w:pPr>
        <w:rPr>
          <w:rFonts w:eastAsiaTheme="minorEastAsia"/>
          <w:color w:val="000000" w:themeColor="text1"/>
        </w:rPr>
      </w:pPr>
    </w:p>
    <w:p w14:paraId="3CEA1587" w14:textId="77777777" w:rsidR="00297834" w:rsidRDefault="00297834" w:rsidP="00297834">
      <w:pPr>
        <w:rPr>
          <w:b/>
          <w:bCs/>
          <w:u w:val="single"/>
        </w:rPr>
      </w:pPr>
      <w:r w:rsidRPr="00816FE6">
        <w:rPr>
          <w:b/>
          <w:bCs/>
          <w:u w:val="single"/>
        </w:rPr>
        <w:t>D</w:t>
      </w:r>
      <w:r>
        <w:rPr>
          <w:b/>
          <w:bCs/>
          <w:u w:val="single"/>
        </w:rPr>
        <w:t xml:space="preserve">IANA D </w:t>
      </w:r>
    </w:p>
    <w:p w14:paraId="7B48A971" w14:textId="77777777" w:rsidR="00297834" w:rsidRPr="00816FE6" w:rsidRDefault="00297834" w:rsidP="00297834">
      <w:pPr>
        <w:rPr>
          <w:b/>
          <w:bCs/>
        </w:rPr>
      </w:pPr>
      <w:r w:rsidRPr="72127952">
        <w:rPr>
          <w:b/>
          <w:bCs/>
        </w:rPr>
        <w:t>Lewis v Tamplin [2018] EWHC 777 (Ch)</w:t>
      </w:r>
    </w:p>
    <w:p w14:paraId="2D99463E" w14:textId="77777777" w:rsidR="00297834" w:rsidRPr="00816FE6" w:rsidRDefault="00297834" w:rsidP="00297834">
      <w:r>
        <w:t>One of the key post-Schmidt cases that illustrates why many scholars argue that UK trust law on disclosure needs reform.</w:t>
      </w:r>
    </w:p>
    <w:p w14:paraId="6C288B77" w14:textId="77777777" w:rsidR="00297834" w:rsidRPr="00816FE6" w:rsidRDefault="00297834" w:rsidP="00297834">
      <w:pPr>
        <w:rPr>
          <w:b/>
          <w:bCs/>
        </w:rPr>
      </w:pPr>
      <w:r w:rsidRPr="72127952">
        <w:rPr>
          <w:b/>
          <w:bCs/>
        </w:rPr>
        <w:t>What happened / case facts</w:t>
      </w:r>
    </w:p>
    <w:p w14:paraId="6A7B575A" w14:textId="77777777" w:rsidR="00297834" w:rsidRPr="00816FE6" w:rsidRDefault="00297834" w:rsidP="00297834">
      <w:r w:rsidRPr="00816FE6">
        <w:t>The case concerned a family discretionary trust in which the claimants were beneficiaries seeking greater transparency from the trustees. The central issue was that the beneficiaries wanted disclosure of various trust documents, including letters of wishes left by the settlor and information about how the trustees had exercised their discretion.</w:t>
      </w:r>
    </w:p>
    <w:p w14:paraId="18D3131B" w14:textId="77777777" w:rsidR="00297834" w:rsidRPr="00816FE6" w:rsidRDefault="00297834" w:rsidP="00297834">
      <w:r w:rsidRPr="00816FE6">
        <w:t>The trustees refused full disclosure, arguing that such documents were confidential and that revealing them might harm the proper administration of the trust. The beneficiaries challenged this, claiming they needed the information to understand how the trust was being managed and whether the trustees were acting properly.</w:t>
      </w:r>
    </w:p>
    <w:p w14:paraId="7490AC80" w14:textId="77777777" w:rsidR="00297834" w:rsidRPr="00816FE6" w:rsidRDefault="00297834" w:rsidP="00297834">
      <w:r>
        <w:t>This disagreement over disclosure led to the court being asked to determine what documents beneficiaries are entitled to see, and how widely trustees’ discretion should operate when withholding information. </w:t>
      </w:r>
    </w:p>
    <w:p w14:paraId="6D36A574" w14:textId="77777777" w:rsidR="00297834" w:rsidRPr="00816FE6" w:rsidRDefault="00297834" w:rsidP="00297834">
      <w:pPr>
        <w:rPr>
          <w:b/>
          <w:bCs/>
        </w:rPr>
      </w:pPr>
      <w:r w:rsidRPr="72127952">
        <w:rPr>
          <w:b/>
          <w:bCs/>
        </w:rPr>
        <w:t>Outcome</w:t>
      </w:r>
    </w:p>
    <w:p w14:paraId="64765630" w14:textId="77777777" w:rsidR="00297834" w:rsidRPr="00816FE6" w:rsidRDefault="00297834" w:rsidP="00297834">
      <w:r w:rsidRPr="00816FE6">
        <w:t>The High Court held that the trustees were not required to disclose all the documents the beneficiaries requested, especially letters of wishes and internal deliberation materials. The court confirmed that:</w:t>
      </w:r>
    </w:p>
    <w:p w14:paraId="2AD563CE" w14:textId="77777777" w:rsidR="00297834" w:rsidRPr="00816FE6" w:rsidRDefault="00297834" w:rsidP="00297834">
      <w:pPr>
        <w:numPr>
          <w:ilvl w:val="0"/>
          <w:numId w:val="10"/>
        </w:numPr>
        <w:spacing w:line="278" w:lineRule="auto"/>
      </w:pPr>
      <w:r w:rsidRPr="00816FE6">
        <w:t>Beneficiaries do not have an automatic right to trust documents.</w:t>
      </w:r>
    </w:p>
    <w:p w14:paraId="57628CAF" w14:textId="77777777" w:rsidR="00297834" w:rsidRPr="00816FE6" w:rsidRDefault="00297834" w:rsidP="00297834">
      <w:pPr>
        <w:numPr>
          <w:ilvl w:val="0"/>
          <w:numId w:val="10"/>
        </w:numPr>
        <w:spacing w:line="278" w:lineRule="auto"/>
      </w:pPr>
      <w:r w:rsidRPr="00816FE6">
        <w:t>Disclosure is governed by the trustees’ fiduciary discretion, not by a strict legal entitlement.</w:t>
      </w:r>
    </w:p>
    <w:p w14:paraId="7ABBEDE9" w14:textId="77777777" w:rsidR="00297834" w:rsidRPr="00816FE6" w:rsidRDefault="00297834" w:rsidP="00297834">
      <w:pPr>
        <w:numPr>
          <w:ilvl w:val="0"/>
          <w:numId w:val="10"/>
        </w:numPr>
        <w:spacing w:line="278" w:lineRule="auto"/>
      </w:pPr>
      <w:r w:rsidRPr="00816FE6">
        <w:t>The court will only intervene if trustees act unreasonably, in bad faith, or decide that no reasonable trustee would make.</w:t>
      </w:r>
    </w:p>
    <w:p w14:paraId="16A309C5" w14:textId="77777777" w:rsidR="00297834" w:rsidRPr="00816FE6" w:rsidRDefault="00297834" w:rsidP="00297834">
      <w:r w:rsidRPr="00816FE6">
        <w:t>In this case, the court found the trustees’ refusal to disclose certain sensitive documents was reasonable and lawful, because disclosure could undermine the trust’s proper administration.</w:t>
      </w:r>
      <w:r w:rsidRPr="00816FE6">
        <w:br/>
        <w:t>However, the court did require the trustees to release some financial and administrative information, but not anything that revealed confidential reasoning or the settlor’s wishes.</w:t>
      </w:r>
    </w:p>
    <w:p w14:paraId="07BA8371" w14:textId="77777777" w:rsidR="00297834" w:rsidRPr="00816FE6" w:rsidRDefault="00297834" w:rsidP="00297834">
      <w:r w:rsidRPr="00816FE6">
        <w:t>How can this help with Part B?</w:t>
      </w:r>
    </w:p>
    <w:p w14:paraId="1951345C" w14:textId="77777777" w:rsidR="00297834" w:rsidRPr="00816FE6" w:rsidRDefault="00297834" w:rsidP="00297834">
      <w:r w:rsidRPr="00816FE6">
        <w:t xml:space="preserve">Lewis v Tamplin is highly relevant to the question of reforming beneficiaries’ rights to information because it highlights the uncertainty and inconsistency in the current </w:t>
      </w:r>
      <w:proofErr w:type="spellStart"/>
      <w:r w:rsidRPr="00816FE6">
        <w:t>law.</w:t>
      </w:r>
      <w:proofErr w:type="spellEnd"/>
      <w:r w:rsidRPr="00816FE6">
        <w:t xml:space="preserve"> The case shows how courts struggle to balance transparency with trustees’ discretion, especially around letters of wishes and whether trustees must disclose their reasons.</w:t>
      </w:r>
    </w:p>
    <w:p w14:paraId="5B526AA3" w14:textId="77777777" w:rsidR="00297834" w:rsidRPr="00816FE6" w:rsidRDefault="00297834" w:rsidP="00297834">
      <w:r w:rsidRPr="00816FE6">
        <w:t>Judicial comments in the decision underline the need for clearer, more predictable rules to ensure fairness between trustees and beneficiaries. As a result, the case provides strong support for arguing that the law in this area is fragmented and therefore ripe for statutory reform.</w:t>
      </w:r>
    </w:p>
    <w:p w14:paraId="03D1D86B" w14:textId="77777777" w:rsidR="00297834" w:rsidRDefault="00297834" w:rsidP="00297834">
      <w:pPr>
        <w:spacing w:before="240" w:after="240"/>
      </w:pPr>
      <w:r w:rsidRPr="05C83B43">
        <w:rPr>
          <w:rFonts w:ascii="Calibri" w:eastAsia="Calibri" w:hAnsi="Calibri" w:cs="Calibri"/>
          <w:b/>
          <w:bCs/>
          <w:color w:val="000000" w:themeColor="text1"/>
        </w:rPr>
        <w:lastRenderedPageBreak/>
        <w:t>Challenges Associated with Beneficiary Rights</w:t>
      </w:r>
    </w:p>
    <w:p w14:paraId="2468353F" w14:textId="77777777" w:rsidR="00297834" w:rsidRDefault="00297834" w:rsidP="00297834">
      <w:pPr>
        <w:spacing w:before="240" w:after="240"/>
      </w:pPr>
      <w:r w:rsidRPr="05C83B43">
        <w:rPr>
          <w:rFonts w:ascii="Times New Roman" w:eastAsia="Times New Roman" w:hAnsi="Times New Roman" w:cs="Times New Roman"/>
          <w:b/>
          <w:bCs/>
          <w:color w:val="000000" w:themeColor="text1"/>
        </w:rPr>
        <w:t xml:space="preserve">1. </w:t>
      </w:r>
      <w:r w:rsidRPr="05C83B43">
        <w:rPr>
          <w:rFonts w:ascii="Calibri" w:eastAsia="Calibri" w:hAnsi="Calibri" w:cs="Calibri"/>
          <w:b/>
          <w:bCs/>
          <w:color w:val="000000" w:themeColor="text1"/>
        </w:rPr>
        <w:t>Lack of Certainty</w:t>
      </w:r>
    </w:p>
    <w:p w14:paraId="4CCF8A74" w14:textId="77777777" w:rsidR="00297834" w:rsidRDefault="00297834" w:rsidP="00297834">
      <w:pPr>
        <w:pStyle w:val="ListParagraph"/>
        <w:numPr>
          <w:ilvl w:val="0"/>
          <w:numId w:val="4"/>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Beneficiaries do not have a fixed, statutory right to information.</w:t>
      </w:r>
    </w:p>
    <w:p w14:paraId="50FF5271" w14:textId="77777777" w:rsidR="00297834" w:rsidRDefault="00297834" w:rsidP="00297834">
      <w:pPr>
        <w:pStyle w:val="ListParagraph"/>
        <w:numPr>
          <w:ilvl w:val="0"/>
          <w:numId w:val="4"/>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Courts decide disclosure on a case by case under the discretionary framework established in Schmidt v Rosewood [2003].</w:t>
      </w:r>
    </w:p>
    <w:p w14:paraId="6E0A8BC5" w14:textId="77777777" w:rsidR="00297834" w:rsidRDefault="00297834" w:rsidP="00297834">
      <w:pPr>
        <w:pStyle w:val="ListParagraph"/>
        <w:numPr>
          <w:ilvl w:val="0"/>
          <w:numId w:val="4"/>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Different judges may reach different conclusions on similar facts, creating unpredictability.</w:t>
      </w:r>
    </w:p>
    <w:p w14:paraId="25A0F2CA" w14:textId="77777777" w:rsidR="00297834" w:rsidRDefault="00297834" w:rsidP="00297834">
      <w:pPr>
        <w:pStyle w:val="ListParagraph"/>
        <w:numPr>
          <w:ilvl w:val="0"/>
          <w:numId w:val="4"/>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Example: In Lewis v Tamplin [2018], some documents were disclosed, but letters of wishes were withheld, showing inconsistency.</w:t>
      </w:r>
    </w:p>
    <w:p w14:paraId="2A8EEA5A" w14:textId="77777777" w:rsidR="00297834" w:rsidRDefault="00297834" w:rsidP="00297834">
      <w:pPr>
        <w:pStyle w:val="Heading2"/>
        <w:spacing w:before="460" w:after="120" w:line="257" w:lineRule="auto"/>
      </w:pPr>
      <w:r w:rsidRPr="05C83B43">
        <w:rPr>
          <w:rFonts w:ascii="Calibri" w:eastAsia="Calibri" w:hAnsi="Calibri" w:cs="Calibri"/>
          <w:b/>
          <w:bCs/>
          <w:color w:val="000000" w:themeColor="text1"/>
          <w:sz w:val="24"/>
          <w:szCs w:val="24"/>
          <w:lang w:val="en-US"/>
        </w:rPr>
        <w:t>2. Reliance on Judicial Discretion</w:t>
      </w:r>
    </w:p>
    <w:p w14:paraId="47C156A9" w14:textId="77777777" w:rsidR="00297834" w:rsidRDefault="00297834" w:rsidP="00297834">
      <w:pPr>
        <w:pStyle w:val="ListParagraph"/>
        <w:numPr>
          <w:ilvl w:val="0"/>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Beneficiaries’ access depends on the court’s supervision of trustees.</w:t>
      </w:r>
    </w:p>
    <w:p w14:paraId="5F2674AC" w14:textId="77777777" w:rsidR="00297834" w:rsidRDefault="00297834" w:rsidP="00297834">
      <w:pPr>
        <w:pStyle w:val="ListParagraph"/>
        <w:numPr>
          <w:ilvl w:val="0"/>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Judges must balance:</w:t>
      </w:r>
    </w:p>
    <w:p w14:paraId="6156DE2C" w14:textId="77777777" w:rsidR="00297834" w:rsidRDefault="00297834" w:rsidP="00297834">
      <w:pPr>
        <w:pStyle w:val="ListParagraph"/>
        <w:numPr>
          <w:ilvl w:val="1"/>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the beneficiaries’ interest,</w:t>
      </w:r>
    </w:p>
    <w:p w14:paraId="5C962935" w14:textId="77777777" w:rsidR="00297834" w:rsidRDefault="00297834" w:rsidP="00297834">
      <w:pPr>
        <w:pStyle w:val="ListParagraph"/>
        <w:numPr>
          <w:ilvl w:val="1"/>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trustees’ discretion,</w:t>
      </w:r>
    </w:p>
    <w:p w14:paraId="07B7AD53" w14:textId="77777777" w:rsidR="00297834" w:rsidRDefault="00297834" w:rsidP="00297834">
      <w:pPr>
        <w:pStyle w:val="ListParagraph"/>
        <w:numPr>
          <w:ilvl w:val="1"/>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confidentiality, and</w:t>
      </w:r>
    </w:p>
    <w:p w14:paraId="2C80FF2D" w14:textId="77777777" w:rsidR="00297834" w:rsidRDefault="00297834" w:rsidP="00297834">
      <w:pPr>
        <w:pStyle w:val="ListParagraph"/>
        <w:numPr>
          <w:ilvl w:val="1"/>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settlor intentions.</w:t>
      </w:r>
    </w:p>
    <w:p w14:paraId="6BCA39C3" w14:textId="77777777" w:rsidR="00297834" w:rsidRDefault="00297834" w:rsidP="00297834">
      <w:pPr>
        <w:pStyle w:val="ListParagraph"/>
        <w:numPr>
          <w:ilvl w:val="0"/>
          <w:numId w:val="8"/>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This discretionary approach can delay access and increase litigation costs.</w:t>
      </w:r>
    </w:p>
    <w:p w14:paraId="4816D491" w14:textId="77777777" w:rsidR="00297834" w:rsidRDefault="00297834" w:rsidP="00297834">
      <w:pPr>
        <w:pStyle w:val="Heading2"/>
        <w:spacing w:before="460" w:after="120" w:line="257" w:lineRule="auto"/>
      </w:pPr>
      <w:r w:rsidRPr="05C83B43">
        <w:rPr>
          <w:rFonts w:ascii="Calibri" w:eastAsia="Calibri" w:hAnsi="Calibri" w:cs="Calibri"/>
          <w:b/>
          <w:bCs/>
          <w:color w:val="000000" w:themeColor="text1"/>
          <w:sz w:val="24"/>
          <w:szCs w:val="24"/>
          <w:lang w:val="en-US"/>
        </w:rPr>
        <w:t>3. Conflicts Between Transparency and Confidentiality</w:t>
      </w:r>
    </w:p>
    <w:p w14:paraId="2EE599B7" w14:textId="77777777" w:rsidR="00297834" w:rsidRDefault="00297834" w:rsidP="00297834">
      <w:pPr>
        <w:pStyle w:val="ListParagraph"/>
        <w:numPr>
          <w:ilvl w:val="0"/>
          <w:numId w:val="3"/>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Trustees often argue that disclosure of deliberations, letters of wishes, or legal advice may:</w:t>
      </w:r>
    </w:p>
    <w:p w14:paraId="3946CF8E" w14:textId="77777777" w:rsidR="00297834" w:rsidRDefault="00297834" w:rsidP="00297834">
      <w:pPr>
        <w:pStyle w:val="ListParagraph"/>
        <w:numPr>
          <w:ilvl w:val="1"/>
          <w:numId w:val="3"/>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compromise privacy</w:t>
      </w:r>
    </w:p>
    <w:p w14:paraId="6C955EC3" w14:textId="77777777" w:rsidR="00297834" w:rsidRDefault="00297834" w:rsidP="00297834">
      <w:pPr>
        <w:pStyle w:val="ListParagraph"/>
        <w:numPr>
          <w:ilvl w:val="1"/>
          <w:numId w:val="3"/>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harm other beneficiaries, or</w:t>
      </w:r>
    </w:p>
    <w:p w14:paraId="3961596C" w14:textId="77777777" w:rsidR="00297834" w:rsidRDefault="00297834" w:rsidP="00297834">
      <w:pPr>
        <w:pStyle w:val="ListParagraph"/>
        <w:numPr>
          <w:ilvl w:val="1"/>
          <w:numId w:val="3"/>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undermine trust administration.</w:t>
      </w:r>
    </w:p>
    <w:p w14:paraId="66B0645E" w14:textId="77777777" w:rsidR="00297834" w:rsidRDefault="00297834" w:rsidP="00297834">
      <w:pPr>
        <w:pStyle w:val="ListParagraph"/>
        <w:numPr>
          <w:ilvl w:val="0"/>
          <w:numId w:val="3"/>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Courts must balance these competing interests, but there are no clear statutory limits.</w:t>
      </w:r>
    </w:p>
    <w:p w14:paraId="180745B7" w14:textId="77777777" w:rsidR="00297834" w:rsidRDefault="00297834" w:rsidP="00297834">
      <w:pPr>
        <w:pStyle w:val="Heading2"/>
        <w:spacing w:before="460" w:after="120" w:line="257" w:lineRule="auto"/>
      </w:pPr>
      <w:r w:rsidRPr="05C83B43">
        <w:rPr>
          <w:rFonts w:ascii="Calibri" w:eastAsia="Calibri" w:hAnsi="Calibri" w:cs="Calibri"/>
          <w:b/>
          <w:bCs/>
          <w:color w:val="000000" w:themeColor="text1"/>
          <w:sz w:val="24"/>
          <w:szCs w:val="24"/>
          <w:lang w:val="en-US"/>
        </w:rPr>
        <w:t>4. Difficulty for Discretionary Beneficiaries</w:t>
      </w:r>
    </w:p>
    <w:p w14:paraId="6A0A2F9B" w14:textId="77777777" w:rsidR="00297834" w:rsidRDefault="00297834" w:rsidP="00297834">
      <w:pPr>
        <w:pStyle w:val="ListParagraph"/>
        <w:numPr>
          <w:ilvl w:val="0"/>
          <w:numId w:val="5"/>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Beneficiaries who may or may not receive benefits often struggle to obtain meaningful information.</w:t>
      </w:r>
    </w:p>
    <w:p w14:paraId="23D13B01" w14:textId="77777777" w:rsidR="00297834" w:rsidRDefault="00297834" w:rsidP="00297834">
      <w:pPr>
        <w:pStyle w:val="ListParagraph"/>
        <w:numPr>
          <w:ilvl w:val="0"/>
          <w:numId w:val="5"/>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 xml:space="preserve">Courts weigh whether they have a “sufficient interest,” but this is vague and inconsistent. </w:t>
      </w:r>
    </w:p>
    <w:p w14:paraId="2CD16C35" w14:textId="77777777" w:rsidR="00297834" w:rsidRDefault="00297834" w:rsidP="00297834">
      <w:pPr>
        <w:pStyle w:val="ListParagraph"/>
        <w:numPr>
          <w:ilvl w:val="0"/>
          <w:numId w:val="5"/>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 xml:space="preserve">This makes it hard for discretionary beneficiaries to protect their interests. </w:t>
      </w:r>
    </w:p>
    <w:p w14:paraId="7930F4BB" w14:textId="77777777" w:rsidR="00297834" w:rsidRDefault="00297834" w:rsidP="00297834">
      <w:pPr>
        <w:spacing w:before="240" w:after="240" w:line="276" w:lineRule="auto"/>
      </w:pPr>
      <w:r w:rsidRPr="05C83B43">
        <w:rPr>
          <w:rFonts w:ascii="Calibri" w:eastAsia="Calibri" w:hAnsi="Calibri" w:cs="Calibri"/>
          <w:color w:val="000000" w:themeColor="text1"/>
        </w:rPr>
        <w:t xml:space="preserve"> </w:t>
      </w:r>
      <w:r w:rsidRPr="05C83B43">
        <w:rPr>
          <w:rFonts w:ascii="Calibri" w:eastAsia="Calibri" w:hAnsi="Calibri" w:cs="Calibri"/>
          <w:b/>
          <w:bCs/>
          <w:color w:val="000000" w:themeColor="text1"/>
          <w:lang w:val="en-US"/>
        </w:rPr>
        <w:t>5. Lack of Clarity About Categories of Information</w:t>
      </w:r>
    </w:p>
    <w:p w14:paraId="6629B513" w14:textId="77777777" w:rsidR="00297834" w:rsidRDefault="00297834" w:rsidP="00297834">
      <w:pPr>
        <w:pStyle w:val="ListParagraph"/>
        <w:numPr>
          <w:ilvl w:val="0"/>
          <w:numId w:val="7"/>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Case law distinguishes between:</w:t>
      </w:r>
    </w:p>
    <w:p w14:paraId="69147F94" w14:textId="77777777" w:rsidR="00297834" w:rsidRDefault="00297834" w:rsidP="00297834">
      <w:pPr>
        <w:pStyle w:val="ListParagraph"/>
        <w:numPr>
          <w:ilvl w:val="1"/>
          <w:numId w:val="7"/>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Core administrative documents (accounts, statements)</w:t>
      </w:r>
    </w:p>
    <w:p w14:paraId="526F3D43" w14:textId="77777777" w:rsidR="00297834" w:rsidRDefault="00297834" w:rsidP="00297834">
      <w:pPr>
        <w:pStyle w:val="ListParagraph"/>
        <w:numPr>
          <w:ilvl w:val="1"/>
          <w:numId w:val="7"/>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Deliberative documents</w:t>
      </w:r>
      <w:r w:rsidRPr="05C83B43">
        <w:rPr>
          <w:rFonts w:ascii="Calibri" w:eastAsia="Calibri" w:hAnsi="Calibri" w:cs="Calibri"/>
          <w:b/>
          <w:bCs/>
          <w:color w:val="000000" w:themeColor="text1"/>
        </w:rPr>
        <w:t xml:space="preserve"> </w:t>
      </w:r>
      <w:r w:rsidRPr="05C83B43">
        <w:rPr>
          <w:rFonts w:ascii="Calibri" w:eastAsia="Calibri" w:hAnsi="Calibri" w:cs="Calibri"/>
          <w:color w:val="000000" w:themeColor="text1"/>
        </w:rPr>
        <w:t>(minutes, letters of wishes)</w:t>
      </w:r>
    </w:p>
    <w:p w14:paraId="108E0DC8" w14:textId="77777777" w:rsidR="00297834" w:rsidRDefault="00297834" w:rsidP="00297834">
      <w:pPr>
        <w:pStyle w:val="ListParagraph"/>
        <w:numPr>
          <w:ilvl w:val="1"/>
          <w:numId w:val="7"/>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Legal advice</w:t>
      </w:r>
    </w:p>
    <w:p w14:paraId="34B36E59" w14:textId="77777777" w:rsidR="00297834" w:rsidRDefault="00297834" w:rsidP="00297834">
      <w:pPr>
        <w:pStyle w:val="ListParagraph"/>
        <w:numPr>
          <w:ilvl w:val="0"/>
          <w:numId w:val="7"/>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 xml:space="preserve">There is no statutory framework defining these categories, so trustees may over-restrict disclosure. </w:t>
      </w:r>
    </w:p>
    <w:p w14:paraId="629D2B1D" w14:textId="77777777" w:rsidR="00297834" w:rsidRDefault="00297834" w:rsidP="00297834">
      <w:pPr>
        <w:pStyle w:val="Heading2"/>
        <w:spacing w:before="460" w:after="120" w:line="257" w:lineRule="auto"/>
      </w:pPr>
      <w:r w:rsidRPr="05C83B43">
        <w:rPr>
          <w:rFonts w:ascii="Calibri" w:eastAsia="Calibri" w:hAnsi="Calibri" w:cs="Calibri"/>
          <w:b/>
          <w:bCs/>
          <w:color w:val="000000" w:themeColor="text1"/>
          <w:sz w:val="24"/>
          <w:szCs w:val="24"/>
          <w:lang w:val="en-US"/>
        </w:rPr>
        <w:lastRenderedPageBreak/>
        <w:t>6. Risk of Litigation and Costs</w:t>
      </w:r>
    </w:p>
    <w:p w14:paraId="428BEF1F" w14:textId="77777777" w:rsidR="00297834" w:rsidRDefault="00297834" w:rsidP="00297834">
      <w:pPr>
        <w:pStyle w:val="ListParagraph"/>
        <w:numPr>
          <w:ilvl w:val="0"/>
          <w:numId w:val="2"/>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Beneficiaries often resort to court applications to obtain information.</w:t>
      </w:r>
    </w:p>
    <w:p w14:paraId="0D614E35" w14:textId="77777777" w:rsidR="00297834" w:rsidRDefault="00297834" w:rsidP="00297834">
      <w:pPr>
        <w:pStyle w:val="ListParagraph"/>
        <w:numPr>
          <w:ilvl w:val="0"/>
          <w:numId w:val="2"/>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Litigation is expensive and time-consuming, especially for small trusts.</w:t>
      </w:r>
    </w:p>
    <w:p w14:paraId="690207D7" w14:textId="77777777" w:rsidR="00297834" w:rsidRDefault="00297834" w:rsidP="00297834">
      <w:pPr>
        <w:pStyle w:val="ListParagraph"/>
        <w:numPr>
          <w:ilvl w:val="0"/>
          <w:numId w:val="2"/>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Trustees may resist disclosure on the grounds of privilege or confidentiality, increasing disputes.</w:t>
      </w:r>
    </w:p>
    <w:p w14:paraId="0DF3B2FA" w14:textId="77777777" w:rsidR="00297834" w:rsidRDefault="00297834" w:rsidP="00297834">
      <w:pPr>
        <w:pStyle w:val="Heading2"/>
        <w:spacing w:before="460" w:after="120" w:line="257" w:lineRule="auto"/>
      </w:pPr>
      <w:r w:rsidRPr="05C83B43">
        <w:rPr>
          <w:rFonts w:ascii="Calibri" w:eastAsia="Calibri" w:hAnsi="Calibri" w:cs="Calibri"/>
          <w:b/>
          <w:bCs/>
          <w:color w:val="000000" w:themeColor="text1"/>
          <w:sz w:val="24"/>
          <w:szCs w:val="24"/>
          <w:lang w:val="en-US"/>
        </w:rPr>
        <w:t>7. Outdated Doctrinal Foundations</w:t>
      </w:r>
    </w:p>
    <w:p w14:paraId="5925DB90" w14:textId="77777777" w:rsidR="00297834" w:rsidRDefault="00297834" w:rsidP="00297834">
      <w:pPr>
        <w:pStyle w:val="ListParagraph"/>
        <w:numPr>
          <w:ilvl w:val="0"/>
          <w:numId w:val="11"/>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Prior to 2003, the proprietary entitlement theory (Re Londonderry) was used, which gave little or no disclosure.</w:t>
      </w:r>
    </w:p>
    <w:p w14:paraId="1C650CBD" w14:textId="77777777" w:rsidR="00297834" w:rsidRDefault="00297834" w:rsidP="00297834">
      <w:pPr>
        <w:pStyle w:val="ListParagraph"/>
        <w:numPr>
          <w:ilvl w:val="0"/>
          <w:numId w:val="11"/>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Post-Schmidt, discretionary supervision replaced it, but no statutory codification exists.</w:t>
      </w:r>
    </w:p>
    <w:p w14:paraId="6BA677F0" w14:textId="77777777" w:rsidR="00297834" w:rsidRDefault="00297834" w:rsidP="00297834">
      <w:pPr>
        <w:pStyle w:val="ListParagraph"/>
        <w:numPr>
          <w:ilvl w:val="0"/>
          <w:numId w:val="11"/>
        </w:numPr>
        <w:spacing w:after="0" w:line="276" w:lineRule="auto"/>
        <w:rPr>
          <w:rFonts w:ascii="Calibri" w:eastAsia="Calibri" w:hAnsi="Calibri" w:cs="Calibri"/>
          <w:color w:val="000000" w:themeColor="text1"/>
        </w:rPr>
      </w:pPr>
      <w:r w:rsidRPr="05C83B43">
        <w:rPr>
          <w:rFonts w:ascii="Calibri" w:eastAsia="Calibri" w:hAnsi="Calibri" w:cs="Calibri"/>
          <w:color w:val="000000" w:themeColor="text1"/>
        </w:rPr>
        <w:t xml:space="preserve">Modern trust structures, professional trustees, and total-return portfolios are not fully reflected in the </w:t>
      </w:r>
      <w:proofErr w:type="spellStart"/>
      <w:r w:rsidRPr="05C83B43">
        <w:rPr>
          <w:rFonts w:ascii="Calibri" w:eastAsia="Calibri" w:hAnsi="Calibri" w:cs="Calibri"/>
          <w:color w:val="000000" w:themeColor="text1"/>
        </w:rPr>
        <w:t>law.</w:t>
      </w:r>
      <w:proofErr w:type="spellEnd"/>
    </w:p>
    <w:p w14:paraId="6C5424C0" w14:textId="77777777" w:rsidR="00297834" w:rsidRDefault="00297834" w:rsidP="00297834"/>
    <w:p w14:paraId="7312CF9C" w14:textId="77777777" w:rsidR="00297834" w:rsidRPr="00816FE6" w:rsidRDefault="00297834" w:rsidP="00297834">
      <w:pPr>
        <w:rPr>
          <w:b/>
          <w:bCs/>
          <w:u w:val="single"/>
        </w:rPr>
      </w:pPr>
    </w:p>
    <w:p w14:paraId="33B3893C" w14:textId="77777777" w:rsidR="00297834" w:rsidRPr="00816FE6" w:rsidRDefault="00297834" w:rsidP="00297834">
      <w:pPr>
        <w:rPr>
          <w:b/>
          <w:bCs/>
          <w:u w:val="single"/>
        </w:rPr>
      </w:pPr>
    </w:p>
    <w:p w14:paraId="09A49C7D" w14:textId="77777777" w:rsidR="00297834" w:rsidRPr="00816FE6" w:rsidRDefault="00297834" w:rsidP="00297834">
      <w:pPr>
        <w:rPr>
          <w:b/>
          <w:bCs/>
          <w:u w:val="single"/>
        </w:rPr>
      </w:pPr>
      <w:r w:rsidRPr="00816FE6">
        <w:rPr>
          <w:b/>
          <w:bCs/>
          <w:u w:val="single"/>
        </w:rPr>
        <w:t xml:space="preserve">FFION O </w:t>
      </w:r>
    </w:p>
    <w:p w14:paraId="0B142B26" w14:textId="77777777" w:rsidR="00297834" w:rsidRDefault="00297834" w:rsidP="00297834">
      <w:pPr>
        <w:spacing w:before="240" w:after="240"/>
        <w:rPr>
          <w:rFonts w:ascii="Aptos" w:eastAsia="Aptos" w:hAnsi="Aptos" w:cs="Aptos"/>
        </w:rPr>
      </w:pPr>
      <w:r w:rsidRPr="1BF21EA5">
        <w:rPr>
          <w:rFonts w:ascii="Aptos" w:eastAsia="Aptos" w:hAnsi="Aptos" w:cs="Aptos"/>
        </w:rPr>
        <w:t xml:space="preserve">Research the current legal position of </w:t>
      </w:r>
      <w:r w:rsidRPr="7164A714">
        <w:rPr>
          <w:rFonts w:ascii="Aptos" w:eastAsia="Aptos" w:hAnsi="Aptos" w:cs="Aptos"/>
        </w:rPr>
        <w:t>trustee's</w:t>
      </w:r>
      <w:r w:rsidRPr="1BF21EA5">
        <w:rPr>
          <w:rFonts w:ascii="Aptos" w:eastAsia="Aptos" w:hAnsi="Aptos" w:cs="Aptos"/>
        </w:rPr>
        <w:t xml:space="preserve"> duty is</w:t>
      </w:r>
      <w:r w:rsidRPr="5D573554">
        <w:rPr>
          <w:rFonts w:ascii="Aptos" w:eastAsia="Aptos" w:hAnsi="Aptos" w:cs="Aptos"/>
        </w:rPr>
        <w:t>:</w:t>
      </w:r>
    </w:p>
    <w:p w14:paraId="1FC80C13" w14:textId="77777777" w:rsidR="00297834" w:rsidRDefault="00297834" w:rsidP="00297834">
      <w:pPr>
        <w:spacing w:before="240" w:after="240"/>
        <w:rPr>
          <w:rFonts w:ascii="Aptos" w:eastAsia="Aptos" w:hAnsi="Aptos" w:cs="Aptos"/>
          <w:b/>
          <w:bCs/>
        </w:rPr>
      </w:pPr>
      <w:r w:rsidRPr="5EC183FE">
        <w:rPr>
          <w:rFonts w:ascii="Aptos" w:eastAsia="Aptos" w:hAnsi="Aptos" w:cs="Aptos"/>
          <w:b/>
          <w:bCs/>
        </w:rPr>
        <w:t xml:space="preserve"> Trustee act 2000 - </w:t>
      </w:r>
    </w:p>
    <w:p w14:paraId="58840261" w14:textId="77777777" w:rsidR="00297834" w:rsidRDefault="00297834" w:rsidP="00297834">
      <w:pPr>
        <w:pStyle w:val="Heading3"/>
        <w:spacing w:before="281" w:after="281"/>
        <w:rPr>
          <w:rFonts w:ascii="Aptos" w:eastAsia="Aptos" w:hAnsi="Aptos" w:cs="Aptos"/>
          <w:b/>
          <w:bCs/>
          <w:color w:val="auto"/>
          <w:sz w:val="24"/>
          <w:szCs w:val="24"/>
        </w:rPr>
      </w:pPr>
      <w:r w:rsidRPr="58951A26">
        <w:rPr>
          <w:rFonts w:ascii="Aptos" w:eastAsia="Aptos" w:hAnsi="Aptos" w:cs="Aptos"/>
          <w:b/>
          <w:bCs/>
          <w:color w:val="auto"/>
          <w:sz w:val="24"/>
          <w:szCs w:val="24"/>
        </w:rPr>
        <w:t>1. Statutory Duties</w:t>
      </w:r>
    </w:p>
    <w:p w14:paraId="5B5C1608" w14:textId="77777777" w:rsidR="00297834" w:rsidRDefault="00297834" w:rsidP="00297834">
      <w:pPr>
        <w:spacing w:before="240" w:after="240"/>
      </w:pPr>
      <w:r w:rsidRPr="58951A26">
        <w:rPr>
          <w:rFonts w:ascii="Aptos" w:eastAsia="Aptos" w:hAnsi="Aptos" w:cs="Aptos"/>
          <w:b/>
          <w:bCs/>
        </w:rPr>
        <w:t>Trustee Act 2000</w:t>
      </w:r>
    </w:p>
    <w:p w14:paraId="76C62617" w14:textId="77777777" w:rsidR="00297834" w:rsidRDefault="00297834" w:rsidP="00297834">
      <w:pPr>
        <w:pStyle w:val="ListParagraph"/>
        <w:numPr>
          <w:ilvl w:val="0"/>
          <w:numId w:val="32"/>
        </w:numPr>
        <w:spacing w:before="240" w:after="240" w:line="278" w:lineRule="auto"/>
        <w:rPr>
          <w:rFonts w:ascii="Aptos" w:eastAsia="Aptos" w:hAnsi="Aptos" w:cs="Aptos"/>
          <w:b/>
          <w:bCs/>
        </w:rPr>
      </w:pPr>
      <w:r w:rsidRPr="58951A26">
        <w:rPr>
          <w:rFonts w:ascii="Aptos" w:eastAsia="Aptos" w:hAnsi="Aptos" w:cs="Aptos"/>
          <w:b/>
          <w:bCs/>
        </w:rPr>
        <w:t>Section 1 – Statutory duty of care</w:t>
      </w:r>
    </w:p>
    <w:p w14:paraId="2AB043DB" w14:textId="77777777" w:rsidR="00297834" w:rsidRDefault="00297834" w:rsidP="00297834">
      <w:pPr>
        <w:pStyle w:val="ListParagraph"/>
        <w:numPr>
          <w:ilvl w:val="1"/>
          <w:numId w:val="32"/>
        </w:numPr>
        <w:spacing w:before="240" w:after="240" w:line="278" w:lineRule="auto"/>
        <w:rPr>
          <w:rFonts w:ascii="Aptos" w:eastAsia="Aptos" w:hAnsi="Aptos" w:cs="Aptos"/>
        </w:rPr>
      </w:pPr>
      <w:r w:rsidRPr="58951A26">
        <w:rPr>
          <w:rFonts w:ascii="Aptos" w:eastAsia="Aptos" w:hAnsi="Aptos" w:cs="Aptos"/>
        </w:rPr>
        <w:t>Trustees must exercise reasonable care and skill.</w:t>
      </w:r>
    </w:p>
    <w:p w14:paraId="4727FA01" w14:textId="77777777" w:rsidR="00297834" w:rsidRDefault="00297834" w:rsidP="00297834">
      <w:pPr>
        <w:pStyle w:val="ListParagraph"/>
        <w:numPr>
          <w:ilvl w:val="1"/>
          <w:numId w:val="32"/>
        </w:numPr>
        <w:spacing w:before="240" w:after="240" w:line="278" w:lineRule="auto"/>
        <w:rPr>
          <w:rFonts w:ascii="Aptos" w:eastAsia="Aptos" w:hAnsi="Aptos" w:cs="Aptos"/>
        </w:rPr>
      </w:pPr>
      <w:r w:rsidRPr="58951A26">
        <w:rPr>
          <w:rFonts w:ascii="Aptos" w:eastAsia="Aptos" w:hAnsi="Aptos" w:cs="Aptos"/>
        </w:rPr>
        <w:t>Higher standard applies where:</w:t>
      </w:r>
    </w:p>
    <w:p w14:paraId="63AEE336" w14:textId="77777777" w:rsidR="00297834" w:rsidRDefault="00297834" w:rsidP="00297834">
      <w:pPr>
        <w:pStyle w:val="ListParagraph"/>
        <w:numPr>
          <w:ilvl w:val="2"/>
          <w:numId w:val="32"/>
        </w:numPr>
        <w:spacing w:before="240" w:after="240" w:line="278" w:lineRule="auto"/>
        <w:rPr>
          <w:rFonts w:ascii="Aptos" w:eastAsia="Aptos" w:hAnsi="Aptos" w:cs="Aptos"/>
        </w:rPr>
      </w:pPr>
      <w:r w:rsidRPr="58951A26">
        <w:rPr>
          <w:rFonts w:ascii="Aptos" w:eastAsia="Aptos" w:hAnsi="Aptos" w:cs="Aptos"/>
        </w:rPr>
        <w:t>The trustee has special knowledge or experience.</w:t>
      </w:r>
    </w:p>
    <w:p w14:paraId="474F6935" w14:textId="77777777" w:rsidR="00297834" w:rsidRDefault="00297834" w:rsidP="00297834">
      <w:pPr>
        <w:pStyle w:val="ListParagraph"/>
        <w:numPr>
          <w:ilvl w:val="2"/>
          <w:numId w:val="32"/>
        </w:numPr>
        <w:spacing w:before="240" w:after="240" w:line="278" w:lineRule="auto"/>
        <w:rPr>
          <w:rFonts w:ascii="Aptos" w:eastAsia="Aptos" w:hAnsi="Aptos" w:cs="Aptos"/>
        </w:rPr>
      </w:pPr>
      <w:r w:rsidRPr="58951A26">
        <w:rPr>
          <w:rFonts w:ascii="Aptos" w:eastAsia="Aptos" w:hAnsi="Aptos" w:cs="Aptos"/>
        </w:rPr>
        <w:t>The trustee acts in a professional capacity.</w:t>
      </w:r>
    </w:p>
    <w:p w14:paraId="4C83E0E2" w14:textId="77777777" w:rsidR="00297834" w:rsidRDefault="00297834" w:rsidP="00297834">
      <w:pPr>
        <w:pStyle w:val="ListParagraph"/>
        <w:numPr>
          <w:ilvl w:val="0"/>
          <w:numId w:val="32"/>
        </w:numPr>
        <w:spacing w:before="240" w:after="240" w:line="278" w:lineRule="auto"/>
        <w:rPr>
          <w:rFonts w:ascii="Aptos" w:eastAsia="Aptos" w:hAnsi="Aptos" w:cs="Aptos"/>
          <w:b/>
          <w:bCs/>
        </w:rPr>
      </w:pPr>
      <w:r w:rsidRPr="58951A26">
        <w:rPr>
          <w:rFonts w:ascii="Aptos" w:eastAsia="Aptos" w:hAnsi="Aptos" w:cs="Aptos"/>
          <w:b/>
          <w:bCs/>
        </w:rPr>
        <w:t>Section 2 – Application of duty</w:t>
      </w:r>
    </w:p>
    <w:p w14:paraId="7A5714A4" w14:textId="77777777" w:rsidR="00297834" w:rsidRDefault="00297834" w:rsidP="00297834">
      <w:pPr>
        <w:pStyle w:val="ListParagraph"/>
        <w:numPr>
          <w:ilvl w:val="1"/>
          <w:numId w:val="32"/>
        </w:numPr>
        <w:spacing w:before="240" w:after="240" w:line="278" w:lineRule="auto"/>
        <w:rPr>
          <w:rFonts w:ascii="Aptos" w:eastAsia="Aptos" w:hAnsi="Aptos" w:cs="Aptos"/>
        </w:rPr>
      </w:pPr>
      <w:r w:rsidRPr="58951A26">
        <w:rPr>
          <w:rFonts w:ascii="Aptos" w:eastAsia="Aptos" w:hAnsi="Aptos" w:cs="Aptos"/>
        </w:rPr>
        <w:t>The duty of care applies when exercising statutory powers (e.g. investment, delegation).</w:t>
      </w:r>
    </w:p>
    <w:p w14:paraId="79BFCFE9" w14:textId="77777777" w:rsidR="00297834" w:rsidRDefault="00297834" w:rsidP="00297834">
      <w:pPr>
        <w:pStyle w:val="ListParagraph"/>
        <w:numPr>
          <w:ilvl w:val="0"/>
          <w:numId w:val="32"/>
        </w:numPr>
        <w:spacing w:before="240" w:after="240" w:line="278" w:lineRule="auto"/>
        <w:rPr>
          <w:rFonts w:ascii="Aptos" w:eastAsia="Aptos" w:hAnsi="Aptos" w:cs="Aptos"/>
          <w:b/>
          <w:bCs/>
        </w:rPr>
      </w:pPr>
      <w:r w:rsidRPr="58951A26">
        <w:rPr>
          <w:rFonts w:ascii="Aptos" w:eastAsia="Aptos" w:hAnsi="Aptos" w:cs="Aptos"/>
          <w:b/>
          <w:bCs/>
        </w:rPr>
        <w:t>Sections 3–5 – Duty when investing</w:t>
      </w:r>
    </w:p>
    <w:p w14:paraId="4E98130E" w14:textId="77777777" w:rsidR="00297834" w:rsidRDefault="00297834" w:rsidP="00297834">
      <w:pPr>
        <w:pStyle w:val="ListParagraph"/>
        <w:numPr>
          <w:ilvl w:val="1"/>
          <w:numId w:val="32"/>
        </w:numPr>
        <w:spacing w:before="240" w:after="240" w:line="278" w:lineRule="auto"/>
        <w:rPr>
          <w:rFonts w:ascii="Aptos" w:eastAsia="Aptos" w:hAnsi="Aptos" w:cs="Aptos"/>
        </w:rPr>
      </w:pPr>
      <w:r w:rsidRPr="58951A26">
        <w:rPr>
          <w:rFonts w:ascii="Aptos" w:eastAsia="Aptos" w:hAnsi="Aptos" w:cs="Aptos"/>
        </w:rPr>
        <w:t>Trustees must consider the “standard investment criteria”:</w:t>
      </w:r>
    </w:p>
    <w:p w14:paraId="3B1FF234" w14:textId="77777777" w:rsidR="00297834" w:rsidRDefault="00297834" w:rsidP="00297834">
      <w:pPr>
        <w:pStyle w:val="ListParagraph"/>
        <w:numPr>
          <w:ilvl w:val="2"/>
          <w:numId w:val="32"/>
        </w:numPr>
        <w:spacing w:before="240" w:after="240" w:line="278" w:lineRule="auto"/>
        <w:rPr>
          <w:rFonts w:ascii="Aptos" w:eastAsia="Aptos" w:hAnsi="Aptos" w:cs="Aptos"/>
        </w:rPr>
      </w:pPr>
      <w:r w:rsidRPr="58951A26">
        <w:rPr>
          <w:rFonts w:ascii="Aptos" w:eastAsia="Aptos" w:hAnsi="Aptos" w:cs="Aptos"/>
        </w:rPr>
        <w:t>Suitability of investments.</w:t>
      </w:r>
    </w:p>
    <w:p w14:paraId="539B80DE" w14:textId="77777777" w:rsidR="00297834" w:rsidRDefault="00297834" w:rsidP="00297834">
      <w:pPr>
        <w:pStyle w:val="ListParagraph"/>
        <w:numPr>
          <w:ilvl w:val="2"/>
          <w:numId w:val="32"/>
        </w:numPr>
        <w:spacing w:before="240" w:after="240" w:line="278" w:lineRule="auto"/>
        <w:rPr>
          <w:rFonts w:ascii="Aptos" w:eastAsia="Aptos" w:hAnsi="Aptos" w:cs="Aptos"/>
        </w:rPr>
      </w:pPr>
      <w:r w:rsidRPr="58951A26">
        <w:rPr>
          <w:rFonts w:ascii="Aptos" w:eastAsia="Aptos" w:hAnsi="Aptos" w:cs="Aptos"/>
        </w:rPr>
        <w:t>Need for diversification.</w:t>
      </w:r>
    </w:p>
    <w:p w14:paraId="0FABA589" w14:textId="77777777" w:rsidR="00297834" w:rsidRDefault="00297834" w:rsidP="00297834">
      <w:pPr>
        <w:pStyle w:val="ListParagraph"/>
        <w:numPr>
          <w:ilvl w:val="1"/>
          <w:numId w:val="32"/>
        </w:numPr>
        <w:spacing w:before="240" w:after="240" w:line="278" w:lineRule="auto"/>
        <w:rPr>
          <w:rFonts w:ascii="Aptos" w:eastAsia="Aptos" w:hAnsi="Aptos" w:cs="Aptos"/>
        </w:rPr>
      </w:pPr>
      <w:r w:rsidRPr="58951A26">
        <w:rPr>
          <w:rFonts w:ascii="Aptos" w:eastAsia="Aptos" w:hAnsi="Aptos" w:cs="Aptos"/>
        </w:rPr>
        <w:t>Investments must be reviewed periodically.</w:t>
      </w:r>
    </w:p>
    <w:p w14:paraId="46FA26ED" w14:textId="77777777" w:rsidR="00297834" w:rsidRPr="00816FE6" w:rsidRDefault="00297834" w:rsidP="00297834">
      <w:pPr>
        <w:rPr>
          <w:b/>
        </w:rPr>
      </w:pPr>
      <w:r w:rsidRPr="3ED9E9FF">
        <w:rPr>
          <w:b/>
          <w:bCs/>
        </w:rPr>
        <w:t>Trustee</w:t>
      </w:r>
      <w:r w:rsidRPr="00816FE6">
        <w:rPr>
          <w:b/>
        </w:rPr>
        <w:t xml:space="preserve"> act 1925</w:t>
      </w:r>
    </w:p>
    <w:p w14:paraId="05B427BF" w14:textId="77777777" w:rsidR="00297834" w:rsidRPr="00816FE6" w:rsidRDefault="00297834" w:rsidP="00297834">
      <w:pPr>
        <w:spacing w:before="240" w:after="240"/>
        <w:rPr>
          <w:rFonts w:ascii="Aptos" w:eastAsia="Aptos" w:hAnsi="Aptos" w:cs="Aptos"/>
          <w:b/>
          <w:bCs/>
        </w:rPr>
      </w:pPr>
      <w:r w:rsidRPr="5D36242B">
        <w:rPr>
          <w:rFonts w:ascii="Aptos" w:eastAsia="Aptos" w:hAnsi="Aptos" w:cs="Aptos"/>
          <w:b/>
          <w:bCs/>
        </w:rPr>
        <w:t>Section 61 – Relief from liability</w:t>
      </w:r>
    </w:p>
    <w:p w14:paraId="6B656F19" w14:textId="77777777" w:rsidR="00297834" w:rsidRPr="00816FE6" w:rsidRDefault="00297834" w:rsidP="00297834">
      <w:pPr>
        <w:pStyle w:val="ListParagraph"/>
        <w:numPr>
          <w:ilvl w:val="0"/>
          <w:numId w:val="33"/>
        </w:numPr>
        <w:spacing w:before="240" w:after="240" w:line="278" w:lineRule="auto"/>
        <w:rPr>
          <w:rFonts w:ascii="Aptos" w:eastAsia="Aptos" w:hAnsi="Aptos" w:cs="Aptos"/>
        </w:rPr>
      </w:pPr>
      <w:r w:rsidRPr="5D36242B">
        <w:rPr>
          <w:rFonts w:ascii="Aptos" w:eastAsia="Aptos" w:hAnsi="Aptos" w:cs="Aptos"/>
        </w:rPr>
        <w:t>Court may relieve trustees from personal liability.</w:t>
      </w:r>
    </w:p>
    <w:p w14:paraId="2D641270" w14:textId="77777777" w:rsidR="00297834" w:rsidRPr="00816FE6" w:rsidRDefault="00297834" w:rsidP="00297834">
      <w:pPr>
        <w:pStyle w:val="ListParagraph"/>
        <w:numPr>
          <w:ilvl w:val="0"/>
          <w:numId w:val="33"/>
        </w:numPr>
        <w:spacing w:before="240" w:after="240" w:line="278" w:lineRule="auto"/>
        <w:rPr>
          <w:rFonts w:ascii="Aptos" w:eastAsia="Aptos" w:hAnsi="Aptos" w:cs="Aptos"/>
        </w:rPr>
      </w:pPr>
      <w:r w:rsidRPr="5D36242B">
        <w:rPr>
          <w:rFonts w:ascii="Aptos" w:eastAsia="Aptos" w:hAnsi="Aptos" w:cs="Aptos"/>
        </w:rPr>
        <w:lastRenderedPageBreak/>
        <w:t>Applies where trustees acted:</w:t>
      </w:r>
    </w:p>
    <w:p w14:paraId="73240C01" w14:textId="77777777" w:rsidR="00297834" w:rsidRPr="00816FE6" w:rsidRDefault="00297834" w:rsidP="00297834">
      <w:pPr>
        <w:pStyle w:val="ListParagraph"/>
        <w:numPr>
          <w:ilvl w:val="1"/>
          <w:numId w:val="33"/>
        </w:numPr>
        <w:spacing w:before="240" w:after="240" w:line="278" w:lineRule="auto"/>
        <w:rPr>
          <w:rFonts w:ascii="Aptos" w:eastAsia="Aptos" w:hAnsi="Aptos" w:cs="Aptos"/>
        </w:rPr>
      </w:pPr>
      <w:r w:rsidRPr="5D36242B">
        <w:rPr>
          <w:rFonts w:ascii="Aptos" w:eastAsia="Aptos" w:hAnsi="Aptos" w:cs="Aptos"/>
        </w:rPr>
        <w:t>Honestly,</w:t>
      </w:r>
    </w:p>
    <w:p w14:paraId="48ED80D8" w14:textId="77777777" w:rsidR="00297834" w:rsidRPr="00816FE6" w:rsidRDefault="00297834" w:rsidP="00297834">
      <w:pPr>
        <w:pStyle w:val="ListParagraph"/>
        <w:numPr>
          <w:ilvl w:val="1"/>
          <w:numId w:val="33"/>
        </w:numPr>
        <w:spacing w:before="240" w:after="240" w:line="278" w:lineRule="auto"/>
        <w:rPr>
          <w:rFonts w:ascii="Aptos" w:eastAsia="Aptos" w:hAnsi="Aptos" w:cs="Aptos"/>
        </w:rPr>
      </w:pPr>
      <w:r w:rsidRPr="5D36242B">
        <w:rPr>
          <w:rFonts w:ascii="Aptos" w:eastAsia="Aptos" w:hAnsi="Aptos" w:cs="Aptos"/>
        </w:rPr>
        <w:t>Reasonably,</w:t>
      </w:r>
    </w:p>
    <w:p w14:paraId="5A74A952" w14:textId="77777777" w:rsidR="00297834" w:rsidRPr="00816FE6" w:rsidRDefault="00297834" w:rsidP="00297834">
      <w:pPr>
        <w:pStyle w:val="ListParagraph"/>
        <w:numPr>
          <w:ilvl w:val="1"/>
          <w:numId w:val="33"/>
        </w:numPr>
        <w:spacing w:before="240" w:after="240" w:line="278" w:lineRule="auto"/>
        <w:rPr>
          <w:rFonts w:ascii="Aptos" w:eastAsia="Aptos" w:hAnsi="Aptos" w:cs="Aptos"/>
        </w:rPr>
      </w:pPr>
      <w:r w:rsidRPr="5D36242B">
        <w:rPr>
          <w:rFonts w:ascii="Aptos" w:eastAsia="Aptos" w:hAnsi="Aptos" w:cs="Aptos"/>
        </w:rPr>
        <w:t>And ought fairly to be excused.</w:t>
      </w:r>
    </w:p>
    <w:p w14:paraId="48909A3C" w14:textId="77777777" w:rsidR="00297834" w:rsidRPr="00816FE6" w:rsidRDefault="00297834" w:rsidP="00297834">
      <w:pPr>
        <w:rPr>
          <w:b/>
          <w:sz w:val="26"/>
          <w:szCs w:val="26"/>
        </w:rPr>
      </w:pPr>
      <w:r w:rsidRPr="590783AD">
        <w:rPr>
          <w:b/>
          <w:bCs/>
          <w:sz w:val="26"/>
          <w:szCs w:val="26"/>
        </w:rPr>
        <w:t>Trusts</w:t>
      </w:r>
      <w:r w:rsidRPr="00816FE6">
        <w:rPr>
          <w:b/>
          <w:sz w:val="26"/>
          <w:szCs w:val="26"/>
        </w:rPr>
        <w:t xml:space="preserve"> of land and appointment of </w:t>
      </w:r>
      <w:r w:rsidRPr="7F668D1B">
        <w:rPr>
          <w:b/>
          <w:bCs/>
          <w:sz w:val="26"/>
          <w:szCs w:val="26"/>
        </w:rPr>
        <w:t>Trustee</w:t>
      </w:r>
      <w:r w:rsidRPr="00816FE6">
        <w:rPr>
          <w:b/>
          <w:sz w:val="26"/>
          <w:szCs w:val="26"/>
        </w:rPr>
        <w:t xml:space="preserve"> act 1996-</w:t>
      </w:r>
    </w:p>
    <w:p w14:paraId="6E79DBC4" w14:textId="77777777" w:rsidR="00297834" w:rsidRPr="00816FE6" w:rsidRDefault="00297834" w:rsidP="00297834">
      <w:r w:rsidRPr="00816FE6">
        <w:t>Relevant where land is held on trust. s.6 – Trustees have powers of an absolute owner. </w:t>
      </w:r>
    </w:p>
    <w:p w14:paraId="53F0E497" w14:textId="77777777" w:rsidR="00297834" w:rsidRPr="00816FE6" w:rsidRDefault="00297834" w:rsidP="00297834">
      <w:r w:rsidRPr="00816FE6">
        <w:rPr>
          <w:b/>
        </w:rPr>
        <w:t>s.11 </w:t>
      </w:r>
      <w:r w:rsidRPr="00816FE6">
        <w:t>– Duty to consult beneficiaries (so far as practicable). </w:t>
      </w:r>
    </w:p>
    <w:p w14:paraId="5B7E4E65" w14:textId="77777777" w:rsidR="00297834" w:rsidRDefault="00297834" w:rsidP="00297834">
      <w:r w:rsidRPr="00816FE6">
        <w:rPr>
          <w:b/>
        </w:rPr>
        <w:t>s.13</w:t>
      </w:r>
      <w:r w:rsidRPr="00816FE6">
        <w:t> – Power to exclude or restrict occupation (must act reasonably). </w:t>
      </w:r>
    </w:p>
    <w:p w14:paraId="179254DB" w14:textId="77777777" w:rsidR="00297834" w:rsidRPr="00816FE6" w:rsidRDefault="00297834" w:rsidP="00297834">
      <w:pPr>
        <w:rPr>
          <w:b/>
          <w:bCs/>
        </w:rPr>
      </w:pPr>
      <w:r w:rsidRPr="0FFA4D14">
        <w:rPr>
          <w:b/>
          <w:bCs/>
        </w:rPr>
        <w:t>Fiduciary</w:t>
      </w:r>
      <w:r w:rsidRPr="00816FE6">
        <w:rPr>
          <w:b/>
          <w:bCs/>
        </w:rPr>
        <w:t xml:space="preserve"> duties</w:t>
      </w:r>
    </w:p>
    <w:p w14:paraId="63CE1911" w14:textId="77777777" w:rsidR="00297834" w:rsidRPr="00816FE6" w:rsidRDefault="00297834" w:rsidP="00297834">
      <w:r w:rsidRPr="00816FE6">
        <w:t>Trustees must act in good faith, with loyalty and honesty. They must avoid conflicts of interest and not profit personally from their role. They must act for the benefit of the beneficiaries </w:t>
      </w:r>
    </w:p>
    <w:p w14:paraId="74A49443" w14:textId="77777777" w:rsidR="00297834" w:rsidRPr="00816FE6" w:rsidRDefault="00297834" w:rsidP="00297834">
      <w:pPr>
        <w:rPr>
          <w:b/>
        </w:rPr>
      </w:pPr>
      <w:r w:rsidRPr="53CC25FA">
        <w:rPr>
          <w:b/>
          <w:bCs/>
        </w:rPr>
        <w:t>Duty</w:t>
      </w:r>
      <w:r w:rsidRPr="00816FE6">
        <w:rPr>
          <w:b/>
        </w:rPr>
        <w:t xml:space="preserve"> to observe the trust instrument </w:t>
      </w:r>
    </w:p>
    <w:p w14:paraId="68D8CE8A" w14:textId="77777777" w:rsidR="00297834" w:rsidRPr="00816FE6" w:rsidRDefault="00297834" w:rsidP="00297834">
      <w:pPr>
        <w:numPr>
          <w:ilvl w:val="0"/>
          <w:numId w:val="9"/>
        </w:numPr>
        <w:spacing w:line="278" w:lineRule="auto"/>
      </w:pPr>
      <w:r w:rsidRPr="00816FE6">
        <w:t>Trustees must follow the terms of the trust deed strictly. </w:t>
      </w:r>
    </w:p>
    <w:p w14:paraId="60787C3E" w14:textId="77777777" w:rsidR="00297834" w:rsidRDefault="00297834" w:rsidP="00297834">
      <w:pPr>
        <w:rPr>
          <w:rFonts w:ascii="Helvetica" w:eastAsia="Helvetica" w:hAnsi="Helvetica" w:cs="Helvetica"/>
        </w:rPr>
      </w:pPr>
      <w:r w:rsidRPr="1507A72C">
        <w:rPr>
          <w:rFonts w:ascii="Helvetica" w:eastAsia="Helvetica" w:hAnsi="Helvetica" w:cs="Helvetica"/>
        </w:rPr>
        <w:t>Trustee duties</w:t>
      </w:r>
    </w:p>
    <w:p w14:paraId="094336E3" w14:textId="77777777" w:rsidR="00297834" w:rsidRDefault="00297834" w:rsidP="00297834">
      <w:pPr>
        <w:spacing w:before="165" w:after="165"/>
        <w:rPr>
          <w:rFonts w:ascii="Arial" w:eastAsia="Arial" w:hAnsi="Arial" w:cs="Arial"/>
          <w:color w:val="372527"/>
        </w:rPr>
      </w:pPr>
      <w:r w:rsidRPr="7BF95C98">
        <w:rPr>
          <w:rFonts w:ascii="Arial" w:eastAsia="Arial" w:hAnsi="Arial" w:cs="Arial"/>
          <w:b/>
          <w:color w:val="141413"/>
        </w:rPr>
        <w:t>There are five mandatory duties the trustees must follow:</w:t>
      </w:r>
      <w:r w:rsidRPr="0AA5C9CD">
        <w:rPr>
          <w:rFonts w:ascii="Arial" w:eastAsia="Arial" w:hAnsi="Arial" w:cs="Arial"/>
          <w:color w:val="141413"/>
        </w:rPr>
        <w:t xml:space="preserve"> </w:t>
      </w:r>
    </w:p>
    <w:p w14:paraId="729D4634" w14:textId="77777777" w:rsidR="00297834" w:rsidRDefault="00297834" w:rsidP="00297834">
      <w:pPr>
        <w:pStyle w:val="ListParagraph"/>
        <w:numPr>
          <w:ilvl w:val="0"/>
          <w:numId w:val="9"/>
        </w:numPr>
        <w:spacing w:before="150" w:after="150" w:line="278" w:lineRule="auto"/>
        <w:rPr>
          <w:rFonts w:ascii="Arial" w:eastAsia="Arial" w:hAnsi="Arial" w:cs="Arial"/>
          <w:color w:val="372527"/>
        </w:rPr>
      </w:pPr>
      <w:r w:rsidRPr="4052B724">
        <w:rPr>
          <w:rFonts w:ascii="Arial" w:eastAsia="Arial" w:hAnsi="Arial" w:cs="Arial"/>
          <w:color w:val="372527"/>
        </w:rPr>
        <w:t>to know the terms of trust</w:t>
      </w:r>
    </w:p>
    <w:p w14:paraId="169B2B62" w14:textId="77777777" w:rsidR="00297834" w:rsidRDefault="00297834" w:rsidP="00297834">
      <w:pPr>
        <w:pStyle w:val="ListParagraph"/>
        <w:numPr>
          <w:ilvl w:val="0"/>
          <w:numId w:val="9"/>
        </w:numPr>
        <w:spacing w:before="150" w:after="150" w:line="278" w:lineRule="auto"/>
        <w:rPr>
          <w:rFonts w:ascii="Arial" w:eastAsia="Arial" w:hAnsi="Arial" w:cs="Arial"/>
          <w:color w:val="372527"/>
        </w:rPr>
      </w:pPr>
      <w:r w:rsidRPr="4052B724">
        <w:rPr>
          <w:rFonts w:ascii="Arial" w:eastAsia="Arial" w:hAnsi="Arial" w:cs="Arial"/>
          <w:color w:val="372527"/>
        </w:rPr>
        <w:t>to act in accordance with terms of trust</w:t>
      </w:r>
    </w:p>
    <w:p w14:paraId="59DC170E" w14:textId="77777777" w:rsidR="00297834" w:rsidRDefault="00297834" w:rsidP="00297834">
      <w:pPr>
        <w:pStyle w:val="ListParagraph"/>
        <w:numPr>
          <w:ilvl w:val="0"/>
          <w:numId w:val="9"/>
        </w:numPr>
        <w:spacing w:before="150" w:after="150" w:line="278" w:lineRule="auto"/>
        <w:rPr>
          <w:rFonts w:ascii="Arial" w:eastAsia="Arial" w:hAnsi="Arial" w:cs="Arial"/>
          <w:color w:val="372527"/>
        </w:rPr>
      </w:pPr>
      <w:r w:rsidRPr="4052B724">
        <w:rPr>
          <w:rFonts w:ascii="Arial" w:eastAsia="Arial" w:hAnsi="Arial" w:cs="Arial"/>
          <w:color w:val="372527"/>
        </w:rPr>
        <w:t>to act honestly and in good faith</w:t>
      </w:r>
    </w:p>
    <w:p w14:paraId="6B6D66B9" w14:textId="77777777" w:rsidR="00297834" w:rsidRDefault="00297834" w:rsidP="00297834">
      <w:pPr>
        <w:pStyle w:val="ListParagraph"/>
        <w:numPr>
          <w:ilvl w:val="0"/>
          <w:numId w:val="9"/>
        </w:numPr>
        <w:spacing w:before="150" w:after="150" w:line="278" w:lineRule="auto"/>
        <w:rPr>
          <w:rFonts w:ascii="Arial" w:eastAsia="Arial" w:hAnsi="Arial" w:cs="Arial"/>
          <w:color w:val="372527"/>
        </w:rPr>
      </w:pPr>
      <w:r w:rsidRPr="4052B724">
        <w:rPr>
          <w:rFonts w:ascii="Arial" w:eastAsia="Arial" w:hAnsi="Arial" w:cs="Arial"/>
          <w:color w:val="372527"/>
        </w:rPr>
        <w:t>to act for benefit of beneficiaries</w:t>
      </w:r>
    </w:p>
    <w:p w14:paraId="5F0AC3F6" w14:textId="77777777" w:rsidR="00297834" w:rsidRDefault="00297834" w:rsidP="00297834">
      <w:pPr>
        <w:pStyle w:val="ListParagraph"/>
        <w:numPr>
          <w:ilvl w:val="0"/>
          <w:numId w:val="9"/>
        </w:numPr>
        <w:spacing w:before="150" w:after="150" w:line="278" w:lineRule="auto"/>
        <w:rPr>
          <w:rFonts w:ascii="Arial" w:eastAsia="Arial" w:hAnsi="Arial" w:cs="Arial"/>
          <w:color w:val="372527"/>
        </w:rPr>
      </w:pPr>
      <w:r w:rsidRPr="4052B724">
        <w:rPr>
          <w:rFonts w:ascii="Arial" w:eastAsia="Arial" w:hAnsi="Arial" w:cs="Arial"/>
          <w:color w:val="372527"/>
        </w:rPr>
        <w:t>to exercise powers for proper purpose.</w:t>
      </w:r>
    </w:p>
    <w:p w14:paraId="3B0C9ED7" w14:textId="77777777" w:rsidR="00297834" w:rsidRDefault="00297834" w:rsidP="00297834">
      <w:pPr>
        <w:spacing w:before="165" w:after="165"/>
        <w:rPr>
          <w:rFonts w:ascii="Arial" w:eastAsia="Arial" w:hAnsi="Arial" w:cs="Arial"/>
          <w:b/>
          <w:color w:val="141413"/>
        </w:rPr>
      </w:pPr>
      <w:r w:rsidRPr="1507A72C">
        <w:rPr>
          <w:rFonts w:ascii="Arial" w:eastAsia="Arial" w:hAnsi="Arial" w:cs="Arial"/>
          <w:b/>
          <w:color w:val="141413"/>
        </w:rPr>
        <w:t>There are also ten default duties the trustees must follow unless the</w:t>
      </w:r>
    </w:p>
    <w:p w14:paraId="6E367C37" w14:textId="77777777" w:rsidR="00297834" w:rsidRDefault="00297834" w:rsidP="00297834">
      <w:pPr>
        <w:spacing w:before="165" w:after="165"/>
        <w:rPr>
          <w:rFonts w:ascii="Arial" w:eastAsia="Arial" w:hAnsi="Arial" w:cs="Arial"/>
          <w:b/>
          <w:color w:val="141413"/>
        </w:rPr>
      </w:pPr>
      <w:r w:rsidRPr="1507A72C">
        <w:rPr>
          <w:rFonts w:ascii="Arial" w:eastAsia="Arial" w:hAnsi="Arial" w:cs="Arial"/>
          <w:b/>
          <w:color w:val="141413"/>
        </w:rPr>
        <w:t>trust deed provides otherwise:</w:t>
      </w:r>
    </w:p>
    <w:p w14:paraId="3B482937"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to exercise reasonable skill and care</w:t>
      </w:r>
    </w:p>
    <w:p w14:paraId="5A61F7B9"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to invest prudently</w:t>
      </w:r>
    </w:p>
    <w:p w14:paraId="7B695EC0"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not to exercise any power for a trustee’s own benefit</w:t>
      </w:r>
    </w:p>
    <w:p w14:paraId="1464F732"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to regularly consider the trustees powers</w:t>
      </w:r>
    </w:p>
    <w:p w14:paraId="006BEDFE"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not to bind trustees in the future</w:t>
      </w:r>
    </w:p>
    <w:p w14:paraId="4795DEEC"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to avoid conflicts of interest</w:t>
      </w:r>
    </w:p>
    <w:p w14:paraId="5B95DFAC"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to act impartially</w:t>
      </w:r>
    </w:p>
    <w:p w14:paraId="1FB2A9EB" w14:textId="77777777" w:rsidR="00297834" w:rsidRDefault="00297834" w:rsidP="00297834">
      <w:pPr>
        <w:pStyle w:val="ListParagraph"/>
        <w:numPr>
          <w:ilvl w:val="0"/>
          <w:numId w:val="31"/>
        </w:numPr>
        <w:spacing w:before="150" w:after="150" w:line="278" w:lineRule="auto"/>
        <w:rPr>
          <w:rFonts w:ascii="Arial" w:eastAsia="Arial" w:hAnsi="Arial" w:cs="Arial"/>
          <w:color w:val="372527"/>
        </w:rPr>
      </w:pPr>
      <w:r w:rsidRPr="1507A72C">
        <w:rPr>
          <w:rFonts w:ascii="Arial" w:eastAsia="Arial" w:hAnsi="Arial" w:cs="Arial"/>
          <w:color w:val="372527"/>
        </w:rPr>
        <w:t>not to profit from the trusteeship</w:t>
      </w:r>
    </w:p>
    <w:p w14:paraId="242D6D72" w14:textId="77777777" w:rsidR="00297834" w:rsidRDefault="00297834" w:rsidP="00297834">
      <w:pPr>
        <w:pStyle w:val="ListParagraph"/>
        <w:numPr>
          <w:ilvl w:val="0"/>
          <w:numId w:val="30"/>
        </w:numPr>
        <w:spacing w:before="150" w:after="150" w:line="278" w:lineRule="auto"/>
        <w:rPr>
          <w:rFonts w:ascii="Arial" w:eastAsia="Arial" w:hAnsi="Arial" w:cs="Arial"/>
          <w:color w:val="372527"/>
        </w:rPr>
      </w:pPr>
      <w:r w:rsidRPr="1507A72C">
        <w:rPr>
          <w:rFonts w:ascii="Arial" w:eastAsia="Arial" w:hAnsi="Arial" w:cs="Arial"/>
          <w:color w:val="372527"/>
        </w:rPr>
        <w:t>to act for no reward</w:t>
      </w:r>
    </w:p>
    <w:p w14:paraId="7DCC766B" w14:textId="77777777" w:rsidR="00297834" w:rsidRDefault="00297834" w:rsidP="00297834">
      <w:pPr>
        <w:pStyle w:val="ListParagraph"/>
        <w:numPr>
          <w:ilvl w:val="0"/>
          <w:numId w:val="30"/>
        </w:numPr>
        <w:spacing w:before="150" w:after="150" w:line="278" w:lineRule="auto"/>
        <w:rPr>
          <w:rFonts w:ascii="Arial" w:eastAsia="Arial" w:hAnsi="Arial" w:cs="Arial"/>
          <w:color w:val="372527"/>
        </w:rPr>
      </w:pPr>
      <w:r w:rsidRPr="1507A72C">
        <w:rPr>
          <w:rFonts w:ascii="Arial" w:eastAsia="Arial" w:hAnsi="Arial" w:cs="Arial"/>
          <w:color w:val="372527"/>
        </w:rPr>
        <w:t>to act unanimously.</w:t>
      </w:r>
    </w:p>
    <w:p w14:paraId="27E7D611" w14:textId="77777777" w:rsidR="00297834" w:rsidRDefault="00297834" w:rsidP="00297834">
      <w:pPr>
        <w:spacing w:before="240" w:after="240"/>
      </w:pPr>
      <w:r w:rsidRPr="1246F15E">
        <w:rPr>
          <w:rFonts w:ascii="Aptos" w:eastAsia="Aptos" w:hAnsi="Aptos" w:cs="Aptos"/>
        </w:rPr>
        <w:t xml:space="preserve">Trustee Act 2000. Available at: </w:t>
      </w:r>
      <w:hyperlink r:id="rId11">
        <w:r w:rsidRPr="1246F15E">
          <w:rPr>
            <w:rStyle w:val="Hyperlink"/>
            <w:rFonts w:ascii="Aptos" w:eastAsia="Aptos" w:hAnsi="Aptos" w:cs="Aptos"/>
          </w:rPr>
          <w:t>https://www.legislation.gov.uk/ukpga/2000/29/contents</w:t>
        </w:r>
      </w:hyperlink>
      <w:r w:rsidRPr="1246F15E">
        <w:rPr>
          <w:rFonts w:ascii="Aptos" w:eastAsia="Aptos" w:hAnsi="Aptos" w:cs="Aptos"/>
        </w:rPr>
        <w:t xml:space="preserve"> (Accessed: 18 February 2026).</w:t>
      </w:r>
    </w:p>
    <w:p w14:paraId="040C12EF" w14:textId="77777777" w:rsidR="00297834" w:rsidRDefault="00297834" w:rsidP="00297834">
      <w:pPr>
        <w:spacing w:before="240" w:after="240"/>
      </w:pPr>
      <w:r w:rsidRPr="1246F15E">
        <w:rPr>
          <w:rFonts w:ascii="Aptos" w:eastAsia="Aptos" w:hAnsi="Aptos" w:cs="Aptos"/>
        </w:rPr>
        <w:t xml:space="preserve">Trustee Act 1925. Available at: </w:t>
      </w:r>
      <w:hyperlink r:id="rId12">
        <w:r w:rsidRPr="1246F15E">
          <w:rPr>
            <w:rStyle w:val="Hyperlink"/>
            <w:rFonts w:ascii="Aptos" w:eastAsia="Aptos" w:hAnsi="Aptos" w:cs="Aptos"/>
          </w:rPr>
          <w:t>https://www.legislation.gov.uk/ukpga/Geo5/15-16/19/contents</w:t>
        </w:r>
      </w:hyperlink>
      <w:r w:rsidRPr="1246F15E">
        <w:rPr>
          <w:rFonts w:ascii="Aptos" w:eastAsia="Aptos" w:hAnsi="Aptos" w:cs="Aptos"/>
        </w:rPr>
        <w:t xml:space="preserve"> (Accessed: 18 February 2026).</w:t>
      </w:r>
    </w:p>
    <w:p w14:paraId="5E3F1C9C" w14:textId="77777777" w:rsidR="00297834" w:rsidRDefault="00297834" w:rsidP="00297834">
      <w:pPr>
        <w:spacing w:before="240" w:after="240"/>
      </w:pPr>
      <w:r w:rsidRPr="1246F15E">
        <w:rPr>
          <w:rFonts w:ascii="Aptos" w:eastAsia="Aptos" w:hAnsi="Aptos" w:cs="Aptos"/>
        </w:rPr>
        <w:lastRenderedPageBreak/>
        <w:t xml:space="preserve">Trusts of Land and Appointment of Trustees Act 1996. Available at: </w:t>
      </w:r>
      <w:hyperlink r:id="rId13">
        <w:r w:rsidRPr="1246F15E">
          <w:rPr>
            <w:rStyle w:val="Hyperlink"/>
            <w:rFonts w:ascii="Aptos" w:eastAsia="Aptos" w:hAnsi="Aptos" w:cs="Aptos"/>
          </w:rPr>
          <w:t>https://www.legislation.gov.uk/ukpga/1996/47/contents</w:t>
        </w:r>
      </w:hyperlink>
      <w:r w:rsidRPr="1246F15E">
        <w:rPr>
          <w:rFonts w:ascii="Aptos" w:eastAsia="Aptos" w:hAnsi="Aptos" w:cs="Aptos"/>
        </w:rPr>
        <w:t xml:space="preserve"> (Accessed: 18 February 2026).</w:t>
      </w:r>
      <w:r>
        <w:t xml:space="preserve"> </w:t>
      </w:r>
    </w:p>
    <w:p w14:paraId="363978F2" w14:textId="77777777" w:rsidR="00297834" w:rsidRDefault="00297834" w:rsidP="00297834">
      <w:pPr>
        <w:spacing w:before="299" w:after="299"/>
        <w:rPr>
          <w:rFonts w:ascii="Arial" w:eastAsia="Arial" w:hAnsi="Arial" w:cs="Arial"/>
          <w:b/>
        </w:rPr>
      </w:pPr>
      <w:r w:rsidRPr="01B141EB">
        <w:rPr>
          <w:rFonts w:ascii="Arial" w:eastAsia="Arial" w:hAnsi="Arial" w:cs="Arial"/>
        </w:rPr>
        <w:t> </w:t>
      </w:r>
      <w:r w:rsidRPr="01B141EB">
        <w:rPr>
          <w:rFonts w:ascii="Arial" w:eastAsia="Arial" w:hAnsi="Arial" w:cs="Arial"/>
          <w:b/>
        </w:rPr>
        <w:t xml:space="preserve"> Boardman v Phipps</w:t>
      </w:r>
    </w:p>
    <w:p w14:paraId="55E1A172" w14:textId="77777777" w:rsidR="00297834" w:rsidRDefault="00297834" w:rsidP="00297834">
      <w:pPr>
        <w:spacing w:before="299" w:after="299"/>
        <w:rPr>
          <w:rFonts w:ascii="Arial" w:eastAsia="Arial" w:hAnsi="Arial" w:cs="Arial"/>
          <w:b/>
        </w:rPr>
      </w:pPr>
      <w:r w:rsidRPr="01B141EB">
        <w:rPr>
          <w:rFonts w:ascii="Arial" w:eastAsia="Arial" w:hAnsi="Arial" w:cs="Arial"/>
          <w:b/>
        </w:rPr>
        <w:t>Facts</w:t>
      </w:r>
    </w:p>
    <w:p w14:paraId="4BFB81D5" w14:textId="77777777" w:rsidR="00297834" w:rsidRDefault="00297834" w:rsidP="00297834">
      <w:pPr>
        <w:pStyle w:val="ListParagraph"/>
        <w:numPr>
          <w:ilvl w:val="0"/>
          <w:numId w:val="37"/>
        </w:numPr>
        <w:spacing w:before="240" w:after="240" w:line="278" w:lineRule="auto"/>
        <w:rPr>
          <w:rFonts w:ascii="Arial" w:eastAsia="Arial" w:hAnsi="Arial" w:cs="Arial"/>
        </w:rPr>
      </w:pPr>
      <w:r w:rsidRPr="01B141EB">
        <w:rPr>
          <w:rFonts w:ascii="Arial" w:eastAsia="Arial" w:hAnsi="Arial" w:cs="Arial"/>
        </w:rPr>
        <w:t>Mr Boardman acted as solicitor to a family trust.</w:t>
      </w:r>
    </w:p>
    <w:p w14:paraId="0AB0A60B" w14:textId="77777777" w:rsidR="00297834" w:rsidRDefault="00297834" w:rsidP="00297834">
      <w:pPr>
        <w:pStyle w:val="ListParagraph"/>
        <w:numPr>
          <w:ilvl w:val="0"/>
          <w:numId w:val="37"/>
        </w:numPr>
        <w:spacing w:before="240" w:after="240" w:line="278" w:lineRule="auto"/>
        <w:rPr>
          <w:rFonts w:ascii="Arial" w:eastAsia="Arial" w:hAnsi="Arial" w:cs="Arial"/>
        </w:rPr>
      </w:pPr>
      <w:r w:rsidRPr="01B141EB">
        <w:rPr>
          <w:rFonts w:ascii="Arial" w:eastAsia="Arial" w:hAnsi="Arial" w:cs="Arial"/>
        </w:rPr>
        <w:t>The trust held shares in a private company but did not have a controlling interest.</w:t>
      </w:r>
    </w:p>
    <w:p w14:paraId="35DEA96C" w14:textId="77777777" w:rsidR="00297834" w:rsidRDefault="00297834" w:rsidP="00297834">
      <w:pPr>
        <w:pStyle w:val="ListParagraph"/>
        <w:numPr>
          <w:ilvl w:val="0"/>
          <w:numId w:val="37"/>
        </w:numPr>
        <w:spacing w:before="240" w:after="240" w:line="278" w:lineRule="auto"/>
        <w:rPr>
          <w:rFonts w:ascii="Arial" w:eastAsia="Arial" w:hAnsi="Arial" w:cs="Arial"/>
        </w:rPr>
      </w:pPr>
      <w:r w:rsidRPr="01B141EB">
        <w:rPr>
          <w:rFonts w:ascii="Arial" w:eastAsia="Arial" w:hAnsi="Arial" w:cs="Arial"/>
        </w:rPr>
        <w:t>Boardman and one beneficiary (Tom Phipps) obtained company information in their fiduciary capacity.</w:t>
      </w:r>
    </w:p>
    <w:p w14:paraId="3A165B44" w14:textId="77777777" w:rsidR="00297834" w:rsidRDefault="00297834" w:rsidP="00297834">
      <w:pPr>
        <w:pStyle w:val="ListParagraph"/>
        <w:numPr>
          <w:ilvl w:val="0"/>
          <w:numId w:val="37"/>
        </w:numPr>
        <w:spacing w:before="240" w:after="240" w:line="278" w:lineRule="auto"/>
        <w:rPr>
          <w:rFonts w:ascii="Arial" w:eastAsia="Arial" w:hAnsi="Arial" w:cs="Arial"/>
        </w:rPr>
      </w:pPr>
      <w:r w:rsidRPr="01B141EB">
        <w:rPr>
          <w:rFonts w:ascii="Arial" w:eastAsia="Arial" w:hAnsi="Arial" w:cs="Arial"/>
        </w:rPr>
        <w:t>They personally purchased additional shares in the company to gain control.</w:t>
      </w:r>
    </w:p>
    <w:p w14:paraId="06B8210A" w14:textId="77777777" w:rsidR="00297834" w:rsidRDefault="00297834" w:rsidP="00297834">
      <w:pPr>
        <w:pStyle w:val="ListParagraph"/>
        <w:numPr>
          <w:ilvl w:val="0"/>
          <w:numId w:val="37"/>
        </w:numPr>
        <w:spacing w:before="240" w:after="240" w:line="278" w:lineRule="auto"/>
        <w:rPr>
          <w:rFonts w:ascii="Arial" w:eastAsia="Arial" w:hAnsi="Arial" w:cs="Arial"/>
        </w:rPr>
      </w:pPr>
      <w:r w:rsidRPr="01B141EB">
        <w:rPr>
          <w:rFonts w:ascii="Arial" w:eastAsia="Arial" w:hAnsi="Arial" w:cs="Arial"/>
        </w:rPr>
        <w:t>The trust benefited significantly from their actions, and they acted honestly and in good faith.</w:t>
      </w:r>
    </w:p>
    <w:p w14:paraId="60D82E3C" w14:textId="77777777" w:rsidR="00297834" w:rsidRDefault="00297834" w:rsidP="00297834">
      <w:pPr>
        <w:pStyle w:val="ListParagraph"/>
        <w:numPr>
          <w:ilvl w:val="0"/>
          <w:numId w:val="37"/>
        </w:numPr>
        <w:spacing w:before="240" w:after="240" w:line="278" w:lineRule="auto"/>
        <w:rPr>
          <w:rFonts w:ascii="Arial" w:eastAsia="Arial" w:hAnsi="Arial" w:cs="Arial"/>
        </w:rPr>
      </w:pPr>
      <w:r w:rsidRPr="01B141EB">
        <w:rPr>
          <w:rFonts w:ascii="Arial" w:eastAsia="Arial" w:hAnsi="Arial" w:cs="Arial"/>
        </w:rPr>
        <w:t>However, they did not obtain the fully informed consent of all beneficiaries before making the purchase.</w:t>
      </w:r>
    </w:p>
    <w:p w14:paraId="60729713" w14:textId="77777777" w:rsidR="00297834" w:rsidRDefault="00297834" w:rsidP="00297834">
      <w:pPr>
        <w:pStyle w:val="Heading3"/>
        <w:spacing w:before="281" w:after="281"/>
        <w:rPr>
          <w:rFonts w:ascii="Arial" w:eastAsia="Arial" w:hAnsi="Arial" w:cs="Arial"/>
          <w:b/>
          <w:color w:val="auto"/>
          <w:sz w:val="24"/>
          <w:szCs w:val="24"/>
        </w:rPr>
      </w:pPr>
      <w:r w:rsidRPr="01B141EB">
        <w:rPr>
          <w:rFonts w:ascii="Arial" w:eastAsia="Arial" w:hAnsi="Arial" w:cs="Arial"/>
          <w:b/>
          <w:color w:val="auto"/>
          <w:sz w:val="24"/>
          <w:szCs w:val="24"/>
        </w:rPr>
        <w:t>Legal Issue</w:t>
      </w:r>
    </w:p>
    <w:p w14:paraId="271AA798" w14:textId="77777777" w:rsidR="00297834" w:rsidRDefault="00297834" w:rsidP="00297834">
      <w:pPr>
        <w:spacing w:before="240" w:after="240"/>
        <w:rPr>
          <w:rFonts w:ascii="Arial" w:eastAsia="Arial" w:hAnsi="Arial" w:cs="Arial"/>
        </w:rPr>
      </w:pPr>
      <w:r w:rsidRPr="01B141EB">
        <w:rPr>
          <w:rFonts w:ascii="Arial" w:eastAsia="Arial" w:hAnsi="Arial" w:cs="Arial"/>
        </w:rPr>
        <w:t>Whether a trustee (or fiduciary) who profits from an opportunity connected to the trust — even in good faith and where the trust benefits — is liable for breach of fiduciary duty due to a conflict of interest.</w:t>
      </w:r>
    </w:p>
    <w:p w14:paraId="449C3714" w14:textId="77777777" w:rsidR="00297834" w:rsidRDefault="00297834" w:rsidP="00297834">
      <w:pPr>
        <w:pStyle w:val="Heading3"/>
        <w:spacing w:before="281" w:after="281"/>
        <w:rPr>
          <w:rFonts w:ascii="Arial" w:eastAsia="Arial" w:hAnsi="Arial" w:cs="Arial"/>
          <w:b/>
          <w:color w:val="auto"/>
          <w:sz w:val="24"/>
          <w:szCs w:val="24"/>
        </w:rPr>
      </w:pPr>
      <w:r w:rsidRPr="01B141EB">
        <w:rPr>
          <w:rFonts w:ascii="Arial" w:eastAsia="Arial" w:hAnsi="Arial" w:cs="Arial"/>
          <w:b/>
          <w:color w:val="auto"/>
          <w:sz w:val="24"/>
          <w:szCs w:val="24"/>
        </w:rPr>
        <w:t>Decision / Outcome</w:t>
      </w:r>
    </w:p>
    <w:p w14:paraId="37F9D155" w14:textId="77777777" w:rsidR="00297834" w:rsidRDefault="00297834" w:rsidP="00297834">
      <w:pPr>
        <w:pStyle w:val="ListParagraph"/>
        <w:numPr>
          <w:ilvl w:val="0"/>
          <w:numId w:val="36"/>
        </w:numPr>
        <w:spacing w:before="240" w:after="240" w:line="278" w:lineRule="auto"/>
        <w:rPr>
          <w:rFonts w:ascii="Arial" w:eastAsia="Arial" w:hAnsi="Arial" w:cs="Arial"/>
        </w:rPr>
      </w:pPr>
      <w:r w:rsidRPr="01B141EB">
        <w:rPr>
          <w:rFonts w:ascii="Arial" w:eastAsia="Arial" w:hAnsi="Arial" w:cs="Arial"/>
        </w:rPr>
        <w:t>The House of Lords held that Boardman was in a position of potential conflict of interest.</w:t>
      </w:r>
    </w:p>
    <w:p w14:paraId="05E08645" w14:textId="77777777" w:rsidR="00297834" w:rsidRDefault="00297834" w:rsidP="00297834">
      <w:pPr>
        <w:pStyle w:val="ListParagraph"/>
        <w:numPr>
          <w:ilvl w:val="0"/>
          <w:numId w:val="36"/>
        </w:numPr>
        <w:spacing w:before="240" w:after="240" w:line="278" w:lineRule="auto"/>
        <w:rPr>
          <w:rFonts w:ascii="Arial" w:eastAsia="Arial" w:hAnsi="Arial" w:cs="Arial"/>
        </w:rPr>
      </w:pPr>
      <w:r w:rsidRPr="01B141EB">
        <w:rPr>
          <w:rFonts w:ascii="Arial" w:eastAsia="Arial" w:hAnsi="Arial" w:cs="Arial"/>
        </w:rPr>
        <w:t>Even though:</w:t>
      </w:r>
    </w:p>
    <w:p w14:paraId="118BB71F" w14:textId="77777777" w:rsidR="00297834" w:rsidRDefault="00297834" w:rsidP="00297834">
      <w:pPr>
        <w:pStyle w:val="ListParagraph"/>
        <w:numPr>
          <w:ilvl w:val="1"/>
          <w:numId w:val="36"/>
        </w:numPr>
        <w:spacing w:before="240" w:after="240" w:line="278" w:lineRule="auto"/>
        <w:rPr>
          <w:rFonts w:ascii="Arial" w:eastAsia="Arial" w:hAnsi="Arial" w:cs="Arial"/>
        </w:rPr>
      </w:pPr>
      <w:r w:rsidRPr="01B141EB">
        <w:rPr>
          <w:rFonts w:ascii="Arial" w:eastAsia="Arial" w:hAnsi="Arial" w:cs="Arial"/>
        </w:rPr>
        <w:t>He acted honestly,</w:t>
      </w:r>
    </w:p>
    <w:p w14:paraId="37FCE0A0" w14:textId="77777777" w:rsidR="00297834" w:rsidRDefault="00297834" w:rsidP="00297834">
      <w:pPr>
        <w:pStyle w:val="ListParagraph"/>
        <w:numPr>
          <w:ilvl w:val="1"/>
          <w:numId w:val="36"/>
        </w:numPr>
        <w:spacing w:before="240" w:after="240" w:line="278" w:lineRule="auto"/>
        <w:rPr>
          <w:rFonts w:ascii="Arial" w:eastAsia="Arial" w:hAnsi="Arial" w:cs="Arial"/>
        </w:rPr>
      </w:pPr>
      <w:r w:rsidRPr="01B141EB">
        <w:rPr>
          <w:rFonts w:ascii="Arial" w:eastAsia="Arial" w:hAnsi="Arial" w:cs="Arial"/>
        </w:rPr>
        <w:t>The trust benefited,</w:t>
      </w:r>
    </w:p>
    <w:p w14:paraId="7B423516" w14:textId="77777777" w:rsidR="00297834" w:rsidRDefault="00297834" w:rsidP="00297834">
      <w:pPr>
        <w:pStyle w:val="ListParagraph"/>
        <w:numPr>
          <w:ilvl w:val="1"/>
          <w:numId w:val="36"/>
        </w:numPr>
        <w:spacing w:before="240" w:after="240" w:line="278" w:lineRule="auto"/>
        <w:rPr>
          <w:rFonts w:ascii="Arial" w:eastAsia="Arial" w:hAnsi="Arial" w:cs="Arial"/>
        </w:rPr>
      </w:pPr>
      <w:r w:rsidRPr="01B141EB">
        <w:rPr>
          <w:rFonts w:ascii="Arial" w:eastAsia="Arial" w:hAnsi="Arial" w:cs="Arial"/>
        </w:rPr>
        <w:t>There was no fraud or bad faith,</w:t>
      </w:r>
      <w:r>
        <w:br/>
      </w:r>
      <w:r w:rsidRPr="01B141EB">
        <w:rPr>
          <w:rFonts w:ascii="Arial" w:eastAsia="Arial" w:hAnsi="Arial" w:cs="Arial"/>
        </w:rPr>
        <w:t>he had used information obtained through his fiduciary position for personal gain.</w:t>
      </w:r>
    </w:p>
    <w:p w14:paraId="35FB7A77" w14:textId="77777777" w:rsidR="00297834" w:rsidRDefault="00297834" w:rsidP="00297834">
      <w:pPr>
        <w:pStyle w:val="ListParagraph"/>
        <w:numPr>
          <w:ilvl w:val="0"/>
          <w:numId w:val="36"/>
        </w:numPr>
        <w:spacing w:before="240" w:after="240" w:line="278" w:lineRule="auto"/>
        <w:rPr>
          <w:rFonts w:ascii="Arial" w:eastAsia="Arial" w:hAnsi="Arial" w:cs="Arial"/>
        </w:rPr>
      </w:pPr>
      <w:r w:rsidRPr="01B141EB">
        <w:rPr>
          <w:rFonts w:ascii="Arial" w:eastAsia="Arial" w:hAnsi="Arial" w:cs="Arial"/>
        </w:rPr>
        <w:t>He was therefore required to account for the profits made.</w:t>
      </w:r>
    </w:p>
    <w:p w14:paraId="0B95E93F" w14:textId="77777777" w:rsidR="00297834" w:rsidRDefault="00297834" w:rsidP="00297834">
      <w:pPr>
        <w:pStyle w:val="ListParagraph"/>
        <w:numPr>
          <w:ilvl w:val="0"/>
          <w:numId w:val="36"/>
        </w:numPr>
        <w:spacing w:before="240" w:after="240" w:line="278" w:lineRule="auto"/>
        <w:rPr>
          <w:rFonts w:ascii="Arial" w:eastAsia="Arial" w:hAnsi="Arial" w:cs="Arial"/>
        </w:rPr>
      </w:pPr>
      <w:r w:rsidRPr="01B141EB">
        <w:rPr>
          <w:rFonts w:ascii="Arial" w:eastAsia="Arial" w:hAnsi="Arial" w:cs="Arial"/>
        </w:rPr>
        <w:t>However, the court awarded him generous remuneration for his skill and effort.</w:t>
      </w:r>
    </w:p>
    <w:p w14:paraId="1121CA57" w14:textId="77777777" w:rsidR="00297834" w:rsidRDefault="00297834" w:rsidP="00297834">
      <w:pPr>
        <w:pStyle w:val="Heading3"/>
        <w:spacing w:before="281" w:after="281"/>
        <w:rPr>
          <w:rFonts w:ascii="Arial" w:eastAsia="Arial" w:hAnsi="Arial" w:cs="Arial"/>
          <w:b/>
          <w:color w:val="auto"/>
          <w:sz w:val="24"/>
          <w:szCs w:val="24"/>
        </w:rPr>
      </w:pPr>
      <w:r w:rsidRPr="01B141EB">
        <w:rPr>
          <w:rFonts w:ascii="Arial" w:eastAsia="Arial" w:hAnsi="Arial" w:cs="Arial"/>
          <w:b/>
          <w:color w:val="auto"/>
          <w:sz w:val="24"/>
          <w:szCs w:val="24"/>
        </w:rPr>
        <w:t>Legal Principle Established</w:t>
      </w:r>
    </w:p>
    <w:p w14:paraId="585C24C6" w14:textId="77777777" w:rsidR="00297834" w:rsidRDefault="00297834" w:rsidP="00297834">
      <w:pPr>
        <w:pStyle w:val="ListParagraph"/>
        <w:numPr>
          <w:ilvl w:val="0"/>
          <w:numId w:val="35"/>
        </w:numPr>
        <w:spacing w:before="240" w:after="240" w:line="278" w:lineRule="auto"/>
        <w:rPr>
          <w:rFonts w:ascii="Arial" w:eastAsia="Arial" w:hAnsi="Arial" w:cs="Arial"/>
        </w:rPr>
      </w:pPr>
      <w:r w:rsidRPr="01B141EB">
        <w:rPr>
          <w:rFonts w:ascii="Arial" w:eastAsia="Arial" w:hAnsi="Arial" w:cs="Arial"/>
        </w:rPr>
        <w:t xml:space="preserve">Trustees must avoid even the </w:t>
      </w:r>
      <w:r w:rsidRPr="01B141EB">
        <w:rPr>
          <w:rFonts w:ascii="Arial" w:eastAsia="Arial" w:hAnsi="Arial" w:cs="Arial"/>
          <w:b/>
        </w:rPr>
        <w:t>possibility</w:t>
      </w:r>
      <w:r w:rsidRPr="01B141EB">
        <w:rPr>
          <w:rFonts w:ascii="Arial" w:eastAsia="Arial" w:hAnsi="Arial" w:cs="Arial"/>
        </w:rPr>
        <w:t xml:space="preserve"> of a conflict of interest.</w:t>
      </w:r>
    </w:p>
    <w:p w14:paraId="61FBB078" w14:textId="77777777" w:rsidR="00297834" w:rsidRDefault="00297834" w:rsidP="00297834">
      <w:pPr>
        <w:pStyle w:val="ListParagraph"/>
        <w:numPr>
          <w:ilvl w:val="0"/>
          <w:numId w:val="35"/>
        </w:numPr>
        <w:spacing w:before="240" w:after="240" w:line="278" w:lineRule="auto"/>
        <w:rPr>
          <w:rFonts w:ascii="Arial" w:eastAsia="Arial" w:hAnsi="Arial" w:cs="Arial"/>
        </w:rPr>
      </w:pPr>
      <w:r w:rsidRPr="01B141EB">
        <w:rPr>
          <w:rFonts w:ascii="Arial" w:eastAsia="Arial" w:hAnsi="Arial" w:cs="Arial"/>
        </w:rPr>
        <w:t>The fiduciary duty of loyalty is strict.</w:t>
      </w:r>
    </w:p>
    <w:p w14:paraId="0FADE50E" w14:textId="77777777" w:rsidR="00297834" w:rsidRDefault="00297834" w:rsidP="00297834">
      <w:pPr>
        <w:pStyle w:val="ListParagraph"/>
        <w:numPr>
          <w:ilvl w:val="0"/>
          <w:numId w:val="35"/>
        </w:numPr>
        <w:spacing w:before="240" w:after="240" w:line="278" w:lineRule="auto"/>
        <w:rPr>
          <w:rFonts w:ascii="Arial" w:eastAsia="Arial" w:hAnsi="Arial" w:cs="Arial"/>
        </w:rPr>
      </w:pPr>
      <w:r w:rsidRPr="01B141EB">
        <w:rPr>
          <w:rFonts w:ascii="Arial" w:eastAsia="Arial" w:hAnsi="Arial" w:cs="Arial"/>
        </w:rPr>
        <w:t>A trustee must not profit from their position without fully informed consent.</w:t>
      </w:r>
    </w:p>
    <w:p w14:paraId="1D390E6C" w14:textId="77777777" w:rsidR="00297834" w:rsidRDefault="00297834" w:rsidP="00297834">
      <w:pPr>
        <w:pStyle w:val="ListParagraph"/>
        <w:numPr>
          <w:ilvl w:val="0"/>
          <w:numId w:val="35"/>
        </w:numPr>
        <w:spacing w:before="240" w:after="240" w:line="278" w:lineRule="auto"/>
        <w:rPr>
          <w:rFonts w:ascii="Arial" w:eastAsia="Arial" w:hAnsi="Arial" w:cs="Arial"/>
        </w:rPr>
      </w:pPr>
      <w:r w:rsidRPr="01B141EB">
        <w:rPr>
          <w:rFonts w:ascii="Arial" w:eastAsia="Arial" w:hAnsi="Arial" w:cs="Arial"/>
        </w:rPr>
        <w:t>Good faith does not excuse a conflict of interest.</w:t>
      </w:r>
    </w:p>
    <w:p w14:paraId="30EB11E3" w14:textId="77777777" w:rsidR="00297834" w:rsidRDefault="00297834" w:rsidP="00297834">
      <w:pPr>
        <w:spacing w:before="150" w:after="150"/>
      </w:pPr>
    </w:p>
    <w:p w14:paraId="451A0456" w14:textId="77777777" w:rsidR="00297834" w:rsidRDefault="00297834" w:rsidP="00297834">
      <w:pPr>
        <w:rPr>
          <w:b/>
          <w:bCs/>
          <w:u w:val="single"/>
        </w:rPr>
      </w:pPr>
      <w:r w:rsidRPr="00816FE6">
        <w:rPr>
          <w:b/>
          <w:bCs/>
          <w:u w:val="single"/>
        </w:rPr>
        <w:t>MOHAMED</w:t>
      </w:r>
    </w:p>
    <w:p w14:paraId="12252D0A" w14:textId="77777777" w:rsidR="00297834" w:rsidRPr="00816FE6" w:rsidRDefault="00297834" w:rsidP="00297834">
      <w:pPr>
        <w:rPr>
          <w:rFonts w:ascii="Arial" w:eastAsia="Arial" w:hAnsi="Arial" w:cs="Arial"/>
          <w:sz w:val="20"/>
          <w:szCs w:val="20"/>
        </w:rPr>
      </w:pPr>
      <w:r w:rsidRPr="66B0C18B">
        <w:rPr>
          <w:rFonts w:ascii="Arial" w:eastAsia="Arial" w:hAnsi="Arial" w:cs="Arial"/>
          <w:sz w:val="20"/>
          <w:szCs w:val="20"/>
        </w:rPr>
        <w:lastRenderedPageBreak/>
        <w:t>Re Londonderry’s Settlement - </w:t>
      </w:r>
      <w:r w:rsidRPr="00816FE6">
        <w:br/>
      </w:r>
      <w:r w:rsidRPr="66B0C18B">
        <w:rPr>
          <w:rFonts w:ascii="Arial" w:eastAsia="Arial" w:hAnsi="Arial" w:cs="Arial"/>
          <w:sz w:val="20"/>
          <w:szCs w:val="20"/>
        </w:rPr>
        <w:t>Case Facts: Beneficiary requested copies of documents from trustees. They supplied copies of annual trusts account and appointments but withheld any other additional documents. </w:t>
      </w:r>
    </w:p>
    <w:p w14:paraId="373D8B49" w14:textId="77777777" w:rsidR="00297834" w:rsidRPr="00816FE6" w:rsidRDefault="00297834" w:rsidP="00297834">
      <w:pPr>
        <w:rPr>
          <w:rFonts w:ascii="Arial" w:eastAsia="Arial" w:hAnsi="Arial" w:cs="Arial"/>
          <w:sz w:val="20"/>
          <w:szCs w:val="20"/>
        </w:rPr>
      </w:pPr>
      <w:r w:rsidRPr="00816FE6">
        <w:br/>
      </w:r>
      <w:r w:rsidRPr="66B0C18B">
        <w:rPr>
          <w:rFonts w:ascii="Arial" w:eastAsia="Arial" w:hAnsi="Arial" w:cs="Arial"/>
          <w:sz w:val="20"/>
          <w:szCs w:val="20"/>
        </w:rPr>
        <w:t>Outcome: The court of appeal the beneficiary was not entitled documents bearing the trustees deliberations leading to their decision as they were seen as confidential and any discussions between any of the trustees or appointers were classed as to be not a trust document. </w:t>
      </w:r>
    </w:p>
    <w:p w14:paraId="4F154144" w14:textId="77777777" w:rsidR="00297834" w:rsidRPr="00816FE6" w:rsidRDefault="00297834" w:rsidP="00297834">
      <w:pPr>
        <w:rPr>
          <w:rFonts w:ascii="Arial" w:eastAsia="Arial" w:hAnsi="Arial" w:cs="Arial"/>
          <w:sz w:val="20"/>
          <w:szCs w:val="20"/>
        </w:rPr>
      </w:pPr>
      <w:r w:rsidRPr="00816FE6">
        <w:br/>
      </w:r>
      <w:r w:rsidRPr="66B0C18B">
        <w:rPr>
          <w:rFonts w:ascii="Arial" w:eastAsia="Arial" w:hAnsi="Arial" w:cs="Arial"/>
          <w:sz w:val="20"/>
          <w:szCs w:val="20"/>
        </w:rPr>
        <w:t xml:space="preserve">Londonderry’s Settlement, Re, Peat v Walsh (1964) 3 All ER 855, available at </w:t>
      </w:r>
      <w:hyperlink r:id="rId14">
        <w:r w:rsidRPr="66B0C18B">
          <w:rPr>
            <w:rStyle w:val="Hyperlink"/>
            <w:rFonts w:ascii="Arial" w:eastAsia="Arial" w:hAnsi="Arial" w:cs="Arial"/>
            <w:sz w:val="20"/>
            <w:szCs w:val="20"/>
            <w:u w:val="none"/>
          </w:rPr>
          <w:t>https://plus-lexis-com.uwtsd.idm.oclc.org/uk/cases-uk/londonderrys-settlement-re-peat-v-walsh_2/?cr…</w:t>
        </w:r>
      </w:hyperlink>
      <w:r w:rsidRPr="66B0C18B">
        <w:rPr>
          <w:rFonts w:ascii="Arial" w:eastAsia="Arial" w:hAnsi="Arial" w:cs="Arial"/>
          <w:sz w:val="20"/>
          <w:szCs w:val="20"/>
        </w:rPr>
        <w:t xml:space="preserve"> (Accessed 18/02/2026)</w:t>
      </w:r>
    </w:p>
    <w:p w14:paraId="7D75AE0F" w14:textId="77777777" w:rsidR="00297834" w:rsidRPr="00816FE6" w:rsidRDefault="00297834" w:rsidP="00297834">
      <w:pPr>
        <w:rPr>
          <w:rFonts w:ascii="Arial" w:eastAsia="Arial" w:hAnsi="Arial" w:cs="Arial"/>
          <w:sz w:val="20"/>
          <w:szCs w:val="20"/>
        </w:rPr>
      </w:pPr>
      <w:r w:rsidRPr="00816FE6">
        <w:br/>
      </w:r>
      <w:r w:rsidRPr="66B0C18B">
        <w:rPr>
          <w:rFonts w:ascii="Arial" w:eastAsia="Arial" w:hAnsi="Arial" w:cs="Arial"/>
          <w:sz w:val="20"/>
          <w:szCs w:val="20"/>
        </w:rPr>
        <w:t>Dawson-Damer &amp; Others v Taylor Wessing LLP – </w:t>
      </w:r>
    </w:p>
    <w:p w14:paraId="26A365EB" w14:textId="77777777" w:rsidR="00297834" w:rsidRPr="00816FE6" w:rsidRDefault="00297834" w:rsidP="00297834">
      <w:pPr>
        <w:rPr>
          <w:rFonts w:ascii="Arial" w:eastAsia="Arial" w:hAnsi="Arial" w:cs="Arial"/>
          <w:sz w:val="20"/>
          <w:szCs w:val="20"/>
        </w:rPr>
      </w:pPr>
      <w:r w:rsidRPr="00816FE6">
        <w:br/>
      </w:r>
      <w:r w:rsidRPr="66B0C18B">
        <w:rPr>
          <w:rFonts w:ascii="Arial" w:eastAsia="Arial" w:hAnsi="Arial" w:cs="Arial"/>
          <w:sz w:val="20"/>
          <w:szCs w:val="20"/>
        </w:rPr>
        <w:t>Case Facts: Under a Bahamian trust. The beneficiaries requested access under the Data Protection Act 1998 to the trustee’s solicitors. They stated that only the documents that could be withheld were those obtained for the purpose of litigation between both parties. The issues that arose in the appeal were, the extent of professional legal privilege exceptions, whether further searches would involve a disproportionate effort and was excused from doing so and lastly discretion as to whether the judge would have entitled to refuse to exercise the discretion (s.7(9) of the Data Protection Act 1998) in favour of the claimants due to the real motive being that they needed the information to start legal proceedings against the trustees.</w:t>
      </w:r>
    </w:p>
    <w:p w14:paraId="6589B492" w14:textId="77777777" w:rsidR="00297834" w:rsidRDefault="00297834" w:rsidP="00297834">
      <w:pPr>
        <w:rPr>
          <w:rFonts w:ascii="Arial" w:eastAsia="Arial" w:hAnsi="Arial" w:cs="Arial"/>
          <w:sz w:val="20"/>
          <w:szCs w:val="20"/>
        </w:rPr>
      </w:pPr>
      <w:r w:rsidRPr="00816FE6">
        <w:br/>
      </w:r>
      <w:r w:rsidRPr="66B0C18B">
        <w:rPr>
          <w:rFonts w:ascii="Arial" w:eastAsia="Arial" w:hAnsi="Arial" w:cs="Arial"/>
          <w:sz w:val="20"/>
          <w:szCs w:val="20"/>
        </w:rPr>
        <w:t>It was argued that the professional privilege exception applies only to documents which carry legal professional privileges, in the purpose of English Law. Does not include documents by any virtue because the trustee may refuse to disclose it to the beneficiary. The request would have not involved a ‘disproportionate effort’ as all that is being done is reviewing the file and lastly the judge was wrong to decline the enforcement of the request because the claimants wanted to gain the information of the Bahamian trust to pursue proceedings. </w:t>
      </w:r>
      <w:r w:rsidRPr="00816FE6">
        <w:br/>
      </w:r>
      <w:r w:rsidRPr="66B0C18B">
        <w:rPr>
          <w:rFonts w:ascii="Arial" w:eastAsia="Arial" w:hAnsi="Arial" w:cs="Arial"/>
          <w:sz w:val="20"/>
          <w:szCs w:val="20"/>
        </w:rPr>
        <w:t>Outcome: The court of appeal allowed this appeal to follow through as they believed the judge had legally erred when determining whether the specific criteria to enable the data had been to do so easily and readily retrieved.</w:t>
      </w:r>
      <w:r w:rsidRPr="00816FE6">
        <w:br/>
      </w:r>
      <w:r w:rsidRPr="66B0C18B">
        <w:rPr>
          <w:rFonts w:ascii="Arial" w:eastAsia="Arial" w:hAnsi="Arial" w:cs="Arial"/>
          <w:sz w:val="20"/>
          <w:szCs w:val="20"/>
        </w:rPr>
        <w:t>Dawson-Damer &amp; Others v Taylore Wessing LLP (2020) EWCA Civ 352</w:t>
      </w:r>
    </w:p>
    <w:p w14:paraId="6EE13AD3" w14:textId="77777777" w:rsidR="00297834" w:rsidRDefault="00297834" w:rsidP="00297834">
      <w:pPr>
        <w:rPr>
          <w:rFonts w:ascii="Arial" w:eastAsia="Arial" w:hAnsi="Arial" w:cs="Arial"/>
          <w:sz w:val="20"/>
          <w:szCs w:val="20"/>
        </w:rPr>
      </w:pPr>
      <w:r w:rsidRPr="66B0C18B">
        <w:rPr>
          <w:rFonts w:ascii="Arial" w:eastAsia="Arial" w:hAnsi="Arial" w:cs="Arial"/>
          <w:sz w:val="20"/>
          <w:szCs w:val="20"/>
        </w:rPr>
        <w:t xml:space="preserve">In the case of O’Rourke v </w:t>
      </w:r>
      <w:proofErr w:type="spellStart"/>
      <w:r w:rsidRPr="66B0C18B">
        <w:rPr>
          <w:rFonts w:ascii="Arial" w:eastAsia="Arial" w:hAnsi="Arial" w:cs="Arial"/>
          <w:sz w:val="20"/>
          <w:szCs w:val="20"/>
        </w:rPr>
        <w:t>Darbishire</w:t>
      </w:r>
      <w:proofErr w:type="spellEnd"/>
      <w:r w:rsidRPr="66B0C18B">
        <w:rPr>
          <w:rFonts w:ascii="Arial" w:eastAsia="Arial" w:hAnsi="Arial" w:cs="Arial"/>
          <w:sz w:val="20"/>
          <w:szCs w:val="20"/>
        </w:rPr>
        <w:t xml:space="preserve"> (1920) the judge in that case stated that a beneficiary should be entitled to see all trust documents because they are his own as a beneficiary. If the trustees were to act or omit to </w:t>
      </w:r>
      <w:proofErr w:type="gramStart"/>
      <w:r w:rsidRPr="66B0C18B">
        <w:rPr>
          <w:rFonts w:ascii="Arial" w:eastAsia="Arial" w:hAnsi="Arial" w:cs="Arial"/>
          <w:sz w:val="20"/>
          <w:szCs w:val="20"/>
        </w:rPr>
        <w:t>act</w:t>
      </w:r>
      <w:proofErr w:type="gramEnd"/>
      <w:r w:rsidRPr="66B0C18B">
        <w:rPr>
          <w:rFonts w:ascii="Arial" w:eastAsia="Arial" w:hAnsi="Arial" w:cs="Arial"/>
          <w:sz w:val="20"/>
          <w:szCs w:val="20"/>
        </w:rPr>
        <w:t xml:space="preserve"> they would still be entitled to them. The proprietary right is the right to access the documents of which are your own. This cased looked at Rosewood v Schmidt.</w:t>
      </w:r>
    </w:p>
    <w:p w14:paraId="519A9F2C" w14:textId="77777777" w:rsidR="00297834" w:rsidRDefault="00297834" w:rsidP="00297834">
      <w:pPr>
        <w:spacing w:line="276" w:lineRule="auto"/>
        <w:rPr>
          <w:rFonts w:ascii="Arial" w:eastAsia="Arial" w:hAnsi="Arial" w:cs="Arial"/>
          <w:sz w:val="20"/>
          <w:szCs w:val="20"/>
        </w:rPr>
      </w:pPr>
      <w:r w:rsidRPr="66B0C18B">
        <w:rPr>
          <w:rFonts w:ascii="Arial" w:eastAsia="Arial" w:hAnsi="Arial" w:cs="Arial"/>
          <w:sz w:val="20"/>
          <w:szCs w:val="20"/>
        </w:rPr>
        <w:t>Reform suggestions for trustees’ rights to withhold information (maybe)</w:t>
      </w:r>
    </w:p>
    <w:p w14:paraId="33D931D4" w14:textId="77777777" w:rsidR="00297834" w:rsidRDefault="00297834" w:rsidP="00297834">
      <w:pPr>
        <w:spacing w:line="276" w:lineRule="auto"/>
        <w:rPr>
          <w:rFonts w:ascii="Arial" w:eastAsia="Arial" w:hAnsi="Arial" w:cs="Arial"/>
          <w:sz w:val="20"/>
          <w:szCs w:val="20"/>
        </w:rPr>
      </w:pPr>
      <w:r w:rsidRPr="66B0C18B">
        <w:rPr>
          <w:rFonts w:ascii="Arial" w:eastAsia="Arial" w:hAnsi="Arial" w:cs="Arial"/>
          <w:sz w:val="20"/>
          <w:szCs w:val="20"/>
        </w:rPr>
        <w:t>The journal article states trustees could only refuse to disclose information to legal reasons, for example any professional privileges covered in legal advice, whether information sought is commercially sensitive, the identity of the person who asked for information, and lastly for what purpose for which the information given would be handled (Clare, 2005). The last point could be nulled by the case of Dawson-Damer.</w:t>
      </w:r>
    </w:p>
    <w:p w14:paraId="2E595980" w14:textId="77777777" w:rsidR="00297834" w:rsidRDefault="00297834" w:rsidP="00297834">
      <w:pPr>
        <w:spacing w:line="276" w:lineRule="auto"/>
        <w:rPr>
          <w:rFonts w:ascii="Arial" w:eastAsia="Arial" w:hAnsi="Arial" w:cs="Arial"/>
          <w:sz w:val="20"/>
          <w:szCs w:val="20"/>
        </w:rPr>
      </w:pPr>
      <w:r w:rsidRPr="66B0C18B">
        <w:rPr>
          <w:rFonts w:ascii="Arial" w:eastAsia="Arial" w:hAnsi="Arial" w:cs="Arial"/>
          <w:sz w:val="20"/>
          <w:szCs w:val="20"/>
        </w:rPr>
        <w:t xml:space="preserve">These factors could be used to make sure trustees still have some rights and grounds in relation to their rights to disclose but providing more beneficiaries </w:t>
      </w:r>
      <w:proofErr w:type="gramStart"/>
      <w:r w:rsidRPr="66B0C18B">
        <w:rPr>
          <w:rFonts w:ascii="Arial" w:eastAsia="Arial" w:hAnsi="Arial" w:cs="Arial"/>
          <w:sz w:val="20"/>
          <w:szCs w:val="20"/>
        </w:rPr>
        <w:t>an</w:t>
      </w:r>
      <w:proofErr w:type="gramEnd"/>
      <w:r w:rsidRPr="66B0C18B">
        <w:rPr>
          <w:rFonts w:ascii="Arial" w:eastAsia="Arial" w:hAnsi="Arial" w:cs="Arial"/>
          <w:sz w:val="20"/>
          <w:szCs w:val="20"/>
        </w:rPr>
        <w:t xml:space="preserve"> right to obtain information.</w:t>
      </w:r>
    </w:p>
    <w:p w14:paraId="34CB41EB" w14:textId="77777777" w:rsidR="00297834" w:rsidRDefault="00297834" w:rsidP="00297834">
      <w:pPr>
        <w:rPr>
          <w:rFonts w:ascii="Arial" w:eastAsia="Arial" w:hAnsi="Arial" w:cs="Arial"/>
          <w:b/>
          <w:sz w:val="20"/>
          <w:szCs w:val="20"/>
          <w:u w:val="single"/>
        </w:rPr>
      </w:pPr>
    </w:p>
    <w:p w14:paraId="74AC939C" w14:textId="77777777" w:rsidR="00297834" w:rsidRPr="00832639" w:rsidRDefault="00297834" w:rsidP="00297834">
      <w:pPr>
        <w:rPr>
          <w:b/>
          <w:bCs/>
        </w:rPr>
      </w:pPr>
      <w:r w:rsidRPr="00EF4B7F">
        <w:rPr>
          <w:b/>
          <w:bCs/>
          <w:u w:val="single"/>
        </w:rPr>
        <w:t>A</w:t>
      </w:r>
      <w:r>
        <w:rPr>
          <w:b/>
          <w:bCs/>
          <w:u w:val="single"/>
        </w:rPr>
        <w:t>LEXANDRA BALOI</w:t>
      </w:r>
    </w:p>
    <w:p w14:paraId="1BA7AD34" w14:textId="77777777" w:rsidR="00297834" w:rsidRPr="00FE3102" w:rsidRDefault="00297834" w:rsidP="00297834">
      <w:pPr>
        <w:autoSpaceDE w:val="0"/>
        <w:autoSpaceDN w:val="0"/>
        <w:adjustRightInd w:val="0"/>
        <w:spacing w:after="0" w:line="240" w:lineRule="auto"/>
        <w:rPr>
          <w:rFonts w:cs="AppleSystemUIFont"/>
          <w:kern w:val="0"/>
        </w:rPr>
      </w:pPr>
      <w:r w:rsidRPr="00FE3102">
        <w:rPr>
          <w:rFonts w:cs="AppleSystemUIFont"/>
          <w:kern w:val="0"/>
        </w:rPr>
        <w:lastRenderedPageBreak/>
        <w:t xml:space="preserve">For my part of the collaborative work, I focused on examining how beneficiaries can access trust information and the limitations under current </w:t>
      </w:r>
      <w:proofErr w:type="spellStart"/>
      <w:r w:rsidRPr="00FE3102">
        <w:rPr>
          <w:rFonts w:cs="AppleSystemUIFont"/>
          <w:kern w:val="0"/>
        </w:rPr>
        <w:t>law.</w:t>
      </w:r>
      <w:proofErr w:type="spellEnd"/>
      <w:r w:rsidRPr="00FE3102">
        <w:rPr>
          <w:rFonts w:cs="AppleSystemUIFont"/>
          <w:kern w:val="0"/>
        </w:rPr>
        <w:t xml:space="preserve"> I researched the case Breakspear v Ackland [2008] EWHC 220 (Ch), which considered whether a beneficiary could obtain a copy of a letter of wishes prepared by the settlor. Letters of wishes are not legally binding, but they guide trustees in managing the trust. The beneficiary in this case argued that they should have access to ensure the trustees were acting properly.</w:t>
      </w:r>
    </w:p>
    <w:p w14:paraId="0AAC5C2A" w14:textId="77777777" w:rsidR="00297834" w:rsidRDefault="00297834" w:rsidP="00297834">
      <w:pPr>
        <w:autoSpaceDE w:val="0"/>
        <w:autoSpaceDN w:val="0"/>
        <w:adjustRightInd w:val="0"/>
        <w:spacing w:after="0" w:line="240" w:lineRule="auto"/>
        <w:rPr>
          <w:rFonts w:cs="AppleSystemUIFont"/>
          <w:kern w:val="0"/>
        </w:rPr>
      </w:pPr>
    </w:p>
    <w:p w14:paraId="11587A8C" w14:textId="77777777" w:rsidR="00297834" w:rsidRPr="00FE3102" w:rsidRDefault="00297834" w:rsidP="00297834">
      <w:pPr>
        <w:autoSpaceDE w:val="0"/>
        <w:autoSpaceDN w:val="0"/>
        <w:adjustRightInd w:val="0"/>
        <w:spacing w:after="0" w:line="240" w:lineRule="auto"/>
        <w:rPr>
          <w:rFonts w:cs="AppleSystemUIFont"/>
          <w:kern w:val="0"/>
        </w:rPr>
      </w:pPr>
      <w:r w:rsidRPr="00FE3102">
        <w:rPr>
          <w:rFonts w:cs="AppleSystemUIFont"/>
          <w:kern w:val="0"/>
        </w:rPr>
        <w:t>The court held that beneficiaries do not have an automatic right to all trust documents. Instead, whether information can be disclosed depends on the trustees’ discretion and the court’s assessment of fairness. The judgment confirmed that some documents, such as letters of wishes, may remain confidential, but disclosure could be permitted if there is a compelling reason.</w:t>
      </w:r>
    </w:p>
    <w:p w14:paraId="0A6204AF" w14:textId="77777777" w:rsidR="00297834" w:rsidRPr="002D67B9" w:rsidRDefault="00297834" w:rsidP="00297834">
      <w:pPr>
        <w:autoSpaceDE w:val="0"/>
        <w:autoSpaceDN w:val="0"/>
        <w:adjustRightInd w:val="0"/>
        <w:spacing w:after="0" w:line="240" w:lineRule="auto"/>
        <w:rPr>
          <w:rFonts w:cs="AppleSystemUIFont"/>
          <w:b/>
          <w:bCs/>
          <w:kern w:val="0"/>
        </w:rPr>
      </w:pPr>
    </w:p>
    <w:p w14:paraId="6D5A6D69" w14:textId="77777777" w:rsidR="00297834" w:rsidRPr="00FE3102" w:rsidRDefault="00297834" w:rsidP="00297834">
      <w:pPr>
        <w:autoSpaceDE w:val="0"/>
        <w:autoSpaceDN w:val="0"/>
        <w:adjustRightInd w:val="0"/>
        <w:spacing w:after="0" w:line="240" w:lineRule="auto"/>
        <w:rPr>
          <w:rFonts w:cs="AppleSystemUIFont"/>
          <w:kern w:val="0"/>
        </w:rPr>
      </w:pPr>
      <w:r w:rsidRPr="002D67B9">
        <w:rPr>
          <w:rFonts w:cs="AppleSystemUIFont"/>
          <w:b/>
          <w:bCs/>
          <w:kern w:val="0"/>
        </w:rPr>
        <w:t>Strengths of the current law:</w:t>
      </w:r>
      <w:r w:rsidRPr="002D67B9">
        <w:rPr>
          <w:rFonts w:ascii="MS Gothic" w:eastAsia="MS Gothic" w:hAnsi="MS Gothic" w:cs="MS Gothic" w:hint="eastAsia"/>
          <w:b/>
          <w:bCs/>
          <w:kern w:val="0"/>
        </w:rPr>
        <w:t> </w:t>
      </w:r>
      <w:r w:rsidRPr="00FE3102">
        <w:rPr>
          <w:rFonts w:cs="AppleSystemUIFont"/>
          <w:kern w:val="0"/>
        </w:rPr>
        <w:t>This approach protects the confidentiality of trust documents, allowing trustees to make decisions freely without fear of interference. It supports effective trust management and prevents unnecessary disputes.</w:t>
      </w:r>
    </w:p>
    <w:p w14:paraId="41244C0E" w14:textId="77777777" w:rsidR="00297834" w:rsidRPr="00FE3102" w:rsidRDefault="00297834" w:rsidP="00297834">
      <w:pPr>
        <w:autoSpaceDE w:val="0"/>
        <w:autoSpaceDN w:val="0"/>
        <w:adjustRightInd w:val="0"/>
        <w:spacing w:after="0" w:line="240" w:lineRule="auto"/>
        <w:rPr>
          <w:rFonts w:cs="AppleSystemUIFont"/>
          <w:kern w:val="0"/>
        </w:rPr>
      </w:pPr>
    </w:p>
    <w:p w14:paraId="2886991E" w14:textId="77777777" w:rsidR="00297834" w:rsidRPr="00FE3102" w:rsidRDefault="00297834" w:rsidP="00297834">
      <w:pPr>
        <w:autoSpaceDE w:val="0"/>
        <w:autoSpaceDN w:val="0"/>
        <w:adjustRightInd w:val="0"/>
        <w:spacing w:after="0" w:line="240" w:lineRule="auto"/>
        <w:rPr>
          <w:rFonts w:cs="AppleSystemUIFont"/>
          <w:kern w:val="0"/>
        </w:rPr>
      </w:pPr>
      <w:r w:rsidRPr="002D67B9">
        <w:rPr>
          <w:rFonts w:cs="AppleSystemUIFont"/>
          <w:b/>
          <w:bCs/>
          <w:kern w:val="0"/>
        </w:rPr>
        <w:t>Weaknesses of the current law:</w:t>
      </w:r>
      <w:r w:rsidRPr="002D67B9">
        <w:rPr>
          <w:rFonts w:ascii="MS Gothic" w:eastAsia="MS Gothic" w:hAnsi="MS Gothic" w:cs="MS Gothic" w:hint="eastAsia"/>
          <w:b/>
          <w:bCs/>
          <w:kern w:val="0"/>
        </w:rPr>
        <w:t> </w:t>
      </w:r>
      <w:r w:rsidRPr="00FE3102">
        <w:rPr>
          <w:rFonts w:cs="AppleSystemUIFont"/>
          <w:kern w:val="0"/>
        </w:rPr>
        <w:t>However, it limits transparency and makes it harder for beneficiaries to monitor trustees’ actions. Beneficiaries may struggle to enforce their rights or identify potential mismanagement, which undermines accountability and equity’s principle that trustees must act in good faith.</w:t>
      </w:r>
    </w:p>
    <w:p w14:paraId="4EACDA2E" w14:textId="77777777" w:rsidR="00297834" w:rsidRPr="00FE3102" w:rsidRDefault="00297834" w:rsidP="00297834">
      <w:pPr>
        <w:autoSpaceDE w:val="0"/>
        <w:autoSpaceDN w:val="0"/>
        <w:adjustRightInd w:val="0"/>
        <w:spacing w:after="0" w:line="240" w:lineRule="auto"/>
        <w:rPr>
          <w:rFonts w:cs="AppleSystemUIFont"/>
          <w:kern w:val="0"/>
        </w:rPr>
      </w:pPr>
    </w:p>
    <w:p w14:paraId="583AFF16" w14:textId="77777777" w:rsidR="00297834" w:rsidRPr="00FE3102" w:rsidRDefault="00297834" w:rsidP="00297834">
      <w:pPr>
        <w:autoSpaceDE w:val="0"/>
        <w:autoSpaceDN w:val="0"/>
        <w:adjustRightInd w:val="0"/>
        <w:spacing w:after="0" w:line="240" w:lineRule="auto"/>
        <w:rPr>
          <w:rFonts w:cs="AppleSystemUIFont"/>
          <w:kern w:val="0"/>
        </w:rPr>
      </w:pPr>
    </w:p>
    <w:p w14:paraId="6A58C9CE" w14:textId="77777777" w:rsidR="00297834" w:rsidRPr="00FE3102" w:rsidRDefault="00297834" w:rsidP="00297834">
      <w:pPr>
        <w:autoSpaceDE w:val="0"/>
        <w:autoSpaceDN w:val="0"/>
        <w:adjustRightInd w:val="0"/>
        <w:spacing w:after="0" w:line="240" w:lineRule="auto"/>
        <w:rPr>
          <w:rFonts w:cs="AppleSystemUIFont"/>
          <w:kern w:val="0"/>
        </w:rPr>
      </w:pPr>
      <w:r w:rsidRPr="00FE3102">
        <w:rPr>
          <w:rFonts w:cs="AppleSystemUIFont"/>
          <w:kern w:val="0"/>
        </w:rPr>
        <w:t>This case highlights the need for reform to provide clearer and more consistent rights for beneficiaries to access trust information while balancing the need for trustee discretion.</w:t>
      </w:r>
    </w:p>
    <w:p w14:paraId="6B42C35E" w14:textId="77777777" w:rsidR="00297834" w:rsidRDefault="00297834" w:rsidP="00297834">
      <w:pPr>
        <w:spacing w:after="0" w:line="240" w:lineRule="auto"/>
        <w:rPr>
          <w:rFonts w:cs="AppleSystemUIFont"/>
        </w:rPr>
      </w:pPr>
    </w:p>
    <w:p w14:paraId="7B4DDDB0" w14:textId="77777777" w:rsidR="00297834" w:rsidRDefault="00297834" w:rsidP="00297834">
      <w:pPr>
        <w:spacing w:after="0" w:line="240" w:lineRule="auto"/>
        <w:rPr>
          <w:rFonts w:cs="AppleSystemUIFont"/>
        </w:rPr>
      </w:pPr>
    </w:p>
    <w:p w14:paraId="753EA28B" w14:textId="77777777" w:rsidR="00297834" w:rsidRPr="00654757" w:rsidRDefault="00297834" w:rsidP="00297834">
      <w:pPr>
        <w:jc w:val="both"/>
        <w:rPr>
          <w:rFonts w:ascii="Aptos" w:eastAsia="Aptos" w:hAnsi="Aptos" w:cs="Aptos"/>
          <w:b/>
          <w:bCs/>
          <w:u w:val="single"/>
        </w:rPr>
      </w:pPr>
      <w:r w:rsidRPr="00654757">
        <w:rPr>
          <w:rFonts w:ascii="Aptos" w:eastAsia="Aptos" w:hAnsi="Aptos" w:cs="Aptos"/>
          <w:b/>
          <w:bCs/>
          <w:u w:val="single"/>
        </w:rPr>
        <w:t xml:space="preserve">Charities Act 2011 </w:t>
      </w:r>
    </w:p>
    <w:p w14:paraId="7EEEA734" w14:textId="77777777" w:rsidR="00297834" w:rsidRPr="00801506" w:rsidRDefault="00297834" w:rsidP="00297834">
      <w:r w:rsidRPr="00801506">
        <w:rPr>
          <w:rFonts w:cs="AppleSystemUIFont"/>
          <w:kern w:val="0"/>
        </w:rPr>
        <w:t>The Charities Act 2011 provides the main legal framework for the regulation of charities in England and Wales. It explains what organisations qualify as charities and sets out the legal requirements for charitable purposes, which must benefit the public. The Act also outlines the duties and responsibilities of charity trustees, including the duty to act honestly, act in the best interests of the charity, and manage the charity’s assets responsibly. In addition, the Act gives the Charity Commission the power to supervise and regulate charities, investigate concerns, and ensure trustees comply with their legal obligations. This legislation is important in equity and trusts because charity trustees hold and manage property on trust for charitable purposes, and the Act helps ensure accountability, proper administration, and protection of beneficiaries and public interest (Charities Act 2011).</w:t>
      </w:r>
    </w:p>
    <w:p w14:paraId="249167B5" w14:textId="77777777" w:rsidR="00297834" w:rsidRDefault="00297834" w:rsidP="00297834">
      <w:pPr>
        <w:spacing w:after="0" w:line="240" w:lineRule="auto"/>
        <w:rPr>
          <w:rFonts w:cs="AppleSystemUIFont"/>
        </w:rPr>
      </w:pPr>
    </w:p>
    <w:p w14:paraId="7944614B" w14:textId="77777777" w:rsidR="00297834" w:rsidRDefault="00297834" w:rsidP="00297834">
      <w:pPr>
        <w:spacing w:after="0" w:line="240" w:lineRule="auto"/>
        <w:rPr>
          <w:rFonts w:cs="AppleSystemUIFont"/>
        </w:rPr>
      </w:pPr>
    </w:p>
    <w:p w14:paraId="4F557295" w14:textId="77777777" w:rsidR="00297834" w:rsidRDefault="00297834" w:rsidP="00297834">
      <w:pPr>
        <w:rPr>
          <w:rFonts w:eastAsiaTheme="minorEastAsia"/>
          <w:b/>
          <w:bCs/>
          <w:u w:val="single"/>
        </w:rPr>
      </w:pPr>
    </w:p>
    <w:p w14:paraId="1C198D2E" w14:textId="77777777" w:rsidR="00297834" w:rsidRPr="00FE3102" w:rsidRDefault="00297834" w:rsidP="00297834">
      <w:pPr>
        <w:spacing w:before="240" w:after="240"/>
        <w:rPr>
          <w:rFonts w:eastAsiaTheme="minorEastAsia"/>
        </w:rPr>
      </w:pPr>
      <w:r w:rsidRPr="4CB04939">
        <w:rPr>
          <w:rFonts w:eastAsiaTheme="minorEastAsia"/>
          <w:b/>
          <w:u w:val="single"/>
        </w:rPr>
        <w:t xml:space="preserve">SARAH </w:t>
      </w:r>
      <w:proofErr w:type="gramStart"/>
      <w:r w:rsidRPr="4CB04939">
        <w:rPr>
          <w:rFonts w:eastAsiaTheme="minorEastAsia"/>
          <w:b/>
          <w:u w:val="single"/>
        </w:rPr>
        <w:t>H</w:t>
      </w:r>
      <w:r w:rsidRPr="6AB3C774">
        <w:rPr>
          <w:rFonts w:eastAsiaTheme="minorEastAsia"/>
          <w:b/>
          <w:bCs/>
          <w:u w:val="single"/>
        </w:rPr>
        <w:t xml:space="preserve">  </w:t>
      </w:r>
      <w:r w:rsidRPr="4CB04939">
        <w:rPr>
          <w:rFonts w:eastAsiaTheme="minorEastAsia"/>
        </w:rPr>
        <w:t>As</w:t>
      </w:r>
      <w:proofErr w:type="gramEnd"/>
      <w:r w:rsidRPr="4CB04939">
        <w:rPr>
          <w:rFonts w:eastAsiaTheme="minorEastAsia"/>
        </w:rPr>
        <w:t xml:space="preserve"> part of the collaborative work for this project, I contributed by reviewing relevant case law and examining how existing legal principles could inform the drafting of a proposed Bill. My focus was on understanding the current judicial approach to beneficiaries’ access to trust information and identifying where statutory intervention could provide greater clarity. This research formed the basis for shaping the structure and content of the draft legislation included in our proposal.</w:t>
      </w:r>
    </w:p>
    <w:p w14:paraId="1B49E964" w14:textId="77777777" w:rsidR="00297834" w:rsidRPr="00FE3102" w:rsidRDefault="00297834" w:rsidP="00297834">
      <w:pPr>
        <w:spacing w:before="240" w:after="240"/>
        <w:jc w:val="both"/>
        <w:rPr>
          <w:rFonts w:eastAsiaTheme="minorEastAsia"/>
        </w:rPr>
      </w:pPr>
      <w:r w:rsidRPr="4CB04939">
        <w:rPr>
          <w:rFonts w:eastAsiaTheme="minorEastAsia"/>
        </w:rPr>
        <w:t xml:space="preserve">The Bill we developed is intended to modernise and clarify the rules governing the disclosure of information by trustees. Its overarching aim is to ensure that beneficiaries have dependable access to </w:t>
      </w:r>
      <w:r w:rsidRPr="4CB04939">
        <w:rPr>
          <w:rFonts w:eastAsiaTheme="minorEastAsia"/>
        </w:rPr>
        <w:lastRenderedPageBreak/>
        <w:t>essential trust documents while introducing a new regulatory body—the Trustee Commissioner—to oversee disputes and promote consistent standards of transparency. By doing so, the Bill seeks to strengthen accountability within trust administration and provide beneficiaries with a clearer and more accessible route for enforcing their rights.</w:t>
      </w:r>
    </w:p>
    <w:p w14:paraId="7D8B6655" w14:textId="77777777" w:rsidR="00297834" w:rsidRPr="00FE3102" w:rsidRDefault="00297834" w:rsidP="00297834">
      <w:pPr>
        <w:spacing w:before="240" w:after="240"/>
        <w:jc w:val="both"/>
        <w:rPr>
          <w:rFonts w:eastAsiaTheme="minorEastAsia"/>
        </w:rPr>
      </w:pPr>
      <w:r w:rsidRPr="4CB04939">
        <w:rPr>
          <w:rFonts w:eastAsiaTheme="minorEastAsia"/>
        </w:rPr>
        <w:t>A central feature of the Bill is the introduction of a statutory duty requiring trustees to disclose core trust information upon written request. This includes key documents such as the trust deed, annual accounts, investment reports, and recent distribution records. The intention is to establish a minimum level of disclosure that beneficiaries can expect as a matter of right. Trustees would retain the ability to refuse disclosure, but only where they reasonably believe that providing the information would significantly prejudice the proper administration of the trust. This ensures that confidentiality and practical considerations remain protected.</w:t>
      </w:r>
    </w:p>
    <w:p w14:paraId="67E1D63E" w14:textId="77777777" w:rsidR="00297834" w:rsidRPr="00FE3102" w:rsidRDefault="00297834" w:rsidP="00297834">
      <w:pPr>
        <w:spacing w:before="240" w:after="240"/>
        <w:jc w:val="both"/>
        <w:rPr>
          <w:rFonts w:eastAsiaTheme="minorEastAsia"/>
        </w:rPr>
      </w:pPr>
      <w:r w:rsidRPr="4CB04939">
        <w:rPr>
          <w:rFonts w:eastAsiaTheme="minorEastAsia"/>
        </w:rPr>
        <w:t>The Bill also creates a mechanism for beneficiaries to request additional information beyond the core documents. Where a beneficiary requires further details to understand or enforce their beneficial interest, they may apply directly to the Trustee Commissioner. The Commissioner would have the authority to order disclosure where appropriate and to impose conditions such as redaction or confidentiality undertakings. This approach aims to balance the need for transparency with the need to safeguard sensitive information.</w:t>
      </w:r>
    </w:p>
    <w:p w14:paraId="5DE50308" w14:textId="77777777" w:rsidR="00297834" w:rsidRPr="00FE3102" w:rsidRDefault="00297834" w:rsidP="00297834">
      <w:pPr>
        <w:spacing w:before="240" w:after="240"/>
        <w:jc w:val="both"/>
        <w:rPr>
          <w:rFonts w:eastAsiaTheme="minorEastAsia"/>
        </w:rPr>
      </w:pPr>
      <w:r w:rsidRPr="4CB04939">
        <w:rPr>
          <w:rFonts w:eastAsiaTheme="minorEastAsia"/>
        </w:rPr>
        <w:t>Another major component of the Bill is the establishment of the Trustee Commissioner as a specialist oversight body. The Commissioner would act as an accessible authority for resolving disputes about disclosure, reducing the need for beneficiaries to resort to court proceedings. The Commissioner would have the power to issue binding directions to trustees and to impose civil penalties where trustees unreasonably refuse or delay the provision of information. This structure is intended to promote consistency, efficiency, and fairness in the handling of disclosure issues.</w:t>
      </w:r>
    </w:p>
    <w:p w14:paraId="35B22312" w14:textId="77777777" w:rsidR="00297834" w:rsidRPr="00FE3102" w:rsidRDefault="00297834" w:rsidP="00297834">
      <w:pPr>
        <w:spacing w:before="240" w:after="240"/>
        <w:jc w:val="both"/>
        <w:rPr>
          <w:rFonts w:eastAsiaTheme="minorEastAsia"/>
        </w:rPr>
      </w:pPr>
      <w:r w:rsidRPr="4CB04939">
        <w:rPr>
          <w:rFonts w:eastAsiaTheme="minorEastAsia"/>
        </w:rPr>
        <w:t>To enhance accountability, the Bill requires trustees who refuse disclosure to provide written reasons for their decision. Trustees must also inform beneficiaries of their right to seek review by the Trustee Commissioner. This ensures that beneficiaries are not left without recourse and that trustees’ decisions remain transparent and open to scrutiny.</w:t>
      </w:r>
    </w:p>
    <w:p w14:paraId="0DF8493A" w14:textId="77777777" w:rsidR="00297834" w:rsidRPr="00FE3102" w:rsidRDefault="00297834" w:rsidP="00297834">
      <w:pPr>
        <w:spacing w:before="240" w:after="240"/>
        <w:jc w:val="both"/>
        <w:rPr>
          <w:rFonts w:eastAsiaTheme="minorEastAsia"/>
        </w:rPr>
      </w:pPr>
      <w:r w:rsidRPr="4CB04939">
        <w:rPr>
          <w:rFonts w:eastAsiaTheme="minorEastAsia"/>
        </w:rPr>
        <w:t>Finally, the Bill includes a requirement for the Trustee Commissioner to publish an annual report summarising trends and decisions relating to disclosure disputes. While ensuring that no confidential trust information is revealed, this reporting duty is designed to improve public understanding of trust governance and encourage consistent decision</w:t>
      </w:r>
      <w:r w:rsidRPr="4CB04939">
        <w:rPr>
          <w:rFonts w:ascii="Cambria Math" w:eastAsiaTheme="minorEastAsia" w:hAnsi="Cambria Math" w:cs="Cambria Math"/>
        </w:rPr>
        <w:t>‑</w:t>
      </w:r>
      <w:r w:rsidRPr="4CB04939">
        <w:rPr>
          <w:rFonts w:eastAsiaTheme="minorEastAsia"/>
        </w:rPr>
        <w:t>making across the sector.</w:t>
      </w:r>
    </w:p>
    <w:p w14:paraId="091DE7D4" w14:textId="77777777" w:rsidR="00297834" w:rsidRPr="00FE3102" w:rsidRDefault="00297834" w:rsidP="00297834">
      <w:pPr>
        <w:rPr>
          <w:rFonts w:ascii="Times New Roman" w:eastAsia="Times New Roman" w:hAnsi="Times New Roman" w:cs="Times New Roman"/>
          <w:sz w:val="28"/>
          <w:szCs w:val="28"/>
        </w:rPr>
      </w:pPr>
    </w:p>
    <w:p w14:paraId="5B535481" w14:textId="77777777" w:rsidR="00297834" w:rsidRDefault="00297834" w:rsidP="00297834">
      <w:pPr>
        <w:rPr>
          <w:sz w:val="28"/>
          <w:szCs w:val="28"/>
        </w:rPr>
      </w:pPr>
    </w:p>
    <w:p w14:paraId="26DDC450" w14:textId="77777777" w:rsidR="00297834" w:rsidRDefault="00297834" w:rsidP="00297834"/>
    <w:p w14:paraId="24C0F6AC" w14:textId="77777777" w:rsidR="00297834" w:rsidRDefault="00297834" w:rsidP="00297834">
      <w:pPr>
        <w:rPr>
          <w:b/>
          <w:bCs/>
          <w:highlight w:val="yellow"/>
          <w:u w:val="single"/>
        </w:rPr>
      </w:pPr>
      <w:r w:rsidRPr="04169F23">
        <w:rPr>
          <w:b/>
          <w:bCs/>
          <w:highlight w:val="yellow"/>
          <w:u w:val="single"/>
        </w:rPr>
        <w:t>Date 25</w:t>
      </w:r>
      <w:r w:rsidRPr="04169F23">
        <w:rPr>
          <w:b/>
          <w:bCs/>
          <w:highlight w:val="yellow"/>
          <w:u w:val="single"/>
          <w:vertAlign w:val="superscript"/>
        </w:rPr>
        <w:t>th</w:t>
      </w:r>
      <w:r w:rsidRPr="04169F23">
        <w:rPr>
          <w:b/>
          <w:bCs/>
          <w:highlight w:val="yellow"/>
          <w:u w:val="single"/>
        </w:rPr>
        <w:t xml:space="preserve"> February 2026</w:t>
      </w:r>
    </w:p>
    <w:p w14:paraId="19C3F483" w14:textId="77777777" w:rsidR="00297834" w:rsidRDefault="00297834" w:rsidP="00297834">
      <w:pPr>
        <w:rPr>
          <w:b/>
          <w:bCs/>
          <w:highlight w:val="yellow"/>
          <w:u w:val="single"/>
        </w:rPr>
      </w:pPr>
    </w:p>
    <w:p w14:paraId="0D87F8C5" w14:textId="77777777" w:rsidR="00297834" w:rsidRDefault="00297834" w:rsidP="00297834">
      <w:pPr>
        <w:rPr>
          <w:b/>
          <w:bCs/>
          <w:u w:val="single"/>
        </w:rPr>
      </w:pPr>
      <w:r w:rsidRPr="00EC6C1E">
        <w:rPr>
          <w:b/>
          <w:bCs/>
          <w:u w:val="single"/>
        </w:rPr>
        <w:t>TERESA</w:t>
      </w:r>
      <w:r w:rsidRPr="00757C8A">
        <w:rPr>
          <w:b/>
          <w:bCs/>
          <w:u w:val="single"/>
        </w:rPr>
        <w:t xml:space="preserve"> </w:t>
      </w:r>
      <w:r w:rsidRPr="00EC6C1E">
        <w:rPr>
          <w:b/>
          <w:bCs/>
          <w:u w:val="single"/>
        </w:rPr>
        <w:t>KAN</w:t>
      </w:r>
    </w:p>
    <w:p w14:paraId="345F535E" w14:textId="77777777" w:rsidR="00297834" w:rsidRDefault="00297834" w:rsidP="00297834">
      <w:pPr>
        <w:rPr>
          <w:b/>
          <w:bCs/>
          <w:u w:val="single"/>
        </w:rPr>
      </w:pPr>
    </w:p>
    <w:p w14:paraId="480E00A9" w14:textId="77777777" w:rsidR="00297834" w:rsidRPr="0058786C" w:rsidRDefault="00297834" w:rsidP="00297834">
      <w:pPr>
        <w:pStyle w:val="p1"/>
        <w:rPr>
          <w:rFonts w:hint="eastAsia"/>
          <w:sz w:val="22"/>
          <w:szCs w:val="22"/>
        </w:rPr>
      </w:pPr>
      <w:r w:rsidRPr="0058786C">
        <w:rPr>
          <w:rStyle w:val="s1"/>
          <w:sz w:val="22"/>
          <w:szCs w:val="22"/>
        </w:rPr>
        <w:lastRenderedPageBreak/>
        <w:t xml:space="preserve">Target Holding Ltd v </w:t>
      </w:r>
      <w:proofErr w:type="spellStart"/>
      <w:r w:rsidRPr="0058786C">
        <w:rPr>
          <w:rStyle w:val="s1"/>
          <w:sz w:val="22"/>
          <w:szCs w:val="22"/>
        </w:rPr>
        <w:t>Redferns</w:t>
      </w:r>
      <w:proofErr w:type="spellEnd"/>
      <w:r w:rsidRPr="0058786C">
        <w:rPr>
          <w:rStyle w:val="s1"/>
          <w:sz w:val="22"/>
          <w:szCs w:val="22"/>
        </w:rPr>
        <w:t xml:space="preserve"> (1996)</w:t>
      </w:r>
      <w:r w:rsidRPr="0058786C">
        <w:rPr>
          <w:rStyle w:val="apple-converted-space"/>
          <w:rFonts w:ascii="UICTFontTextStyleBody" w:hAnsi="UICTFontTextStyleBody"/>
          <w:b/>
          <w:bCs/>
          <w:sz w:val="22"/>
          <w:szCs w:val="22"/>
        </w:rPr>
        <w:t> </w:t>
      </w:r>
    </w:p>
    <w:p w14:paraId="5C3C201F" w14:textId="77777777" w:rsidR="00297834" w:rsidRPr="0058786C" w:rsidRDefault="00297834" w:rsidP="00297834">
      <w:pPr>
        <w:pStyle w:val="p2"/>
        <w:rPr>
          <w:rFonts w:hint="eastAsia"/>
          <w:sz w:val="22"/>
          <w:szCs w:val="22"/>
        </w:rPr>
      </w:pPr>
    </w:p>
    <w:p w14:paraId="09A91F1B" w14:textId="77777777" w:rsidR="00297834" w:rsidRPr="0058786C" w:rsidRDefault="00297834" w:rsidP="00297834">
      <w:pPr>
        <w:pStyle w:val="p3"/>
        <w:rPr>
          <w:rFonts w:hint="eastAsia"/>
          <w:sz w:val="22"/>
          <w:szCs w:val="22"/>
        </w:rPr>
      </w:pPr>
      <w:r w:rsidRPr="0058786C">
        <w:rPr>
          <w:rStyle w:val="s2"/>
          <w:sz w:val="22"/>
          <w:szCs w:val="22"/>
        </w:rPr>
        <w:t>This case is tied to the case mentioned above Nestle v National Westminster bank (1993)</w:t>
      </w:r>
    </w:p>
    <w:p w14:paraId="381AFA1E" w14:textId="77777777" w:rsidR="00297834" w:rsidRPr="0058786C" w:rsidRDefault="00297834" w:rsidP="00297834">
      <w:pPr>
        <w:pStyle w:val="p2"/>
        <w:rPr>
          <w:rFonts w:hint="eastAsia"/>
          <w:sz w:val="22"/>
          <w:szCs w:val="22"/>
        </w:rPr>
      </w:pPr>
    </w:p>
    <w:p w14:paraId="7DFA2A49" w14:textId="77777777" w:rsidR="00297834" w:rsidRPr="0058786C" w:rsidRDefault="00297834" w:rsidP="00297834">
      <w:pPr>
        <w:pStyle w:val="p3"/>
        <w:rPr>
          <w:rFonts w:hint="eastAsia"/>
          <w:sz w:val="22"/>
          <w:szCs w:val="22"/>
        </w:rPr>
      </w:pPr>
      <w:r w:rsidRPr="0058786C">
        <w:rPr>
          <w:rStyle w:val="s2"/>
          <w:sz w:val="22"/>
          <w:szCs w:val="22"/>
        </w:rPr>
        <w:t>Facts of the case:</w:t>
      </w:r>
    </w:p>
    <w:p w14:paraId="0135271D" w14:textId="77777777" w:rsidR="00297834" w:rsidRPr="0058786C" w:rsidRDefault="00297834" w:rsidP="00297834">
      <w:pPr>
        <w:pStyle w:val="p2"/>
        <w:rPr>
          <w:rFonts w:hint="eastAsia"/>
          <w:sz w:val="22"/>
          <w:szCs w:val="22"/>
        </w:rPr>
      </w:pPr>
    </w:p>
    <w:p w14:paraId="6F2A28EC" w14:textId="77777777" w:rsidR="00297834" w:rsidRPr="0058786C" w:rsidRDefault="00297834" w:rsidP="00297834">
      <w:pPr>
        <w:pStyle w:val="li3"/>
        <w:numPr>
          <w:ilvl w:val="0"/>
          <w:numId w:val="12"/>
        </w:numPr>
        <w:rPr>
          <w:rFonts w:eastAsia="Times New Roman"/>
          <w:sz w:val="22"/>
          <w:szCs w:val="22"/>
        </w:rPr>
      </w:pPr>
      <w:r w:rsidRPr="0058786C">
        <w:rPr>
          <w:rStyle w:val="s2"/>
          <w:rFonts w:eastAsia="Times New Roman"/>
          <w:sz w:val="22"/>
          <w:szCs w:val="22"/>
        </w:rPr>
        <w:t>Target holdings Ltd agreed to lend 1.5 million pounds for a property purchase</w:t>
      </w:r>
      <w:r w:rsidRPr="0058786C">
        <w:rPr>
          <w:rStyle w:val="apple-converted-space"/>
          <w:rFonts w:ascii="UICTFontTextStyleBody" w:eastAsia="Times New Roman" w:hAnsi="UICTFontTextStyleBody"/>
          <w:sz w:val="22"/>
          <w:szCs w:val="22"/>
        </w:rPr>
        <w:t> </w:t>
      </w:r>
    </w:p>
    <w:p w14:paraId="3F70D814" w14:textId="77777777" w:rsidR="00297834" w:rsidRPr="0058786C" w:rsidRDefault="00297834" w:rsidP="00297834">
      <w:pPr>
        <w:pStyle w:val="li3"/>
        <w:numPr>
          <w:ilvl w:val="0"/>
          <w:numId w:val="12"/>
        </w:numPr>
        <w:rPr>
          <w:rFonts w:eastAsia="Times New Roman"/>
          <w:sz w:val="22"/>
          <w:szCs w:val="22"/>
        </w:rPr>
      </w:pPr>
      <w:r w:rsidRPr="0058786C">
        <w:rPr>
          <w:rStyle w:val="s2"/>
          <w:rFonts w:eastAsia="Times New Roman"/>
          <w:sz w:val="22"/>
          <w:szCs w:val="22"/>
        </w:rPr>
        <w:t xml:space="preserve">The loan money was given to the solicitors </w:t>
      </w:r>
      <w:proofErr w:type="spellStart"/>
      <w:r w:rsidRPr="0058786C">
        <w:rPr>
          <w:rStyle w:val="s2"/>
          <w:rFonts w:eastAsia="Times New Roman"/>
          <w:sz w:val="22"/>
          <w:szCs w:val="22"/>
        </w:rPr>
        <w:t>Redferns</w:t>
      </w:r>
      <w:proofErr w:type="spellEnd"/>
      <w:r w:rsidRPr="0058786C">
        <w:rPr>
          <w:rStyle w:val="s2"/>
          <w:rFonts w:eastAsia="Times New Roman"/>
          <w:sz w:val="22"/>
          <w:szCs w:val="22"/>
        </w:rPr>
        <w:t xml:space="preserve"> to hold on trust</w:t>
      </w:r>
      <w:r w:rsidRPr="0058786C">
        <w:rPr>
          <w:rStyle w:val="apple-converted-space"/>
          <w:rFonts w:ascii="UICTFontTextStyleBody" w:eastAsia="Times New Roman" w:hAnsi="UICTFontTextStyleBody"/>
          <w:sz w:val="22"/>
          <w:szCs w:val="22"/>
        </w:rPr>
        <w:t> </w:t>
      </w:r>
    </w:p>
    <w:p w14:paraId="671E3D52" w14:textId="77777777" w:rsidR="00297834" w:rsidRPr="0058786C" w:rsidRDefault="00297834" w:rsidP="00297834">
      <w:pPr>
        <w:pStyle w:val="li3"/>
        <w:numPr>
          <w:ilvl w:val="0"/>
          <w:numId w:val="12"/>
        </w:numPr>
        <w:rPr>
          <w:rFonts w:eastAsia="Times New Roman"/>
          <w:sz w:val="22"/>
          <w:szCs w:val="22"/>
        </w:rPr>
      </w:pPr>
      <w:r w:rsidRPr="0058786C">
        <w:rPr>
          <w:rStyle w:val="s2"/>
          <w:rFonts w:eastAsia="Times New Roman"/>
          <w:sz w:val="22"/>
          <w:szCs w:val="22"/>
        </w:rPr>
        <w:t>The terms required the money to be released only when the purchase was completed</w:t>
      </w:r>
    </w:p>
    <w:p w14:paraId="0E236CA0" w14:textId="77777777" w:rsidR="00297834" w:rsidRPr="0058786C" w:rsidRDefault="00297834" w:rsidP="00297834">
      <w:pPr>
        <w:pStyle w:val="li3"/>
        <w:numPr>
          <w:ilvl w:val="0"/>
          <w:numId w:val="12"/>
        </w:numPr>
        <w:rPr>
          <w:rFonts w:eastAsia="Times New Roman"/>
          <w:sz w:val="22"/>
          <w:szCs w:val="22"/>
        </w:rPr>
      </w:pPr>
      <w:proofErr w:type="spellStart"/>
      <w:r w:rsidRPr="0058786C">
        <w:rPr>
          <w:rStyle w:val="s2"/>
          <w:rFonts w:eastAsia="Times New Roman"/>
          <w:sz w:val="22"/>
          <w:szCs w:val="22"/>
        </w:rPr>
        <w:t>Redferns</w:t>
      </w:r>
      <w:proofErr w:type="spellEnd"/>
      <w:r w:rsidRPr="0058786C">
        <w:rPr>
          <w:rStyle w:val="s2"/>
          <w:rFonts w:eastAsia="Times New Roman"/>
          <w:sz w:val="22"/>
          <w:szCs w:val="22"/>
        </w:rPr>
        <w:t xml:space="preserve"> released the funds early before completion</w:t>
      </w:r>
      <w:r w:rsidRPr="0058786C">
        <w:rPr>
          <w:rStyle w:val="apple-converted-space"/>
          <w:rFonts w:ascii="UICTFontTextStyleBody" w:eastAsia="Times New Roman" w:hAnsi="UICTFontTextStyleBody"/>
          <w:sz w:val="22"/>
          <w:szCs w:val="22"/>
        </w:rPr>
        <w:t> </w:t>
      </w:r>
    </w:p>
    <w:p w14:paraId="000AF6F1" w14:textId="77777777" w:rsidR="00297834" w:rsidRPr="0058786C" w:rsidRDefault="00297834" w:rsidP="00297834">
      <w:pPr>
        <w:pStyle w:val="li3"/>
        <w:numPr>
          <w:ilvl w:val="0"/>
          <w:numId w:val="12"/>
        </w:numPr>
        <w:rPr>
          <w:rFonts w:eastAsia="Times New Roman"/>
          <w:sz w:val="22"/>
          <w:szCs w:val="22"/>
        </w:rPr>
      </w:pPr>
      <w:r w:rsidRPr="0058786C">
        <w:rPr>
          <w:rStyle w:val="s2"/>
          <w:rFonts w:eastAsia="Times New Roman"/>
          <w:sz w:val="22"/>
          <w:szCs w:val="22"/>
        </w:rPr>
        <w:t>The purchase was later completed but the property value was far lower than expected</w:t>
      </w:r>
      <w:r w:rsidRPr="0058786C">
        <w:rPr>
          <w:rStyle w:val="apple-converted-space"/>
          <w:rFonts w:ascii="UICTFontTextStyleBody" w:eastAsia="Times New Roman" w:hAnsi="UICTFontTextStyleBody"/>
          <w:sz w:val="22"/>
          <w:szCs w:val="22"/>
        </w:rPr>
        <w:t> </w:t>
      </w:r>
    </w:p>
    <w:p w14:paraId="3FB03399" w14:textId="77777777" w:rsidR="00297834" w:rsidRPr="0058786C" w:rsidRDefault="00297834" w:rsidP="00297834">
      <w:pPr>
        <w:pStyle w:val="li3"/>
        <w:numPr>
          <w:ilvl w:val="0"/>
          <w:numId w:val="12"/>
        </w:numPr>
        <w:rPr>
          <w:rFonts w:eastAsia="Times New Roman"/>
          <w:sz w:val="22"/>
          <w:szCs w:val="22"/>
        </w:rPr>
      </w:pPr>
      <w:r w:rsidRPr="0058786C">
        <w:rPr>
          <w:rStyle w:val="s2"/>
          <w:rFonts w:eastAsia="Times New Roman"/>
          <w:sz w:val="22"/>
          <w:szCs w:val="22"/>
        </w:rPr>
        <w:t>Target suffered a loss when the borrower defaulted</w:t>
      </w:r>
      <w:r w:rsidRPr="0058786C">
        <w:rPr>
          <w:rStyle w:val="apple-converted-space"/>
          <w:rFonts w:ascii="UICTFontTextStyleBody" w:eastAsia="Times New Roman" w:hAnsi="UICTFontTextStyleBody"/>
          <w:sz w:val="22"/>
          <w:szCs w:val="22"/>
        </w:rPr>
        <w:t> </w:t>
      </w:r>
    </w:p>
    <w:p w14:paraId="65B84953" w14:textId="77777777" w:rsidR="00297834" w:rsidRPr="0058786C" w:rsidRDefault="00297834" w:rsidP="00297834">
      <w:pPr>
        <w:pStyle w:val="p2"/>
        <w:rPr>
          <w:rFonts w:hint="eastAsia"/>
          <w:sz w:val="22"/>
          <w:szCs w:val="22"/>
        </w:rPr>
      </w:pPr>
    </w:p>
    <w:p w14:paraId="69E1ED56" w14:textId="77777777" w:rsidR="00297834" w:rsidRPr="0058786C" w:rsidRDefault="00297834" w:rsidP="00297834">
      <w:pPr>
        <w:pStyle w:val="p3"/>
        <w:rPr>
          <w:rFonts w:hint="eastAsia"/>
          <w:sz w:val="22"/>
          <w:szCs w:val="22"/>
        </w:rPr>
      </w:pPr>
      <w:r w:rsidRPr="0058786C">
        <w:rPr>
          <w:rStyle w:val="s2"/>
          <w:sz w:val="22"/>
          <w:szCs w:val="22"/>
        </w:rPr>
        <w:t>Decision on the case:</w:t>
      </w:r>
    </w:p>
    <w:p w14:paraId="1B5AE392" w14:textId="77777777" w:rsidR="00297834" w:rsidRPr="0058786C" w:rsidRDefault="00297834" w:rsidP="00297834">
      <w:pPr>
        <w:pStyle w:val="p2"/>
        <w:rPr>
          <w:rFonts w:hint="eastAsia"/>
          <w:sz w:val="22"/>
          <w:szCs w:val="22"/>
        </w:rPr>
      </w:pPr>
    </w:p>
    <w:p w14:paraId="08D91E07" w14:textId="77777777" w:rsidR="00297834" w:rsidRPr="0058786C" w:rsidRDefault="00297834" w:rsidP="00297834">
      <w:pPr>
        <w:pStyle w:val="p3"/>
        <w:rPr>
          <w:rFonts w:hint="eastAsia"/>
          <w:sz w:val="22"/>
          <w:szCs w:val="22"/>
        </w:rPr>
      </w:pPr>
      <w:r w:rsidRPr="0058786C">
        <w:rPr>
          <w:rStyle w:val="s2"/>
          <w:sz w:val="22"/>
          <w:szCs w:val="22"/>
        </w:rPr>
        <w:t xml:space="preserve">The House of Lords held that </w:t>
      </w:r>
      <w:proofErr w:type="spellStart"/>
      <w:r w:rsidRPr="0058786C">
        <w:rPr>
          <w:rStyle w:val="s2"/>
          <w:sz w:val="22"/>
          <w:szCs w:val="22"/>
        </w:rPr>
        <w:t>Redferns</w:t>
      </w:r>
      <w:proofErr w:type="spellEnd"/>
      <w:r w:rsidRPr="0058786C">
        <w:rPr>
          <w:rStyle w:val="s2"/>
          <w:sz w:val="22"/>
          <w:szCs w:val="22"/>
        </w:rPr>
        <w:t xml:space="preserve"> was in breach of </w:t>
      </w:r>
      <w:proofErr w:type="gramStart"/>
      <w:r w:rsidRPr="0058786C">
        <w:rPr>
          <w:rStyle w:val="s2"/>
          <w:sz w:val="22"/>
          <w:szCs w:val="22"/>
        </w:rPr>
        <w:t>trust</w:t>
      </w:r>
      <w:proofErr w:type="gramEnd"/>
      <w:r w:rsidRPr="0058786C">
        <w:rPr>
          <w:rStyle w:val="s2"/>
          <w:sz w:val="22"/>
          <w:szCs w:val="22"/>
        </w:rPr>
        <w:t xml:space="preserve"> but compensation is based </w:t>
      </w:r>
      <w:proofErr w:type="spellStart"/>
      <w:r w:rsidRPr="0058786C">
        <w:rPr>
          <w:rStyle w:val="s2"/>
          <w:sz w:val="22"/>
          <w:szCs w:val="22"/>
        </w:rPr>
        <w:t>of</w:t>
      </w:r>
      <w:proofErr w:type="spellEnd"/>
      <w:r w:rsidRPr="0058786C">
        <w:rPr>
          <w:rStyle w:val="s2"/>
          <w:sz w:val="22"/>
          <w:szCs w:val="22"/>
        </w:rPr>
        <w:t xml:space="preserve"> the actual loss caused by the breach and not replacement of its full trust fund.</w:t>
      </w:r>
      <w:r w:rsidRPr="0058786C">
        <w:rPr>
          <w:rStyle w:val="apple-converted-space"/>
          <w:rFonts w:ascii="UICTFontTextStyleBody" w:hAnsi="UICTFontTextStyleBody"/>
          <w:sz w:val="22"/>
          <w:szCs w:val="22"/>
        </w:rPr>
        <w:t> </w:t>
      </w:r>
    </w:p>
    <w:p w14:paraId="0C6198AF" w14:textId="77777777" w:rsidR="00297834" w:rsidRPr="0058786C" w:rsidRDefault="00297834" w:rsidP="00297834">
      <w:pPr>
        <w:pStyle w:val="p2"/>
        <w:rPr>
          <w:rFonts w:hint="eastAsia"/>
          <w:sz w:val="22"/>
          <w:szCs w:val="22"/>
        </w:rPr>
      </w:pPr>
    </w:p>
    <w:p w14:paraId="172B3683" w14:textId="77777777" w:rsidR="00297834" w:rsidRPr="0058786C" w:rsidRDefault="00297834" w:rsidP="00297834">
      <w:pPr>
        <w:pStyle w:val="p3"/>
        <w:rPr>
          <w:rFonts w:hint="eastAsia"/>
          <w:sz w:val="22"/>
          <w:szCs w:val="22"/>
        </w:rPr>
      </w:pPr>
      <w:r w:rsidRPr="0058786C">
        <w:rPr>
          <w:rStyle w:val="s2"/>
          <w:sz w:val="22"/>
          <w:szCs w:val="22"/>
        </w:rPr>
        <w:t>It was deemed that the loss was due to borrower default and property value not the early release itself.</w:t>
      </w:r>
      <w:r w:rsidRPr="0058786C">
        <w:rPr>
          <w:rStyle w:val="apple-converted-space"/>
          <w:rFonts w:ascii="UICTFontTextStyleBody" w:hAnsi="UICTFontTextStyleBody"/>
          <w:sz w:val="22"/>
          <w:szCs w:val="22"/>
        </w:rPr>
        <w:t> </w:t>
      </w:r>
    </w:p>
    <w:p w14:paraId="6FD6F742" w14:textId="77777777" w:rsidR="00297834" w:rsidRPr="0058786C" w:rsidRDefault="00297834" w:rsidP="00297834">
      <w:pPr>
        <w:pStyle w:val="p2"/>
        <w:rPr>
          <w:rFonts w:hint="eastAsia"/>
          <w:sz w:val="22"/>
          <w:szCs w:val="22"/>
        </w:rPr>
      </w:pPr>
    </w:p>
    <w:p w14:paraId="24D89D9B" w14:textId="77777777" w:rsidR="00297834" w:rsidRPr="0058786C" w:rsidRDefault="00297834" w:rsidP="00297834">
      <w:pPr>
        <w:pStyle w:val="p3"/>
        <w:rPr>
          <w:rFonts w:hint="eastAsia"/>
          <w:sz w:val="22"/>
          <w:szCs w:val="22"/>
        </w:rPr>
      </w:pPr>
      <w:r w:rsidRPr="0058786C">
        <w:rPr>
          <w:rStyle w:val="s2"/>
          <w:sz w:val="22"/>
          <w:szCs w:val="22"/>
        </w:rPr>
        <w:t xml:space="preserve">This case ties to beneficiary rights because even where the trustees breach trust beneficiaries are only entitled to compensation for loss caused by the breach and not automatic restoration of the trust fund. </w:t>
      </w:r>
      <w:r w:rsidRPr="0058786C">
        <w:rPr>
          <w:rStyle w:val="apple-converted-space"/>
          <w:rFonts w:ascii="UICTFontTextStyleBody" w:hAnsi="UICTFontTextStyleBody"/>
          <w:sz w:val="22"/>
          <w:szCs w:val="22"/>
        </w:rPr>
        <w:t> </w:t>
      </w:r>
    </w:p>
    <w:p w14:paraId="25231C40" w14:textId="77777777" w:rsidR="00297834" w:rsidRDefault="00297834" w:rsidP="00297834">
      <w:pPr>
        <w:rPr>
          <w:b/>
          <w:bCs/>
          <w:highlight w:val="yellow"/>
          <w:u w:val="single"/>
        </w:rPr>
      </w:pPr>
    </w:p>
    <w:p w14:paraId="4EFF8E07" w14:textId="77777777" w:rsidR="00297834" w:rsidRDefault="00297834" w:rsidP="00297834">
      <w:pPr>
        <w:rPr>
          <w:b/>
          <w:bCs/>
          <w:u w:val="single"/>
        </w:rPr>
      </w:pPr>
      <w:r w:rsidRPr="11542FAA">
        <w:rPr>
          <w:b/>
          <w:bCs/>
          <w:u w:val="single"/>
        </w:rPr>
        <w:t>SARAH HOFFMANN 2315599</w:t>
      </w:r>
    </w:p>
    <w:p w14:paraId="3CF88706" w14:textId="77777777" w:rsidR="00297834" w:rsidRDefault="00297834" w:rsidP="00297834">
      <w:pPr>
        <w:jc w:val="both"/>
      </w:pPr>
      <w:r>
        <w:t xml:space="preserve">Added reference list and cases to </w:t>
      </w:r>
      <w:proofErr w:type="spellStart"/>
      <w:r>
        <w:t>colab</w:t>
      </w:r>
      <w:proofErr w:type="spellEnd"/>
      <w:r>
        <w:t xml:space="preserve"> document. </w:t>
      </w:r>
    </w:p>
    <w:p w14:paraId="2560BAE9" w14:textId="77777777" w:rsidR="00297834" w:rsidRDefault="00297834" w:rsidP="00297834">
      <w:pPr>
        <w:jc w:val="both"/>
        <w:rPr>
          <w:rFonts w:ascii="Aptos" w:eastAsia="Aptos" w:hAnsi="Aptos" w:cs="Aptos"/>
        </w:rPr>
      </w:pPr>
      <w:r>
        <w:t xml:space="preserve">Researched case </w:t>
      </w:r>
      <w:r w:rsidRPr="6E7D4D2E">
        <w:rPr>
          <w:rFonts w:ascii="Aptos" w:eastAsia="Aptos" w:hAnsi="Aptos" w:cs="Aptos"/>
        </w:rPr>
        <w:t xml:space="preserve">Murphy v Murphy [2021] EWHC 94 (Ch) </w:t>
      </w:r>
    </w:p>
    <w:p w14:paraId="0AEF4C4C" w14:textId="77777777" w:rsidR="00297834" w:rsidRDefault="00297834" w:rsidP="00297834">
      <w:pPr>
        <w:jc w:val="both"/>
        <w:rPr>
          <w:rFonts w:ascii="Aptos" w:eastAsia="Aptos" w:hAnsi="Aptos" w:cs="Aptos"/>
        </w:rPr>
      </w:pPr>
      <w:r w:rsidRPr="6E7D4D2E">
        <w:rPr>
          <w:rFonts w:ascii="Aptos" w:eastAsia="Aptos" w:hAnsi="Aptos" w:cs="Aptos"/>
        </w:rPr>
        <w:t>This case</w:t>
      </w:r>
      <w:r w:rsidRPr="005CC04E">
        <w:rPr>
          <w:rFonts w:ascii="Aptos" w:eastAsia="Aptos" w:hAnsi="Aptos" w:cs="Aptos"/>
        </w:rPr>
        <w:t xml:space="preserve"> concerned a dispute within a family trust where one beneficiary sought extensive disclosure of trust documents from the trustees. The case arose after concerns were raised about how the trust had been managed and whether the trustees had acted in the best interests of the beneficiaries. The claimant argued that full disclosure was necessary to understand the administration of the trust and to assess whether the trustees had complied with their duties. The trustees resisted the request, maintaining that some documents were confidential and that disclosure would disrupt the proper running of the trust. The High Court applied the principles from </w:t>
      </w:r>
      <w:r w:rsidRPr="005CC04E">
        <w:rPr>
          <w:rFonts w:ascii="Aptos" w:eastAsia="Aptos" w:hAnsi="Aptos" w:cs="Aptos"/>
          <w:i/>
          <w:iCs/>
        </w:rPr>
        <w:t>Schmidt v Rosewood</w:t>
      </w:r>
      <w:r w:rsidRPr="005CC04E">
        <w:rPr>
          <w:rFonts w:ascii="Aptos" w:eastAsia="Aptos" w:hAnsi="Aptos" w:cs="Aptos"/>
        </w:rPr>
        <w:t>, confirming that beneficiaries do not have an automatic proprietary right to trust documents; instead, disclosure is a matter of judicial discretion. The court emphasised that the key question is whether disclosure is necessary for the beneficiary to hold the trustees to account. In this case, the judge ordered partial disclosure, balancing the beneficiary’s need for transparency with the trustees’ concerns about confidentiality and administrative burden. The decision illustrates the ongoing uncertainty in this area of law and highlights the challenges beneficiaries face when seeking information under the current discretionary framework.</w:t>
      </w:r>
    </w:p>
    <w:p w14:paraId="194EB64F" w14:textId="77777777" w:rsidR="00297834" w:rsidRDefault="00297834" w:rsidP="00297834">
      <w:pPr>
        <w:jc w:val="both"/>
        <w:rPr>
          <w:rFonts w:ascii="Calibri" w:eastAsia="Calibri" w:hAnsi="Calibri" w:cs="Calibri"/>
          <w:b/>
          <w:bCs/>
          <w:u w:val="single"/>
        </w:rPr>
      </w:pPr>
    </w:p>
    <w:p w14:paraId="7BB4BF1A" w14:textId="77777777" w:rsidR="00297834" w:rsidRDefault="00297834" w:rsidP="00297834">
      <w:pPr>
        <w:jc w:val="both"/>
        <w:rPr>
          <w:rFonts w:ascii="Calibri" w:eastAsia="Calibri" w:hAnsi="Calibri" w:cs="Calibri"/>
          <w:b/>
          <w:u w:val="single"/>
        </w:rPr>
      </w:pPr>
      <w:r w:rsidRPr="65B3F62D">
        <w:rPr>
          <w:rFonts w:ascii="Calibri" w:eastAsia="Calibri" w:hAnsi="Calibri" w:cs="Calibri"/>
          <w:b/>
          <w:u w:val="single"/>
        </w:rPr>
        <w:t>DIANA DEMETEROVA</w:t>
      </w:r>
    </w:p>
    <w:p w14:paraId="60143072" w14:textId="77777777" w:rsidR="00297834" w:rsidRDefault="00297834" w:rsidP="00297834">
      <w:pPr>
        <w:jc w:val="both"/>
        <w:rPr>
          <w:rFonts w:ascii="Calibri" w:eastAsia="Calibri" w:hAnsi="Calibri" w:cs="Calibri"/>
          <w:b/>
          <w:bCs/>
          <w:u w:val="single"/>
        </w:rPr>
      </w:pPr>
      <w:r w:rsidRPr="21E9E669">
        <w:rPr>
          <w:rFonts w:ascii="Calibri" w:eastAsia="Calibri" w:hAnsi="Calibri" w:cs="Calibri"/>
          <w:b/>
          <w:bCs/>
          <w:u w:val="single"/>
        </w:rPr>
        <w:t xml:space="preserve">Data Protection Act 2018 </w:t>
      </w:r>
      <w:r w:rsidRPr="29A426C7">
        <w:rPr>
          <w:rFonts w:ascii="Calibri" w:eastAsia="Calibri" w:hAnsi="Calibri" w:cs="Calibri"/>
          <w:b/>
          <w:bCs/>
          <w:u w:val="single"/>
        </w:rPr>
        <w:t>(DPA 2018)</w:t>
      </w:r>
    </w:p>
    <w:p w14:paraId="019363C1" w14:textId="77777777" w:rsidR="00297834" w:rsidRDefault="00297834" w:rsidP="00297834">
      <w:pPr>
        <w:spacing w:after="120" w:line="257" w:lineRule="auto"/>
        <w:jc w:val="both"/>
        <w:rPr>
          <w:rFonts w:ascii="Calibri" w:eastAsia="Calibri" w:hAnsi="Calibri" w:cs="Calibri"/>
        </w:rPr>
      </w:pPr>
      <w:r w:rsidRPr="65B3F62D">
        <w:rPr>
          <w:rFonts w:ascii="Calibri" w:eastAsia="Calibri" w:hAnsi="Calibri" w:cs="Calibri"/>
          <w:lang w:val="en-US"/>
        </w:rPr>
        <w:lastRenderedPageBreak/>
        <w:t xml:space="preserve">The </w:t>
      </w:r>
      <w:r w:rsidRPr="65B3F62D">
        <w:rPr>
          <w:rFonts w:ascii="Calibri" w:eastAsia="Calibri" w:hAnsi="Calibri" w:cs="Calibri"/>
          <w:b/>
        </w:rPr>
        <w:t>Data Protection Act 2018 (DPA 2018)</w:t>
      </w:r>
      <w:r w:rsidRPr="65B3F62D">
        <w:rPr>
          <w:rFonts w:ascii="Calibri" w:eastAsia="Calibri" w:hAnsi="Calibri" w:cs="Calibri"/>
        </w:rPr>
        <w:t xml:space="preserve">, incorporating the UK GDPR, plays an important role in shaping beneficiaries’ rights to trust information because trustees act as data controllers and must process personal data lawfully. While equity may require trustees to disclose information, the DPA 2018 restricts disclosure where it would breach privacy rights, reveal third-party data, or lack a lawful basis. Beneficiaries have a statutory right to access only their own personal data through subject access requests, not general trust documents, and trustees may rely on exemptions in Schedule 2 to withhold information to protect confidentiality. This creates tension between equitable transparency and statutory data protection duties, producing uncertainty for trustees and limiting beneficiaries’ ability to monitor trust administration. The interaction between these two regimes highlights the need for clearer statutory guidance, such as the proposed Beneficiaries’ Right to Information Act, to provide a coherent framework </w:t>
      </w:r>
      <w:r w:rsidRPr="1AC57972">
        <w:rPr>
          <w:rFonts w:ascii="Calibri" w:eastAsia="Calibri" w:hAnsi="Calibri" w:cs="Calibri"/>
        </w:rPr>
        <w:t xml:space="preserve">for </w:t>
      </w:r>
      <w:r w:rsidRPr="65B3F62D">
        <w:rPr>
          <w:rFonts w:ascii="Calibri" w:eastAsia="Calibri" w:hAnsi="Calibri" w:cs="Calibri"/>
        </w:rPr>
        <w:t>balancing disclosure, privacy, and effective trust management.</w:t>
      </w:r>
    </w:p>
    <w:p w14:paraId="0E668A87" w14:textId="77777777" w:rsidR="00297834" w:rsidRDefault="00297834" w:rsidP="00297834">
      <w:pPr>
        <w:spacing w:after="120" w:line="257" w:lineRule="auto"/>
        <w:jc w:val="both"/>
        <w:rPr>
          <w:rFonts w:ascii="Calibri" w:eastAsia="Calibri" w:hAnsi="Calibri" w:cs="Calibri"/>
          <w:lang w:val="en-US"/>
        </w:rPr>
      </w:pPr>
    </w:p>
    <w:p w14:paraId="0EDD255A" w14:textId="77777777" w:rsidR="00297834" w:rsidRDefault="00297834" w:rsidP="00297834">
      <w:pPr>
        <w:spacing w:after="120" w:line="257" w:lineRule="auto"/>
        <w:jc w:val="both"/>
        <w:rPr>
          <w:rFonts w:ascii="Calibri" w:eastAsia="Calibri" w:hAnsi="Calibri" w:cs="Calibri"/>
          <w:b/>
          <w:bCs/>
          <w:u w:val="single"/>
          <w:lang w:val="en-US"/>
        </w:rPr>
      </w:pPr>
      <w:r w:rsidRPr="4052B724">
        <w:rPr>
          <w:rFonts w:ascii="Calibri" w:eastAsia="Calibri" w:hAnsi="Calibri" w:cs="Calibri"/>
          <w:b/>
          <w:bCs/>
          <w:u w:val="single"/>
          <w:lang w:val="en-US"/>
        </w:rPr>
        <w:t xml:space="preserve">Inheritance (Provision for Family and </w:t>
      </w:r>
      <w:proofErr w:type="spellStart"/>
      <w:r w:rsidRPr="7BF95C98">
        <w:rPr>
          <w:rFonts w:ascii="Calibri" w:eastAsia="Calibri" w:hAnsi="Calibri" w:cs="Calibri"/>
          <w:b/>
          <w:bCs/>
          <w:u w:val="single"/>
          <w:lang w:val="en-US"/>
        </w:rPr>
        <w:t>Dependants</w:t>
      </w:r>
      <w:proofErr w:type="spellEnd"/>
      <w:r w:rsidRPr="4052B724">
        <w:rPr>
          <w:rFonts w:ascii="Calibri" w:eastAsia="Calibri" w:hAnsi="Calibri" w:cs="Calibri"/>
          <w:b/>
          <w:bCs/>
          <w:u w:val="single"/>
          <w:lang w:val="en-US"/>
        </w:rPr>
        <w:t>) Act 1975</w:t>
      </w:r>
    </w:p>
    <w:p w14:paraId="54EEB789" w14:textId="77777777" w:rsidR="00297834" w:rsidRDefault="00297834" w:rsidP="00297834">
      <w:pPr>
        <w:spacing w:after="120" w:line="257" w:lineRule="auto"/>
        <w:jc w:val="both"/>
        <w:rPr>
          <w:rFonts w:ascii="Calibri" w:eastAsia="Calibri" w:hAnsi="Calibri" w:cs="Calibri"/>
        </w:rPr>
      </w:pPr>
      <w:r w:rsidRPr="63345F2D">
        <w:rPr>
          <w:rFonts w:ascii="Calibri" w:eastAsia="Calibri" w:hAnsi="Calibri" w:cs="Calibri"/>
          <w:lang w:val="en-US"/>
        </w:rPr>
        <w:t xml:space="preserve">The </w:t>
      </w:r>
      <w:r w:rsidRPr="63345F2D">
        <w:rPr>
          <w:rFonts w:ascii="Calibri" w:eastAsia="Calibri" w:hAnsi="Calibri" w:cs="Calibri"/>
          <w:b/>
          <w:bCs/>
        </w:rPr>
        <w:t>Inheritance (Provision for Family and Dependants) Act 1975</w:t>
      </w:r>
      <w:r w:rsidRPr="63345F2D">
        <w:rPr>
          <w:rFonts w:ascii="Calibri" w:eastAsia="Calibri" w:hAnsi="Calibri" w:cs="Calibri"/>
        </w:rPr>
        <w:t xml:space="preserve"> allows certain individuals—such as spouses, children, cohabitees, and financial dependants—to apply to the court for reasonable financial provision from a deceased person’s estate if the will or intestacy rules fail to provide it. Although not a trust-specific statute, it can affect trusts because courts may require trustees or personal representatives to supply financial information about estate or trust assets when assessing a claim. The Act therefore indirectly intersects with beneficiaries’ information rights by enabling judicial oversight of trust property where necessary to determine whether adequate provision has been made.</w:t>
      </w:r>
    </w:p>
    <w:p w14:paraId="6503F00D" w14:textId="77777777" w:rsidR="00297834" w:rsidRDefault="00297834" w:rsidP="00297834">
      <w:pPr>
        <w:spacing w:after="120" w:line="257" w:lineRule="auto"/>
        <w:jc w:val="both"/>
        <w:rPr>
          <w:rFonts w:ascii="Calibri" w:eastAsia="Calibri" w:hAnsi="Calibri" w:cs="Calibri"/>
        </w:rPr>
      </w:pPr>
    </w:p>
    <w:p w14:paraId="631D0CD2" w14:textId="77777777" w:rsidR="00297834" w:rsidRDefault="00297834" w:rsidP="00297834">
      <w:pPr>
        <w:jc w:val="both"/>
        <w:rPr>
          <w:rFonts w:ascii="Times New Roman" w:eastAsia="Times New Roman" w:hAnsi="Times New Roman" w:cs="Times New Roman"/>
          <w:b/>
          <w:u w:val="single"/>
        </w:rPr>
      </w:pPr>
      <w:r w:rsidRPr="407F9A0A">
        <w:rPr>
          <w:rFonts w:ascii="Times New Roman" w:eastAsia="Times New Roman" w:hAnsi="Times New Roman" w:cs="Times New Roman"/>
          <w:b/>
          <w:bCs/>
          <w:u w:val="single"/>
        </w:rPr>
        <w:t xml:space="preserve">JADE BROWN </w:t>
      </w:r>
      <w:r w:rsidRPr="230A91A5">
        <w:rPr>
          <w:rFonts w:ascii="Times New Roman" w:eastAsia="Times New Roman" w:hAnsi="Times New Roman" w:cs="Times New Roman"/>
          <w:b/>
          <w:bCs/>
          <w:u w:val="single"/>
        </w:rPr>
        <w:t>2319007</w:t>
      </w:r>
    </w:p>
    <w:p w14:paraId="6C81B5EB" w14:textId="77777777" w:rsidR="00297834" w:rsidRDefault="00297834" w:rsidP="00297834">
      <w:pPr>
        <w:spacing w:line="276" w:lineRule="auto"/>
        <w:jc w:val="both"/>
      </w:pPr>
      <w:r w:rsidRPr="407F9A0A">
        <w:rPr>
          <w:rFonts w:ascii="Times New Roman" w:eastAsia="Times New Roman" w:hAnsi="Times New Roman" w:cs="Times New Roman"/>
          <w:b/>
          <w:bCs/>
          <w:u w:val="single"/>
        </w:rPr>
        <w:t>BILL TITLE – TRUSTEE DISCLOSURE AND BENEFICIARY INFORMATION ACT 2026.</w:t>
      </w:r>
      <w:r w:rsidRPr="407F9A0A">
        <w:rPr>
          <w:rFonts w:ascii="Times New Roman" w:eastAsia="Times New Roman" w:hAnsi="Times New Roman" w:cs="Times New Roman"/>
        </w:rPr>
        <w:t xml:space="preserve"> </w:t>
      </w:r>
    </w:p>
    <w:p w14:paraId="472CEC36" w14:textId="77777777" w:rsidR="00297834" w:rsidRDefault="00297834" w:rsidP="00297834">
      <w:pPr>
        <w:spacing w:line="276" w:lineRule="auto"/>
        <w:jc w:val="both"/>
      </w:pPr>
      <w:r w:rsidRPr="407F9A0A">
        <w:rPr>
          <w:rFonts w:ascii="Times New Roman" w:eastAsia="Times New Roman" w:hAnsi="Times New Roman" w:cs="Times New Roman"/>
          <w:b/>
          <w:bCs/>
          <w:u w:val="single"/>
        </w:rPr>
        <w:t xml:space="preserve">Long Title &amp; Summary – </w:t>
      </w:r>
      <w:r w:rsidRPr="407F9A0A">
        <w:rPr>
          <w:rFonts w:ascii="Times New Roman" w:eastAsia="Times New Roman" w:hAnsi="Times New Roman" w:cs="Times New Roman"/>
        </w:rPr>
        <w:t xml:space="preserve">An Act to clarify and regulate trustees' duties to provide information to beneficiaries, to define categories of trust documents subject to disclosure and to establish principles governing trustee discretion and for connected purposes. </w:t>
      </w:r>
    </w:p>
    <w:p w14:paraId="216EA691" w14:textId="77777777" w:rsidR="00297834" w:rsidRDefault="00297834" w:rsidP="00297834">
      <w:pPr>
        <w:spacing w:line="276" w:lineRule="auto"/>
        <w:jc w:val="both"/>
      </w:pPr>
      <w:r w:rsidRPr="407F9A0A">
        <w:rPr>
          <w:rFonts w:ascii="Times New Roman" w:eastAsia="Times New Roman" w:hAnsi="Times New Roman" w:cs="Times New Roman"/>
          <w:b/>
          <w:bCs/>
          <w:u w:val="single"/>
        </w:rPr>
        <w:t>Clause 1 – Statutory Right to Core Information</w:t>
      </w:r>
      <w:r>
        <w:br/>
      </w:r>
      <w:r w:rsidRPr="407F9A0A">
        <w:rPr>
          <w:rFonts w:ascii="Times New Roman" w:eastAsia="Times New Roman" w:hAnsi="Times New Roman" w:cs="Times New Roman"/>
        </w:rPr>
        <w:t xml:space="preserve"> A trustee shall, upon reasonable request, provide a beneficiary with: (a) the trust instrument; (b) annual trust accounts (c) a summary of trust assets and liabilities and (d) details of distributions made to that beneficiary. Disclosure under this section shall not require a court order unless disputed. A trustee may refuse disclosure where the request is vexatious, manifestly unreasonable, or contrary to the proper administration of the trust.</w:t>
      </w:r>
    </w:p>
    <w:p w14:paraId="2CF8BF13" w14:textId="77777777" w:rsidR="00297834" w:rsidRDefault="00297834" w:rsidP="00297834">
      <w:pPr>
        <w:spacing w:line="276" w:lineRule="auto"/>
        <w:jc w:val="both"/>
      </w:pPr>
      <w:r w:rsidRPr="407F9A0A">
        <w:rPr>
          <w:rFonts w:ascii="Times New Roman" w:eastAsia="Times New Roman" w:hAnsi="Times New Roman" w:cs="Times New Roman"/>
          <w:b/>
          <w:bCs/>
          <w:u w:val="single"/>
        </w:rPr>
        <w:t>Clause 2 – Confidential and Deliberative Documents</w:t>
      </w:r>
      <w:r>
        <w:br/>
      </w:r>
      <w:r w:rsidRPr="407F9A0A">
        <w:rPr>
          <w:rFonts w:ascii="Times New Roman" w:eastAsia="Times New Roman" w:hAnsi="Times New Roman" w:cs="Times New Roman"/>
        </w:rPr>
        <w:t xml:space="preserve"> Trustees shall not be required to disclose documents recording their deliberations or reasons for discretionary decisions. Letters of wishes shall be presumed confidential. The court may order disclosure where necessary to ensure proper administration and where just and equitable in the circumstances.</w:t>
      </w:r>
    </w:p>
    <w:p w14:paraId="5DC710CB" w14:textId="77777777" w:rsidR="00297834" w:rsidRDefault="00297834" w:rsidP="00297834">
      <w:pPr>
        <w:spacing w:line="276" w:lineRule="auto"/>
        <w:jc w:val="both"/>
        <w:rPr>
          <w:rFonts w:ascii="Times New Roman" w:eastAsia="Times New Roman" w:hAnsi="Times New Roman" w:cs="Times New Roman"/>
        </w:rPr>
      </w:pPr>
      <w:r w:rsidRPr="4E1E6D83">
        <w:rPr>
          <w:rFonts w:ascii="Times New Roman" w:eastAsia="Times New Roman" w:hAnsi="Times New Roman" w:cs="Times New Roman"/>
          <w:b/>
          <w:bCs/>
          <w:u w:val="single"/>
        </w:rPr>
        <w:t>Clause 3 – Alternative Dispute Resolution</w:t>
      </w:r>
      <w:r>
        <w:br/>
      </w:r>
      <w:r w:rsidRPr="4E1E6D83">
        <w:rPr>
          <w:rFonts w:ascii="Times New Roman" w:eastAsia="Times New Roman" w:hAnsi="Times New Roman" w:cs="Times New Roman"/>
        </w:rPr>
        <w:t xml:space="preserve"> Before commencing court proceedings relating to disclosure under this Act, the parties shall attempt resolution through mediation or another recognised form of alternative dispute resolution. The court may consider non-compliance when determining costs.</w:t>
      </w:r>
    </w:p>
    <w:p w14:paraId="38DC343B" w14:textId="77777777" w:rsidR="00297834" w:rsidRPr="00625126" w:rsidRDefault="00297834" w:rsidP="00297834">
      <w:pPr>
        <w:rPr>
          <w:b/>
          <w:bCs/>
        </w:rPr>
      </w:pPr>
      <w:r>
        <w:br w:type="page"/>
      </w:r>
      <w:r w:rsidRPr="00625126">
        <w:rPr>
          <w:b/>
          <w:bCs/>
        </w:rPr>
        <w:lastRenderedPageBreak/>
        <w:t>Gabrial Harris 2305593</w:t>
      </w:r>
    </w:p>
    <w:p w14:paraId="72CC9844" w14:textId="77777777" w:rsidR="00297834" w:rsidRDefault="00297834" w:rsidP="00297834">
      <w:r>
        <w:t xml:space="preserve">Trustees have no general duty to disclose any information on request under the trustee act 1925 and trustees act 2000 as to the administration of the trust, outside of their need </w:t>
      </w:r>
      <w:proofErr w:type="gramStart"/>
      <w:r>
        <w:t>to .</w:t>
      </w:r>
      <w:proofErr w:type="gramEnd"/>
      <w:r>
        <w:t xml:space="preserve"> </w:t>
      </w:r>
    </w:p>
    <w:p w14:paraId="2DFA6AEE" w14:textId="77777777" w:rsidR="00297834" w:rsidRDefault="00297834" w:rsidP="00297834">
      <w:r>
        <w:t xml:space="preserve">These requirements do however exist in law specific to Scotland (Trusts and Succession (Scotland) Act 2024) due to recent changes made in legislation. S.29 of the Act creates a duty for trustees to provide information other than on request to trustees, which includes a full list of names of trustees to ensure transparency, as well as sufficient correspondence information for each trustee, available to the beneficiaries or an appropriate person on their behalf. The trustees are under no obligation to provide any advice as to this information or give comment upon it (s.5 Trusts and Succession (Scotland) Act 2024). </w:t>
      </w:r>
    </w:p>
    <w:p w14:paraId="7AE4FA9C" w14:textId="77777777" w:rsidR="00297834" w:rsidRDefault="00297834" w:rsidP="00297834">
      <w:r>
        <w:t>S.30 of the act declared provisions as to how disclosures are to be made upon request of a beneficiary or the appropriate person acting on their behalf. It is the duty under s.30(1) to disclose information on request to beneficiaries unless prohibited or restricted by the express provision of trust deed or other provisions in s.30 (s.30(2)). Any information as to the administration of the trust may be given on request unless directly relevant to another beneficiary, deliberations between trustees as to their decisions, or are relevant to letters of wishes (s.30(7))</w:t>
      </w:r>
    </w:p>
    <w:p w14:paraId="3D6F1DD2" w14:textId="77777777" w:rsidR="00297834" w:rsidRDefault="00297834" w:rsidP="00297834">
      <w:r>
        <w:t>Provisions in s.29 and s.30 apply regardless of when the trust had come in to being prior to the existence of the act (s.29(7) and s.30(14))</w:t>
      </w:r>
    </w:p>
    <w:p w14:paraId="68CDACCB" w14:textId="77777777" w:rsidR="00297834" w:rsidRDefault="00297834" w:rsidP="00297834"/>
    <w:p w14:paraId="5D745370" w14:textId="67D5AC40" w:rsidR="00297834" w:rsidRDefault="00297834" w:rsidP="00297834">
      <w:r>
        <w:t>Shannon Davies</w:t>
      </w:r>
    </w:p>
    <w:p w14:paraId="61E26510" w14:textId="77777777" w:rsidR="00D74845" w:rsidRPr="00D74845" w:rsidRDefault="00D74845" w:rsidP="00D74845">
      <w:r w:rsidRPr="00D74845">
        <w:t>As part of my contribution to this project, I will examine how the proposed reform will interact with and affect existing trustee legislation. </w:t>
      </w:r>
    </w:p>
    <w:p w14:paraId="454BF1ED" w14:textId="77777777" w:rsidR="00D74845" w:rsidRPr="00D74845" w:rsidRDefault="00D74845" w:rsidP="00D74845">
      <w:r w:rsidRPr="00D74845">
        <w:t>Under section 1 of the </w:t>
      </w:r>
      <w:r w:rsidRPr="00D74845">
        <w:rPr>
          <w:i/>
          <w:iCs/>
        </w:rPr>
        <w:t>Trustee Act 2000</w:t>
      </w:r>
      <w:r w:rsidRPr="00D74845">
        <w:t>, trustees must exercise reasonable care and skill, especially when acting professionally. The act regulates investment and administrative conduct; it doesn’t create any clear statutory right for beneficiaries to access information to monitor compliance with the duties.  </w:t>
      </w:r>
    </w:p>
    <w:p w14:paraId="0D8CE625" w14:textId="77777777" w:rsidR="00D74845" w:rsidRPr="00D74845" w:rsidRDefault="00D74845" w:rsidP="00D74845">
      <w:r w:rsidRPr="00D74845">
        <w:t>Section 61 of the </w:t>
      </w:r>
      <w:r w:rsidRPr="00D74845">
        <w:rPr>
          <w:i/>
          <w:iCs/>
        </w:rPr>
        <w:t>Trustee Act 1925</w:t>
      </w:r>
      <w:r w:rsidRPr="00D74845">
        <w:t xml:space="preserve"> provides that trustees may be relieved of personal liability if they have acted honestly and reasonably. This protects individuals, however, without clearly established disclosure rights, beneficiaries can struggle to determine whether trustees have acted reasonably, which can make it harder to challenge them and hold them accountable in real life.  </w:t>
      </w:r>
    </w:p>
    <w:p w14:paraId="7165D322" w14:textId="77777777" w:rsidR="00D74845" w:rsidRPr="00D74845" w:rsidRDefault="00D74845" w:rsidP="00D74845">
      <w:r w:rsidRPr="00D74845">
        <w:t>Under the </w:t>
      </w:r>
      <w:r w:rsidRPr="00D74845">
        <w:rPr>
          <w:i/>
          <w:iCs/>
        </w:rPr>
        <w:t>Trusts of Land and Appointment of Trustees Act 1996</w:t>
      </w:r>
      <w:r w:rsidRPr="00D74845">
        <w:t>, trustees must consult beneficiaries when exercising certain powers; however, meaningful consultation only works if the beneficiary has sufficient information to make an informed response. If the trustee is not transparent, it becomes a formality, as beneficiaries don’t have enough information to challenge anything.  </w:t>
      </w:r>
    </w:p>
    <w:p w14:paraId="6A61BA4E" w14:textId="77777777" w:rsidR="00D74845" w:rsidRPr="00D74845" w:rsidRDefault="00D74845" w:rsidP="00D74845">
      <w:r w:rsidRPr="00D74845">
        <w:t>Clearer statutory disclosure rights can strengthen the enforceability of any already existing trustee obligations without undermining the trustee's discretion. The issue is not the absence of trustee duties but the lack of transparency that prevents beneficiaries from properly enforcing them.  </w:t>
      </w:r>
    </w:p>
    <w:p w14:paraId="76268675" w14:textId="77777777" w:rsidR="00D64DBA" w:rsidRDefault="00D64DBA" w:rsidP="00297834"/>
    <w:p w14:paraId="6AD7D189" w14:textId="77777777" w:rsidR="00297834" w:rsidRDefault="00297834" w:rsidP="00297834"/>
    <w:p w14:paraId="0E03A5B8" w14:textId="77777777" w:rsidR="00D74845" w:rsidRDefault="00D74845" w:rsidP="00297834"/>
    <w:p w14:paraId="748E6336" w14:textId="2E47A7F8" w:rsidR="00297834" w:rsidRDefault="00297834" w:rsidP="00297834">
      <w:r>
        <w:lastRenderedPageBreak/>
        <w:t xml:space="preserve">References: </w:t>
      </w:r>
    </w:p>
    <w:p w14:paraId="158104EF" w14:textId="77777777" w:rsidR="00297834" w:rsidRDefault="00297834" w:rsidP="00297834">
      <w:r>
        <w:t>Trusts and Succession (Scotland) Act 2024, S.29</w:t>
      </w:r>
    </w:p>
    <w:p w14:paraId="11A6F11C" w14:textId="77777777" w:rsidR="00297834" w:rsidRDefault="00297834" w:rsidP="00297834">
      <w:r>
        <w:t>Trusts and Succession (Scotland) Act 2024, s.29(7)</w:t>
      </w:r>
    </w:p>
    <w:p w14:paraId="4C7C800F" w14:textId="77777777" w:rsidR="00297834" w:rsidRDefault="00297834" w:rsidP="00297834">
      <w:r>
        <w:t>Trusts and Succession (Scotland) Act 2024 S.30</w:t>
      </w:r>
    </w:p>
    <w:p w14:paraId="5F49A4D3" w14:textId="77777777" w:rsidR="00297834" w:rsidRDefault="00297834" w:rsidP="00297834">
      <w:r>
        <w:t>Trusts and Succession (Scotland) Act 2024 s.30(1)</w:t>
      </w:r>
    </w:p>
    <w:p w14:paraId="274529A4" w14:textId="77777777" w:rsidR="00297834" w:rsidRDefault="00297834" w:rsidP="00297834">
      <w:r>
        <w:t>Trusts and Succession (Scotland) Act 2024 s.30(2)</w:t>
      </w:r>
    </w:p>
    <w:p w14:paraId="235B3D24" w14:textId="77777777" w:rsidR="00297834" w:rsidRDefault="00297834" w:rsidP="00297834">
      <w:r>
        <w:t>Trusts and Succession (Scotland) Act 2024 s.30(7)</w:t>
      </w:r>
    </w:p>
    <w:p w14:paraId="7E454945" w14:textId="77777777" w:rsidR="00297834" w:rsidRDefault="00297834" w:rsidP="00297834">
      <w:r>
        <w:t>Trusts and Succession (Scotland) Act 2024s.30(14)</w:t>
      </w:r>
    </w:p>
    <w:p w14:paraId="4318C8F0" w14:textId="77777777" w:rsidR="00297834" w:rsidRDefault="00297834" w:rsidP="00297834"/>
    <w:p w14:paraId="28E1762E" w14:textId="77777777" w:rsidR="00297834" w:rsidRDefault="00297834" w:rsidP="00297834">
      <w:pPr>
        <w:rPr>
          <w:b/>
          <w:bCs/>
          <w:highlight w:val="yellow"/>
          <w:u w:val="single"/>
        </w:rPr>
      </w:pPr>
      <w:r w:rsidRPr="54E4B284">
        <w:rPr>
          <w:b/>
          <w:bCs/>
          <w:highlight w:val="yellow"/>
          <w:u w:val="single"/>
        </w:rPr>
        <w:t>References</w:t>
      </w:r>
    </w:p>
    <w:p w14:paraId="6C7F9820" w14:textId="77777777" w:rsidR="00297834" w:rsidRDefault="00297834" w:rsidP="00297834">
      <w:pPr>
        <w:spacing w:before="240" w:after="240"/>
      </w:pPr>
      <w:r w:rsidRPr="7F107871">
        <w:rPr>
          <w:rFonts w:ascii="Aptos" w:eastAsia="Aptos" w:hAnsi="Aptos" w:cs="Aptos"/>
        </w:rPr>
        <w:t xml:space="preserve">Burns, F. (2011) </w:t>
      </w:r>
      <w:r w:rsidRPr="7F107871">
        <w:rPr>
          <w:rFonts w:ascii="Aptos" w:eastAsia="Aptos" w:hAnsi="Aptos" w:cs="Aptos"/>
          <w:i/>
          <w:iCs/>
        </w:rPr>
        <w:t>Information Rights in Trusts</w:t>
      </w:r>
      <w:r w:rsidRPr="7F107871">
        <w:rPr>
          <w:rFonts w:ascii="Aptos" w:eastAsia="Aptos" w:hAnsi="Aptos" w:cs="Aptos"/>
        </w:rPr>
        <w:t>. Oxford: Hart Publishing.</w:t>
      </w:r>
    </w:p>
    <w:p w14:paraId="75FC0686" w14:textId="77777777" w:rsidR="00297834" w:rsidRDefault="00297834" w:rsidP="00297834">
      <w:pPr>
        <w:spacing w:line="276" w:lineRule="auto"/>
        <w:rPr>
          <w:rFonts w:ascii="Arial" w:eastAsia="Arial" w:hAnsi="Arial" w:cs="Arial"/>
          <w:sz w:val="20"/>
          <w:szCs w:val="20"/>
        </w:rPr>
      </w:pPr>
      <w:r w:rsidRPr="45E209E9">
        <w:rPr>
          <w:rFonts w:ascii="Arial" w:eastAsia="Arial" w:hAnsi="Arial" w:cs="Arial"/>
          <w:sz w:val="20"/>
          <w:szCs w:val="20"/>
        </w:rPr>
        <w:t xml:space="preserve">Clare M. (Mar 2005) Trustees’ Reaction to Beneficiaries Rights to information, pp. 23-24, Vol.11, Iss.4, available at </w:t>
      </w:r>
      <w:hyperlink r:id="rId15">
        <w:r w:rsidRPr="45E209E9">
          <w:rPr>
            <w:rStyle w:val="Hyperlink"/>
            <w:rFonts w:ascii="Arial" w:eastAsia="Arial" w:hAnsi="Arial" w:cs="Arial"/>
            <w:color w:val="467886"/>
            <w:sz w:val="20"/>
            <w:szCs w:val="20"/>
          </w:rPr>
          <w:t>https://www.proquest.com/docview/1953153284?accountid=130472&amp;parentSessionId=aSmDcVVLusHodnS1pGsqtpX2o%2BXCjSxjCo0Kk%2B0t2i8%3D&amp;pq-origsite=primo&amp;sourcetype=Scholarly%20Journals</w:t>
        </w:r>
      </w:hyperlink>
      <w:r w:rsidRPr="45E209E9">
        <w:rPr>
          <w:rFonts w:ascii="Arial" w:eastAsia="Arial" w:hAnsi="Arial" w:cs="Arial"/>
          <w:sz w:val="20"/>
          <w:szCs w:val="20"/>
        </w:rPr>
        <w:t xml:space="preserve"> (Accessed 25/02/2026)</w:t>
      </w:r>
    </w:p>
    <w:p w14:paraId="6093291B" w14:textId="77777777" w:rsidR="00297834" w:rsidRDefault="00297834" w:rsidP="00297834">
      <w:pPr>
        <w:spacing w:before="240" w:after="240"/>
        <w:rPr>
          <w:rFonts w:ascii="Arial" w:eastAsia="Arial" w:hAnsi="Arial" w:cs="Arial"/>
          <w:sz w:val="20"/>
          <w:szCs w:val="20"/>
        </w:rPr>
      </w:pPr>
      <w:r w:rsidRPr="17A1EB2E">
        <w:rPr>
          <w:rFonts w:ascii="Arial" w:eastAsia="Arial" w:hAnsi="Arial" w:cs="Arial"/>
          <w:sz w:val="20"/>
          <w:szCs w:val="20"/>
        </w:rPr>
        <w:t xml:space="preserve">Gibbon M. (Feb 2011). Beneficiaries’ information rights p.29 , Vol.17, Iss.1, Oxford, available at: </w:t>
      </w:r>
      <w:hyperlink r:id="rId16">
        <w:r w:rsidRPr="17A1EB2E">
          <w:rPr>
            <w:rStyle w:val="Hyperlink"/>
            <w:rFonts w:ascii="Arial" w:eastAsia="Arial" w:hAnsi="Arial" w:cs="Arial"/>
            <w:sz w:val="20"/>
            <w:szCs w:val="20"/>
          </w:rPr>
          <w:t>https://www.proquest.com/docview/1563186946?accountid=130472&amp;parentSessionId=mnunM8fDwsGabjl5HookQtE2bDOKy6FriYACQ9jMv9s%3D&amp;pq-origsite=primo&amp;sourcetype=Scholarly%20Journals</w:t>
        </w:r>
      </w:hyperlink>
      <w:r w:rsidRPr="17A1EB2E">
        <w:rPr>
          <w:rFonts w:ascii="Arial" w:eastAsia="Arial" w:hAnsi="Arial" w:cs="Arial"/>
          <w:sz w:val="20"/>
          <w:szCs w:val="20"/>
        </w:rPr>
        <w:t xml:space="preserve">  (Accessed 25/02/2026)</w:t>
      </w:r>
    </w:p>
    <w:p w14:paraId="089CD657" w14:textId="77777777" w:rsidR="00297834" w:rsidRDefault="00297834" w:rsidP="00297834">
      <w:pPr>
        <w:spacing w:after="120" w:line="257" w:lineRule="auto"/>
      </w:pPr>
      <w:r w:rsidRPr="046E543E">
        <w:rPr>
          <w:rFonts w:ascii="Calibri" w:eastAsia="Calibri" w:hAnsi="Calibri" w:cs="Calibri"/>
          <w:color w:val="000000" w:themeColor="text1"/>
          <w:lang w:val="en-US"/>
        </w:rPr>
        <w:t xml:space="preserve">GOV.UK (2014). Inheritance (Provision for Family and Dependents) Act 1975. Legislation.gov.uk. available at: </w:t>
      </w:r>
      <w:hyperlink r:id="rId17">
        <w:r w:rsidRPr="046E543E">
          <w:rPr>
            <w:rStyle w:val="Hyperlink"/>
            <w:rFonts w:ascii="Calibri" w:eastAsia="Calibri" w:hAnsi="Calibri" w:cs="Calibri"/>
            <w:color w:val="214C5E"/>
            <w:lang w:val="en-US"/>
          </w:rPr>
          <w:t>https://www.legislation.gov.uk/ukpga/1975/63</w:t>
        </w:r>
      </w:hyperlink>
      <w:r w:rsidRPr="046E543E">
        <w:rPr>
          <w:rFonts w:ascii="Calibri" w:eastAsia="Calibri" w:hAnsi="Calibri" w:cs="Calibri"/>
          <w:color w:val="000000" w:themeColor="text1"/>
          <w:lang w:val="en-US"/>
        </w:rPr>
        <w:t>. (accessed: 25.02.2026)</w:t>
      </w:r>
    </w:p>
    <w:p w14:paraId="03D77FCE" w14:textId="77777777" w:rsidR="00297834" w:rsidRDefault="00297834" w:rsidP="00297834">
      <w:pPr>
        <w:spacing w:before="240" w:after="240" w:line="257" w:lineRule="auto"/>
        <w:rPr>
          <w:rFonts w:ascii="Arial" w:eastAsia="Arial" w:hAnsi="Arial" w:cs="Arial"/>
          <w:sz w:val="20"/>
          <w:szCs w:val="20"/>
        </w:rPr>
      </w:pPr>
      <w:r w:rsidRPr="1AC57972">
        <w:rPr>
          <w:rFonts w:ascii="Calibri" w:eastAsia="Calibri" w:hAnsi="Calibri" w:cs="Calibri"/>
          <w:color w:val="000000" w:themeColor="text1"/>
          <w:lang w:val="en-US"/>
        </w:rPr>
        <w:t xml:space="preserve">GOV.UK (2018). Data Protection Act 2018. Legislation.gov.uk. available at: </w:t>
      </w:r>
      <w:hyperlink r:id="rId18">
        <w:r w:rsidRPr="1AC57972">
          <w:rPr>
            <w:rStyle w:val="Hyperlink"/>
            <w:rFonts w:ascii="Calibri" w:eastAsia="Calibri" w:hAnsi="Calibri" w:cs="Calibri"/>
            <w:color w:val="214C5E"/>
            <w:lang w:val="en-US"/>
          </w:rPr>
          <w:t>https://www.legislation.gov.uk/ukpga/2018/12/contents</w:t>
        </w:r>
      </w:hyperlink>
      <w:r w:rsidRPr="1AC57972">
        <w:rPr>
          <w:rFonts w:ascii="Calibri" w:eastAsia="Calibri" w:hAnsi="Calibri" w:cs="Calibri"/>
          <w:color w:val="000000" w:themeColor="text1"/>
          <w:lang w:val="en-US"/>
        </w:rPr>
        <w:t xml:space="preserve"> (accessed: 25.02.2026).</w:t>
      </w:r>
    </w:p>
    <w:p w14:paraId="7D4EBE26" w14:textId="77777777" w:rsidR="00297834" w:rsidRDefault="00297834" w:rsidP="00297834">
      <w:pPr>
        <w:spacing w:before="240" w:after="240"/>
        <w:rPr>
          <w:rFonts w:ascii="Aptos" w:eastAsia="Aptos" w:hAnsi="Aptos" w:cs="Aptos"/>
        </w:rPr>
      </w:pPr>
      <w:r w:rsidRPr="2561D838">
        <w:rPr>
          <w:rFonts w:ascii="Aptos" w:eastAsia="Aptos" w:hAnsi="Aptos" w:cs="Aptos"/>
        </w:rPr>
        <w:t xml:space="preserve">Hayton, D., Matthews, P. and Mitchell, C. (2022) </w:t>
      </w:r>
      <w:r w:rsidRPr="2561D838">
        <w:rPr>
          <w:rFonts w:ascii="Aptos" w:eastAsia="Aptos" w:hAnsi="Aptos" w:cs="Aptos"/>
          <w:i/>
          <w:iCs/>
        </w:rPr>
        <w:t>Underhill and Hayton: Law of Trusts and Trustees</w:t>
      </w:r>
      <w:r w:rsidRPr="2561D838">
        <w:rPr>
          <w:rFonts w:ascii="Aptos" w:eastAsia="Aptos" w:hAnsi="Aptos" w:cs="Aptos"/>
        </w:rPr>
        <w:t xml:space="preserve">. 21st </w:t>
      </w:r>
      <w:proofErr w:type="spellStart"/>
      <w:r w:rsidRPr="2561D838">
        <w:rPr>
          <w:rFonts w:ascii="Aptos" w:eastAsia="Aptos" w:hAnsi="Aptos" w:cs="Aptos"/>
        </w:rPr>
        <w:t>edn</w:t>
      </w:r>
      <w:proofErr w:type="spellEnd"/>
      <w:r w:rsidRPr="2561D838">
        <w:rPr>
          <w:rFonts w:ascii="Aptos" w:eastAsia="Aptos" w:hAnsi="Aptos" w:cs="Aptos"/>
        </w:rPr>
        <w:t>. London: LexisNexis.</w:t>
      </w:r>
    </w:p>
    <w:p w14:paraId="50E1C079" w14:textId="77777777" w:rsidR="00297834" w:rsidRDefault="00297834" w:rsidP="00297834">
      <w:pPr>
        <w:spacing w:before="240" w:after="240"/>
      </w:pPr>
      <w:r w:rsidRPr="01C86341">
        <w:rPr>
          <w:rFonts w:ascii="Aptos" w:eastAsia="Aptos" w:hAnsi="Aptos" w:cs="Aptos"/>
        </w:rPr>
        <w:t xml:space="preserve">Hodge, M. (2005) ‘The duty of trustees to provide information to beneficiaries’, </w:t>
      </w:r>
      <w:r w:rsidRPr="01C86341">
        <w:rPr>
          <w:rFonts w:ascii="Aptos" w:eastAsia="Aptos" w:hAnsi="Aptos" w:cs="Aptos"/>
          <w:i/>
          <w:iCs/>
        </w:rPr>
        <w:t>Trust Law International</w:t>
      </w:r>
      <w:r w:rsidRPr="01C86341">
        <w:rPr>
          <w:rFonts w:ascii="Aptos" w:eastAsia="Aptos" w:hAnsi="Aptos" w:cs="Aptos"/>
        </w:rPr>
        <w:t>, 19(3), pp. 163–175.</w:t>
      </w:r>
    </w:p>
    <w:p w14:paraId="7FA1C7C8" w14:textId="77777777" w:rsidR="00297834" w:rsidRDefault="00297834" w:rsidP="00297834">
      <w:pPr>
        <w:spacing w:before="240" w:after="240"/>
      </w:pPr>
      <w:r w:rsidRPr="2561D838">
        <w:rPr>
          <w:rFonts w:ascii="Aptos" w:eastAsia="Aptos" w:hAnsi="Aptos" w:cs="Aptos"/>
        </w:rPr>
        <w:t xml:space="preserve">Hudson, A. (2021) </w:t>
      </w:r>
      <w:r w:rsidRPr="2561D838">
        <w:rPr>
          <w:rFonts w:ascii="Aptos" w:eastAsia="Aptos" w:hAnsi="Aptos" w:cs="Aptos"/>
          <w:i/>
          <w:iCs/>
        </w:rPr>
        <w:t>Equity and Trusts</w:t>
      </w:r>
      <w:r w:rsidRPr="2561D838">
        <w:rPr>
          <w:rFonts w:ascii="Aptos" w:eastAsia="Aptos" w:hAnsi="Aptos" w:cs="Aptos"/>
        </w:rPr>
        <w:t xml:space="preserve">. 10th </w:t>
      </w:r>
      <w:proofErr w:type="spellStart"/>
      <w:r w:rsidRPr="2561D838">
        <w:rPr>
          <w:rFonts w:ascii="Aptos" w:eastAsia="Aptos" w:hAnsi="Aptos" w:cs="Aptos"/>
        </w:rPr>
        <w:t>edn</w:t>
      </w:r>
      <w:proofErr w:type="spellEnd"/>
      <w:r w:rsidRPr="2561D838">
        <w:rPr>
          <w:rFonts w:ascii="Aptos" w:eastAsia="Aptos" w:hAnsi="Aptos" w:cs="Aptos"/>
        </w:rPr>
        <w:t>. London: Routledge.</w:t>
      </w:r>
    </w:p>
    <w:p w14:paraId="7C7A3E16" w14:textId="77777777" w:rsidR="00297834" w:rsidRDefault="00297834" w:rsidP="00297834">
      <w:pPr>
        <w:spacing w:before="240" w:after="240"/>
      </w:pPr>
      <w:r w:rsidRPr="01F115DC">
        <w:rPr>
          <w:rFonts w:ascii="Aptos" w:eastAsia="Aptos" w:hAnsi="Aptos" w:cs="Aptos"/>
        </w:rPr>
        <w:t xml:space="preserve">Law Commission (2017) </w:t>
      </w:r>
      <w:r w:rsidRPr="01F115DC">
        <w:rPr>
          <w:rFonts w:ascii="Aptos" w:eastAsia="Aptos" w:hAnsi="Aptos" w:cs="Aptos"/>
          <w:i/>
          <w:iCs/>
        </w:rPr>
        <w:t>Fiduciary Duties of Investment Intermediaries: Final Report</w:t>
      </w:r>
      <w:r w:rsidRPr="01F115DC">
        <w:rPr>
          <w:rFonts w:ascii="Aptos" w:eastAsia="Aptos" w:hAnsi="Aptos" w:cs="Aptos"/>
        </w:rPr>
        <w:t>. London: Law Commission.</w:t>
      </w:r>
    </w:p>
    <w:p w14:paraId="78ACCAB3" w14:textId="77777777" w:rsidR="00297834" w:rsidRDefault="00297834" w:rsidP="00297834">
      <w:pPr>
        <w:spacing w:before="240" w:after="240"/>
      </w:pPr>
      <w:r w:rsidRPr="1E12F925">
        <w:rPr>
          <w:rFonts w:ascii="Calibri" w:eastAsia="Calibri" w:hAnsi="Calibri" w:cs="Calibri"/>
          <w:color w:val="000000" w:themeColor="text1"/>
          <w:lang w:val="en-US"/>
        </w:rPr>
        <w:t xml:space="preserve">Lewis and others v Tamplin and others [2018] EWHC 77 (Ch), 21 ITELR 277, [2018] WTLR 215. Available at: </w:t>
      </w:r>
      <w:hyperlink r:id="rId19">
        <w:r w:rsidRPr="1E12F925">
          <w:rPr>
            <w:rStyle w:val="Hyperlink"/>
            <w:rFonts w:ascii="Calibri" w:eastAsia="Calibri" w:hAnsi="Calibri" w:cs="Calibri"/>
            <w:color w:val="214C5E"/>
            <w:lang w:val="en-US"/>
          </w:rPr>
          <w:t>https://plus-lexis-com.uwtsd.idm.oclc.org/uk/cases-uk/lewis-and-others-v-tamplin-and-others_2/?crid=312c5ec5-afe0-4b3d-a3f3-3d1f6a930177&amp;pddocumentnumber=1</w:t>
        </w:r>
      </w:hyperlink>
      <w:r w:rsidRPr="1E12F925">
        <w:rPr>
          <w:rFonts w:ascii="Calibri" w:eastAsia="Calibri" w:hAnsi="Calibri" w:cs="Calibri"/>
          <w:color w:val="000000" w:themeColor="text1"/>
          <w:lang w:val="en-US"/>
        </w:rPr>
        <w:t xml:space="preserve"> (accessed: 18.02.2026)</w:t>
      </w:r>
    </w:p>
    <w:p w14:paraId="17E926D9" w14:textId="77777777" w:rsidR="00297834" w:rsidRDefault="00297834" w:rsidP="00297834">
      <w:pPr>
        <w:spacing w:before="240" w:after="240"/>
        <w:rPr>
          <w:rFonts w:ascii="Aptos" w:eastAsia="Aptos" w:hAnsi="Aptos" w:cs="Aptos"/>
        </w:rPr>
      </w:pPr>
      <w:r w:rsidRPr="2561D838">
        <w:rPr>
          <w:rFonts w:ascii="Aptos" w:eastAsia="Aptos" w:hAnsi="Aptos" w:cs="Aptos"/>
        </w:rPr>
        <w:lastRenderedPageBreak/>
        <w:t xml:space="preserve">Martin, J. (2022) </w:t>
      </w:r>
      <w:r w:rsidRPr="2561D838">
        <w:rPr>
          <w:rFonts w:ascii="Aptos" w:eastAsia="Aptos" w:hAnsi="Aptos" w:cs="Aptos"/>
          <w:i/>
          <w:iCs/>
        </w:rPr>
        <w:t>Hanbury &amp; Martin: Modern Equity</w:t>
      </w:r>
      <w:r w:rsidRPr="2561D838">
        <w:rPr>
          <w:rFonts w:ascii="Aptos" w:eastAsia="Aptos" w:hAnsi="Aptos" w:cs="Aptos"/>
        </w:rPr>
        <w:t xml:space="preserve">. 23rd </w:t>
      </w:r>
      <w:proofErr w:type="spellStart"/>
      <w:r w:rsidRPr="2561D838">
        <w:rPr>
          <w:rFonts w:ascii="Aptos" w:eastAsia="Aptos" w:hAnsi="Aptos" w:cs="Aptos"/>
        </w:rPr>
        <w:t>edn</w:t>
      </w:r>
      <w:proofErr w:type="spellEnd"/>
      <w:r w:rsidRPr="2561D838">
        <w:rPr>
          <w:rFonts w:ascii="Aptos" w:eastAsia="Aptos" w:hAnsi="Aptos" w:cs="Aptos"/>
        </w:rPr>
        <w:t>. London: Sweet &amp; Maxwell.</w:t>
      </w:r>
    </w:p>
    <w:p w14:paraId="66840302" w14:textId="77777777" w:rsidR="00297834" w:rsidRDefault="00297834" w:rsidP="00297834">
      <w:pPr>
        <w:spacing w:before="240" w:after="240"/>
      </w:pPr>
      <w:r w:rsidRPr="274A1EB6">
        <w:rPr>
          <w:rFonts w:ascii="Aptos" w:eastAsia="Aptos" w:hAnsi="Aptos" w:cs="Aptos"/>
        </w:rPr>
        <w:t xml:space="preserve">Oakley, A. (2013) </w:t>
      </w:r>
      <w:r w:rsidRPr="274A1EB6">
        <w:rPr>
          <w:rFonts w:ascii="Aptos" w:eastAsia="Aptos" w:hAnsi="Aptos" w:cs="Aptos"/>
          <w:i/>
          <w:iCs/>
        </w:rPr>
        <w:t>Parker and Mellows: The Modern Law of Trusts</w:t>
      </w:r>
      <w:r w:rsidRPr="274A1EB6">
        <w:rPr>
          <w:rFonts w:ascii="Aptos" w:eastAsia="Aptos" w:hAnsi="Aptos" w:cs="Aptos"/>
        </w:rPr>
        <w:t xml:space="preserve">. 10th </w:t>
      </w:r>
      <w:proofErr w:type="spellStart"/>
      <w:r w:rsidRPr="274A1EB6">
        <w:rPr>
          <w:rFonts w:ascii="Aptos" w:eastAsia="Aptos" w:hAnsi="Aptos" w:cs="Aptos"/>
        </w:rPr>
        <w:t>edn</w:t>
      </w:r>
      <w:proofErr w:type="spellEnd"/>
      <w:r w:rsidRPr="274A1EB6">
        <w:rPr>
          <w:rFonts w:ascii="Aptos" w:eastAsia="Aptos" w:hAnsi="Aptos" w:cs="Aptos"/>
        </w:rPr>
        <w:t>. London: Sweet &amp; Maxwell.</w:t>
      </w:r>
    </w:p>
    <w:p w14:paraId="71745C0F" w14:textId="77777777" w:rsidR="00297834" w:rsidRDefault="00297834" w:rsidP="00297834">
      <w:pPr>
        <w:spacing w:before="240" w:after="240"/>
      </w:pPr>
      <w:r w:rsidRPr="4CDCE23E">
        <w:rPr>
          <w:rFonts w:ascii="Aptos" w:eastAsia="Aptos" w:hAnsi="Aptos" w:cs="Aptos"/>
        </w:rPr>
        <w:t xml:space="preserve">Penner, J. (2022) </w:t>
      </w:r>
      <w:r w:rsidRPr="4CDCE23E">
        <w:rPr>
          <w:rFonts w:ascii="Aptos" w:eastAsia="Aptos" w:hAnsi="Aptos" w:cs="Aptos"/>
          <w:i/>
          <w:iCs/>
        </w:rPr>
        <w:t>The Law of Trusts</w:t>
      </w:r>
      <w:r w:rsidRPr="4CDCE23E">
        <w:rPr>
          <w:rFonts w:ascii="Aptos" w:eastAsia="Aptos" w:hAnsi="Aptos" w:cs="Aptos"/>
        </w:rPr>
        <w:t xml:space="preserve">. 14th </w:t>
      </w:r>
      <w:proofErr w:type="spellStart"/>
      <w:r w:rsidRPr="4CDCE23E">
        <w:rPr>
          <w:rFonts w:ascii="Aptos" w:eastAsia="Aptos" w:hAnsi="Aptos" w:cs="Aptos"/>
        </w:rPr>
        <w:t>edn</w:t>
      </w:r>
      <w:proofErr w:type="spellEnd"/>
      <w:r w:rsidRPr="4CDCE23E">
        <w:rPr>
          <w:rFonts w:ascii="Aptos" w:eastAsia="Aptos" w:hAnsi="Aptos" w:cs="Aptos"/>
        </w:rPr>
        <w:t>. Oxford: Oxford University Press.</w:t>
      </w:r>
    </w:p>
    <w:p w14:paraId="17FCA0B7" w14:textId="77777777" w:rsidR="00297834" w:rsidRDefault="00297834" w:rsidP="00297834">
      <w:pPr>
        <w:spacing w:before="240" w:after="240" w:line="276" w:lineRule="auto"/>
      </w:pPr>
      <w:r w:rsidRPr="2FB6A7BC">
        <w:rPr>
          <w:rFonts w:ascii="Calibri" w:eastAsia="Calibri" w:hAnsi="Calibri" w:cs="Calibri"/>
          <w:color w:val="000000" w:themeColor="text1"/>
        </w:rPr>
        <w:t xml:space="preserve">Simmonds, M. (2023). Navigating Estate Dispute: Understanding Challenges &amp; Solutions. WBW Solicitors. Available at: </w:t>
      </w:r>
      <w:hyperlink r:id="rId20">
        <w:r w:rsidRPr="2FB6A7BC">
          <w:rPr>
            <w:rStyle w:val="Hyperlink"/>
            <w:rFonts w:ascii="Calibri" w:eastAsia="Calibri" w:hAnsi="Calibri" w:cs="Calibri"/>
            <w:color w:val="214C5E"/>
          </w:rPr>
          <w:t>https://www.wbw.co.uk/news/general-news/navigating-estate-disputes-amy-read-insights/</w:t>
        </w:r>
      </w:hyperlink>
      <w:r w:rsidRPr="2FB6A7BC">
        <w:rPr>
          <w:rFonts w:ascii="Calibri" w:eastAsia="Calibri" w:hAnsi="Calibri" w:cs="Calibri"/>
          <w:color w:val="000000" w:themeColor="text1"/>
        </w:rPr>
        <w:t xml:space="preserve"> (Accessed: 25.02.2026)</w:t>
      </w:r>
    </w:p>
    <w:p w14:paraId="51AE4A4C" w14:textId="77777777" w:rsidR="00297834" w:rsidRDefault="00297834" w:rsidP="00297834">
      <w:pPr>
        <w:spacing w:before="240" w:after="240"/>
        <w:rPr>
          <w:rFonts w:ascii="Aptos" w:eastAsia="Aptos" w:hAnsi="Aptos" w:cs="Aptos"/>
        </w:rPr>
      </w:pPr>
      <w:r w:rsidRPr="175C667D">
        <w:rPr>
          <w:rFonts w:ascii="Aptos" w:eastAsia="Aptos" w:hAnsi="Aptos" w:cs="Aptos"/>
        </w:rPr>
        <w:t xml:space="preserve">STEP (Society of Trust and Estate Practitioners) (2019) </w:t>
      </w:r>
      <w:r w:rsidRPr="175C667D">
        <w:rPr>
          <w:rFonts w:ascii="Aptos" w:eastAsia="Aptos" w:hAnsi="Aptos" w:cs="Aptos"/>
          <w:i/>
          <w:iCs/>
        </w:rPr>
        <w:t>Guidance on Disclosure and Confidentiality in Trust Administration</w:t>
      </w:r>
      <w:r w:rsidRPr="175C667D">
        <w:rPr>
          <w:rFonts w:ascii="Aptos" w:eastAsia="Aptos" w:hAnsi="Aptos" w:cs="Aptos"/>
        </w:rPr>
        <w:t>. London: STEP.</w:t>
      </w:r>
    </w:p>
    <w:p w14:paraId="266519D5" w14:textId="77777777" w:rsidR="00297834" w:rsidRDefault="00297834" w:rsidP="00297834">
      <w:pPr>
        <w:spacing w:before="240" w:after="240"/>
      </w:pPr>
      <w:r w:rsidRPr="1217605F">
        <w:rPr>
          <w:rFonts w:ascii="Aptos" w:eastAsia="Aptos" w:hAnsi="Aptos" w:cs="Aptos"/>
        </w:rPr>
        <w:t xml:space="preserve">Trustee Act 2000. Available at: </w:t>
      </w:r>
      <w:hyperlink r:id="rId21">
        <w:r w:rsidRPr="1217605F">
          <w:rPr>
            <w:rStyle w:val="Hyperlink"/>
            <w:rFonts w:ascii="Aptos" w:eastAsia="Aptos" w:hAnsi="Aptos" w:cs="Aptos"/>
          </w:rPr>
          <w:t>https://www.legislation.gov.uk/ukpga/2000/29/contents</w:t>
        </w:r>
      </w:hyperlink>
      <w:r w:rsidRPr="1217605F">
        <w:rPr>
          <w:rFonts w:ascii="Aptos" w:eastAsia="Aptos" w:hAnsi="Aptos" w:cs="Aptos"/>
        </w:rPr>
        <w:t xml:space="preserve"> (Accessed: 18 February 2026).</w:t>
      </w:r>
    </w:p>
    <w:p w14:paraId="0F9CBA27" w14:textId="77777777" w:rsidR="00297834" w:rsidRDefault="00297834" w:rsidP="00297834">
      <w:pPr>
        <w:spacing w:before="240" w:after="240"/>
      </w:pPr>
      <w:r w:rsidRPr="1217605F">
        <w:rPr>
          <w:rFonts w:ascii="Aptos" w:eastAsia="Aptos" w:hAnsi="Aptos" w:cs="Aptos"/>
        </w:rPr>
        <w:t xml:space="preserve">Trustee Act 1925. Available at: </w:t>
      </w:r>
      <w:hyperlink r:id="rId22">
        <w:r w:rsidRPr="1217605F">
          <w:rPr>
            <w:rStyle w:val="Hyperlink"/>
            <w:rFonts w:ascii="Aptos" w:eastAsia="Aptos" w:hAnsi="Aptos" w:cs="Aptos"/>
          </w:rPr>
          <w:t>https://www.legislation.gov.uk/ukpga/Geo5/15-16/19/contents</w:t>
        </w:r>
      </w:hyperlink>
      <w:r w:rsidRPr="1217605F">
        <w:rPr>
          <w:rFonts w:ascii="Aptos" w:eastAsia="Aptos" w:hAnsi="Aptos" w:cs="Aptos"/>
        </w:rPr>
        <w:t xml:space="preserve"> (Accessed: 18 February 2026).</w:t>
      </w:r>
    </w:p>
    <w:p w14:paraId="0A9E1F5F" w14:textId="77777777" w:rsidR="00297834" w:rsidRDefault="00297834" w:rsidP="00297834">
      <w:pPr>
        <w:spacing w:before="240" w:after="240"/>
      </w:pPr>
      <w:r w:rsidRPr="1217605F">
        <w:rPr>
          <w:rFonts w:ascii="Aptos" w:eastAsia="Aptos" w:hAnsi="Aptos" w:cs="Aptos"/>
        </w:rPr>
        <w:t xml:space="preserve">Trusts of Land and Appointment of Trustees Act 1996. Available at: </w:t>
      </w:r>
      <w:hyperlink r:id="rId23">
        <w:r w:rsidRPr="1217605F">
          <w:rPr>
            <w:rStyle w:val="Hyperlink"/>
            <w:rFonts w:ascii="Aptos" w:eastAsia="Aptos" w:hAnsi="Aptos" w:cs="Aptos"/>
          </w:rPr>
          <w:t>https://www.legislation.gov.uk/ukpga/1996/47/contents</w:t>
        </w:r>
      </w:hyperlink>
      <w:r w:rsidRPr="1217605F">
        <w:rPr>
          <w:rFonts w:ascii="Aptos" w:eastAsia="Aptos" w:hAnsi="Aptos" w:cs="Aptos"/>
        </w:rPr>
        <w:t xml:space="preserve"> (Accessed: 18 February 2026).</w:t>
      </w:r>
    </w:p>
    <w:p w14:paraId="6F2631A3" w14:textId="77777777" w:rsidR="00297834" w:rsidRDefault="00297834" w:rsidP="00297834">
      <w:pPr>
        <w:spacing w:before="240" w:after="240"/>
        <w:rPr>
          <w:rFonts w:ascii="Aptos" w:eastAsia="Aptos" w:hAnsi="Aptos" w:cs="Aptos"/>
        </w:rPr>
      </w:pPr>
      <w:r w:rsidRPr="01F115DC">
        <w:rPr>
          <w:rFonts w:ascii="Aptos" w:eastAsia="Aptos" w:hAnsi="Aptos" w:cs="Aptos"/>
        </w:rPr>
        <w:t xml:space="preserve">Virgo, G. (2020) </w:t>
      </w:r>
      <w:r w:rsidRPr="01F115DC">
        <w:rPr>
          <w:rFonts w:ascii="Aptos" w:eastAsia="Aptos" w:hAnsi="Aptos" w:cs="Aptos"/>
          <w:i/>
          <w:iCs/>
        </w:rPr>
        <w:t>The Principles of Equity and Trusts</w:t>
      </w:r>
      <w:r w:rsidRPr="01F115DC">
        <w:rPr>
          <w:rFonts w:ascii="Aptos" w:eastAsia="Aptos" w:hAnsi="Aptos" w:cs="Aptos"/>
        </w:rPr>
        <w:t xml:space="preserve">. 4th </w:t>
      </w:r>
      <w:proofErr w:type="spellStart"/>
      <w:r w:rsidRPr="01F115DC">
        <w:rPr>
          <w:rFonts w:ascii="Aptos" w:eastAsia="Aptos" w:hAnsi="Aptos" w:cs="Aptos"/>
        </w:rPr>
        <w:t>edn</w:t>
      </w:r>
      <w:proofErr w:type="spellEnd"/>
      <w:r w:rsidRPr="01F115DC">
        <w:rPr>
          <w:rFonts w:ascii="Aptos" w:eastAsia="Aptos" w:hAnsi="Aptos" w:cs="Aptos"/>
        </w:rPr>
        <w:t>. Oxford: Oxford University Press.</w:t>
      </w:r>
    </w:p>
    <w:p w14:paraId="274B27E9" w14:textId="77777777" w:rsidR="00297834" w:rsidRDefault="00297834" w:rsidP="00297834">
      <w:pPr>
        <w:spacing w:after="240" w:line="360" w:lineRule="auto"/>
      </w:pPr>
      <w:r w:rsidRPr="01C86341">
        <w:rPr>
          <w:rFonts w:ascii="Times New Roman" w:eastAsia="Times New Roman" w:hAnsi="Times New Roman" w:cs="Times New Roman"/>
        </w:rPr>
        <w:t xml:space="preserve">Legislation UK Government (2021). </w:t>
      </w:r>
      <w:r w:rsidRPr="01C86341">
        <w:rPr>
          <w:rFonts w:ascii="Times New Roman" w:eastAsia="Times New Roman" w:hAnsi="Times New Roman" w:cs="Times New Roman"/>
          <w:i/>
          <w:iCs/>
        </w:rPr>
        <w:t>Trustee Act 2000</w:t>
      </w:r>
      <w:r w:rsidRPr="01C86341">
        <w:rPr>
          <w:rFonts w:ascii="Times New Roman" w:eastAsia="Times New Roman" w:hAnsi="Times New Roman" w:cs="Times New Roman"/>
        </w:rPr>
        <w:t xml:space="preserve">. [online] Legislation.gov.uk. Available at: </w:t>
      </w:r>
      <w:hyperlink r:id="rId24">
        <w:r w:rsidRPr="01C86341">
          <w:rPr>
            <w:rStyle w:val="Hyperlink"/>
            <w:rFonts w:ascii="Times New Roman" w:eastAsia="Times New Roman" w:hAnsi="Times New Roman" w:cs="Times New Roman"/>
          </w:rPr>
          <w:t>https://www.legislation.gov.uk/ukpga/2000/29/contents</w:t>
        </w:r>
      </w:hyperlink>
      <w:r w:rsidRPr="01C86341">
        <w:rPr>
          <w:rFonts w:ascii="Times New Roman" w:eastAsia="Times New Roman" w:hAnsi="Times New Roman" w:cs="Times New Roman"/>
        </w:rPr>
        <w:t>. Accessed: (25/02/2026).</w:t>
      </w:r>
    </w:p>
    <w:p w14:paraId="0946EC7D" w14:textId="77777777" w:rsidR="00297834" w:rsidRDefault="00297834" w:rsidP="00297834">
      <w:pPr>
        <w:spacing w:before="240" w:after="240"/>
        <w:rPr>
          <w:rFonts w:ascii="Aptos" w:eastAsia="Aptos" w:hAnsi="Aptos" w:cs="Aptos"/>
        </w:rPr>
      </w:pPr>
    </w:p>
    <w:p w14:paraId="00EB3EE5" w14:textId="77777777" w:rsidR="00297834" w:rsidRPr="00755B13" w:rsidRDefault="00297834" w:rsidP="00297834">
      <w:pPr>
        <w:spacing w:before="240" w:after="240"/>
      </w:pPr>
      <w:r>
        <w:rPr>
          <w:rFonts w:ascii="Aptos" w:eastAsia="Aptos" w:hAnsi="Aptos" w:cs="Aptos"/>
        </w:rPr>
        <w:t>Case Law.</w:t>
      </w:r>
    </w:p>
    <w:p w14:paraId="5BD8959B" w14:textId="77777777" w:rsidR="00297834" w:rsidRPr="005048B9" w:rsidRDefault="00297834" w:rsidP="00297834">
      <w:pPr>
        <w:spacing w:before="240" w:after="240"/>
        <w:rPr>
          <w:rFonts w:eastAsia="Aptos" w:cs="Aptos"/>
        </w:rPr>
      </w:pPr>
      <w:r w:rsidRPr="005048B9">
        <w:rPr>
          <w:i/>
          <w:iCs/>
          <w:color w:val="000000"/>
        </w:rPr>
        <w:t xml:space="preserve">Breakspear &amp; Ors v Ackland &amp; Anor </w:t>
      </w:r>
      <w:r w:rsidRPr="00383706">
        <w:rPr>
          <w:i/>
          <w:iCs/>
          <w:color w:val="000000"/>
        </w:rPr>
        <w:t xml:space="preserve">[2008] EWHC 220 (Ch) (19 February 2008). </w:t>
      </w:r>
      <w:r w:rsidRPr="005048B9">
        <w:rPr>
          <w:rFonts w:cs="Arial"/>
          <w:color w:val="37393C"/>
          <w:shd w:val="clear" w:color="auto" w:fill="FFFFFF"/>
        </w:rPr>
        <w:t>Available at: https://www.casemine.com/judgement/uk/5a8ff7cd60d03e7f57eb2354 (Accessed: 25 February 2026)</w:t>
      </w:r>
    </w:p>
    <w:p w14:paraId="1EF040EA" w14:textId="77777777" w:rsidR="00297834" w:rsidRDefault="00297834" w:rsidP="00297834">
      <w:pPr>
        <w:spacing w:before="240" w:after="240"/>
        <w:rPr>
          <w:rFonts w:ascii="Aptos" w:eastAsia="Aptos" w:hAnsi="Aptos" w:cs="Aptos"/>
        </w:rPr>
      </w:pPr>
      <w:r>
        <w:rPr>
          <w:rFonts w:ascii="Aptos" w:eastAsia="Aptos" w:hAnsi="Aptos" w:cs="Aptos"/>
        </w:rPr>
        <w:t xml:space="preserve">Nestle v National Westminster Bank Plc (1993) 1 WLR </w:t>
      </w:r>
    </w:p>
    <w:p w14:paraId="01F71BA4" w14:textId="77777777" w:rsidR="00297834" w:rsidRDefault="00297834" w:rsidP="00297834">
      <w:pPr>
        <w:spacing w:before="240" w:after="240"/>
        <w:rPr>
          <w:rFonts w:ascii="Aptos" w:eastAsia="Aptos" w:hAnsi="Aptos" w:cs="Aptos"/>
        </w:rPr>
      </w:pPr>
      <w:r>
        <w:rPr>
          <w:rFonts w:ascii="Aptos" w:eastAsia="Aptos" w:hAnsi="Aptos" w:cs="Aptos"/>
        </w:rPr>
        <w:t xml:space="preserve">Target Holdings Ltd v </w:t>
      </w:r>
      <w:proofErr w:type="spellStart"/>
      <w:r>
        <w:rPr>
          <w:rFonts w:ascii="Aptos" w:eastAsia="Aptos" w:hAnsi="Aptos" w:cs="Aptos"/>
        </w:rPr>
        <w:t>Redferns</w:t>
      </w:r>
      <w:proofErr w:type="spellEnd"/>
      <w:r>
        <w:rPr>
          <w:rFonts w:ascii="Aptos" w:eastAsia="Aptos" w:hAnsi="Aptos" w:cs="Aptos"/>
        </w:rPr>
        <w:t xml:space="preserve"> (1995) UKHL 10 </w:t>
      </w:r>
    </w:p>
    <w:p w14:paraId="7FEC12C1" w14:textId="77777777" w:rsidR="00297834" w:rsidRPr="00205B04" w:rsidRDefault="00297834" w:rsidP="00297834">
      <w:pPr>
        <w:spacing w:before="240" w:after="240"/>
        <w:rPr>
          <w:rFonts w:ascii="Aptos" w:eastAsia="Aptos" w:hAnsi="Aptos" w:cs="Aptos"/>
          <w:b/>
          <w:bCs/>
        </w:rPr>
      </w:pPr>
      <w:r w:rsidRPr="482E563A">
        <w:rPr>
          <w:rStyle w:val="Strong"/>
          <w:i/>
          <w:iCs/>
          <w:color w:val="000000" w:themeColor="text1"/>
        </w:rPr>
        <w:t>Charities Act 2011,</w:t>
      </w:r>
      <w:r w:rsidRPr="482E563A">
        <w:rPr>
          <w:rStyle w:val="Strong"/>
          <w:color w:val="000000" w:themeColor="text1"/>
        </w:rPr>
        <w:t xml:space="preserve"> c.25. Available at:</w:t>
      </w:r>
      <w:r w:rsidRPr="482E563A">
        <w:rPr>
          <w:rStyle w:val="apple-converted-space"/>
          <w:rFonts w:ascii="-webkit-standard" w:hAnsi="-webkit-standard"/>
          <w:b/>
          <w:bCs/>
          <w:color w:val="000000" w:themeColor="text1"/>
          <w:sz w:val="27"/>
          <w:szCs w:val="27"/>
        </w:rPr>
        <w:t> </w:t>
      </w:r>
      <w:hyperlink r:id="rId25">
        <w:r w:rsidRPr="482E563A">
          <w:rPr>
            <w:rStyle w:val="Hyperlink"/>
            <w:b/>
            <w:bCs/>
          </w:rPr>
          <w:t>https://www.legislation.gov.uk/ukpga/2011/25</w:t>
        </w:r>
      </w:hyperlink>
      <w:r w:rsidRPr="482E563A">
        <w:rPr>
          <w:rStyle w:val="apple-converted-space"/>
          <w:rFonts w:ascii="-webkit-standard" w:hAnsi="-webkit-standard"/>
          <w:b/>
          <w:bCs/>
          <w:color w:val="000000" w:themeColor="text1"/>
          <w:sz w:val="27"/>
          <w:szCs w:val="27"/>
        </w:rPr>
        <w:t> </w:t>
      </w:r>
      <w:r w:rsidRPr="482E563A">
        <w:rPr>
          <w:rStyle w:val="Strong"/>
          <w:color w:val="000000" w:themeColor="text1"/>
        </w:rPr>
        <w:t>(Accessed: 25 February 2026).</w:t>
      </w:r>
    </w:p>
    <w:p w14:paraId="1E986E74" w14:textId="77777777" w:rsidR="00297834" w:rsidRDefault="00297834" w:rsidP="00297834">
      <w:pPr>
        <w:spacing w:before="240" w:after="240"/>
        <w:rPr>
          <w:rFonts w:ascii="Aptos" w:eastAsia="Aptos" w:hAnsi="Aptos" w:cs="Aptos"/>
        </w:rPr>
      </w:pPr>
    </w:p>
    <w:p w14:paraId="58D217C1" w14:textId="77777777" w:rsidR="00297834" w:rsidRDefault="00297834" w:rsidP="00297834">
      <w:pPr>
        <w:spacing w:before="240" w:after="240"/>
        <w:rPr>
          <w:rFonts w:ascii="Aptos" w:eastAsia="Aptos" w:hAnsi="Aptos" w:cs="Aptos"/>
        </w:rPr>
      </w:pPr>
    </w:p>
    <w:p w14:paraId="0EE6291F" w14:textId="77777777" w:rsidR="00297834" w:rsidRDefault="00297834" w:rsidP="00297834">
      <w:pPr>
        <w:rPr>
          <w:b/>
          <w:bCs/>
          <w:highlight w:val="yellow"/>
          <w:u w:val="single"/>
        </w:rPr>
      </w:pPr>
      <w:r w:rsidRPr="54E4B284">
        <w:rPr>
          <w:b/>
          <w:bCs/>
          <w:highlight w:val="yellow"/>
          <w:u w:val="single"/>
        </w:rPr>
        <w:t xml:space="preserve">Cases </w:t>
      </w:r>
    </w:p>
    <w:p w14:paraId="2EC45438" w14:textId="77777777" w:rsidR="00297834" w:rsidRDefault="00297834" w:rsidP="00297834">
      <w:pPr>
        <w:spacing w:before="240" w:after="240"/>
      </w:pPr>
      <w:r w:rsidRPr="01F115DC">
        <w:rPr>
          <w:rFonts w:ascii="Aptos" w:eastAsia="Aptos" w:hAnsi="Aptos" w:cs="Aptos"/>
          <w:i/>
          <w:iCs/>
        </w:rPr>
        <w:t>Armitage v Nurse</w:t>
      </w:r>
      <w:r w:rsidRPr="01F115DC">
        <w:rPr>
          <w:rFonts w:ascii="Aptos" w:eastAsia="Aptos" w:hAnsi="Aptos" w:cs="Aptos"/>
        </w:rPr>
        <w:t xml:space="preserve"> [1998] Ch 241.</w:t>
      </w:r>
    </w:p>
    <w:p w14:paraId="3CDFA689" w14:textId="77777777" w:rsidR="00297834" w:rsidRDefault="00297834" w:rsidP="00297834">
      <w:pPr>
        <w:spacing w:before="240" w:after="240"/>
        <w:rPr>
          <w:rFonts w:eastAsia="Aptos" w:cs="Aptos"/>
        </w:rPr>
      </w:pPr>
      <w:r w:rsidRPr="0591EEEA">
        <w:rPr>
          <w:rFonts w:eastAsia="Aptos" w:cs="Aptos"/>
          <w:i/>
          <w:iCs/>
        </w:rPr>
        <w:lastRenderedPageBreak/>
        <w:t xml:space="preserve">Breakspear v Ackland </w:t>
      </w:r>
      <w:r w:rsidRPr="0591EEEA">
        <w:rPr>
          <w:rFonts w:eastAsia="Aptos" w:cs="Aptos"/>
        </w:rPr>
        <w:t>[2008] EWHC 220 (Ch).</w:t>
      </w:r>
    </w:p>
    <w:p w14:paraId="6B04A677" w14:textId="77777777" w:rsidR="00297834" w:rsidRDefault="00297834" w:rsidP="00297834">
      <w:pPr>
        <w:spacing w:before="240" w:after="240"/>
        <w:rPr>
          <w:rFonts w:ascii="Aptos" w:eastAsia="Aptos" w:hAnsi="Aptos" w:cs="Aptos"/>
        </w:rPr>
      </w:pPr>
      <w:r w:rsidRPr="081BA6E8">
        <w:rPr>
          <w:rFonts w:ascii="Aptos" w:eastAsia="Aptos" w:hAnsi="Aptos" w:cs="Aptos"/>
        </w:rPr>
        <w:t>Dawson-Damer &amp; Others v Taylor Wessing</w:t>
      </w:r>
      <w:r w:rsidRPr="5971EFA7">
        <w:rPr>
          <w:rFonts w:ascii="Aptos" w:eastAsia="Aptos" w:hAnsi="Aptos" w:cs="Aptos"/>
        </w:rPr>
        <w:t xml:space="preserve"> LLP (2020) EWCA Civ 352</w:t>
      </w:r>
    </w:p>
    <w:p w14:paraId="2C73151F" w14:textId="77777777" w:rsidR="00297834" w:rsidRDefault="00297834" w:rsidP="00297834">
      <w:pPr>
        <w:spacing w:before="240" w:after="240"/>
      </w:pPr>
      <w:r w:rsidRPr="0591EEEA">
        <w:rPr>
          <w:rFonts w:ascii="Aptos" w:eastAsia="Aptos" w:hAnsi="Aptos" w:cs="Aptos"/>
          <w:i/>
          <w:iCs/>
        </w:rPr>
        <w:t>Hartigan Nominees Pty Ltd v Rydge</w:t>
      </w:r>
      <w:r w:rsidRPr="0591EEEA">
        <w:rPr>
          <w:rFonts w:ascii="Aptos" w:eastAsia="Aptos" w:hAnsi="Aptos" w:cs="Aptos"/>
        </w:rPr>
        <w:t xml:space="preserve"> (1992) 29 NSWLR 405.</w:t>
      </w:r>
    </w:p>
    <w:p w14:paraId="55FE23B2" w14:textId="77777777" w:rsidR="00297834" w:rsidRDefault="00297834" w:rsidP="00297834">
      <w:pPr>
        <w:spacing w:before="240" w:after="240"/>
      </w:pPr>
      <w:r w:rsidRPr="02F1809E">
        <w:rPr>
          <w:rFonts w:ascii="Aptos" w:eastAsia="Aptos" w:hAnsi="Aptos" w:cs="Aptos"/>
          <w:i/>
          <w:iCs/>
        </w:rPr>
        <w:t>Re Londonderry’s Settlement</w:t>
      </w:r>
      <w:r w:rsidRPr="02F1809E">
        <w:rPr>
          <w:rFonts w:ascii="Aptos" w:eastAsia="Aptos" w:hAnsi="Aptos" w:cs="Aptos"/>
        </w:rPr>
        <w:t xml:space="preserve"> [1965] Ch 918.</w:t>
      </w:r>
    </w:p>
    <w:p w14:paraId="11AC50EA" w14:textId="77777777" w:rsidR="00297834" w:rsidRDefault="00297834" w:rsidP="00297834">
      <w:pPr>
        <w:spacing w:before="240" w:after="240"/>
      </w:pPr>
      <w:r w:rsidRPr="02F1809E">
        <w:rPr>
          <w:rFonts w:ascii="Aptos" w:eastAsia="Aptos" w:hAnsi="Aptos" w:cs="Aptos"/>
          <w:i/>
          <w:iCs/>
        </w:rPr>
        <w:t>Schmidt v Rosewood Trust Ltd</w:t>
      </w:r>
      <w:r w:rsidRPr="02F1809E">
        <w:rPr>
          <w:rFonts w:ascii="Aptos" w:eastAsia="Aptos" w:hAnsi="Aptos" w:cs="Aptos"/>
        </w:rPr>
        <w:t xml:space="preserve"> [2003] UKPC 26, [2003] 2 AC 709.</w:t>
      </w:r>
    </w:p>
    <w:p w14:paraId="1AA8CE0B" w14:textId="77777777" w:rsidR="00297834" w:rsidRDefault="00297834" w:rsidP="00297834">
      <w:pPr>
        <w:spacing w:before="240" w:after="240"/>
      </w:pPr>
      <w:r w:rsidRPr="02F1809E">
        <w:rPr>
          <w:rFonts w:ascii="Aptos" w:eastAsia="Aptos" w:hAnsi="Aptos" w:cs="Aptos"/>
          <w:i/>
          <w:iCs/>
        </w:rPr>
        <w:t>Tito v Waddell (No 2)</w:t>
      </w:r>
      <w:r w:rsidRPr="02F1809E">
        <w:rPr>
          <w:rFonts w:ascii="Aptos" w:eastAsia="Aptos" w:hAnsi="Aptos" w:cs="Aptos"/>
        </w:rPr>
        <w:t xml:space="preserve"> [1977] Ch 106.</w:t>
      </w:r>
    </w:p>
    <w:p w14:paraId="58F535D7" w14:textId="77777777" w:rsidR="00297834" w:rsidRDefault="00297834" w:rsidP="00297834">
      <w:pPr>
        <w:spacing w:before="240" w:after="240"/>
        <w:rPr>
          <w:rFonts w:ascii="Aptos" w:eastAsia="Aptos" w:hAnsi="Aptos" w:cs="Aptos"/>
          <w:i/>
          <w:iCs/>
        </w:rPr>
      </w:pPr>
      <w:r w:rsidRPr="65B3F62D">
        <w:rPr>
          <w:rFonts w:ascii="Aptos" w:eastAsia="Aptos" w:hAnsi="Aptos" w:cs="Aptos"/>
          <w:i/>
          <w:iCs/>
          <w:color w:val="000000" w:themeColor="text1"/>
        </w:rPr>
        <w:t xml:space="preserve">Rouse v IOOF Australia Ltd [1999] </w:t>
      </w:r>
      <w:r w:rsidRPr="65B3F62D">
        <w:rPr>
          <w:rFonts w:ascii="Aptos" w:eastAsia="Aptos" w:hAnsi="Aptos" w:cs="Aptos"/>
          <w:color w:val="000000" w:themeColor="text1"/>
        </w:rPr>
        <w:t>2 ITELR 289</w:t>
      </w:r>
    </w:p>
    <w:p w14:paraId="521F5BA3" w14:textId="77777777" w:rsidR="00297834" w:rsidRDefault="00297834" w:rsidP="00297834">
      <w:pPr>
        <w:spacing w:before="240" w:after="240"/>
      </w:pPr>
      <w:r w:rsidRPr="0E585697">
        <w:rPr>
          <w:rFonts w:ascii="Aptos" w:eastAsia="Aptos" w:hAnsi="Aptos" w:cs="Aptos"/>
        </w:rPr>
        <w:t>Boardman v Phipps [1966] UKHL 2</w:t>
      </w:r>
    </w:p>
    <w:p w14:paraId="180B5096" w14:textId="77777777" w:rsidR="00297834" w:rsidRDefault="00297834" w:rsidP="00297834">
      <w:pPr>
        <w:spacing w:before="240" w:after="240"/>
        <w:rPr>
          <w:rFonts w:eastAsia="Aptos" w:cs="Aptos"/>
        </w:rPr>
      </w:pPr>
    </w:p>
    <w:p w14:paraId="051F5234" w14:textId="77777777" w:rsidR="00297834" w:rsidRDefault="00297834" w:rsidP="00297834">
      <w:pPr>
        <w:rPr>
          <w:b/>
          <w:bCs/>
          <w:highlight w:val="yellow"/>
          <w:u w:val="single"/>
        </w:rPr>
      </w:pPr>
    </w:p>
    <w:p w14:paraId="6194F9C5" w14:textId="0588AF10" w:rsidR="00297834" w:rsidRPr="00F14FD3" w:rsidRDefault="00297834" w:rsidP="005F13FA">
      <w:pPr>
        <w:spacing w:line="360" w:lineRule="auto"/>
        <w:rPr>
          <w:rFonts w:ascii="Arial" w:hAnsi="Arial" w:cs="Arial"/>
          <w:u w:val="single"/>
        </w:rPr>
      </w:pPr>
    </w:p>
    <w:sectPr w:rsidR="00297834" w:rsidRPr="00F14FD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sans-serif">
    <w:altName w:val="Calibri"/>
    <w:charset w:val="00"/>
    <w:family w:val="roman"/>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Nova">
    <w:charset w:val="00"/>
    <w:family w:val="swiss"/>
    <w:pitch w:val="variable"/>
    <w:sig w:usb0="0000028F" w:usb1="00000002" w:usb2="00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webkit-standar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F8B5"/>
    <w:multiLevelType w:val="hybridMultilevel"/>
    <w:tmpl w:val="FFFFFFFF"/>
    <w:lvl w:ilvl="0" w:tplc="DE2821B8">
      <w:start w:val="1"/>
      <w:numFmt w:val="bullet"/>
      <w:lvlText w:val=""/>
      <w:lvlJc w:val="left"/>
      <w:pPr>
        <w:ind w:left="720" w:hanging="360"/>
      </w:pPr>
      <w:rPr>
        <w:rFonts w:ascii="Symbol" w:hAnsi="Symbol" w:hint="default"/>
      </w:rPr>
    </w:lvl>
    <w:lvl w:ilvl="1" w:tplc="D59C789A">
      <w:start w:val="1"/>
      <w:numFmt w:val="bullet"/>
      <w:lvlText w:val="o"/>
      <w:lvlJc w:val="left"/>
      <w:pPr>
        <w:ind w:left="1440" w:hanging="360"/>
      </w:pPr>
      <w:rPr>
        <w:rFonts w:ascii="Courier New" w:hAnsi="Courier New" w:hint="default"/>
      </w:rPr>
    </w:lvl>
    <w:lvl w:ilvl="2" w:tplc="22CEB18C">
      <w:start w:val="1"/>
      <w:numFmt w:val="bullet"/>
      <w:lvlText w:val=""/>
      <w:lvlJc w:val="left"/>
      <w:pPr>
        <w:ind w:left="2160" w:hanging="360"/>
      </w:pPr>
      <w:rPr>
        <w:rFonts w:ascii="Wingdings" w:hAnsi="Wingdings" w:hint="default"/>
      </w:rPr>
    </w:lvl>
    <w:lvl w:ilvl="3" w:tplc="BE568EDA">
      <w:start w:val="1"/>
      <w:numFmt w:val="bullet"/>
      <w:lvlText w:val=""/>
      <w:lvlJc w:val="left"/>
      <w:pPr>
        <w:ind w:left="2880" w:hanging="360"/>
      </w:pPr>
      <w:rPr>
        <w:rFonts w:ascii="Symbol" w:hAnsi="Symbol" w:hint="default"/>
      </w:rPr>
    </w:lvl>
    <w:lvl w:ilvl="4" w:tplc="CFBE4AFE">
      <w:start w:val="1"/>
      <w:numFmt w:val="bullet"/>
      <w:lvlText w:val="o"/>
      <w:lvlJc w:val="left"/>
      <w:pPr>
        <w:ind w:left="3600" w:hanging="360"/>
      </w:pPr>
      <w:rPr>
        <w:rFonts w:ascii="Courier New" w:hAnsi="Courier New" w:hint="default"/>
      </w:rPr>
    </w:lvl>
    <w:lvl w:ilvl="5" w:tplc="8918E298">
      <w:start w:val="1"/>
      <w:numFmt w:val="bullet"/>
      <w:lvlText w:val=""/>
      <w:lvlJc w:val="left"/>
      <w:pPr>
        <w:ind w:left="4320" w:hanging="360"/>
      </w:pPr>
      <w:rPr>
        <w:rFonts w:ascii="Wingdings" w:hAnsi="Wingdings" w:hint="default"/>
      </w:rPr>
    </w:lvl>
    <w:lvl w:ilvl="6" w:tplc="9F027D6C">
      <w:start w:val="1"/>
      <w:numFmt w:val="bullet"/>
      <w:lvlText w:val=""/>
      <w:lvlJc w:val="left"/>
      <w:pPr>
        <w:ind w:left="5040" w:hanging="360"/>
      </w:pPr>
      <w:rPr>
        <w:rFonts w:ascii="Symbol" w:hAnsi="Symbol" w:hint="default"/>
      </w:rPr>
    </w:lvl>
    <w:lvl w:ilvl="7" w:tplc="09DC7A04">
      <w:start w:val="1"/>
      <w:numFmt w:val="bullet"/>
      <w:lvlText w:val="o"/>
      <w:lvlJc w:val="left"/>
      <w:pPr>
        <w:ind w:left="5760" w:hanging="360"/>
      </w:pPr>
      <w:rPr>
        <w:rFonts w:ascii="Courier New" w:hAnsi="Courier New" w:hint="default"/>
      </w:rPr>
    </w:lvl>
    <w:lvl w:ilvl="8" w:tplc="58F6265E">
      <w:start w:val="1"/>
      <w:numFmt w:val="bullet"/>
      <w:lvlText w:val=""/>
      <w:lvlJc w:val="left"/>
      <w:pPr>
        <w:ind w:left="6480" w:hanging="360"/>
      </w:pPr>
      <w:rPr>
        <w:rFonts w:ascii="Wingdings" w:hAnsi="Wingdings" w:hint="default"/>
      </w:rPr>
    </w:lvl>
  </w:abstractNum>
  <w:abstractNum w:abstractNumId="1" w15:restartNumberingAfterBreak="0">
    <w:nsid w:val="02C4940D"/>
    <w:multiLevelType w:val="hybridMultilevel"/>
    <w:tmpl w:val="FFFFFFFF"/>
    <w:lvl w:ilvl="0" w:tplc="0AE8D460">
      <w:start w:val="1"/>
      <w:numFmt w:val="bullet"/>
      <w:lvlText w:val=""/>
      <w:lvlJc w:val="left"/>
      <w:pPr>
        <w:ind w:left="720" w:hanging="360"/>
      </w:pPr>
      <w:rPr>
        <w:rFonts w:ascii="Symbol" w:hAnsi="Symbol" w:hint="default"/>
      </w:rPr>
    </w:lvl>
    <w:lvl w:ilvl="1" w:tplc="E5CA3D96">
      <w:start w:val="1"/>
      <w:numFmt w:val="bullet"/>
      <w:lvlText w:val="o"/>
      <w:lvlJc w:val="left"/>
      <w:pPr>
        <w:ind w:left="1440" w:hanging="360"/>
      </w:pPr>
      <w:rPr>
        <w:rFonts w:ascii="Courier New" w:hAnsi="Courier New" w:hint="default"/>
      </w:rPr>
    </w:lvl>
    <w:lvl w:ilvl="2" w:tplc="F252B82E">
      <w:start w:val="1"/>
      <w:numFmt w:val="bullet"/>
      <w:lvlText w:val=""/>
      <w:lvlJc w:val="left"/>
      <w:pPr>
        <w:ind w:left="2160" w:hanging="360"/>
      </w:pPr>
      <w:rPr>
        <w:rFonts w:ascii="Wingdings" w:hAnsi="Wingdings" w:hint="default"/>
      </w:rPr>
    </w:lvl>
    <w:lvl w:ilvl="3" w:tplc="45649E14">
      <w:start w:val="1"/>
      <w:numFmt w:val="bullet"/>
      <w:lvlText w:val=""/>
      <w:lvlJc w:val="left"/>
      <w:pPr>
        <w:ind w:left="2880" w:hanging="360"/>
      </w:pPr>
      <w:rPr>
        <w:rFonts w:ascii="Symbol" w:hAnsi="Symbol" w:hint="default"/>
      </w:rPr>
    </w:lvl>
    <w:lvl w:ilvl="4" w:tplc="FF54F70C">
      <w:start w:val="1"/>
      <w:numFmt w:val="bullet"/>
      <w:lvlText w:val="o"/>
      <w:lvlJc w:val="left"/>
      <w:pPr>
        <w:ind w:left="3600" w:hanging="360"/>
      </w:pPr>
      <w:rPr>
        <w:rFonts w:ascii="Courier New" w:hAnsi="Courier New" w:hint="default"/>
      </w:rPr>
    </w:lvl>
    <w:lvl w:ilvl="5" w:tplc="405A129A">
      <w:start w:val="1"/>
      <w:numFmt w:val="bullet"/>
      <w:lvlText w:val=""/>
      <w:lvlJc w:val="left"/>
      <w:pPr>
        <w:ind w:left="4320" w:hanging="360"/>
      </w:pPr>
      <w:rPr>
        <w:rFonts w:ascii="Wingdings" w:hAnsi="Wingdings" w:hint="default"/>
      </w:rPr>
    </w:lvl>
    <w:lvl w:ilvl="6" w:tplc="FFEEFE34">
      <w:start w:val="1"/>
      <w:numFmt w:val="bullet"/>
      <w:lvlText w:val=""/>
      <w:lvlJc w:val="left"/>
      <w:pPr>
        <w:ind w:left="5040" w:hanging="360"/>
      </w:pPr>
      <w:rPr>
        <w:rFonts w:ascii="Symbol" w:hAnsi="Symbol" w:hint="default"/>
      </w:rPr>
    </w:lvl>
    <w:lvl w:ilvl="7" w:tplc="988E1D8C">
      <w:start w:val="1"/>
      <w:numFmt w:val="bullet"/>
      <w:lvlText w:val="o"/>
      <w:lvlJc w:val="left"/>
      <w:pPr>
        <w:ind w:left="5760" w:hanging="360"/>
      </w:pPr>
      <w:rPr>
        <w:rFonts w:ascii="Courier New" w:hAnsi="Courier New" w:hint="default"/>
      </w:rPr>
    </w:lvl>
    <w:lvl w:ilvl="8" w:tplc="EAB83522">
      <w:start w:val="1"/>
      <w:numFmt w:val="bullet"/>
      <w:lvlText w:val=""/>
      <w:lvlJc w:val="left"/>
      <w:pPr>
        <w:ind w:left="6480" w:hanging="360"/>
      </w:pPr>
      <w:rPr>
        <w:rFonts w:ascii="Wingdings" w:hAnsi="Wingdings" w:hint="default"/>
      </w:rPr>
    </w:lvl>
  </w:abstractNum>
  <w:abstractNum w:abstractNumId="2" w15:restartNumberingAfterBreak="0">
    <w:nsid w:val="05BB7C0D"/>
    <w:multiLevelType w:val="multilevel"/>
    <w:tmpl w:val="9FAE6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D49EB"/>
    <w:multiLevelType w:val="hybridMultilevel"/>
    <w:tmpl w:val="FFFFFFFF"/>
    <w:lvl w:ilvl="0" w:tplc="EE107B34">
      <w:start w:val="1"/>
      <w:numFmt w:val="bullet"/>
      <w:lvlText w:val="·"/>
      <w:lvlJc w:val="left"/>
      <w:pPr>
        <w:ind w:left="720" w:hanging="360"/>
      </w:pPr>
      <w:rPr>
        <w:rFonts w:ascii="Calibri, sans-serif" w:hAnsi="Calibri, sans-serif" w:hint="default"/>
      </w:rPr>
    </w:lvl>
    <w:lvl w:ilvl="1" w:tplc="F58CA998">
      <w:start w:val="1"/>
      <w:numFmt w:val="bullet"/>
      <w:lvlText w:val="o"/>
      <w:lvlJc w:val="left"/>
      <w:pPr>
        <w:ind w:left="1440" w:hanging="360"/>
      </w:pPr>
      <w:rPr>
        <w:rFonts w:ascii="Courier New" w:hAnsi="Courier New" w:hint="default"/>
      </w:rPr>
    </w:lvl>
    <w:lvl w:ilvl="2" w:tplc="DFC40B58">
      <w:start w:val="1"/>
      <w:numFmt w:val="bullet"/>
      <w:lvlText w:val=""/>
      <w:lvlJc w:val="left"/>
      <w:pPr>
        <w:ind w:left="2160" w:hanging="360"/>
      </w:pPr>
      <w:rPr>
        <w:rFonts w:ascii="Wingdings" w:hAnsi="Wingdings" w:hint="default"/>
      </w:rPr>
    </w:lvl>
    <w:lvl w:ilvl="3" w:tplc="9C2A6470">
      <w:start w:val="1"/>
      <w:numFmt w:val="bullet"/>
      <w:lvlText w:val=""/>
      <w:lvlJc w:val="left"/>
      <w:pPr>
        <w:ind w:left="2880" w:hanging="360"/>
      </w:pPr>
      <w:rPr>
        <w:rFonts w:ascii="Symbol" w:hAnsi="Symbol" w:hint="default"/>
      </w:rPr>
    </w:lvl>
    <w:lvl w:ilvl="4" w:tplc="AB60295E">
      <w:start w:val="1"/>
      <w:numFmt w:val="bullet"/>
      <w:lvlText w:val="o"/>
      <w:lvlJc w:val="left"/>
      <w:pPr>
        <w:ind w:left="3600" w:hanging="360"/>
      </w:pPr>
      <w:rPr>
        <w:rFonts w:ascii="Courier New" w:hAnsi="Courier New" w:hint="default"/>
      </w:rPr>
    </w:lvl>
    <w:lvl w:ilvl="5" w:tplc="4484FB92">
      <w:start w:val="1"/>
      <w:numFmt w:val="bullet"/>
      <w:lvlText w:val=""/>
      <w:lvlJc w:val="left"/>
      <w:pPr>
        <w:ind w:left="4320" w:hanging="360"/>
      </w:pPr>
      <w:rPr>
        <w:rFonts w:ascii="Wingdings" w:hAnsi="Wingdings" w:hint="default"/>
      </w:rPr>
    </w:lvl>
    <w:lvl w:ilvl="6" w:tplc="C510B472">
      <w:start w:val="1"/>
      <w:numFmt w:val="bullet"/>
      <w:lvlText w:val=""/>
      <w:lvlJc w:val="left"/>
      <w:pPr>
        <w:ind w:left="5040" w:hanging="360"/>
      </w:pPr>
      <w:rPr>
        <w:rFonts w:ascii="Symbol" w:hAnsi="Symbol" w:hint="default"/>
      </w:rPr>
    </w:lvl>
    <w:lvl w:ilvl="7" w:tplc="EC749B38">
      <w:start w:val="1"/>
      <w:numFmt w:val="bullet"/>
      <w:lvlText w:val="o"/>
      <w:lvlJc w:val="left"/>
      <w:pPr>
        <w:ind w:left="5760" w:hanging="360"/>
      </w:pPr>
      <w:rPr>
        <w:rFonts w:ascii="Courier New" w:hAnsi="Courier New" w:hint="default"/>
      </w:rPr>
    </w:lvl>
    <w:lvl w:ilvl="8" w:tplc="3FF4F66C">
      <w:start w:val="1"/>
      <w:numFmt w:val="bullet"/>
      <w:lvlText w:val=""/>
      <w:lvlJc w:val="left"/>
      <w:pPr>
        <w:ind w:left="6480" w:hanging="360"/>
      </w:pPr>
      <w:rPr>
        <w:rFonts w:ascii="Wingdings" w:hAnsi="Wingdings" w:hint="default"/>
      </w:rPr>
    </w:lvl>
  </w:abstractNum>
  <w:abstractNum w:abstractNumId="4" w15:restartNumberingAfterBreak="0">
    <w:nsid w:val="097D0380"/>
    <w:multiLevelType w:val="hybridMultilevel"/>
    <w:tmpl w:val="FFFFFFFF"/>
    <w:lvl w:ilvl="0" w:tplc="5EFA2914">
      <w:start w:val="1"/>
      <w:numFmt w:val="bullet"/>
      <w:lvlText w:val=""/>
      <w:lvlJc w:val="left"/>
      <w:pPr>
        <w:ind w:left="720" w:hanging="360"/>
      </w:pPr>
      <w:rPr>
        <w:rFonts w:ascii="Symbol" w:hAnsi="Symbol" w:hint="default"/>
      </w:rPr>
    </w:lvl>
    <w:lvl w:ilvl="1" w:tplc="657A90FC">
      <w:start w:val="1"/>
      <w:numFmt w:val="bullet"/>
      <w:lvlText w:val="o"/>
      <w:lvlJc w:val="left"/>
      <w:pPr>
        <w:ind w:left="1440" w:hanging="360"/>
      </w:pPr>
      <w:rPr>
        <w:rFonts w:ascii="Courier New" w:hAnsi="Courier New" w:hint="default"/>
      </w:rPr>
    </w:lvl>
    <w:lvl w:ilvl="2" w:tplc="B8D09A24">
      <w:start w:val="1"/>
      <w:numFmt w:val="bullet"/>
      <w:lvlText w:val=""/>
      <w:lvlJc w:val="left"/>
      <w:pPr>
        <w:ind w:left="2160" w:hanging="360"/>
      </w:pPr>
      <w:rPr>
        <w:rFonts w:ascii="Wingdings" w:hAnsi="Wingdings" w:hint="default"/>
      </w:rPr>
    </w:lvl>
    <w:lvl w:ilvl="3" w:tplc="C71C0914">
      <w:start w:val="1"/>
      <w:numFmt w:val="bullet"/>
      <w:lvlText w:val=""/>
      <w:lvlJc w:val="left"/>
      <w:pPr>
        <w:ind w:left="2880" w:hanging="360"/>
      </w:pPr>
      <w:rPr>
        <w:rFonts w:ascii="Symbol" w:hAnsi="Symbol" w:hint="default"/>
      </w:rPr>
    </w:lvl>
    <w:lvl w:ilvl="4" w:tplc="AE543944">
      <w:start w:val="1"/>
      <w:numFmt w:val="bullet"/>
      <w:lvlText w:val="o"/>
      <w:lvlJc w:val="left"/>
      <w:pPr>
        <w:ind w:left="3600" w:hanging="360"/>
      </w:pPr>
      <w:rPr>
        <w:rFonts w:ascii="Courier New" w:hAnsi="Courier New" w:hint="default"/>
      </w:rPr>
    </w:lvl>
    <w:lvl w:ilvl="5" w:tplc="584E07D6">
      <w:start w:val="1"/>
      <w:numFmt w:val="bullet"/>
      <w:lvlText w:val=""/>
      <w:lvlJc w:val="left"/>
      <w:pPr>
        <w:ind w:left="4320" w:hanging="360"/>
      </w:pPr>
      <w:rPr>
        <w:rFonts w:ascii="Wingdings" w:hAnsi="Wingdings" w:hint="default"/>
      </w:rPr>
    </w:lvl>
    <w:lvl w:ilvl="6" w:tplc="EBAE122C">
      <w:start w:val="1"/>
      <w:numFmt w:val="bullet"/>
      <w:lvlText w:val=""/>
      <w:lvlJc w:val="left"/>
      <w:pPr>
        <w:ind w:left="5040" w:hanging="360"/>
      </w:pPr>
      <w:rPr>
        <w:rFonts w:ascii="Symbol" w:hAnsi="Symbol" w:hint="default"/>
      </w:rPr>
    </w:lvl>
    <w:lvl w:ilvl="7" w:tplc="94DE95C8">
      <w:start w:val="1"/>
      <w:numFmt w:val="bullet"/>
      <w:lvlText w:val="o"/>
      <w:lvlJc w:val="left"/>
      <w:pPr>
        <w:ind w:left="5760" w:hanging="360"/>
      </w:pPr>
      <w:rPr>
        <w:rFonts w:ascii="Courier New" w:hAnsi="Courier New" w:hint="default"/>
      </w:rPr>
    </w:lvl>
    <w:lvl w:ilvl="8" w:tplc="BC08122A">
      <w:start w:val="1"/>
      <w:numFmt w:val="bullet"/>
      <w:lvlText w:val=""/>
      <w:lvlJc w:val="left"/>
      <w:pPr>
        <w:ind w:left="6480" w:hanging="360"/>
      </w:pPr>
      <w:rPr>
        <w:rFonts w:ascii="Wingdings" w:hAnsi="Wingdings" w:hint="default"/>
      </w:rPr>
    </w:lvl>
  </w:abstractNum>
  <w:abstractNum w:abstractNumId="5" w15:restartNumberingAfterBreak="0">
    <w:nsid w:val="0F192BF9"/>
    <w:multiLevelType w:val="hybridMultilevel"/>
    <w:tmpl w:val="FFFFFFFF"/>
    <w:lvl w:ilvl="0" w:tplc="EF6CA0AE">
      <w:start w:val="1"/>
      <w:numFmt w:val="bullet"/>
      <w:lvlText w:val=""/>
      <w:lvlJc w:val="left"/>
      <w:pPr>
        <w:ind w:left="720" w:hanging="360"/>
      </w:pPr>
      <w:rPr>
        <w:rFonts w:ascii="Symbol" w:hAnsi="Symbol" w:hint="default"/>
      </w:rPr>
    </w:lvl>
    <w:lvl w:ilvl="1" w:tplc="AADE7F82">
      <w:start w:val="1"/>
      <w:numFmt w:val="bullet"/>
      <w:lvlText w:val="o"/>
      <w:lvlJc w:val="left"/>
      <w:pPr>
        <w:ind w:left="1440" w:hanging="360"/>
      </w:pPr>
      <w:rPr>
        <w:rFonts w:ascii="Courier New" w:hAnsi="Courier New" w:hint="default"/>
      </w:rPr>
    </w:lvl>
    <w:lvl w:ilvl="2" w:tplc="36DCEA0A">
      <w:start w:val="1"/>
      <w:numFmt w:val="bullet"/>
      <w:lvlText w:val=""/>
      <w:lvlJc w:val="left"/>
      <w:pPr>
        <w:ind w:left="2160" w:hanging="360"/>
      </w:pPr>
      <w:rPr>
        <w:rFonts w:ascii="Wingdings" w:hAnsi="Wingdings" w:hint="default"/>
      </w:rPr>
    </w:lvl>
    <w:lvl w:ilvl="3" w:tplc="25CC4B76">
      <w:start w:val="1"/>
      <w:numFmt w:val="bullet"/>
      <w:lvlText w:val=""/>
      <w:lvlJc w:val="left"/>
      <w:pPr>
        <w:ind w:left="2880" w:hanging="360"/>
      </w:pPr>
      <w:rPr>
        <w:rFonts w:ascii="Symbol" w:hAnsi="Symbol" w:hint="default"/>
      </w:rPr>
    </w:lvl>
    <w:lvl w:ilvl="4" w:tplc="6784C2AC">
      <w:start w:val="1"/>
      <w:numFmt w:val="bullet"/>
      <w:lvlText w:val="o"/>
      <w:lvlJc w:val="left"/>
      <w:pPr>
        <w:ind w:left="3600" w:hanging="360"/>
      </w:pPr>
      <w:rPr>
        <w:rFonts w:ascii="Courier New" w:hAnsi="Courier New" w:hint="default"/>
      </w:rPr>
    </w:lvl>
    <w:lvl w:ilvl="5" w:tplc="D7BA9346">
      <w:start w:val="1"/>
      <w:numFmt w:val="bullet"/>
      <w:lvlText w:val=""/>
      <w:lvlJc w:val="left"/>
      <w:pPr>
        <w:ind w:left="4320" w:hanging="360"/>
      </w:pPr>
      <w:rPr>
        <w:rFonts w:ascii="Wingdings" w:hAnsi="Wingdings" w:hint="default"/>
      </w:rPr>
    </w:lvl>
    <w:lvl w:ilvl="6" w:tplc="539AC102">
      <w:start w:val="1"/>
      <w:numFmt w:val="bullet"/>
      <w:lvlText w:val=""/>
      <w:lvlJc w:val="left"/>
      <w:pPr>
        <w:ind w:left="5040" w:hanging="360"/>
      </w:pPr>
      <w:rPr>
        <w:rFonts w:ascii="Symbol" w:hAnsi="Symbol" w:hint="default"/>
      </w:rPr>
    </w:lvl>
    <w:lvl w:ilvl="7" w:tplc="0CA2EA74">
      <w:start w:val="1"/>
      <w:numFmt w:val="bullet"/>
      <w:lvlText w:val="o"/>
      <w:lvlJc w:val="left"/>
      <w:pPr>
        <w:ind w:left="5760" w:hanging="360"/>
      </w:pPr>
      <w:rPr>
        <w:rFonts w:ascii="Courier New" w:hAnsi="Courier New" w:hint="default"/>
      </w:rPr>
    </w:lvl>
    <w:lvl w:ilvl="8" w:tplc="E970EEB8">
      <w:start w:val="1"/>
      <w:numFmt w:val="bullet"/>
      <w:lvlText w:val=""/>
      <w:lvlJc w:val="left"/>
      <w:pPr>
        <w:ind w:left="6480" w:hanging="360"/>
      </w:pPr>
      <w:rPr>
        <w:rFonts w:ascii="Wingdings" w:hAnsi="Wingdings" w:hint="default"/>
      </w:rPr>
    </w:lvl>
  </w:abstractNum>
  <w:abstractNum w:abstractNumId="6" w15:restartNumberingAfterBreak="0">
    <w:nsid w:val="1AD85BD6"/>
    <w:multiLevelType w:val="hybridMultilevel"/>
    <w:tmpl w:val="FFFFFFFF"/>
    <w:lvl w:ilvl="0" w:tplc="3514880A">
      <w:start w:val="1"/>
      <w:numFmt w:val="bullet"/>
      <w:lvlText w:val=""/>
      <w:lvlJc w:val="left"/>
      <w:pPr>
        <w:ind w:left="720" w:hanging="360"/>
      </w:pPr>
      <w:rPr>
        <w:rFonts w:ascii="Symbol" w:hAnsi="Symbol" w:hint="default"/>
      </w:rPr>
    </w:lvl>
    <w:lvl w:ilvl="1" w:tplc="8FB0DD44">
      <w:start w:val="1"/>
      <w:numFmt w:val="bullet"/>
      <w:lvlText w:val="o"/>
      <w:lvlJc w:val="left"/>
      <w:pPr>
        <w:ind w:left="1440" w:hanging="360"/>
      </w:pPr>
      <w:rPr>
        <w:rFonts w:ascii="Courier New" w:hAnsi="Courier New" w:hint="default"/>
      </w:rPr>
    </w:lvl>
    <w:lvl w:ilvl="2" w:tplc="0DD0444A">
      <w:start w:val="1"/>
      <w:numFmt w:val="bullet"/>
      <w:lvlText w:val=""/>
      <w:lvlJc w:val="left"/>
      <w:pPr>
        <w:ind w:left="2160" w:hanging="360"/>
      </w:pPr>
      <w:rPr>
        <w:rFonts w:ascii="Wingdings" w:hAnsi="Wingdings" w:hint="default"/>
      </w:rPr>
    </w:lvl>
    <w:lvl w:ilvl="3" w:tplc="1FB48AF2">
      <w:start w:val="1"/>
      <w:numFmt w:val="bullet"/>
      <w:lvlText w:val=""/>
      <w:lvlJc w:val="left"/>
      <w:pPr>
        <w:ind w:left="2880" w:hanging="360"/>
      </w:pPr>
      <w:rPr>
        <w:rFonts w:ascii="Symbol" w:hAnsi="Symbol" w:hint="default"/>
      </w:rPr>
    </w:lvl>
    <w:lvl w:ilvl="4" w:tplc="C80E6AC8">
      <w:start w:val="1"/>
      <w:numFmt w:val="bullet"/>
      <w:lvlText w:val="o"/>
      <w:lvlJc w:val="left"/>
      <w:pPr>
        <w:ind w:left="3600" w:hanging="360"/>
      </w:pPr>
      <w:rPr>
        <w:rFonts w:ascii="Courier New" w:hAnsi="Courier New" w:hint="default"/>
      </w:rPr>
    </w:lvl>
    <w:lvl w:ilvl="5" w:tplc="D36C5988">
      <w:start w:val="1"/>
      <w:numFmt w:val="bullet"/>
      <w:lvlText w:val=""/>
      <w:lvlJc w:val="left"/>
      <w:pPr>
        <w:ind w:left="4320" w:hanging="360"/>
      </w:pPr>
      <w:rPr>
        <w:rFonts w:ascii="Wingdings" w:hAnsi="Wingdings" w:hint="default"/>
      </w:rPr>
    </w:lvl>
    <w:lvl w:ilvl="6" w:tplc="4D2CF74E">
      <w:start w:val="1"/>
      <w:numFmt w:val="bullet"/>
      <w:lvlText w:val=""/>
      <w:lvlJc w:val="left"/>
      <w:pPr>
        <w:ind w:left="5040" w:hanging="360"/>
      </w:pPr>
      <w:rPr>
        <w:rFonts w:ascii="Symbol" w:hAnsi="Symbol" w:hint="default"/>
      </w:rPr>
    </w:lvl>
    <w:lvl w:ilvl="7" w:tplc="FAA89600">
      <w:start w:val="1"/>
      <w:numFmt w:val="bullet"/>
      <w:lvlText w:val="o"/>
      <w:lvlJc w:val="left"/>
      <w:pPr>
        <w:ind w:left="5760" w:hanging="360"/>
      </w:pPr>
      <w:rPr>
        <w:rFonts w:ascii="Courier New" w:hAnsi="Courier New" w:hint="default"/>
      </w:rPr>
    </w:lvl>
    <w:lvl w:ilvl="8" w:tplc="E93EAFD8">
      <w:start w:val="1"/>
      <w:numFmt w:val="bullet"/>
      <w:lvlText w:val=""/>
      <w:lvlJc w:val="left"/>
      <w:pPr>
        <w:ind w:left="6480" w:hanging="360"/>
      </w:pPr>
      <w:rPr>
        <w:rFonts w:ascii="Wingdings" w:hAnsi="Wingdings" w:hint="default"/>
      </w:rPr>
    </w:lvl>
  </w:abstractNum>
  <w:abstractNum w:abstractNumId="7" w15:restartNumberingAfterBreak="0">
    <w:nsid w:val="1B826627"/>
    <w:multiLevelType w:val="hybridMultilevel"/>
    <w:tmpl w:val="FFFFFFFF"/>
    <w:lvl w:ilvl="0" w:tplc="918A05F6">
      <w:start w:val="1"/>
      <w:numFmt w:val="bullet"/>
      <w:lvlText w:val=""/>
      <w:lvlJc w:val="left"/>
      <w:pPr>
        <w:ind w:left="720" w:hanging="360"/>
      </w:pPr>
      <w:rPr>
        <w:rFonts w:ascii="Symbol" w:hAnsi="Symbol" w:hint="default"/>
      </w:rPr>
    </w:lvl>
    <w:lvl w:ilvl="1" w:tplc="29CA7064">
      <w:start w:val="1"/>
      <w:numFmt w:val="bullet"/>
      <w:lvlText w:val="o"/>
      <w:lvlJc w:val="left"/>
      <w:pPr>
        <w:ind w:left="1440" w:hanging="360"/>
      </w:pPr>
      <w:rPr>
        <w:rFonts w:ascii="Courier New" w:hAnsi="Courier New" w:hint="default"/>
      </w:rPr>
    </w:lvl>
    <w:lvl w:ilvl="2" w:tplc="4BCC63B8">
      <w:start w:val="1"/>
      <w:numFmt w:val="bullet"/>
      <w:lvlText w:val=""/>
      <w:lvlJc w:val="left"/>
      <w:pPr>
        <w:ind w:left="2160" w:hanging="360"/>
      </w:pPr>
      <w:rPr>
        <w:rFonts w:ascii="Wingdings" w:hAnsi="Wingdings" w:hint="default"/>
      </w:rPr>
    </w:lvl>
    <w:lvl w:ilvl="3" w:tplc="225EE0CC">
      <w:start w:val="1"/>
      <w:numFmt w:val="bullet"/>
      <w:lvlText w:val=""/>
      <w:lvlJc w:val="left"/>
      <w:pPr>
        <w:ind w:left="2880" w:hanging="360"/>
      </w:pPr>
      <w:rPr>
        <w:rFonts w:ascii="Symbol" w:hAnsi="Symbol" w:hint="default"/>
      </w:rPr>
    </w:lvl>
    <w:lvl w:ilvl="4" w:tplc="84CA9964">
      <w:start w:val="1"/>
      <w:numFmt w:val="bullet"/>
      <w:lvlText w:val="o"/>
      <w:lvlJc w:val="left"/>
      <w:pPr>
        <w:ind w:left="3600" w:hanging="360"/>
      </w:pPr>
      <w:rPr>
        <w:rFonts w:ascii="Courier New" w:hAnsi="Courier New" w:hint="default"/>
      </w:rPr>
    </w:lvl>
    <w:lvl w:ilvl="5" w:tplc="30FC7CC8">
      <w:start w:val="1"/>
      <w:numFmt w:val="bullet"/>
      <w:lvlText w:val=""/>
      <w:lvlJc w:val="left"/>
      <w:pPr>
        <w:ind w:left="4320" w:hanging="360"/>
      </w:pPr>
      <w:rPr>
        <w:rFonts w:ascii="Wingdings" w:hAnsi="Wingdings" w:hint="default"/>
      </w:rPr>
    </w:lvl>
    <w:lvl w:ilvl="6" w:tplc="91CEF708">
      <w:start w:val="1"/>
      <w:numFmt w:val="bullet"/>
      <w:lvlText w:val=""/>
      <w:lvlJc w:val="left"/>
      <w:pPr>
        <w:ind w:left="5040" w:hanging="360"/>
      </w:pPr>
      <w:rPr>
        <w:rFonts w:ascii="Symbol" w:hAnsi="Symbol" w:hint="default"/>
      </w:rPr>
    </w:lvl>
    <w:lvl w:ilvl="7" w:tplc="71007DEA">
      <w:start w:val="1"/>
      <w:numFmt w:val="bullet"/>
      <w:lvlText w:val="o"/>
      <w:lvlJc w:val="left"/>
      <w:pPr>
        <w:ind w:left="5760" w:hanging="360"/>
      </w:pPr>
      <w:rPr>
        <w:rFonts w:ascii="Courier New" w:hAnsi="Courier New" w:hint="default"/>
      </w:rPr>
    </w:lvl>
    <w:lvl w:ilvl="8" w:tplc="FB5C8500">
      <w:start w:val="1"/>
      <w:numFmt w:val="bullet"/>
      <w:lvlText w:val=""/>
      <w:lvlJc w:val="left"/>
      <w:pPr>
        <w:ind w:left="6480" w:hanging="360"/>
      </w:pPr>
      <w:rPr>
        <w:rFonts w:ascii="Wingdings" w:hAnsi="Wingdings" w:hint="default"/>
      </w:rPr>
    </w:lvl>
  </w:abstractNum>
  <w:abstractNum w:abstractNumId="8" w15:restartNumberingAfterBreak="0">
    <w:nsid w:val="1DF50308"/>
    <w:multiLevelType w:val="hybridMultilevel"/>
    <w:tmpl w:val="FFFFFFFF"/>
    <w:lvl w:ilvl="0" w:tplc="64B4BE84">
      <w:start w:val="1"/>
      <w:numFmt w:val="bullet"/>
      <w:lvlText w:val=""/>
      <w:lvlJc w:val="left"/>
      <w:pPr>
        <w:ind w:left="720" w:hanging="360"/>
      </w:pPr>
      <w:rPr>
        <w:rFonts w:ascii="Symbol" w:hAnsi="Symbol" w:hint="default"/>
      </w:rPr>
    </w:lvl>
    <w:lvl w:ilvl="1" w:tplc="620267FC">
      <w:start w:val="1"/>
      <w:numFmt w:val="bullet"/>
      <w:lvlText w:val="o"/>
      <w:lvlJc w:val="left"/>
      <w:pPr>
        <w:ind w:left="1440" w:hanging="360"/>
      </w:pPr>
      <w:rPr>
        <w:rFonts w:ascii="Courier New" w:hAnsi="Courier New" w:hint="default"/>
      </w:rPr>
    </w:lvl>
    <w:lvl w:ilvl="2" w:tplc="92DEB48E">
      <w:start w:val="1"/>
      <w:numFmt w:val="bullet"/>
      <w:lvlText w:val=""/>
      <w:lvlJc w:val="left"/>
      <w:pPr>
        <w:ind w:left="2160" w:hanging="360"/>
      </w:pPr>
      <w:rPr>
        <w:rFonts w:ascii="Wingdings" w:hAnsi="Wingdings" w:hint="default"/>
      </w:rPr>
    </w:lvl>
    <w:lvl w:ilvl="3" w:tplc="1EFE6568">
      <w:start w:val="1"/>
      <w:numFmt w:val="bullet"/>
      <w:lvlText w:val=""/>
      <w:lvlJc w:val="left"/>
      <w:pPr>
        <w:ind w:left="2880" w:hanging="360"/>
      </w:pPr>
      <w:rPr>
        <w:rFonts w:ascii="Symbol" w:hAnsi="Symbol" w:hint="default"/>
      </w:rPr>
    </w:lvl>
    <w:lvl w:ilvl="4" w:tplc="9EFEE26E">
      <w:start w:val="1"/>
      <w:numFmt w:val="bullet"/>
      <w:lvlText w:val="o"/>
      <w:lvlJc w:val="left"/>
      <w:pPr>
        <w:ind w:left="3600" w:hanging="360"/>
      </w:pPr>
      <w:rPr>
        <w:rFonts w:ascii="Courier New" w:hAnsi="Courier New" w:hint="default"/>
      </w:rPr>
    </w:lvl>
    <w:lvl w:ilvl="5" w:tplc="3B6606D6">
      <w:start w:val="1"/>
      <w:numFmt w:val="bullet"/>
      <w:lvlText w:val=""/>
      <w:lvlJc w:val="left"/>
      <w:pPr>
        <w:ind w:left="4320" w:hanging="360"/>
      </w:pPr>
      <w:rPr>
        <w:rFonts w:ascii="Wingdings" w:hAnsi="Wingdings" w:hint="default"/>
      </w:rPr>
    </w:lvl>
    <w:lvl w:ilvl="6" w:tplc="946C9CD8">
      <w:start w:val="1"/>
      <w:numFmt w:val="bullet"/>
      <w:lvlText w:val=""/>
      <w:lvlJc w:val="left"/>
      <w:pPr>
        <w:ind w:left="5040" w:hanging="360"/>
      </w:pPr>
      <w:rPr>
        <w:rFonts w:ascii="Symbol" w:hAnsi="Symbol" w:hint="default"/>
      </w:rPr>
    </w:lvl>
    <w:lvl w:ilvl="7" w:tplc="947A731A">
      <w:start w:val="1"/>
      <w:numFmt w:val="bullet"/>
      <w:lvlText w:val="o"/>
      <w:lvlJc w:val="left"/>
      <w:pPr>
        <w:ind w:left="5760" w:hanging="360"/>
      </w:pPr>
      <w:rPr>
        <w:rFonts w:ascii="Courier New" w:hAnsi="Courier New" w:hint="default"/>
      </w:rPr>
    </w:lvl>
    <w:lvl w:ilvl="8" w:tplc="187C943A">
      <w:start w:val="1"/>
      <w:numFmt w:val="bullet"/>
      <w:lvlText w:val=""/>
      <w:lvlJc w:val="left"/>
      <w:pPr>
        <w:ind w:left="6480" w:hanging="360"/>
      </w:pPr>
      <w:rPr>
        <w:rFonts w:ascii="Wingdings" w:hAnsi="Wingdings" w:hint="default"/>
      </w:rPr>
    </w:lvl>
  </w:abstractNum>
  <w:abstractNum w:abstractNumId="9" w15:restartNumberingAfterBreak="0">
    <w:nsid w:val="213161D4"/>
    <w:multiLevelType w:val="hybridMultilevel"/>
    <w:tmpl w:val="FFFFFFFF"/>
    <w:lvl w:ilvl="0" w:tplc="B6988254">
      <w:start w:val="1"/>
      <w:numFmt w:val="bullet"/>
      <w:lvlText w:val="·"/>
      <w:lvlJc w:val="left"/>
      <w:pPr>
        <w:ind w:left="720" w:hanging="360"/>
      </w:pPr>
      <w:rPr>
        <w:rFonts w:ascii="Calibri, sans-serif" w:hAnsi="Calibri, sans-serif" w:hint="default"/>
      </w:rPr>
    </w:lvl>
    <w:lvl w:ilvl="1" w:tplc="62BC1C6A">
      <w:start w:val="1"/>
      <w:numFmt w:val="bullet"/>
      <w:lvlText w:val="o"/>
      <w:lvlJc w:val="left"/>
      <w:pPr>
        <w:ind w:left="1440" w:hanging="360"/>
      </w:pPr>
      <w:rPr>
        <w:rFonts w:ascii="Courier New" w:hAnsi="Courier New" w:hint="default"/>
      </w:rPr>
    </w:lvl>
    <w:lvl w:ilvl="2" w:tplc="8C18E46C">
      <w:start w:val="1"/>
      <w:numFmt w:val="bullet"/>
      <w:lvlText w:val=""/>
      <w:lvlJc w:val="left"/>
      <w:pPr>
        <w:ind w:left="2160" w:hanging="360"/>
      </w:pPr>
      <w:rPr>
        <w:rFonts w:ascii="Wingdings" w:hAnsi="Wingdings" w:hint="default"/>
      </w:rPr>
    </w:lvl>
    <w:lvl w:ilvl="3" w:tplc="A9547AE2">
      <w:start w:val="1"/>
      <w:numFmt w:val="bullet"/>
      <w:lvlText w:val=""/>
      <w:lvlJc w:val="left"/>
      <w:pPr>
        <w:ind w:left="2880" w:hanging="360"/>
      </w:pPr>
      <w:rPr>
        <w:rFonts w:ascii="Symbol" w:hAnsi="Symbol" w:hint="default"/>
      </w:rPr>
    </w:lvl>
    <w:lvl w:ilvl="4" w:tplc="9216FE84">
      <w:start w:val="1"/>
      <w:numFmt w:val="bullet"/>
      <w:lvlText w:val="o"/>
      <w:lvlJc w:val="left"/>
      <w:pPr>
        <w:ind w:left="3600" w:hanging="360"/>
      </w:pPr>
      <w:rPr>
        <w:rFonts w:ascii="Courier New" w:hAnsi="Courier New" w:hint="default"/>
      </w:rPr>
    </w:lvl>
    <w:lvl w:ilvl="5" w:tplc="90A0CA18">
      <w:start w:val="1"/>
      <w:numFmt w:val="bullet"/>
      <w:lvlText w:val=""/>
      <w:lvlJc w:val="left"/>
      <w:pPr>
        <w:ind w:left="4320" w:hanging="360"/>
      </w:pPr>
      <w:rPr>
        <w:rFonts w:ascii="Wingdings" w:hAnsi="Wingdings" w:hint="default"/>
      </w:rPr>
    </w:lvl>
    <w:lvl w:ilvl="6" w:tplc="84F2B5B6">
      <w:start w:val="1"/>
      <w:numFmt w:val="bullet"/>
      <w:lvlText w:val=""/>
      <w:lvlJc w:val="left"/>
      <w:pPr>
        <w:ind w:left="5040" w:hanging="360"/>
      </w:pPr>
      <w:rPr>
        <w:rFonts w:ascii="Symbol" w:hAnsi="Symbol" w:hint="default"/>
      </w:rPr>
    </w:lvl>
    <w:lvl w:ilvl="7" w:tplc="B8869FD2">
      <w:start w:val="1"/>
      <w:numFmt w:val="bullet"/>
      <w:lvlText w:val="o"/>
      <w:lvlJc w:val="left"/>
      <w:pPr>
        <w:ind w:left="5760" w:hanging="360"/>
      </w:pPr>
      <w:rPr>
        <w:rFonts w:ascii="Courier New" w:hAnsi="Courier New" w:hint="default"/>
      </w:rPr>
    </w:lvl>
    <w:lvl w:ilvl="8" w:tplc="D46CA902">
      <w:start w:val="1"/>
      <w:numFmt w:val="bullet"/>
      <w:lvlText w:val=""/>
      <w:lvlJc w:val="left"/>
      <w:pPr>
        <w:ind w:left="6480" w:hanging="360"/>
      </w:pPr>
      <w:rPr>
        <w:rFonts w:ascii="Wingdings" w:hAnsi="Wingdings" w:hint="default"/>
      </w:rPr>
    </w:lvl>
  </w:abstractNum>
  <w:abstractNum w:abstractNumId="10" w15:restartNumberingAfterBreak="0">
    <w:nsid w:val="2182332C"/>
    <w:multiLevelType w:val="hybridMultilevel"/>
    <w:tmpl w:val="FFFFFFFF"/>
    <w:lvl w:ilvl="0" w:tplc="462C8564">
      <w:start w:val="1"/>
      <w:numFmt w:val="bullet"/>
      <w:lvlText w:val=""/>
      <w:lvlJc w:val="left"/>
      <w:pPr>
        <w:ind w:left="720" w:hanging="360"/>
      </w:pPr>
      <w:rPr>
        <w:rFonts w:ascii="Symbol" w:hAnsi="Symbol" w:hint="default"/>
      </w:rPr>
    </w:lvl>
    <w:lvl w:ilvl="1" w:tplc="F6E8C1F2">
      <w:start w:val="1"/>
      <w:numFmt w:val="bullet"/>
      <w:lvlText w:val="o"/>
      <w:lvlJc w:val="left"/>
      <w:pPr>
        <w:ind w:left="1440" w:hanging="360"/>
      </w:pPr>
      <w:rPr>
        <w:rFonts w:ascii="Courier New" w:hAnsi="Courier New" w:hint="default"/>
      </w:rPr>
    </w:lvl>
    <w:lvl w:ilvl="2" w:tplc="D47C5218">
      <w:start w:val="1"/>
      <w:numFmt w:val="bullet"/>
      <w:lvlText w:val=""/>
      <w:lvlJc w:val="left"/>
      <w:pPr>
        <w:ind w:left="2160" w:hanging="360"/>
      </w:pPr>
      <w:rPr>
        <w:rFonts w:ascii="Wingdings" w:hAnsi="Wingdings" w:hint="default"/>
      </w:rPr>
    </w:lvl>
    <w:lvl w:ilvl="3" w:tplc="C1F08FBE">
      <w:start w:val="1"/>
      <w:numFmt w:val="bullet"/>
      <w:lvlText w:val=""/>
      <w:lvlJc w:val="left"/>
      <w:pPr>
        <w:ind w:left="2880" w:hanging="360"/>
      </w:pPr>
      <w:rPr>
        <w:rFonts w:ascii="Symbol" w:hAnsi="Symbol" w:hint="default"/>
      </w:rPr>
    </w:lvl>
    <w:lvl w:ilvl="4" w:tplc="E62CC450">
      <w:start w:val="1"/>
      <w:numFmt w:val="bullet"/>
      <w:lvlText w:val="o"/>
      <w:lvlJc w:val="left"/>
      <w:pPr>
        <w:ind w:left="3600" w:hanging="360"/>
      </w:pPr>
      <w:rPr>
        <w:rFonts w:ascii="Courier New" w:hAnsi="Courier New" w:hint="default"/>
      </w:rPr>
    </w:lvl>
    <w:lvl w:ilvl="5" w:tplc="CEA631FC">
      <w:start w:val="1"/>
      <w:numFmt w:val="bullet"/>
      <w:lvlText w:val=""/>
      <w:lvlJc w:val="left"/>
      <w:pPr>
        <w:ind w:left="4320" w:hanging="360"/>
      </w:pPr>
      <w:rPr>
        <w:rFonts w:ascii="Wingdings" w:hAnsi="Wingdings" w:hint="default"/>
      </w:rPr>
    </w:lvl>
    <w:lvl w:ilvl="6" w:tplc="EE0CF60E">
      <w:start w:val="1"/>
      <w:numFmt w:val="bullet"/>
      <w:lvlText w:val=""/>
      <w:lvlJc w:val="left"/>
      <w:pPr>
        <w:ind w:left="5040" w:hanging="360"/>
      </w:pPr>
      <w:rPr>
        <w:rFonts w:ascii="Symbol" w:hAnsi="Symbol" w:hint="default"/>
      </w:rPr>
    </w:lvl>
    <w:lvl w:ilvl="7" w:tplc="143A56D6">
      <w:start w:val="1"/>
      <w:numFmt w:val="bullet"/>
      <w:lvlText w:val="o"/>
      <w:lvlJc w:val="left"/>
      <w:pPr>
        <w:ind w:left="5760" w:hanging="360"/>
      </w:pPr>
      <w:rPr>
        <w:rFonts w:ascii="Courier New" w:hAnsi="Courier New" w:hint="default"/>
      </w:rPr>
    </w:lvl>
    <w:lvl w:ilvl="8" w:tplc="D0EA3D9E">
      <w:start w:val="1"/>
      <w:numFmt w:val="bullet"/>
      <w:lvlText w:val=""/>
      <w:lvlJc w:val="left"/>
      <w:pPr>
        <w:ind w:left="6480" w:hanging="360"/>
      </w:pPr>
      <w:rPr>
        <w:rFonts w:ascii="Wingdings" w:hAnsi="Wingdings" w:hint="default"/>
      </w:rPr>
    </w:lvl>
  </w:abstractNum>
  <w:abstractNum w:abstractNumId="11" w15:restartNumberingAfterBreak="0">
    <w:nsid w:val="2183EB36"/>
    <w:multiLevelType w:val="hybridMultilevel"/>
    <w:tmpl w:val="FFFFFFFF"/>
    <w:lvl w:ilvl="0" w:tplc="DAEE9642">
      <w:start w:val="1"/>
      <w:numFmt w:val="bullet"/>
      <w:lvlText w:val=""/>
      <w:lvlJc w:val="left"/>
      <w:pPr>
        <w:ind w:left="720" w:hanging="360"/>
      </w:pPr>
      <w:rPr>
        <w:rFonts w:ascii="Symbol" w:hAnsi="Symbol" w:hint="default"/>
      </w:rPr>
    </w:lvl>
    <w:lvl w:ilvl="1" w:tplc="0DACE4BE">
      <w:start w:val="1"/>
      <w:numFmt w:val="bullet"/>
      <w:lvlText w:val="o"/>
      <w:lvlJc w:val="left"/>
      <w:pPr>
        <w:ind w:left="1440" w:hanging="360"/>
      </w:pPr>
      <w:rPr>
        <w:rFonts w:ascii="Courier New" w:hAnsi="Courier New" w:hint="default"/>
      </w:rPr>
    </w:lvl>
    <w:lvl w:ilvl="2" w:tplc="D9147956">
      <w:start w:val="1"/>
      <w:numFmt w:val="bullet"/>
      <w:lvlText w:val=""/>
      <w:lvlJc w:val="left"/>
      <w:pPr>
        <w:ind w:left="2160" w:hanging="360"/>
      </w:pPr>
      <w:rPr>
        <w:rFonts w:ascii="Wingdings" w:hAnsi="Wingdings" w:hint="default"/>
      </w:rPr>
    </w:lvl>
    <w:lvl w:ilvl="3" w:tplc="454CEB1A">
      <w:start w:val="1"/>
      <w:numFmt w:val="bullet"/>
      <w:lvlText w:val=""/>
      <w:lvlJc w:val="left"/>
      <w:pPr>
        <w:ind w:left="2880" w:hanging="360"/>
      </w:pPr>
      <w:rPr>
        <w:rFonts w:ascii="Symbol" w:hAnsi="Symbol" w:hint="default"/>
      </w:rPr>
    </w:lvl>
    <w:lvl w:ilvl="4" w:tplc="EEA23D98">
      <w:start w:val="1"/>
      <w:numFmt w:val="bullet"/>
      <w:lvlText w:val="o"/>
      <w:lvlJc w:val="left"/>
      <w:pPr>
        <w:ind w:left="3600" w:hanging="360"/>
      </w:pPr>
      <w:rPr>
        <w:rFonts w:ascii="Courier New" w:hAnsi="Courier New" w:hint="default"/>
      </w:rPr>
    </w:lvl>
    <w:lvl w:ilvl="5" w:tplc="7C3694EA">
      <w:start w:val="1"/>
      <w:numFmt w:val="bullet"/>
      <w:lvlText w:val=""/>
      <w:lvlJc w:val="left"/>
      <w:pPr>
        <w:ind w:left="4320" w:hanging="360"/>
      </w:pPr>
      <w:rPr>
        <w:rFonts w:ascii="Wingdings" w:hAnsi="Wingdings" w:hint="default"/>
      </w:rPr>
    </w:lvl>
    <w:lvl w:ilvl="6" w:tplc="797AA468">
      <w:start w:val="1"/>
      <w:numFmt w:val="bullet"/>
      <w:lvlText w:val=""/>
      <w:lvlJc w:val="left"/>
      <w:pPr>
        <w:ind w:left="5040" w:hanging="360"/>
      </w:pPr>
      <w:rPr>
        <w:rFonts w:ascii="Symbol" w:hAnsi="Symbol" w:hint="default"/>
      </w:rPr>
    </w:lvl>
    <w:lvl w:ilvl="7" w:tplc="A30218BC">
      <w:start w:val="1"/>
      <w:numFmt w:val="bullet"/>
      <w:lvlText w:val="o"/>
      <w:lvlJc w:val="left"/>
      <w:pPr>
        <w:ind w:left="5760" w:hanging="360"/>
      </w:pPr>
      <w:rPr>
        <w:rFonts w:ascii="Courier New" w:hAnsi="Courier New" w:hint="default"/>
      </w:rPr>
    </w:lvl>
    <w:lvl w:ilvl="8" w:tplc="6548D0E0">
      <w:start w:val="1"/>
      <w:numFmt w:val="bullet"/>
      <w:lvlText w:val=""/>
      <w:lvlJc w:val="left"/>
      <w:pPr>
        <w:ind w:left="6480" w:hanging="360"/>
      </w:pPr>
      <w:rPr>
        <w:rFonts w:ascii="Wingdings" w:hAnsi="Wingdings" w:hint="default"/>
      </w:rPr>
    </w:lvl>
  </w:abstractNum>
  <w:abstractNum w:abstractNumId="12" w15:restartNumberingAfterBreak="0">
    <w:nsid w:val="221745ED"/>
    <w:multiLevelType w:val="hybridMultilevel"/>
    <w:tmpl w:val="FFFFFFFF"/>
    <w:lvl w:ilvl="0" w:tplc="64A0BD5E">
      <w:start w:val="1"/>
      <w:numFmt w:val="bullet"/>
      <w:lvlText w:val="·"/>
      <w:lvlJc w:val="left"/>
      <w:pPr>
        <w:ind w:left="720" w:hanging="360"/>
      </w:pPr>
      <w:rPr>
        <w:rFonts w:ascii="Calibri, sans-serif" w:hAnsi="Calibri, sans-serif" w:hint="default"/>
      </w:rPr>
    </w:lvl>
    <w:lvl w:ilvl="1" w:tplc="30581790">
      <w:start w:val="1"/>
      <w:numFmt w:val="bullet"/>
      <w:lvlText w:val="o"/>
      <w:lvlJc w:val="left"/>
      <w:pPr>
        <w:ind w:left="1440" w:hanging="360"/>
      </w:pPr>
      <w:rPr>
        <w:rFonts w:ascii="Calibri, sans-serif" w:hAnsi="Calibri, sans-serif" w:hint="default"/>
      </w:rPr>
    </w:lvl>
    <w:lvl w:ilvl="2" w:tplc="658C00C2">
      <w:start w:val="1"/>
      <w:numFmt w:val="bullet"/>
      <w:lvlText w:val=""/>
      <w:lvlJc w:val="left"/>
      <w:pPr>
        <w:ind w:left="2160" w:hanging="360"/>
      </w:pPr>
      <w:rPr>
        <w:rFonts w:ascii="Wingdings" w:hAnsi="Wingdings" w:hint="default"/>
      </w:rPr>
    </w:lvl>
    <w:lvl w:ilvl="3" w:tplc="50368942">
      <w:start w:val="1"/>
      <w:numFmt w:val="bullet"/>
      <w:lvlText w:val=""/>
      <w:lvlJc w:val="left"/>
      <w:pPr>
        <w:ind w:left="2880" w:hanging="360"/>
      </w:pPr>
      <w:rPr>
        <w:rFonts w:ascii="Symbol" w:hAnsi="Symbol" w:hint="default"/>
      </w:rPr>
    </w:lvl>
    <w:lvl w:ilvl="4" w:tplc="28CC8CB8">
      <w:start w:val="1"/>
      <w:numFmt w:val="bullet"/>
      <w:lvlText w:val="o"/>
      <w:lvlJc w:val="left"/>
      <w:pPr>
        <w:ind w:left="3600" w:hanging="360"/>
      </w:pPr>
      <w:rPr>
        <w:rFonts w:ascii="Courier New" w:hAnsi="Courier New" w:hint="default"/>
      </w:rPr>
    </w:lvl>
    <w:lvl w:ilvl="5" w:tplc="FC00276C">
      <w:start w:val="1"/>
      <w:numFmt w:val="bullet"/>
      <w:lvlText w:val=""/>
      <w:lvlJc w:val="left"/>
      <w:pPr>
        <w:ind w:left="4320" w:hanging="360"/>
      </w:pPr>
      <w:rPr>
        <w:rFonts w:ascii="Wingdings" w:hAnsi="Wingdings" w:hint="default"/>
      </w:rPr>
    </w:lvl>
    <w:lvl w:ilvl="6" w:tplc="C57A6E1E">
      <w:start w:val="1"/>
      <w:numFmt w:val="bullet"/>
      <w:lvlText w:val=""/>
      <w:lvlJc w:val="left"/>
      <w:pPr>
        <w:ind w:left="5040" w:hanging="360"/>
      </w:pPr>
      <w:rPr>
        <w:rFonts w:ascii="Symbol" w:hAnsi="Symbol" w:hint="default"/>
      </w:rPr>
    </w:lvl>
    <w:lvl w:ilvl="7" w:tplc="F8AA3736">
      <w:start w:val="1"/>
      <w:numFmt w:val="bullet"/>
      <w:lvlText w:val="o"/>
      <w:lvlJc w:val="left"/>
      <w:pPr>
        <w:ind w:left="5760" w:hanging="360"/>
      </w:pPr>
      <w:rPr>
        <w:rFonts w:ascii="Courier New" w:hAnsi="Courier New" w:hint="default"/>
      </w:rPr>
    </w:lvl>
    <w:lvl w:ilvl="8" w:tplc="6E30C00E">
      <w:start w:val="1"/>
      <w:numFmt w:val="bullet"/>
      <w:lvlText w:val=""/>
      <w:lvlJc w:val="left"/>
      <w:pPr>
        <w:ind w:left="6480" w:hanging="360"/>
      </w:pPr>
      <w:rPr>
        <w:rFonts w:ascii="Wingdings" w:hAnsi="Wingdings" w:hint="default"/>
      </w:rPr>
    </w:lvl>
  </w:abstractNum>
  <w:abstractNum w:abstractNumId="13" w15:restartNumberingAfterBreak="0">
    <w:nsid w:val="23127BBB"/>
    <w:multiLevelType w:val="hybridMultilevel"/>
    <w:tmpl w:val="FFFFFFFF"/>
    <w:lvl w:ilvl="0" w:tplc="05421C04">
      <w:start w:val="1"/>
      <w:numFmt w:val="bullet"/>
      <w:lvlText w:val=""/>
      <w:lvlJc w:val="left"/>
      <w:pPr>
        <w:ind w:left="720" w:hanging="360"/>
      </w:pPr>
      <w:rPr>
        <w:rFonts w:ascii="Symbol" w:hAnsi="Symbol" w:hint="default"/>
      </w:rPr>
    </w:lvl>
    <w:lvl w:ilvl="1" w:tplc="4F9C6D3C">
      <w:start w:val="1"/>
      <w:numFmt w:val="bullet"/>
      <w:lvlText w:val="o"/>
      <w:lvlJc w:val="left"/>
      <w:pPr>
        <w:ind w:left="1440" w:hanging="360"/>
      </w:pPr>
      <w:rPr>
        <w:rFonts w:ascii="Courier New" w:hAnsi="Courier New" w:hint="default"/>
      </w:rPr>
    </w:lvl>
    <w:lvl w:ilvl="2" w:tplc="39F011A4">
      <w:start w:val="1"/>
      <w:numFmt w:val="bullet"/>
      <w:lvlText w:val=""/>
      <w:lvlJc w:val="left"/>
      <w:pPr>
        <w:ind w:left="2160" w:hanging="360"/>
      </w:pPr>
      <w:rPr>
        <w:rFonts w:ascii="Wingdings" w:hAnsi="Wingdings" w:hint="default"/>
      </w:rPr>
    </w:lvl>
    <w:lvl w:ilvl="3" w:tplc="067C1F7C">
      <w:start w:val="1"/>
      <w:numFmt w:val="bullet"/>
      <w:lvlText w:val=""/>
      <w:lvlJc w:val="left"/>
      <w:pPr>
        <w:ind w:left="2880" w:hanging="360"/>
      </w:pPr>
      <w:rPr>
        <w:rFonts w:ascii="Symbol" w:hAnsi="Symbol" w:hint="default"/>
      </w:rPr>
    </w:lvl>
    <w:lvl w:ilvl="4" w:tplc="1C7C4A1A">
      <w:start w:val="1"/>
      <w:numFmt w:val="bullet"/>
      <w:lvlText w:val="o"/>
      <w:lvlJc w:val="left"/>
      <w:pPr>
        <w:ind w:left="3600" w:hanging="360"/>
      </w:pPr>
      <w:rPr>
        <w:rFonts w:ascii="Courier New" w:hAnsi="Courier New" w:hint="default"/>
      </w:rPr>
    </w:lvl>
    <w:lvl w:ilvl="5" w:tplc="24B0E2BA">
      <w:start w:val="1"/>
      <w:numFmt w:val="bullet"/>
      <w:lvlText w:val=""/>
      <w:lvlJc w:val="left"/>
      <w:pPr>
        <w:ind w:left="4320" w:hanging="360"/>
      </w:pPr>
      <w:rPr>
        <w:rFonts w:ascii="Wingdings" w:hAnsi="Wingdings" w:hint="default"/>
      </w:rPr>
    </w:lvl>
    <w:lvl w:ilvl="6" w:tplc="BDACF01A">
      <w:start w:val="1"/>
      <w:numFmt w:val="bullet"/>
      <w:lvlText w:val=""/>
      <w:lvlJc w:val="left"/>
      <w:pPr>
        <w:ind w:left="5040" w:hanging="360"/>
      </w:pPr>
      <w:rPr>
        <w:rFonts w:ascii="Symbol" w:hAnsi="Symbol" w:hint="default"/>
      </w:rPr>
    </w:lvl>
    <w:lvl w:ilvl="7" w:tplc="D17C0932">
      <w:start w:val="1"/>
      <w:numFmt w:val="bullet"/>
      <w:lvlText w:val="o"/>
      <w:lvlJc w:val="left"/>
      <w:pPr>
        <w:ind w:left="5760" w:hanging="360"/>
      </w:pPr>
      <w:rPr>
        <w:rFonts w:ascii="Courier New" w:hAnsi="Courier New" w:hint="default"/>
      </w:rPr>
    </w:lvl>
    <w:lvl w:ilvl="8" w:tplc="42426070">
      <w:start w:val="1"/>
      <w:numFmt w:val="bullet"/>
      <w:lvlText w:val=""/>
      <w:lvlJc w:val="left"/>
      <w:pPr>
        <w:ind w:left="6480" w:hanging="360"/>
      </w:pPr>
      <w:rPr>
        <w:rFonts w:ascii="Wingdings" w:hAnsi="Wingdings" w:hint="default"/>
      </w:rPr>
    </w:lvl>
  </w:abstractNum>
  <w:abstractNum w:abstractNumId="14" w15:restartNumberingAfterBreak="0">
    <w:nsid w:val="2C9F002C"/>
    <w:multiLevelType w:val="hybridMultilevel"/>
    <w:tmpl w:val="FFFFFFFF"/>
    <w:lvl w:ilvl="0" w:tplc="2CA07096">
      <w:start w:val="1"/>
      <w:numFmt w:val="bullet"/>
      <w:lvlText w:val=""/>
      <w:lvlJc w:val="left"/>
      <w:pPr>
        <w:ind w:left="720" w:hanging="360"/>
      </w:pPr>
      <w:rPr>
        <w:rFonts w:ascii="Symbol" w:hAnsi="Symbol" w:hint="default"/>
      </w:rPr>
    </w:lvl>
    <w:lvl w:ilvl="1" w:tplc="A88EB850">
      <w:start w:val="1"/>
      <w:numFmt w:val="bullet"/>
      <w:lvlText w:val="o"/>
      <w:lvlJc w:val="left"/>
      <w:pPr>
        <w:ind w:left="1440" w:hanging="360"/>
      </w:pPr>
      <w:rPr>
        <w:rFonts w:ascii="Courier New" w:hAnsi="Courier New" w:hint="default"/>
      </w:rPr>
    </w:lvl>
    <w:lvl w:ilvl="2" w:tplc="8474F0B6">
      <w:start w:val="1"/>
      <w:numFmt w:val="bullet"/>
      <w:lvlText w:val=""/>
      <w:lvlJc w:val="left"/>
      <w:pPr>
        <w:ind w:left="2160" w:hanging="360"/>
      </w:pPr>
      <w:rPr>
        <w:rFonts w:ascii="Wingdings" w:hAnsi="Wingdings" w:hint="default"/>
      </w:rPr>
    </w:lvl>
    <w:lvl w:ilvl="3" w:tplc="0E10EA72">
      <w:start w:val="1"/>
      <w:numFmt w:val="bullet"/>
      <w:lvlText w:val=""/>
      <w:lvlJc w:val="left"/>
      <w:pPr>
        <w:ind w:left="2880" w:hanging="360"/>
      </w:pPr>
      <w:rPr>
        <w:rFonts w:ascii="Symbol" w:hAnsi="Symbol" w:hint="default"/>
      </w:rPr>
    </w:lvl>
    <w:lvl w:ilvl="4" w:tplc="D1ECFA34">
      <w:start w:val="1"/>
      <w:numFmt w:val="bullet"/>
      <w:lvlText w:val="o"/>
      <w:lvlJc w:val="left"/>
      <w:pPr>
        <w:ind w:left="3600" w:hanging="360"/>
      </w:pPr>
      <w:rPr>
        <w:rFonts w:ascii="Courier New" w:hAnsi="Courier New" w:hint="default"/>
      </w:rPr>
    </w:lvl>
    <w:lvl w:ilvl="5" w:tplc="4CE425DA">
      <w:start w:val="1"/>
      <w:numFmt w:val="bullet"/>
      <w:lvlText w:val=""/>
      <w:lvlJc w:val="left"/>
      <w:pPr>
        <w:ind w:left="4320" w:hanging="360"/>
      </w:pPr>
      <w:rPr>
        <w:rFonts w:ascii="Wingdings" w:hAnsi="Wingdings" w:hint="default"/>
      </w:rPr>
    </w:lvl>
    <w:lvl w:ilvl="6" w:tplc="81507342">
      <w:start w:val="1"/>
      <w:numFmt w:val="bullet"/>
      <w:lvlText w:val=""/>
      <w:lvlJc w:val="left"/>
      <w:pPr>
        <w:ind w:left="5040" w:hanging="360"/>
      </w:pPr>
      <w:rPr>
        <w:rFonts w:ascii="Symbol" w:hAnsi="Symbol" w:hint="default"/>
      </w:rPr>
    </w:lvl>
    <w:lvl w:ilvl="7" w:tplc="050CFC0C">
      <w:start w:val="1"/>
      <w:numFmt w:val="bullet"/>
      <w:lvlText w:val="o"/>
      <w:lvlJc w:val="left"/>
      <w:pPr>
        <w:ind w:left="5760" w:hanging="360"/>
      </w:pPr>
      <w:rPr>
        <w:rFonts w:ascii="Courier New" w:hAnsi="Courier New" w:hint="default"/>
      </w:rPr>
    </w:lvl>
    <w:lvl w:ilvl="8" w:tplc="E2428EC2">
      <w:start w:val="1"/>
      <w:numFmt w:val="bullet"/>
      <w:lvlText w:val=""/>
      <w:lvlJc w:val="left"/>
      <w:pPr>
        <w:ind w:left="6480" w:hanging="360"/>
      </w:pPr>
      <w:rPr>
        <w:rFonts w:ascii="Wingdings" w:hAnsi="Wingdings" w:hint="default"/>
      </w:rPr>
    </w:lvl>
  </w:abstractNum>
  <w:abstractNum w:abstractNumId="15" w15:restartNumberingAfterBreak="0">
    <w:nsid w:val="2F37FF73"/>
    <w:multiLevelType w:val="hybridMultilevel"/>
    <w:tmpl w:val="FFFFFFFF"/>
    <w:lvl w:ilvl="0" w:tplc="6084064A">
      <w:start w:val="1"/>
      <w:numFmt w:val="bullet"/>
      <w:lvlText w:val=""/>
      <w:lvlJc w:val="left"/>
      <w:pPr>
        <w:ind w:left="720" w:hanging="360"/>
      </w:pPr>
      <w:rPr>
        <w:rFonts w:ascii="Symbol" w:hAnsi="Symbol" w:hint="default"/>
      </w:rPr>
    </w:lvl>
    <w:lvl w:ilvl="1" w:tplc="B094A2FA">
      <w:start w:val="1"/>
      <w:numFmt w:val="bullet"/>
      <w:lvlText w:val="o"/>
      <w:lvlJc w:val="left"/>
      <w:pPr>
        <w:ind w:left="1440" w:hanging="360"/>
      </w:pPr>
      <w:rPr>
        <w:rFonts w:ascii="Courier New" w:hAnsi="Courier New" w:hint="default"/>
      </w:rPr>
    </w:lvl>
    <w:lvl w:ilvl="2" w:tplc="03FE93E2">
      <w:start w:val="1"/>
      <w:numFmt w:val="bullet"/>
      <w:lvlText w:val=""/>
      <w:lvlJc w:val="left"/>
      <w:pPr>
        <w:ind w:left="2160" w:hanging="360"/>
      </w:pPr>
      <w:rPr>
        <w:rFonts w:ascii="Wingdings" w:hAnsi="Wingdings" w:hint="default"/>
      </w:rPr>
    </w:lvl>
    <w:lvl w:ilvl="3" w:tplc="E8B85E08">
      <w:start w:val="1"/>
      <w:numFmt w:val="bullet"/>
      <w:lvlText w:val=""/>
      <w:lvlJc w:val="left"/>
      <w:pPr>
        <w:ind w:left="2880" w:hanging="360"/>
      </w:pPr>
      <w:rPr>
        <w:rFonts w:ascii="Symbol" w:hAnsi="Symbol" w:hint="default"/>
      </w:rPr>
    </w:lvl>
    <w:lvl w:ilvl="4" w:tplc="EC4E1E9A">
      <w:start w:val="1"/>
      <w:numFmt w:val="bullet"/>
      <w:lvlText w:val="o"/>
      <w:lvlJc w:val="left"/>
      <w:pPr>
        <w:ind w:left="3600" w:hanging="360"/>
      </w:pPr>
      <w:rPr>
        <w:rFonts w:ascii="Courier New" w:hAnsi="Courier New" w:hint="default"/>
      </w:rPr>
    </w:lvl>
    <w:lvl w:ilvl="5" w:tplc="7B807722">
      <w:start w:val="1"/>
      <w:numFmt w:val="bullet"/>
      <w:lvlText w:val=""/>
      <w:lvlJc w:val="left"/>
      <w:pPr>
        <w:ind w:left="4320" w:hanging="360"/>
      </w:pPr>
      <w:rPr>
        <w:rFonts w:ascii="Wingdings" w:hAnsi="Wingdings" w:hint="default"/>
      </w:rPr>
    </w:lvl>
    <w:lvl w:ilvl="6" w:tplc="E65AB162">
      <w:start w:val="1"/>
      <w:numFmt w:val="bullet"/>
      <w:lvlText w:val=""/>
      <w:lvlJc w:val="left"/>
      <w:pPr>
        <w:ind w:left="5040" w:hanging="360"/>
      </w:pPr>
      <w:rPr>
        <w:rFonts w:ascii="Symbol" w:hAnsi="Symbol" w:hint="default"/>
      </w:rPr>
    </w:lvl>
    <w:lvl w:ilvl="7" w:tplc="A74A6EA2">
      <w:start w:val="1"/>
      <w:numFmt w:val="bullet"/>
      <w:lvlText w:val="o"/>
      <w:lvlJc w:val="left"/>
      <w:pPr>
        <w:ind w:left="5760" w:hanging="360"/>
      </w:pPr>
      <w:rPr>
        <w:rFonts w:ascii="Courier New" w:hAnsi="Courier New" w:hint="default"/>
      </w:rPr>
    </w:lvl>
    <w:lvl w:ilvl="8" w:tplc="B9323370">
      <w:start w:val="1"/>
      <w:numFmt w:val="bullet"/>
      <w:lvlText w:val=""/>
      <w:lvlJc w:val="left"/>
      <w:pPr>
        <w:ind w:left="6480" w:hanging="360"/>
      </w:pPr>
      <w:rPr>
        <w:rFonts w:ascii="Wingdings" w:hAnsi="Wingdings" w:hint="default"/>
      </w:rPr>
    </w:lvl>
  </w:abstractNum>
  <w:abstractNum w:abstractNumId="16" w15:restartNumberingAfterBreak="0">
    <w:nsid w:val="2F5402A2"/>
    <w:multiLevelType w:val="hybridMultilevel"/>
    <w:tmpl w:val="FFFFFFFF"/>
    <w:lvl w:ilvl="0" w:tplc="F86248A2">
      <w:start w:val="1"/>
      <w:numFmt w:val="bullet"/>
      <w:lvlText w:val=""/>
      <w:lvlJc w:val="left"/>
      <w:pPr>
        <w:ind w:left="720" w:hanging="360"/>
      </w:pPr>
      <w:rPr>
        <w:rFonts w:ascii="Symbol" w:hAnsi="Symbol" w:hint="default"/>
      </w:rPr>
    </w:lvl>
    <w:lvl w:ilvl="1" w:tplc="07324964">
      <w:start w:val="1"/>
      <w:numFmt w:val="bullet"/>
      <w:lvlText w:val="o"/>
      <w:lvlJc w:val="left"/>
      <w:pPr>
        <w:ind w:left="1440" w:hanging="360"/>
      </w:pPr>
      <w:rPr>
        <w:rFonts w:ascii="Courier New" w:hAnsi="Courier New" w:hint="default"/>
      </w:rPr>
    </w:lvl>
    <w:lvl w:ilvl="2" w:tplc="16DC4EA2">
      <w:start w:val="1"/>
      <w:numFmt w:val="bullet"/>
      <w:lvlText w:val=""/>
      <w:lvlJc w:val="left"/>
      <w:pPr>
        <w:ind w:left="2160" w:hanging="360"/>
      </w:pPr>
      <w:rPr>
        <w:rFonts w:ascii="Wingdings" w:hAnsi="Wingdings" w:hint="default"/>
      </w:rPr>
    </w:lvl>
    <w:lvl w:ilvl="3" w:tplc="10700424">
      <w:start w:val="1"/>
      <w:numFmt w:val="bullet"/>
      <w:lvlText w:val=""/>
      <w:lvlJc w:val="left"/>
      <w:pPr>
        <w:ind w:left="2880" w:hanging="360"/>
      </w:pPr>
      <w:rPr>
        <w:rFonts w:ascii="Symbol" w:hAnsi="Symbol" w:hint="default"/>
      </w:rPr>
    </w:lvl>
    <w:lvl w:ilvl="4" w:tplc="3BA24562">
      <w:start w:val="1"/>
      <w:numFmt w:val="bullet"/>
      <w:lvlText w:val="o"/>
      <w:lvlJc w:val="left"/>
      <w:pPr>
        <w:ind w:left="3600" w:hanging="360"/>
      </w:pPr>
      <w:rPr>
        <w:rFonts w:ascii="Courier New" w:hAnsi="Courier New" w:hint="default"/>
      </w:rPr>
    </w:lvl>
    <w:lvl w:ilvl="5" w:tplc="51D03324">
      <w:start w:val="1"/>
      <w:numFmt w:val="bullet"/>
      <w:lvlText w:val=""/>
      <w:lvlJc w:val="left"/>
      <w:pPr>
        <w:ind w:left="4320" w:hanging="360"/>
      </w:pPr>
      <w:rPr>
        <w:rFonts w:ascii="Wingdings" w:hAnsi="Wingdings" w:hint="default"/>
      </w:rPr>
    </w:lvl>
    <w:lvl w:ilvl="6" w:tplc="5598FF56">
      <w:start w:val="1"/>
      <w:numFmt w:val="bullet"/>
      <w:lvlText w:val=""/>
      <w:lvlJc w:val="left"/>
      <w:pPr>
        <w:ind w:left="5040" w:hanging="360"/>
      </w:pPr>
      <w:rPr>
        <w:rFonts w:ascii="Symbol" w:hAnsi="Symbol" w:hint="default"/>
      </w:rPr>
    </w:lvl>
    <w:lvl w:ilvl="7" w:tplc="404AA6F2">
      <w:start w:val="1"/>
      <w:numFmt w:val="bullet"/>
      <w:lvlText w:val="o"/>
      <w:lvlJc w:val="left"/>
      <w:pPr>
        <w:ind w:left="5760" w:hanging="360"/>
      </w:pPr>
      <w:rPr>
        <w:rFonts w:ascii="Courier New" w:hAnsi="Courier New" w:hint="default"/>
      </w:rPr>
    </w:lvl>
    <w:lvl w:ilvl="8" w:tplc="1A047DD4">
      <w:start w:val="1"/>
      <w:numFmt w:val="bullet"/>
      <w:lvlText w:val=""/>
      <w:lvlJc w:val="left"/>
      <w:pPr>
        <w:ind w:left="6480" w:hanging="360"/>
      </w:pPr>
      <w:rPr>
        <w:rFonts w:ascii="Wingdings" w:hAnsi="Wingdings" w:hint="default"/>
      </w:rPr>
    </w:lvl>
  </w:abstractNum>
  <w:abstractNum w:abstractNumId="17" w15:restartNumberingAfterBreak="0">
    <w:nsid w:val="308934A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B8D502"/>
    <w:multiLevelType w:val="hybridMultilevel"/>
    <w:tmpl w:val="FFFFFFFF"/>
    <w:lvl w:ilvl="0" w:tplc="62FCEA7C">
      <w:start w:val="1"/>
      <w:numFmt w:val="bullet"/>
      <w:lvlText w:val=""/>
      <w:lvlJc w:val="left"/>
      <w:pPr>
        <w:ind w:left="720" w:hanging="360"/>
      </w:pPr>
      <w:rPr>
        <w:rFonts w:ascii="Symbol" w:hAnsi="Symbol" w:hint="default"/>
      </w:rPr>
    </w:lvl>
    <w:lvl w:ilvl="1" w:tplc="5AEEDE28">
      <w:start w:val="1"/>
      <w:numFmt w:val="bullet"/>
      <w:lvlText w:val="o"/>
      <w:lvlJc w:val="left"/>
      <w:pPr>
        <w:ind w:left="1440" w:hanging="360"/>
      </w:pPr>
      <w:rPr>
        <w:rFonts w:ascii="Courier New" w:hAnsi="Courier New" w:hint="default"/>
      </w:rPr>
    </w:lvl>
    <w:lvl w:ilvl="2" w:tplc="34C49480">
      <w:start w:val="1"/>
      <w:numFmt w:val="bullet"/>
      <w:lvlText w:val=""/>
      <w:lvlJc w:val="left"/>
      <w:pPr>
        <w:ind w:left="2160" w:hanging="360"/>
      </w:pPr>
      <w:rPr>
        <w:rFonts w:ascii="Wingdings" w:hAnsi="Wingdings" w:hint="default"/>
      </w:rPr>
    </w:lvl>
    <w:lvl w:ilvl="3" w:tplc="8DC2D99C">
      <w:start w:val="1"/>
      <w:numFmt w:val="bullet"/>
      <w:lvlText w:val=""/>
      <w:lvlJc w:val="left"/>
      <w:pPr>
        <w:ind w:left="2880" w:hanging="360"/>
      </w:pPr>
      <w:rPr>
        <w:rFonts w:ascii="Symbol" w:hAnsi="Symbol" w:hint="default"/>
      </w:rPr>
    </w:lvl>
    <w:lvl w:ilvl="4" w:tplc="BDDE7088">
      <w:start w:val="1"/>
      <w:numFmt w:val="bullet"/>
      <w:lvlText w:val="o"/>
      <w:lvlJc w:val="left"/>
      <w:pPr>
        <w:ind w:left="3600" w:hanging="360"/>
      </w:pPr>
      <w:rPr>
        <w:rFonts w:ascii="Courier New" w:hAnsi="Courier New" w:hint="default"/>
      </w:rPr>
    </w:lvl>
    <w:lvl w:ilvl="5" w:tplc="6E008578">
      <w:start w:val="1"/>
      <w:numFmt w:val="bullet"/>
      <w:lvlText w:val=""/>
      <w:lvlJc w:val="left"/>
      <w:pPr>
        <w:ind w:left="4320" w:hanging="360"/>
      </w:pPr>
      <w:rPr>
        <w:rFonts w:ascii="Wingdings" w:hAnsi="Wingdings" w:hint="default"/>
      </w:rPr>
    </w:lvl>
    <w:lvl w:ilvl="6" w:tplc="BC1E46DC">
      <w:start w:val="1"/>
      <w:numFmt w:val="bullet"/>
      <w:lvlText w:val=""/>
      <w:lvlJc w:val="left"/>
      <w:pPr>
        <w:ind w:left="5040" w:hanging="360"/>
      </w:pPr>
      <w:rPr>
        <w:rFonts w:ascii="Symbol" w:hAnsi="Symbol" w:hint="default"/>
      </w:rPr>
    </w:lvl>
    <w:lvl w:ilvl="7" w:tplc="DD48AC94">
      <w:start w:val="1"/>
      <w:numFmt w:val="bullet"/>
      <w:lvlText w:val="o"/>
      <w:lvlJc w:val="left"/>
      <w:pPr>
        <w:ind w:left="5760" w:hanging="360"/>
      </w:pPr>
      <w:rPr>
        <w:rFonts w:ascii="Courier New" w:hAnsi="Courier New" w:hint="default"/>
      </w:rPr>
    </w:lvl>
    <w:lvl w:ilvl="8" w:tplc="1A882D2E">
      <w:start w:val="1"/>
      <w:numFmt w:val="bullet"/>
      <w:lvlText w:val=""/>
      <w:lvlJc w:val="left"/>
      <w:pPr>
        <w:ind w:left="6480" w:hanging="360"/>
      </w:pPr>
      <w:rPr>
        <w:rFonts w:ascii="Wingdings" w:hAnsi="Wingdings" w:hint="default"/>
      </w:rPr>
    </w:lvl>
  </w:abstractNum>
  <w:abstractNum w:abstractNumId="19" w15:restartNumberingAfterBreak="0">
    <w:nsid w:val="366751A4"/>
    <w:multiLevelType w:val="hybridMultilevel"/>
    <w:tmpl w:val="FFFFFFFF"/>
    <w:lvl w:ilvl="0" w:tplc="305E0432">
      <w:start w:val="1"/>
      <w:numFmt w:val="bullet"/>
      <w:lvlText w:val=""/>
      <w:lvlJc w:val="left"/>
      <w:pPr>
        <w:ind w:left="720" w:hanging="360"/>
      </w:pPr>
      <w:rPr>
        <w:rFonts w:ascii="Symbol" w:hAnsi="Symbol" w:hint="default"/>
      </w:rPr>
    </w:lvl>
    <w:lvl w:ilvl="1" w:tplc="646C01BC">
      <w:start w:val="1"/>
      <w:numFmt w:val="bullet"/>
      <w:lvlText w:val="o"/>
      <w:lvlJc w:val="left"/>
      <w:pPr>
        <w:ind w:left="1440" w:hanging="360"/>
      </w:pPr>
      <w:rPr>
        <w:rFonts w:ascii="Courier New" w:hAnsi="Courier New" w:hint="default"/>
      </w:rPr>
    </w:lvl>
    <w:lvl w:ilvl="2" w:tplc="D7F69FBC">
      <w:start w:val="1"/>
      <w:numFmt w:val="bullet"/>
      <w:lvlText w:val=""/>
      <w:lvlJc w:val="left"/>
      <w:pPr>
        <w:ind w:left="2160" w:hanging="360"/>
      </w:pPr>
      <w:rPr>
        <w:rFonts w:ascii="Wingdings" w:hAnsi="Wingdings" w:hint="default"/>
      </w:rPr>
    </w:lvl>
    <w:lvl w:ilvl="3" w:tplc="919C7CD6">
      <w:start w:val="1"/>
      <w:numFmt w:val="bullet"/>
      <w:lvlText w:val=""/>
      <w:lvlJc w:val="left"/>
      <w:pPr>
        <w:ind w:left="2880" w:hanging="360"/>
      </w:pPr>
      <w:rPr>
        <w:rFonts w:ascii="Symbol" w:hAnsi="Symbol" w:hint="default"/>
      </w:rPr>
    </w:lvl>
    <w:lvl w:ilvl="4" w:tplc="92987336">
      <w:start w:val="1"/>
      <w:numFmt w:val="bullet"/>
      <w:lvlText w:val="o"/>
      <w:lvlJc w:val="left"/>
      <w:pPr>
        <w:ind w:left="3600" w:hanging="360"/>
      </w:pPr>
      <w:rPr>
        <w:rFonts w:ascii="Courier New" w:hAnsi="Courier New" w:hint="default"/>
      </w:rPr>
    </w:lvl>
    <w:lvl w:ilvl="5" w:tplc="60C6EACE">
      <w:start w:val="1"/>
      <w:numFmt w:val="bullet"/>
      <w:lvlText w:val=""/>
      <w:lvlJc w:val="left"/>
      <w:pPr>
        <w:ind w:left="4320" w:hanging="360"/>
      </w:pPr>
      <w:rPr>
        <w:rFonts w:ascii="Wingdings" w:hAnsi="Wingdings" w:hint="default"/>
      </w:rPr>
    </w:lvl>
    <w:lvl w:ilvl="6" w:tplc="A740B390">
      <w:start w:val="1"/>
      <w:numFmt w:val="bullet"/>
      <w:lvlText w:val=""/>
      <w:lvlJc w:val="left"/>
      <w:pPr>
        <w:ind w:left="5040" w:hanging="360"/>
      </w:pPr>
      <w:rPr>
        <w:rFonts w:ascii="Symbol" w:hAnsi="Symbol" w:hint="default"/>
      </w:rPr>
    </w:lvl>
    <w:lvl w:ilvl="7" w:tplc="2D2405E4">
      <w:start w:val="1"/>
      <w:numFmt w:val="bullet"/>
      <w:lvlText w:val="o"/>
      <w:lvlJc w:val="left"/>
      <w:pPr>
        <w:ind w:left="5760" w:hanging="360"/>
      </w:pPr>
      <w:rPr>
        <w:rFonts w:ascii="Courier New" w:hAnsi="Courier New" w:hint="default"/>
      </w:rPr>
    </w:lvl>
    <w:lvl w:ilvl="8" w:tplc="79262434">
      <w:start w:val="1"/>
      <w:numFmt w:val="bullet"/>
      <w:lvlText w:val=""/>
      <w:lvlJc w:val="left"/>
      <w:pPr>
        <w:ind w:left="6480" w:hanging="360"/>
      </w:pPr>
      <w:rPr>
        <w:rFonts w:ascii="Wingdings" w:hAnsi="Wingdings" w:hint="default"/>
      </w:rPr>
    </w:lvl>
  </w:abstractNum>
  <w:abstractNum w:abstractNumId="20" w15:restartNumberingAfterBreak="0">
    <w:nsid w:val="36DF9107"/>
    <w:multiLevelType w:val="hybridMultilevel"/>
    <w:tmpl w:val="FFFFFFFF"/>
    <w:lvl w:ilvl="0" w:tplc="8A183B66">
      <w:start w:val="1"/>
      <w:numFmt w:val="bullet"/>
      <w:lvlText w:val=""/>
      <w:lvlJc w:val="left"/>
      <w:pPr>
        <w:ind w:left="720" w:hanging="360"/>
      </w:pPr>
      <w:rPr>
        <w:rFonts w:ascii="Symbol" w:hAnsi="Symbol" w:hint="default"/>
      </w:rPr>
    </w:lvl>
    <w:lvl w:ilvl="1" w:tplc="2B245812">
      <w:start w:val="1"/>
      <w:numFmt w:val="bullet"/>
      <w:lvlText w:val="o"/>
      <w:lvlJc w:val="left"/>
      <w:pPr>
        <w:ind w:left="1440" w:hanging="360"/>
      </w:pPr>
      <w:rPr>
        <w:rFonts w:ascii="Courier New" w:hAnsi="Courier New" w:hint="default"/>
      </w:rPr>
    </w:lvl>
    <w:lvl w:ilvl="2" w:tplc="29365E9E">
      <w:start w:val="1"/>
      <w:numFmt w:val="bullet"/>
      <w:lvlText w:val=""/>
      <w:lvlJc w:val="left"/>
      <w:pPr>
        <w:ind w:left="2160" w:hanging="360"/>
      </w:pPr>
      <w:rPr>
        <w:rFonts w:ascii="Wingdings" w:hAnsi="Wingdings" w:hint="default"/>
      </w:rPr>
    </w:lvl>
    <w:lvl w:ilvl="3" w:tplc="417CB3C4">
      <w:start w:val="1"/>
      <w:numFmt w:val="bullet"/>
      <w:lvlText w:val=""/>
      <w:lvlJc w:val="left"/>
      <w:pPr>
        <w:ind w:left="2880" w:hanging="360"/>
      </w:pPr>
      <w:rPr>
        <w:rFonts w:ascii="Symbol" w:hAnsi="Symbol" w:hint="default"/>
      </w:rPr>
    </w:lvl>
    <w:lvl w:ilvl="4" w:tplc="ED2EB138">
      <w:start w:val="1"/>
      <w:numFmt w:val="bullet"/>
      <w:lvlText w:val="o"/>
      <w:lvlJc w:val="left"/>
      <w:pPr>
        <w:ind w:left="3600" w:hanging="360"/>
      </w:pPr>
      <w:rPr>
        <w:rFonts w:ascii="Courier New" w:hAnsi="Courier New" w:hint="default"/>
      </w:rPr>
    </w:lvl>
    <w:lvl w:ilvl="5" w:tplc="670A4C28">
      <w:start w:val="1"/>
      <w:numFmt w:val="bullet"/>
      <w:lvlText w:val=""/>
      <w:lvlJc w:val="left"/>
      <w:pPr>
        <w:ind w:left="4320" w:hanging="360"/>
      </w:pPr>
      <w:rPr>
        <w:rFonts w:ascii="Wingdings" w:hAnsi="Wingdings" w:hint="default"/>
      </w:rPr>
    </w:lvl>
    <w:lvl w:ilvl="6" w:tplc="04D60724">
      <w:start w:val="1"/>
      <w:numFmt w:val="bullet"/>
      <w:lvlText w:val=""/>
      <w:lvlJc w:val="left"/>
      <w:pPr>
        <w:ind w:left="5040" w:hanging="360"/>
      </w:pPr>
      <w:rPr>
        <w:rFonts w:ascii="Symbol" w:hAnsi="Symbol" w:hint="default"/>
      </w:rPr>
    </w:lvl>
    <w:lvl w:ilvl="7" w:tplc="51C69156">
      <w:start w:val="1"/>
      <w:numFmt w:val="bullet"/>
      <w:lvlText w:val="o"/>
      <w:lvlJc w:val="left"/>
      <w:pPr>
        <w:ind w:left="5760" w:hanging="360"/>
      </w:pPr>
      <w:rPr>
        <w:rFonts w:ascii="Courier New" w:hAnsi="Courier New" w:hint="default"/>
      </w:rPr>
    </w:lvl>
    <w:lvl w:ilvl="8" w:tplc="F8C2C7EA">
      <w:start w:val="1"/>
      <w:numFmt w:val="bullet"/>
      <w:lvlText w:val=""/>
      <w:lvlJc w:val="left"/>
      <w:pPr>
        <w:ind w:left="6480" w:hanging="360"/>
      </w:pPr>
      <w:rPr>
        <w:rFonts w:ascii="Wingdings" w:hAnsi="Wingdings" w:hint="default"/>
      </w:rPr>
    </w:lvl>
  </w:abstractNum>
  <w:abstractNum w:abstractNumId="21" w15:restartNumberingAfterBreak="0">
    <w:nsid w:val="38103B91"/>
    <w:multiLevelType w:val="hybridMultilevel"/>
    <w:tmpl w:val="FFFFFFFF"/>
    <w:lvl w:ilvl="0" w:tplc="C28AB8D0">
      <w:start w:val="1"/>
      <w:numFmt w:val="bullet"/>
      <w:lvlText w:val=""/>
      <w:lvlJc w:val="left"/>
      <w:pPr>
        <w:ind w:left="720" w:hanging="360"/>
      </w:pPr>
      <w:rPr>
        <w:rFonts w:ascii="Symbol" w:hAnsi="Symbol" w:hint="default"/>
      </w:rPr>
    </w:lvl>
    <w:lvl w:ilvl="1" w:tplc="92126A44">
      <w:start w:val="1"/>
      <w:numFmt w:val="bullet"/>
      <w:lvlText w:val="o"/>
      <w:lvlJc w:val="left"/>
      <w:pPr>
        <w:ind w:left="1440" w:hanging="360"/>
      </w:pPr>
      <w:rPr>
        <w:rFonts w:ascii="Courier New" w:hAnsi="Courier New" w:hint="default"/>
      </w:rPr>
    </w:lvl>
    <w:lvl w:ilvl="2" w:tplc="26DAE14A">
      <w:start w:val="1"/>
      <w:numFmt w:val="bullet"/>
      <w:lvlText w:val=""/>
      <w:lvlJc w:val="left"/>
      <w:pPr>
        <w:ind w:left="2160" w:hanging="360"/>
      </w:pPr>
      <w:rPr>
        <w:rFonts w:ascii="Wingdings" w:hAnsi="Wingdings" w:hint="default"/>
      </w:rPr>
    </w:lvl>
    <w:lvl w:ilvl="3" w:tplc="874A9370">
      <w:start w:val="1"/>
      <w:numFmt w:val="bullet"/>
      <w:lvlText w:val=""/>
      <w:lvlJc w:val="left"/>
      <w:pPr>
        <w:ind w:left="2880" w:hanging="360"/>
      </w:pPr>
      <w:rPr>
        <w:rFonts w:ascii="Symbol" w:hAnsi="Symbol" w:hint="default"/>
      </w:rPr>
    </w:lvl>
    <w:lvl w:ilvl="4" w:tplc="A226F61E">
      <w:start w:val="1"/>
      <w:numFmt w:val="bullet"/>
      <w:lvlText w:val="o"/>
      <w:lvlJc w:val="left"/>
      <w:pPr>
        <w:ind w:left="3600" w:hanging="360"/>
      </w:pPr>
      <w:rPr>
        <w:rFonts w:ascii="Courier New" w:hAnsi="Courier New" w:hint="default"/>
      </w:rPr>
    </w:lvl>
    <w:lvl w:ilvl="5" w:tplc="74B233E8">
      <w:start w:val="1"/>
      <w:numFmt w:val="bullet"/>
      <w:lvlText w:val=""/>
      <w:lvlJc w:val="left"/>
      <w:pPr>
        <w:ind w:left="4320" w:hanging="360"/>
      </w:pPr>
      <w:rPr>
        <w:rFonts w:ascii="Wingdings" w:hAnsi="Wingdings" w:hint="default"/>
      </w:rPr>
    </w:lvl>
    <w:lvl w:ilvl="6" w:tplc="B35C61A2">
      <w:start w:val="1"/>
      <w:numFmt w:val="bullet"/>
      <w:lvlText w:val=""/>
      <w:lvlJc w:val="left"/>
      <w:pPr>
        <w:ind w:left="5040" w:hanging="360"/>
      </w:pPr>
      <w:rPr>
        <w:rFonts w:ascii="Symbol" w:hAnsi="Symbol" w:hint="default"/>
      </w:rPr>
    </w:lvl>
    <w:lvl w:ilvl="7" w:tplc="E0049EBA">
      <w:start w:val="1"/>
      <w:numFmt w:val="bullet"/>
      <w:lvlText w:val="o"/>
      <w:lvlJc w:val="left"/>
      <w:pPr>
        <w:ind w:left="5760" w:hanging="360"/>
      </w:pPr>
      <w:rPr>
        <w:rFonts w:ascii="Courier New" w:hAnsi="Courier New" w:hint="default"/>
      </w:rPr>
    </w:lvl>
    <w:lvl w:ilvl="8" w:tplc="C39CC0BC">
      <w:start w:val="1"/>
      <w:numFmt w:val="bullet"/>
      <w:lvlText w:val=""/>
      <w:lvlJc w:val="left"/>
      <w:pPr>
        <w:ind w:left="6480" w:hanging="360"/>
      </w:pPr>
      <w:rPr>
        <w:rFonts w:ascii="Wingdings" w:hAnsi="Wingdings" w:hint="default"/>
      </w:rPr>
    </w:lvl>
  </w:abstractNum>
  <w:abstractNum w:abstractNumId="22" w15:restartNumberingAfterBreak="0">
    <w:nsid w:val="388259A1"/>
    <w:multiLevelType w:val="hybridMultilevel"/>
    <w:tmpl w:val="FFFFFFFF"/>
    <w:lvl w:ilvl="0" w:tplc="52A62254">
      <w:start w:val="1"/>
      <w:numFmt w:val="bullet"/>
      <w:lvlText w:val="·"/>
      <w:lvlJc w:val="left"/>
      <w:pPr>
        <w:ind w:left="720" w:hanging="360"/>
      </w:pPr>
      <w:rPr>
        <w:rFonts w:ascii="Calibri, sans-serif" w:hAnsi="Calibri, sans-serif" w:hint="default"/>
      </w:rPr>
    </w:lvl>
    <w:lvl w:ilvl="1" w:tplc="7C1A7398">
      <w:start w:val="1"/>
      <w:numFmt w:val="bullet"/>
      <w:lvlText w:val="o"/>
      <w:lvlJc w:val="left"/>
      <w:pPr>
        <w:ind w:left="1440" w:hanging="360"/>
      </w:pPr>
      <w:rPr>
        <w:rFonts w:ascii="Courier New" w:hAnsi="Courier New" w:hint="default"/>
      </w:rPr>
    </w:lvl>
    <w:lvl w:ilvl="2" w:tplc="0C289CC8">
      <w:start w:val="1"/>
      <w:numFmt w:val="bullet"/>
      <w:lvlText w:val=""/>
      <w:lvlJc w:val="left"/>
      <w:pPr>
        <w:ind w:left="2160" w:hanging="360"/>
      </w:pPr>
      <w:rPr>
        <w:rFonts w:ascii="Wingdings" w:hAnsi="Wingdings" w:hint="default"/>
      </w:rPr>
    </w:lvl>
    <w:lvl w:ilvl="3" w:tplc="490A8452">
      <w:start w:val="1"/>
      <w:numFmt w:val="bullet"/>
      <w:lvlText w:val=""/>
      <w:lvlJc w:val="left"/>
      <w:pPr>
        <w:ind w:left="2880" w:hanging="360"/>
      </w:pPr>
      <w:rPr>
        <w:rFonts w:ascii="Symbol" w:hAnsi="Symbol" w:hint="default"/>
      </w:rPr>
    </w:lvl>
    <w:lvl w:ilvl="4" w:tplc="CE9CB384">
      <w:start w:val="1"/>
      <w:numFmt w:val="bullet"/>
      <w:lvlText w:val="o"/>
      <w:lvlJc w:val="left"/>
      <w:pPr>
        <w:ind w:left="3600" w:hanging="360"/>
      </w:pPr>
      <w:rPr>
        <w:rFonts w:ascii="Courier New" w:hAnsi="Courier New" w:hint="default"/>
      </w:rPr>
    </w:lvl>
    <w:lvl w:ilvl="5" w:tplc="493E277C">
      <w:start w:val="1"/>
      <w:numFmt w:val="bullet"/>
      <w:lvlText w:val=""/>
      <w:lvlJc w:val="left"/>
      <w:pPr>
        <w:ind w:left="4320" w:hanging="360"/>
      </w:pPr>
      <w:rPr>
        <w:rFonts w:ascii="Wingdings" w:hAnsi="Wingdings" w:hint="default"/>
      </w:rPr>
    </w:lvl>
    <w:lvl w:ilvl="6" w:tplc="087CEBA8">
      <w:start w:val="1"/>
      <w:numFmt w:val="bullet"/>
      <w:lvlText w:val=""/>
      <w:lvlJc w:val="left"/>
      <w:pPr>
        <w:ind w:left="5040" w:hanging="360"/>
      </w:pPr>
      <w:rPr>
        <w:rFonts w:ascii="Symbol" w:hAnsi="Symbol" w:hint="default"/>
      </w:rPr>
    </w:lvl>
    <w:lvl w:ilvl="7" w:tplc="131EBBFA">
      <w:start w:val="1"/>
      <w:numFmt w:val="bullet"/>
      <w:lvlText w:val="o"/>
      <w:lvlJc w:val="left"/>
      <w:pPr>
        <w:ind w:left="5760" w:hanging="360"/>
      </w:pPr>
      <w:rPr>
        <w:rFonts w:ascii="Courier New" w:hAnsi="Courier New" w:hint="default"/>
      </w:rPr>
    </w:lvl>
    <w:lvl w:ilvl="8" w:tplc="16BEEE68">
      <w:start w:val="1"/>
      <w:numFmt w:val="bullet"/>
      <w:lvlText w:val=""/>
      <w:lvlJc w:val="left"/>
      <w:pPr>
        <w:ind w:left="6480" w:hanging="360"/>
      </w:pPr>
      <w:rPr>
        <w:rFonts w:ascii="Wingdings" w:hAnsi="Wingdings" w:hint="default"/>
      </w:rPr>
    </w:lvl>
  </w:abstractNum>
  <w:abstractNum w:abstractNumId="23" w15:restartNumberingAfterBreak="0">
    <w:nsid w:val="40FDD7E9"/>
    <w:multiLevelType w:val="hybridMultilevel"/>
    <w:tmpl w:val="FFFFFFFF"/>
    <w:lvl w:ilvl="0" w:tplc="D94240CC">
      <w:start w:val="1"/>
      <w:numFmt w:val="bullet"/>
      <w:lvlText w:val=""/>
      <w:lvlJc w:val="left"/>
      <w:pPr>
        <w:ind w:left="720" w:hanging="360"/>
      </w:pPr>
      <w:rPr>
        <w:rFonts w:ascii="Symbol" w:hAnsi="Symbol" w:hint="default"/>
      </w:rPr>
    </w:lvl>
    <w:lvl w:ilvl="1" w:tplc="20C0E0E6">
      <w:start w:val="1"/>
      <w:numFmt w:val="bullet"/>
      <w:lvlText w:val="o"/>
      <w:lvlJc w:val="left"/>
      <w:pPr>
        <w:ind w:left="1440" w:hanging="360"/>
      </w:pPr>
      <w:rPr>
        <w:rFonts w:ascii="Courier New" w:hAnsi="Courier New" w:hint="default"/>
      </w:rPr>
    </w:lvl>
    <w:lvl w:ilvl="2" w:tplc="572C8E7A">
      <w:start w:val="1"/>
      <w:numFmt w:val="bullet"/>
      <w:lvlText w:val=""/>
      <w:lvlJc w:val="left"/>
      <w:pPr>
        <w:ind w:left="2160" w:hanging="360"/>
      </w:pPr>
      <w:rPr>
        <w:rFonts w:ascii="Wingdings" w:hAnsi="Wingdings" w:hint="default"/>
      </w:rPr>
    </w:lvl>
    <w:lvl w:ilvl="3" w:tplc="6D1C27F4">
      <w:start w:val="1"/>
      <w:numFmt w:val="bullet"/>
      <w:lvlText w:val=""/>
      <w:lvlJc w:val="left"/>
      <w:pPr>
        <w:ind w:left="2880" w:hanging="360"/>
      </w:pPr>
      <w:rPr>
        <w:rFonts w:ascii="Symbol" w:hAnsi="Symbol" w:hint="default"/>
      </w:rPr>
    </w:lvl>
    <w:lvl w:ilvl="4" w:tplc="0E0A0AE8">
      <w:start w:val="1"/>
      <w:numFmt w:val="bullet"/>
      <w:lvlText w:val="o"/>
      <w:lvlJc w:val="left"/>
      <w:pPr>
        <w:ind w:left="3600" w:hanging="360"/>
      </w:pPr>
      <w:rPr>
        <w:rFonts w:ascii="Courier New" w:hAnsi="Courier New" w:hint="default"/>
      </w:rPr>
    </w:lvl>
    <w:lvl w:ilvl="5" w:tplc="C3A2BA1C">
      <w:start w:val="1"/>
      <w:numFmt w:val="bullet"/>
      <w:lvlText w:val=""/>
      <w:lvlJc w:val="left"/>
      <w:pPr>
        <w:ind w:left="4320" w:hanging="360"/>
      </w:pPr>
      <w:rPr>
        <w:rFonts w:ascii="Wingdings" w:hAnsi="Wingdings" w:hint="default"/>
      </w:rPr>
    </w:lvl>
    <w:lvl w:ilvl="6" w:tplc="705CDCE8">
      <w:start w:val="1"/>
      <w:numFmt w:val="bullet"/>
      <w:lvlText w:val=""/>
      <w:lvlJc w:val="left"/>
      <w:pPr>
        <w:ind w:left="5040" w:hanging="360"/>
      </w:pPr>
      <w:rPr>
        <w:rFonts w:ascii="Symbol" w:hAnsi="Symbol" w:hint="default"/>
      </w:rPr>
    </w:lvl>
    <w:lvl w:ilvl="7" w:tplc="5D1C885C">
      <w:start w:val="1"/>
      <w:numFmt w:val="bullet"/>
      <w:lvlText w:val="o"/>
      <w:lvlJc w:val="left"/>
      <w:pPr>
        <w:ind w:left="5760" w:hanging="360"/>
      </w:pPr>
      <w:rPr>
        <w:rFonts w:ascii="Courier New" w:hAnsi="Courier New" w:hint="default"/>
      </w:rPr>
    </w:lvl>
    <w:lvl w:ilvl="8" w:tplc="A7145476">
      <w:start w:val="1"/>
      <w:numFmt w:val="bullet"/>
      <w:lvlText w:val=""/>
      <w:lvlJc w:val="left"/>
      <w:pPr>
        <w:ind w:left="6480" w:hanging="360"/>
      </w:pPr>
      <w:rPr>
        <w:rFonts w:ascii="Wingdings" w:hAnsi="Wingdings" w:hint="default"/>
      </w:rPr>
    </w:lvl>
  </w:abstractNum>
  <w:abstractNum w:abstractNumId="24" w15:restartNumberingAfterBreak="0">
    <w:nsid w:val="42320E43"/>
    <w:multiLevelType w:val="hybridMultilevel"/>
    <w:tmpl w:val="FFFFFFFF"/>
    <w:lvl w:ilvl="0" w:tplc="FCFAAEE6">
      <w:start w:val="1"/>
      <w:numFmt w:val="bullet"/>
      <w:lvlText w:val=""/>
      <w:lvlJc w:val="left"/>
      <w:pPr>
        <w:ind w:left="720" w:hanging="360"/>
      </w:pPr>
      <w:rPr>
        <w:rFonts w:ascii="Symbol" w:hAnsi="Symbol" w:hint="default"/>
      </w:rPr>
    </w:lvl>
    <w:lvl w:ilvl="1" w:tplc="42E26B76">
      <w:start w:val="1"/>
      <w:numFmt w:val="bullet"/>
      <w:lvlText w:val="o"/>
      <w:lvlJc w:val="left"/>
      <w:pPr>
        <w:ind w:left="1440" w:hanging="360"/>
      </w:pPr>
      <w:rPr>
        <w:rFonts w:ascii="Courier New" w:hAnsi="Courier New" w:hint="default"/>
      </w:rPr>
    </w:lvl>
    <w:lvl w:ilvl="2" w:tplc="05CC9D1C">
      <w:start w:val="1"/>
      <w:numFmt w:val="bullet"/>
      <w:lvlText w:val=""/>
      <w:lvlJc w:val="left"/>
      <w:pPr>
        <w:ind w:left="2160" w:hanging="360"/>
      </w:pPr>
      <w:rPr>
        <w:rFonts w:ascii="Wingdings" w:hAnsi="Wingdings" w:hint="default"/>
      </w:rPr>
    </w:lvl>
    <w:lvl w:ilvl="3" w:tplc="E74CFC78">
      <w:start w:val="1"/>
      <w:numFmt w:val="bullet"/>
      <w:lvlText w:val=""/>
      <w:lvlJc w:val="left"/>
      <w:pPr>
        <w:ind w:left="2880" w:hanging="360"/>
      </w:pPr>
      <w:rPr>
        <w:rFonts w:ascii="Symbol" w:hAnsi="Symbol" w:hint="default"/>
      </w:rPr>
    </w:lvl>
    <w:lvl w:ilvl="4" w:tplc="28E66900">
      <w:start w:val="1"/>
      <w:numFmt w:val="bullet"/>
      <w:lvlText w:val="o"/>
      <w:lvlJc w:val="left"/>
      <w:pPr>
        <w:ind w:left="3600" w:hanging="360"/>
      </w:pPr>
      <w:rPr>
        <w:rFonts w:ascii="Courier New" w:hAnsi="Courier New" w:hint="default"/>
      </w:rPr>
    </w:lvl>
    <w:lvl w:ilvl="5" w:tplc="AF84C87E">
      <w:start w:val="1"/>
      <w:numFmt w:val="bullet"/>
      <w:lvlText w:val=""/>
      <w:lvlJc w:val="left"/>
      <w:pPr>
        <w:ind w:left="4320" w:hanging="360"/>
      </w:pPr>
      <w:rPr>
        <w:rFonts w:ascii="Wingdings" w:hAnsi="Wingdings" w:hint="default"/>
      </w:rPr>
    </w:lvl>
    <w:lvl w:ilvl="6" w:tplc="01F4474E">
      <w:start w:val="1"/>
      <w:numFmt w:val="bullet"/>
      <w:lvlText w:val=""/>
      <w:lvlJc w:val="left"/>
      <w:pPr>
        <w:ind w:left="5040" w:hanging="360"/>
      </w:pPr>
      <w:rPr>
        <w:rFonts w:ascii="Symbol" w:hAnsi="Symbol" w:hint="default"/>
      </w:rPr>
    </w:lvl>
    <w:lvl w:ilvl="7" w:tplc="FBCC8D86">
      <w:start w:val="1"/>
      <w:numFmt w:val="bullet"/>
      <w:lvlText w:val="o"/>
      <w:lvlJc w:val="left"/>
      <w:pPr>
        <w:ind w:left="5760" w:hanging="360"/>
      </w:pPr>
      <w:rPr>
        <w:rFonts w:ascii="Courier New" w:hAnsi="Courier New" w:hint="default"/>
      </w:rPr>
    </w:lvl>
    <w:lvl w:ilvl="8" w:tplc="B3F42934">
      <w:start w:val="1"/>
      <w:numFmt w:val="bullet"/>
      <w:lvlText w:val=""/>
      <w:lvlJc w:val="left"/>
      <w:pPr>
        <w:ind w:left="6480" w:hanging="360"/>
      </w:pPr>
      <w:rPr>
        <w:rFonts w:ascii="Wingdings" w:hAnsi="Wingdings" w:hint="default"/>
      </w:rPr>
    </w:lvl>
  </w:abstractNum>
  <w:abstractNum w:abstractNumId="25" w15:restartNumberingAfterBreak="0">
    <w:nsid w:val="509DE679"/>
    <w:multiLevelType w:val="hybridMultilevel"/>
    <w:tmpl w:val="FFFFFFFF"/>
    <w:lvl w:ilvl="0" w:tplc="3FF638D0">
      <w:start w:val="1"/>
      <w:numFmt w:val="bullet"/>
      <w:lvlText w:val=""/>
      <w:lvlJc w:val="left"/>
      <w:pPr>
        <w:ind w:left="720" w:hanging="360"/>
      </w:pPr>
      <w:rPr>
        <w:rFonts w:ascii="Symbol" w:hAnsi="Symbol" w:hint="default"/>
      </w:rPr>
    </w:lvl>
    <w:lvl w:ilvl="1" w:tplc="DA9C36CE">
      <w:start w:val="1"/>
      <w:numFmt w:val="bullet"/>
      <w:lvlText w:val="o"/>
      <w:lvlJc w:val="left"/>
      <w:pPr>
        <w:ind w:left="1440" w:hanging="360"/>
      </w:pPr>
      <w:rPr>
        <w:rFonts w:ascii="Courier New" w:hAnsi="Courier New" w:hint="default"/>
      </w:rPr>
    </w:lvl>
    <w:lvl w:ilvl="2" w:tplc="FEE8B262">
      <w:start w:val="1"/>
      <w:numFmt w:val="bullet"/>
      <w:lvlText w:val=""/>
      <w:lvlJc w:val="left"/>
      <w:pPr>
        <w:ind w:left="2160" w:hanging="360"/>
      </w:pPr>
      <w:rPr>
        <w:rFonts w:ascii="Wingdings" w:hAnsi="Wingdings" w:hint="default"/>
      </w:rPr>
    </w:lvl>
    <w:lvl w:ilvl="3" w:tplc="00763002">
      <w:start w:val="1"/>
      <w:numFmt w:val="bullet"/>
      <w:lvlText w:val=""/>
      <w:lvlJc w:val="left"/>
      <w:pPr>
        <w:ind w:left="2880" w:hanging="360"/>
      </w:pPr>
      <w:rPr>
        <w:rFonts w:ascii="Symbol" w:hAnsi="Symbol" w:hint="default"/>
      </w:rPr>
    </w:lvl>
    <w:lvl w:ilvl="4" w:tplc="49DA93F4">
      <w:start w:val="1"/>
      <w:numFmt w:val="bullet"/>
      <w:lvlText w:val="o"/>
      <w:lvlJc w:val="left"/>
      <w:pPr>
        <w:ind w:left="3600" w:hanging="360"/>
      </w:pPr>
      <w:rPr>
        <w:rFonts w:ascii="Courier New" w:hAnsi="Courier New" w:hint="default"/>
      </w:rPr>
    </w:lvl>
    <w:lvl w:ilvl="5" w:tplc="7CC2B662">
      <w:start w:val="1"/>
      <w:numFmt w:val="bullet"/>
      <w:lvlText w:val=""/>
      <w:lvlJc w:val="left"/>
      <w:pPr>
        <w:ind w:left="4320" w:hanging="360"/>
      </w:pPr>
      <w:rPr>
        <w:rFonts w:ascii="Wingdings" w:hAnsi="Wingdings" w:hint="default"/>
      </w:rPr>
    </w:lvl>
    <w:lvl w:ilvl="6" w:tplc="7C38FFEC">
      <w:start w:val="1"/>
      <w:numFmt w:val="bullet"/>
      <w:lvlText w:val=""/>
      <w:lvlJc w:val="left"/>
      <w:pPr>
        <w:ind w:left="5040" w:hanging="360"/>
      </w:pPr>
      <w:rPr>
        <w:rFonts w:ascii="Symbol" w:hAnsi="Symbol" w:hint="default"/>
      </w:rPr>
    </w:lvl>
    <w:lvl w:ilvl="7" w:tplc="852EA758">
      <w:start w:val="1"/>
      <w:numFmt w:val="bullet"/>
      <w:lvlText w:val="o"/>
      <w:lvlJc w:val="left"/>
      <w:pPr>
        <w:ind w:left="5760" w:hanging="360"/>
      </w:pPr>
      <w:rPr>
        <w:rFonts w:ascii="Courier New" w:hAnsi="Courier New" w:hint="default"/>
      </w:rPr>
    </w:lvl>
    <w:lvl w:ilvl="8" w:tplc="79FC21EE">
      <w:start w:val="1"/>
      <w:numFmt w:val="bullet"/>
      <w:lvlText w:val=""/>
      <w:lvlJc w:val="left"/>
      <w:pPr>
        <w:ind w:left="6480" w:hanging="360"/>
      </w:pPr>
      <w:rPr>
        <w:rFonts w:ascii="Wingdings" w:hAnsi="Wingdings" w:hint="default"/>
      </w:rPr>
    </w:lvl>
  </w:abstractNum>
  <w:abstractNum w:abstractNumId="26" w15:restartNumberingAfterBreak="0">
    <w:nsid w:val="5127A8D7"/>
    <w:multiLevelType w:val="hybridMultilevel"/>
    <w:tmpl w:val="FFFFFFFF"/>
    <w:lvl w:ilvl="0" w:tplc="FBD60B80">
      <w:start w:val="1"/>
      <w:numFmt w:val="bullet"/>
      <w:lvlText w:val=""/>
      <w:lvlJc w:val="left"/>
      <w:pPr>
        <w:ind w:left="720" w:hanging="360"/>
      </w:pPr>
      <w:rPr>
        <w:rFonts w:ascii="Symbol" w:hAnsi="Symbol" w:hint="default"/>
      </w:rPr>
    </w:lvl>
    <w:lvl w:ilvl="1" w:tplc="A7BC5792">
      <w:start w:val="1"/>
      <w:numFmt w:val="bullet"/>
      <w:lvlText w:val="o"/>
      <w:lvlJc w:val="left"/>
      <w:pPr>
        <w:ind w:left="1440" w:hanging="360"/>
      </w:pPr>
      <w:rPr>
        <w:rFonts w:ascii="Courier New" w:hAnsi="Courier New" w:hint="default"/>
      </w:rPr>
    </w:lvl>
    <w:lvl w:ilvl="2" w:tplc="DB7E29E8">
      <w:start w:val="1"/>
      <w:numFmt w:val="bullet"/>
      <w:lvlText w:val=""/>
      <w:lvlJc w:val="left"/>
      <w:pPr>
        <w:ind w:left="2160" w:hanging="360"/>
      </w:pPr>
      <w:rPr>
        <w:rFonts w:ascii="Wingdings" w:hAnsi="Wingdings" w:hint="default"/>
      </w:rPr>
    </w:lvl>
    <w:lvl w:ilvl="3" w:tplc="16C6FAC0">
      <w:start w:val="1"/>
      <w:numFmt w:val="bullet"/>
      <w:lvlText w:val=""/>
      <w:lvlJc w:val="left"/>
      <w:pPr>
        <w:ind w:left="2880" w:hanging="360"/>
      </w:pPr>
      <w:rPr>
        <w:rFonts w:ascii="Symbol" w:hAnsi="Symbol" w:hint="default"/>
      </w:rPr>
    </w:lvl>
    <w:lvl w:ilvl="4" w:tplc="2A4AC8DA">
      <w:start w:val="1"/>
      <w:numFmt w:val="bullet"/>
      <w:lvlText w:val="o"/>
      <w:lvlJc w:val="left"/>
      <w:pPr>
        <w:ind w:left="3600" w:hanging="360"/>
      </w:pPr>
      <w:rPr>
        <w:rFonts w:ascii="Courier New" w:hAnsi="Courier New" w:hint="default"/>
      </w:rPr>
    </w:lvl>
    <w:lvl w:ilvl="5" w:tplc="02E08F54">
      <w:start w:val="1"/>
      <w:numFmt w:val="bullet"/>
      <w:lvlText w:val=""/>
      <w:lvlJc w:val="left"/>
      <w:pPr>
        <w:ind w:left="4320" w:hanging="360"/>
      </w:pPr>
      <w:rPr>
        <w:rFonts w:ascii="Wingdings" w:hAnsi="Wingdings" w:hint="default"/>
      </w:rPr>
    </w:lvl>
    <w:lvl w:ilvl="6" w:tplc="F828CB4E">
      <w:start w:val="1"/>
      <w:numFmt w:val="bullet"/>
      <w:lvlText w:val=""/>
      <w:lvlJc w:val="left"/>
      <w:pPr>
        <w:ind w:left="5040" w:hanging="360"/>
      </w:pPr>
      <w:rPr>
        <w:rFonts w:ascii="Symbol" w:hAnsi="Symbol" w:hint="default"/>
      </w:rPr>
    </w:lvl>
    <w:lvl w:ilvl="7" w:tplc="EADA7432">
      <w:start w:val="1"/>
      <w:numFmt w:val="bullet"/>
      <w:lvlText w:val="o"/>
      <w:lvlJc w:val="left"/>
      <w:pPr>
        <w:ind w:left="5760" w:hanging="360"/>
      </w:pPr>
      <w:rPr>
        <w:rFonts w:ascii="Courier New" w:hAnsi="Courier New" w:hint="default"/>
      </w:rPr>
    </w:lvl>
    <w:lvl w:ilvl="8" w:tplc="1C2647C8">
      <w:start w:val="1"/>
      <w:numFmt w:val="bullet"/>
      <w:lvlText w:val=""/>
      <w:lvlJc w:val="left"/>
      <w:pPr>
        <w:ind w:left="6480" w:hanging="360"/>
      </w:pPr>
      <w:rPr>
        <w:rFonts w:ascii="Wingdings" w:hAnsi="Wingdings" w:hint="default"/>
      </w:rPr>
    </w:lvl>
  </w:abstractNum>
  <w:abstractNum w:abstractNumId="27" w15:restartNumberingAfterBreak="0">
    <w:nsid w:val="57313C9D"/>
    <w:multiLevelType w:val="multilevel"/>
    <w:tmpl w:val="1A92D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CD3FAE7"/>
    <w:multiLevelType w:val="hybridMultilevel"/>
    <w:tmpl w:val="FFFFFFFF"/>
    <w:lvl w:ilvl="0" w:tplc="2ACC4376">
      <w:start w:val="1"/>
      <w:numFmt w:val="bullet"/>
      <w:lvlText w:val=""/>
      <w:lvlJc w:val="left"/>
      <w:pPr>
        <w:ind w:left="720" w:hanging="360"/>
      </w:pPr>
      <w:rPr>
        <w:rFonts w:ascii="Symbol" w:hAnsi="Symbol" w:hint="default"/>
      </w:rPr>
    </w:lvl>
    <w:lvl w:ilvl="1" w:tplc="8168E8B6">
      <w:start w:val="1"/>
      <w:numFmt w:val="bullet"/>
      <w:lvlText w:val="o"/>
      <w:lvlJc w:val="left"/>
      <w:pPr>
        <w:ind w:left="1440" w:hanging="360"/>
      </w:pPr>
      <w:rPr>
        <w:rFonts w:ascii="Courier New" w:hAnsi="Courier New" w:hint="default"/>
      </w:rPr>
    </w:lvl>
    <w:lvl w:ilvl="2" w:tplc="39A28F24">
      <w:start w:val="1"/>
      <w:numFmt w:val="bullet"/>
      <w:lvlText w:val=""/>
      <w:lvlJc w:val="left"/>
      <w:pPr>
        <w:ind w:left="2160" w:hanging="360"/>
      </w:pPr>
      <w:rPr>
        <w:rFonts w:ascii="Wingdings" w:hAnsi="Wingdings" w:hint="default"/>
      </w:rPr>
    </w:lvl>
    <w:lvl w:ilvl="3" w:tplc="F09E5E64">
      <w:start w:val="1"/>
      <w:numFmt w:val="bullet"/>
      <w:lvlText w:val=""/>
      <w:lvlJc w:val="left"/>
      <w:pPr>
        <w:ind w:left="2880" w:hanging="360"/>
      </w:pPr>
      <w:rPr>
        <w:rFonts w:ascii="Symbol" w:hAnsi="Symbol" w:hint="default"/>
      </w:rPr>
    </w:lvl>
    <w:lvl w:ilvl="4" w:tplc="B9405270">
      <w:start w:val="1"/>
      <w:numFmt w:val="bullet"/>
      <w:lvlText w:val="o"/>
      <w:lvlJc w:val="left"/>
      <w:pPr>
        <w:ind w:left="3600" w:hanging="360"/>
      </w:pPr>
      <w:rPr>
        <w:rFonts w:ascii="Courier New" w:hAnsi="Courier New" w:hint="default"/>
      </w:rPr>
    </w:lvl>
    <w:lvl w:ilvl="5" w:tplc="19704CFC">
      <w:start w:val="1"/>
      <w:numFmt w:val="bullet"/>
      <w:lvlText w:val=""/>
      <w:lvlJc w:val="left"/>
      <w:pPr>
        <w:ind w:left="4320" w:hanging="360"/>
      </w:pPr>
      <w:rPr>
        <w:rFonts w:ascii="Wingdings" w:hAnsi="Wingdings" w:hint="default"/>
      </w:rPr>
    </w:lvl>
    <w:lvl w:ilvl="6" w:tplc="EC10CD72">
      <w:start w:val="1"/>
      <w:numFmt w:val="bullet"/>
      <w:lvlText w:val=""/>
      <w:lvlJc w:val="left"/>
      <w:pPr>
        <w:ind w:left="5040" w:hanging="360"/>
      </w:pPr>
      <w:rPr>
        <w:rFonts w:ascii="Symbol" w:hAnsi="Symbol" w:hint="default"/>
      </w:rPr>
    </w:lvl>
    <w:lvl w:ilvl="7" w:tplc="49989ECC">
      <w:start w:val="1"/>
      <w:numFmt w:val="bullet"/>
      <w:lvlText w:val="o"/>
      <w:lvlJc w:val="left"/>
      <w:pPr>
        <w:ind w:left="5760" w:hanging="360"/>
      </w:pPr>
      <w:rPr>
        <w:rFonts w:ascii="Courier New" w:hAnsi="Courier New" w:hint="default"/>
      </w:rPr>
    </w:lvl>
    <w:lvl w:ilvl="8" w:tplc="70CCC3EC">
      <w:start w:val="1"/>
      <w:numFmt w:val="bullet"/>
      <w:lvlText w:val=""/>
      <w:lvlJc w:val="left"/>
      <w:pPr>
        <w:ind w:left="6480" w:hanging="360"/>
      </w:pPr>
      <w:rPr>
        <w:rFonts w:ascii="Wingdings" w:hAnsi="Wingdings" w:hint="default"/>
      </w:rPr>
    </w:lvl>
  </w:abstractNum>
  <w:abstractNum w:abstractNumId="29" w15:restartNumberingAfterBreak="0">
    <w:nsid w:val="5DA13214"/>
    <w:multiLevelType w:val="hybridMultilevel"/>
    <w:tmpl w:val="FFFFFFFF"/>
    <w:lvl w:ilvl="0" w:tplc="15C8FCB4">
      <w:start w:val="1"/>
      <w:numFmt w:val="bullet"/>
      <w:lvlText w:val="·"/>
      <w:lvlJc w:val="left"/>
      <w:pPr>
        <w:ind w:left="720" w:hanging="360"/>
      </w:pPr>
      <w:rPr>
        <w:rFonts w:ascii="Calibri, sans-serif" w:hAnsi="Calibri, sans-serif" w:hint="default"/>
      </w:rPr>
    </w:lvl>
    <w:lvl w:ilvl="1" w:tplc="10AAA9BA">
      <w:start w:val="1"/>
      <w:numFmt w:val="bullet"/>
      <w:lvlText w:val="o"/>
      <w:lvlJc w:val="left"/>
      <w:pPr>
        <w:ind w:left="1440" w:hanging="360"/>
      </w:pPr>
      <w:rPr>
        <w:rFonts w:ascii="Calibri, sans-serif" w:hAnsi="Calibri, sans-serif" w:hint="default"/>
      </w:rPr>
    </w:lvl>
    <w:lvl w:ilvl="2" w:tplc="C70CB01A">
      <w:start w:val="1"/>
      <w:numFmt w:val="bullet"/>
      <w:lvlText w:val=""/>
      <w:lvlJc w:val="left"/>
      <w:pPr>
        <w:ind w:left="2160" w:hanging="360"/>
      </w:pPr>
      <w:rPr>
        <w:rFonts w:ascii="Wingdings" w:hAnsi="Wingdings" w:hint="default"/>
      </w:rPr>
    </w:lvl>
    <w:lvl w:ilvl="3" w:tplc="40601318">
      <w:start w:val="1"/>
      <w:numFmt w:val="bullet"/>
      <w:lvlText w:val=""/>
      <w:lvlJc w:val="left"/>
      <w:pPr>
        <w:ind w:left="2880" w:hanging="360"/>
      </w:pPr>
      <w:rPr>
        <w:rFonts w:ascii="Symbol" w:hAnsi="Symbol" w:hint="default"/>
      </w:rPr>
    </w:lvl>
    <w:lvl w:ilvl="4" w:tplc="DC2E7F4E">
      <w:start w:val="1"/>
      <w:numFmt w:val="bullet"/>
      <w:lvlText w:val="o"/>
      <w:lvlJc w:val="left"/>
      <w:pPr>
        <w:ind w:left="3600" w:hanging="360"/>
      </w:pPr>
      <w:rPr>
        <w:rFonts w:ascii="Courier New" w:hAnsi="Courier New" w:hint="default"/>
      </w:rPr>
    </w:lvl>
    <w:lvl w:ilvl="5" w:tplc="7416146E">
      <w:start w:val="1"/>
      <w:numFmt w:val="bullet"/>
      <w:lvlText w:val=""/>
      <w:lvlJc w:val="left"/>
      <w:pPr>
        <w:ind w:left="4320" w:hanging="360"/>
      </w:pPr>
      <w:rPr>
        <w:rFonts w:ascii="Wingdings" w:hAnsi="Wingdings" w:hint="default"/>
      </w:rPr>
    </w:lvl>
    <w:lvl w:ilvl="6" w:tplc="0E8423DA">
      <w:start w:val="1"/>
      <w:numFmt w:val="bullet"/>
      <w:lvlText w:val=""/>
      <w:lvlJc w:val="left"/>
      <w:pPr>
        <w:ind w:left="5040" w:hanging="360"/>
      </w:pPr>
      <w:rPr>
        <w:rFonts w:ascii="Symbol" w:hAnsi="Symbol" w:hint="default"/>
      </w:rPr>
    </w:lvl>
    <w:lvl w:ilvl="7" w:tplc="B6600B42">
      <w:start w:val="1"/>
      <w:numFmt w:val="bullet"/>
      <w:lvlText w:val="o"/>
      <w:lvlJc w:val="left"/>
      <w:pPr>
        <w:ind w:left="5760" w:hanging="360"/>
      </w:pPr>
      <w:rPr>
        <w:rFonts w:ascii="Courier New" w:hAnsi="Courier New" w:hint="default"/>
      </w:rPr>
    </w:lvl>
    <w:lvl w:ilvl="8" w:tplc="5CF6C64C">
      <w:start w:val="1"/>
      <w:numFmt w:val="bullet"/>
      <w:lvlText w:val=""/>
      <w:lvlJc w:val="left"/>
      <w:pPr>
        <w:ind w:left="6480" w:hanging="360"/>
      </w:pPr>
      <w:rPr>
        <w:rFonts w:ascii="Wingdings" w:hAnsi="Wingdings" w:hint="default"/>
      </w:rPr>
    </w:lvl>
  </w:abstractNum>
  <w:abstractNum w:abstractNumId="30" w15:restartNumberingAfterBreak="0">
    <w:nsid w:val="63349098"/>
    <w:multiLevelType w:val="hybridMultilevel"/>
    <w:tmpl w:val="FFFFFFFF"/>
    <w:lvl w:ilvl="0" w:tplc="14D0BA90">
      <w:start w:val="1"/>
      <w:numFmt w:val="bullet"/>
      <w:lvlText w:val=""/>
      <w:lvlJc w:val="left"/>
      <w:pPr>
        <w:ind w:left="720" w:hanging="360"/>
      </w:pPr>
      <w:rPr>
        <w:rFonts w:ascii="Symbol" w:hAnsi="Symbol" w:hint="default"/>
      </w:rPr>
    </w:lvl>
    <w:lvl w:ilvl="1" w:tplc="C8BA44FA">
      <w:start w:val="1"/>
      <w:numFmt w:val="bullet"/>
      <w:lvlText w:val="o"/>
      <w:lvlJc w:val="left"/>
      <w:pPr>
        <w:ind w:left="1440" w:hanging="360"/>
      </w:pPr>
      <w:rPr>
        <w:rFonts w:ascii="Courier New" w:hAnsi="Courier New" w:hint="default"/>
      </w:rPr>
    </w:lvl>
    <w:lvl w:ilvl="2" w:tplc="B6D6DC26">
      <w:start w:val="1"/>
      <w:numFmt w:val="bullet"/>
      <w:lvlText w:val=""/>
      <w:lvlJc w:val="left"/>
      <w:pPr>
        <w:ind w:left="2160" w:hanging="360"/>
      </w:pPr>
      <w:rPr>
        <w:rFonts w:ascii="Wingdings" w:hAnsi="Wingdings" w:hint="default"/>
      </w:rPr>
    </w:lvl>
    <w:lvl w:ilvl="3" w:tplc="54DC05A2">
      <w:start w:val="1"/>
      <w:numFmt w:val="bullet"/>
      <w:lvlText w:val=""/>
      <w:lvlJc w:val="left"/>
      <w:pPr>
        <w:ind w:left="2880" w:hanging="360"/>
      </w:pPr>
      <w:rPr>
        <w:rFonts w:ascii="Symbol" w:hAnsi="Symbol" w:hint="default"/>
      </w:rPr>
    </w:lvl>
    <w:lvl w:ilvl="4" w:tplc="83EEA180">
      <w:start w:val="1"/>
      <w:numFmt w:val="bullet"/>
      <w:lvlText w:val="o"/>
      <w:lvlJc w:val="left"/>
      <w:pPr>
        <w:ind w:left="3600" w:hanging="360"/>
      </w:pPr>
      <w:rPr>
        <w:rFonts w:ascii="Courier New" w:hAnsi="Courier New" w:hint="default"/>
      </w:rPr>
    </w:lvl>
    <w:lvl w:ilvl="5" w:tplc="39446F40">
      <w:start w:val="1"/>
      <w:numFmt w:val="bullet"/>
      <w:lvlText w:val=""/>
      <w:lvlJc w:val="left"/>
      <w:pPr>
        <w:ind w:left="4320" w:hanging="360"/>
      </w:pPr>
      <w:rPr>
        <w:rFonts w:ascii="Wingdings" w:hAnsi="Wingdings" w:hint="default"/>
      </w:rPr>
    </w:lvl>
    <w:lvl w:ilvl="6" w:tplc="7424F87A">
      <w:start w:val="1"/>
      <w:numFmt w:val="bullet"/>
      <w:lvlText w:val=""/>
      <w:lvlJc w:val="left"/>
      <w:pPr>
        <w:ind w:left="5040" w:hanging="360"/>
      </w:pPr>
      <w:rPr>
        <w:rFonts w:ascii="Symbol" w:hAnsi="Symbol" w:hint="default"/>
      </w:rPr>
    </w:lvl>
    <w:lvl w:ilvl="7" w:tplc="0B58978A">
      <w:start w:val="1"/>
      <w:numFmt w:val="bullet"/>
      <w:lvlText w:val="o"/>
      <w:lvlJc w:val="left"/>
      <w:pPr>
        <w:ind w:left="5760" w:hanging="360"/>
      </w:pPr>
      <w:rPr>
        <w:rFonts w:ascii="Courier New" w:hAnsi="Courier New" w:hint="default"/>
      </w:rPr>
    </w:lvl>
    <w:lvl w:ilvl="8" w:tplc="30EAFA4A">
      <w:start w:val="1"/>
      <w:numFmt w:val="bullet"/>
      <w:lvlText w:val=""/>
      <w:lvlJc w:val="left"/>
      <w:pPr>
        <w:ind w:left="6480" w:hanging="360"/>
      </w:pPr>
      <w:rPr>
        <w:rFonts w:ascii="Wingdings" w:hAnsi="Wingdings" w:hint="default"/>
      </w:rPr>
    </w:lvl>
  </w:abstractNum>
  <w:abstractNum w:abstractNumId="31" w15:restartNumberingAfterBreak="0">
    <w:nsid w:val="65B6D340"/>
    <w:multiLevelType w:val="hybridMultilevel"/>
    <w:tmpl w:val="FFFFFFFF"/>
    <w:lvl w:ilvl="0" w:tplc="FAD8B83C">
      <w:start w:val="1"/>
      <w:numFmt w:val="bullet"/>
      <w:lvlText w:val=""/>
      <w:lvlJc w:val="left"/>
      <w:pPr>
        <w:ind w:left="720" w:hanging="360"/>
      </w:pPr>
      <w:rPr>
        <w:rFonts w:ascii="Symbol" w:hAnsi="Symbol" w:hint="default"/>
      </w:rPr>
    </w:lvl>
    <w:lvl w:ilvl="1" w:tplc="8C1A4FC6">
      <w:start w:val="1"/>
      <w:numFmt w:val="bullet"/>
      <w:lvlText w:val="o"/>
      <w:lvlJc w:val="left"/>
      <w:pPr>
        <w:ind w:left="1440" w:hanging="360"/>
      </w:pPr>
      <w:rPr>
        <w:rFonts w:ascii="Courier New" w:hAnsi="Courier New" w:hint="default"/>
      </w:rPr>
    </w:lvl>
    <w:lvl w:ilvl="2" w:tplc="D204627E">
      <w:start w:val="1"/>
      <w:numFmt w:val="bullet"/>
      <w:lvlText w:val=""/>
      <w:lvlJc w:val="left"/>
      <w:pPr>
        <w:ind w:left="2160" w:hanging="360"/>
      </w:pPr>
      <w:rPr>
        <w:rFonts w:ascii="Wingdings" w:hAnsi="Wingdings" w:hint="default"/>
      </w:rPr>
    </w:lvl>
    <w:lvl w:ilvl="3" w:tplc="19A405E8">
      <w:start w:val="1"/>
      <w:numFmt w:val="bullet"/>
      <w:lvlText w:val=""/>
      <w:lvlJc w:val="left"/>
      <w:pPr>
        <w:ind w:left="2880" w:hanging="360"/>
      </w:pPr>
      <w:rPr>
        <w:rFonts w:ascii="Symbol" w:hAnsi="Symbol" w:hint="default"/>
      </w:rPr>
    </w:lvl>
    <w:lvl w:ilvl="4" w:tplc="E334FCAA">
      <w:start w:val="1"/>
      <w:numFmt w:val="bullet"/>
      <w:lvlText w:val="o"/>
      <w:lvlJc w:val="left"/>
      <w:pPr>
        <w:ind w:left="3600" w:hanging="360"/>
      </w:pPr>
      <w:rPr>
        <w:rFonts w:ascii="Courier New" w:hAnsi="Courier New" w:hint="default"/>
      </w:rPr>
    </w:lvl>
    <w:lvl w:ilvl="5" w:tplc="8DD6B148">
      <w:start w:val="1"/>
      <w:numFmt w:val="bullet"/>
      <w:lvlText w:val=""/>
      <w:lvlJc w:val="left"/>
      <w:pPr>
        <w:ind w:left="4320" w:hanging="360"/>
      </w:pPr>
      <w:rPr>
        <w:rFonts w:ascii="Wingdings" w:hAnsi="Wingdings" w:hint="default"/>
      </w:rPr>
    </w:lvl>
    <w:lvl w:ilvl="6" w:tplc="92A89D84">
      <w:start w:val="1"/>
      <w:numFmt w:val="bullet"/>
      <w:lvlText w:val=""/>
      <w:lvlJc w:val="left"/>
      <w:pPr>
        <w:ind w:left="5040" w:hanging="360"/>
      </w:pPr>
      <w:rPr>
        <w:rFonts w:ascii="Symbol" w:hAnsi="Symbol" w:hint="default"/>
      </w:rPr>
    </w:lvl>
    <w:lvl w:ilvl="7" w:tplc="4ACCD08E">
      <w:start w:val="1"/>
      <w:numFmt w:val="bullet"/>
      <w:lvlText w:val="o"/>
      <w:lvlJc w:val="left"/>
      <w:pPr>
        <w:ind w:left="5760" w:hanging="360"/>
      </w:pPr>
      <w:rPr>
        <w:rFonts w:ascii="Courier New" w:hAnsi="Courier New" w:hint="default"/>
      </w:rPr>
    </w:lvl>
    <w:lvl w:ilvl="8" w:tplc="957635CE">
      <w:start w:val="1"/>
      <w:numFmt w:val="bullet"/>
      <w:lvlText w:val=""/>
      <w:lvlJc w:val="left"/>
      <w:pPr>
        <w:ind w:left="6480" w:hanging="360"/>
      </w:pPr>
      <w:rPr>
        <w:rFonts w:ascii="Wingdings" w:hAnsi="Wingdings" w:hint="default"/>
      </w:rPr>
    </w:lvl>
  </w:abstractNum>
  <w:abstractNum w:abstractNumId="32" w15:restartNumberingAfterBreak="0">
    <w:nsid w:val="6BAB6633"/>
    <w:multiLevelType w:val="hybridMultilevel"/>
    <w:tmpl w:val="FFFFFFFF"/>
    <w:lvl w:ilvl="0" w:tplc="1D62C3C4">
      <w:start w:val="1"/>
      <w:numFmt w:val="bullet"/>
      <w:lvlText w:val="-"/>
      <w:lvlJc w:val="left"/>
      <w:pPr>
        <w:ind w:left="720" w:hanging="360"/>
      </w:pPr>
      <w:rPr>
        <w:rFonts w:ascii="Aptos" w:hAnsi="Aptos" w:hint="default"/>
      </w:rPr>
    </w:lvl>
    <w:lvl w:ilvl="1" w:tplc="CAC6A20E">
      <w:start w:val="1"/>
      <w:numFmt w:val="bullet"/>
      <w:lvlText w:val="o"/>
      <w:lvlJc w:val="left"/>
      <w:pPr>
        <w:ind w:left="1440" w:hanging="360"/>
      </w:pPr>
      <w:rPr>
        <w:rFonts w:ascii="Courier New" w:hAnsi="Courier New" w:hint="default"/>
      </w:rPr>
    </w:lvl>
    <w:lvl w:ilvl="2" w:tplc="8A069AC8">
      <w:start w:val="1"/>
      <w:numFmt w:val="bullet"/>
      <w:lvlText w:val=""/>
      <w:lvlJc w:val="left"/>
      <w:pPr>
        <w:ind w:left="2160" w:hanging="360"/>
      </w:pPr>
      <w:rPr>
        <w:rFonts w:ascii="Wingdings" w:hAnsi="Wingdings" w:hint="default"/>
      </w:rPr>
    </w:lvl>
    <w:lvl w:ilvl="3" w:tplc="72D8404A">
      <w:start w:val="1"/>
      <w:numFmt w:val="bullet"/>
      <w:lvlText w:val=""/>
      <w:lvlJc w:val="left"/>
      <w:pPr>
        <w:ind w:left="2880" w:hanging="360"/>
      </w:pPr>
      <w:rPr>
        <w:rFonts w:ascii="Symbol" w:hAnsi="Symbol" w:hint="default"/>
      </w:rPr>
    </w:lvl>
    <w:lvl w:ilvl="4" w:tplc="E17E35DA">
      <w:start w:val="1"/>
      <w:numFmt w:val="bullet"/>
      <w:lvlText w:val="o"/>
      <w:lvlJc w:val="left"/>
      <w:pPr>
        <w:ind w:left="3600" w:hanging="360"/>
      </w:pPr>
      <w:rPr>
        <w:rFonts w:ascii="Courier New" w:hAnsi="Courier New" w:hint="default"/>
      </w:rPr>
    </w:lvl>
    <w:lvl w:ilvl="5" w:tplc="75E8E130">
      <w:start w:val="1"/>
      <w:numFmt w:val="bullet"/>
      <w:lvlText w:val=""/>
      <w:lvlJc w:val="left"/>
      <w:pPr>
        <w:ind w:left="4320" w:hanging="360"/>
      </w:pPr>
      <w:rPr>
        <w:rFonts w:ascii="Wingdings" w:hAnsi="Wingdings" w:hint="default"/>
      </w:rPr>
    </w:lvl>
    <w:lvl w:ilvl="6" w:tplc="8230FC88">
      <w:start w:val="1"/>
      <w:numFmt w:val="bullet"/>
      <w:lvlText w:val=""/>
      <w:lvlJc w:val="left"/>
      <w:pPr>
        <w:ind w:left="5040" w:hanging="360"/>
      </w:pPr>
      <w:rPr>
        <w:rFonts w:ascii="Symbol" w:hAnsi="Symbol" w:hint="default"/>
      </w:rPr>
    </w:lvl>
    <w:lvl w:ilvl="7" w:tplc="8806F24C">
      <w:start w:val="1"/>
      <w:numFmt w:val="bullet"/>
      <w:lvlText w:val="o"/>
      <w:lvlJc w:val="left"/>
      <w:pPr>
        <w:ind w:left="5760" w:hanging="360"/>
      </w:pPr>
      <w:rPr>
        <w:rFonts w:ascii="Courier New" w:hAnsi="Courier New" w:hint="default"/>
      </w:rPr>
    </w:lvl>
    <w:lvl w:ilvl="8" w:tplc="1230136C">
      <w:start w:val="1"/>
      <w:numFmt w:val="bullet"/>
      <w:lvlText w:val=""/>
      <w:lvlJc w:val="left"/>
      <w:pPr>
        <w:ind w:left="6480" w:hanging="360"/>
      </w:pPr>
      <w:rPr>
        <w:rFonts w:ascii="Wingdings" w:hAnsi="Wingdings" w:hint="default"/>
      </w:rPr>
    </w:lvl>
  </w:abstractNum>
  <w:abstractNum w:abstractNumId="33" w15:restartNumberingAfterBreak="0">
    <w:nsid w:val="6E8D449E"/>
    <w:multiLevelType w:val="hybridMultilevel"/>
    <w:tmpl w:val="FFFFFFFF"/>
    <w:lvl w:ilvl="0" w:tplc="13D06B48">
      <w:start w:val="1"/>
      <w:numFmt w:val="bullet"/>
      <w:lvlText w:val="·"/>
      <w:lvlJc w:val="left"/>
      <w:pPr>
        <w:ind w:left="720" w:hanging="360"/>
      </w:pPr>
      <w:rPr>
        <w:rFonts w:ascii="Calibri, sans-serif" w:hAnsi="Calibri, sans-serif" w:hint="default"/>
      </w:rPr>
    </w:lvl>
    <w:lvl w:ilvl="1" w:tplc="3EF4826E">
      <w:start w:val="1"/>
      <w:numFmt w:val="bullet"/>
      <w:lvlText w:val="o"/>
      <w:lvlJc w:val="left"/>
      <w:pPr>
        <w:ind w:left="1440" w:hanging="360"/>
      </w:pPr>
      <w:rPr>
        <w:rFonts w:ascii="Courier New" w:hAnsi="Courier New" w:hint="default"/>
      </w:rPr>
    </w:lvl>
    <w:lvl w:ilvl="2" w:tplc="340E72BE">
      <w:start w:val="1"/>
      <w:numFmt w:val="bullet"/>
      <w:lvlText w:val=""/>
      <w:lvlJc w:val="left"/>
      <w:pPr>
        <w:ind w:left="2160" w:hanging="360"/>
      </w:pPr>
      <w:rPr>
        <w:rFonts w:ascii="Wingdings" w:hAnsi="Wingdings" w:hint="default"/>
      </w:rPr>
    </w:lvl>
    <w:lvl w:ilvl="3" w:tplc="704A611A">
      <w:start w:val="1"/>
      <w:numFmt w:val="bullet"/>
      <w:lvlText w:val=""/>
      <w:lvlJc w:val="left"/>
      <w:pPr>
        <w:ind w:left="2880" w:hanging="360"/>
      </w:pPr>
      <w:rPr>
        <w:rFonts w:ascii="Symbol" w:hAnsi="Symbol" w:hint="default"/>
      </w:rPr>
    </w:lvl>
    <w:lvl w:ilvl="4" w:tplc="B322BAB8">
      <w:start w:val="1"/>
      <w:numFmt w:val="bullet"/>
      <w:lvlText w:val="o"/>
      <w:lvlJc w:val="left"/>
      <w:pPr>
        <w:ind w:left="3600" w:hanging="360"/>
      </w:pPr>
      <w:rPr>
        <w:rFonts w:ascii="Courier New" w:hAnsi="Courier New" w:hint="default"/>
      </w:rPr>
    </w:lvl>
    <w:lvl w:ilvl="5" w:tplc="A17452A6">
      <w:start w:val="1"/>
      <w:numFmt w:val="bullet"/>
      <w:lvlText w:val=""/>
      <w:lvlJc w:val="left"/>
      <w:pPr>
        <w:ind w:left="4320" w:hanging="360"/>
      </w:pPr>
      <w:rPr>
        <w:rFonts w:ascii="Wingdings" w:hAnsi="Wingdings" w:hint="default"/>
      </w:rPr>
    </w:lvl>
    <w:lvl w:ilvl="6" w:tplc="FD12463C">
      <w:start w:val="1"/>
      <w:numFmt w:val="bullet"/>
      <w:lvlText w:val=""/>
      <w:lvlJc w:val="left"/>
      <w:pPr>
        <w:ind w:left="5040" w:hanging="360"/>
      </w:pPr>
      <w:rPr>
        <w:rFonts w:ascii="Symbol" w:hAnsi="Symbol" w:hint="default"/>
      </w:rPr>
    </w:lvl>
    <w:lvl w:ilvl="7" w:tplc="B9EC113E">
      <w:start w:val="1"/>
      <w:numFmt w:val="bullet"/>
      <w:lvlText w:val="o"/>
      <w:lvlJc w:val="left"/>
      <w:pPr>
        <w:ind w:left="5760" w:hanging="360"/>
      </w:pPr>
      <w:rPr>
        <w:rFonts w:ascii="Courier New" w:hAnsi="Courier New" w:hint="default"/>
      </w:rPr>
    </w:lvl>
    <w:lvl w:ilvl="8" w:tplc="FE0CB42C">
      <w:start w:val="1"/>
      <w:numFmt w:val="bullet"/>
      <w:lvlText w:val=""/>
      <w:lvlJc w:val="left"/>
      <w:pPr>
        <w:ind w:left="6480" w:hanging="360"/>
      </w:pPr>
      <w:rPr>
        <w:rFonts w:ascii="Wingdings" w:hAnsi="Wingdings" w:hint="default"/>
      </w:rPr>
    </w:lvl>
  </w:abstractNum>
  <w:abstractNum w:abstractNumId="34" w15:restartNumberingAfterBreak="0">
    <w:nsid w:val="7C9A01AF"/>
    <w:multiLevelType w:val="hybridMultilevel"/>
    <w:tmpl w:val="FECC7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F2BBF9"/>
    <w:multiLevelType w:val="hybridMultilevel"/>
    <w:tmpl w:val="FFFFFFFF"/>
    <w:lvl w:ilvl="0" w:tplc="C164C212">
      <w:start w:val="1"/>
      <w:numFmt w:val="bullet"/>
      <w:lvlText w:val=""/>
      <w:lvlJc w:val="left"/>
      <w:pPr>
        <w:ind w:left="720" w:hanging="360"/>
      </w:pPr>
      <w:rPr>
        <w:rFonts w:ascii="Symbol" w:hAnsi="Symbol" w:hint="default"/>
      </w:rPr>
    </w:lvl>
    <w:lvl w:ilvl="1" w:tplc="CFD81FDE">
      <w:start w:val="1"/>
      <w:numFmt w:val="bullet"/>
      <w:lvlText w:val="o"/>
      <w:lvlJc w:val="left"/>
      <w:pPr>
        <w:ind w:left="1440" w:hanging="360"/>
      </w:pPr>
      <w:rPr>
        <w:rFonts w:ascii="Courier New" w:hAnsi="Courier New" w:hint="default"/>
      </w:rPr>
    </w:lvl>
    <w:lvl w:ilvl="2" w:tplc="E7182BA4">
      <w:start w:val="1"/>
      <w:numFmt w:val="bullet"/>
      <w:lvlText w:val=""/>
      <w:lvlJc w:val="left"/>
      <w:pPr>
        <w:ind w:left="2160" w:hanging="360"/>
      </w:pPr>
      <w:rPr>
        <w:rFonts w:ascii="Wingdings" w:hAnsi="Wingdings" w:hint="default"/>
      </w:rPr>
    </w:lvl>
    <w:lvl w:ilvl="3" w:tplc="9F284CEE">
      <w:start w:val="1"/>
      <w:numFmt w:val="bullet"/>
      <w:lvlText w:val=""/>
      <w:lvlJc w:val="left"/>
      <w:pPr>
        <w:ind w:left="2880" w:hanging="360"/>
      </w:pPr>
      <w:rPr>
        <w:rFonts w:ascii="Symbol" w:hAnsi="Symbol" w:hint="default"/>
      </w:rPr>
    </w:lvl>
    <w:lvl w:ilvl="4" w:tplc="A8F42102">
      <w:start w:val="1"/>
      <w:numFmt w:val="bullet"/>
      <w:lvlText w:val="o"/>
      <w:lvlJc w:val="left"/>
      <w:pPr>
        <w:ind w:left="3600" w:hanging="360"/>
      </w:pPr>
      <w:rPr>
        <w:rFonts w:ascii="Courier New" w:hAnsi="Courier New" w:hint="default"/>
      </w:rPr>
    </w:lvl>
    <w:lvl w:ilvl="5" w:tplc="B236611A">
      <w:start w:val="1"/>
      <w:numFmt w:val="bullet"/>
      <w:lvlText w:val=""/>
      <w:lvlJc w:val="left"/>
      <w:pPr>
        <w:ind w:left="4320" w:hanging="360"/>
      </w:pPr>
      <w:rPr>
        <w:rFonts w:ascii="Wingdings" w:hAnsi="Wingdings" w:hint="default"/>
      </w:rPr>
    </w:lvl>
    <w:lvl w:ilvl="6" w:tplc="A8F8C662">
      <w:start w:val="1"/>
      <w:numFmt w:val="bullet"/>
      <w:lvlText w:val=""/>
      <w:lvlJc w:val="left"/>
      <w:pPr>
        <w:ind w:left="5040" w:hanging="360"/>
      </w:pPr>
      <w:rPr>
        <w:rFonts w:ascii="Symbol" w:hAnsi="Symbol" w:hint="default"/>
      </w:rPr>
    </w:lvl>
    <w:lvl w:ilvl="7" w:tplc="4E50A652">
      <w:start w:val="1"/>
      <w:numFmt w:val="bullet"/>
      <w:lvlText w:val="o"/>
      <w:lvlJc w:val="left"/>
      <w:pPr>
        <w:ind w:left="5760" w:hanging="360"/>
      </w:pPr>
      <w:rPr>
        <w:rFonts w:ascii="Courier New" w:hAnsi="Courier New" w:hint="default"/>
      </w:rPr>
    </w:lvl>
    <w:lvl w:ilvl="8" w:tplc="3C167BB0">
      <w:start w:val="1"/>
      <w:numFmt w:val="bullet"/>
      <w:lvlText w:val=""/>
      <w:lvlJc w:val="left"/>
      <w:pPr>
        <w:ind w:left="6480" w:hanging="360"/>
      </w:pPr>
      <w:rPr>
        <w:rFonts w:ascii="Wingdings" w:hAnsi="Wingdings" w:hint="default"/>
      </w:rPr>
    </w:lvl>
  </w:abstractNum>
  <w:abstractNum w:abstractNumId="36" w15:restartNumberingAfterBreak="0">
    <w:nsid w:val="7E441710"/>
    <w:multiLevelType w:val="hybridMultilevel"/>
    <w:tmpl w:val="FFFFFFFF"/>
    <w:lvl w:ilvl="0" w:tplc="E9DE7028">
      <w:start w:val="1"/>
      <w:numFmt w:val="bullet"/>
      <w:lvlText w:val="·"/>
      <w:lvlJc w:val="left"/>
      <w:pPr>
        <w:ind w:left="720" w:hanging="360"/>
      </w:pPr>
      <w:rPr>
        <w:rFonts w:ascii="Calibri, sans-serif" w:hAnsi="Calibri, sans-serif" w:hint="default"/>
      </w:rPr>
    </w:lvl>
    <w:lvl w:ilvl="1" w:tplc="1EC4B3CA">
      <w:start w:val="1"/>
      <w:numFmt w:val="bullet"/>
      <w:lvlText w:val="o"/>
      <w:lvlJc w:val="left"/>
      <w:pPr>
        <w:ind w:left="1440" w:hanging="360"/>
      </w:pPr>
      <w:rPr>
        <w:rFonts w:ascii="Calibri, sans-serif" w:hAnsi="Calibri, sans-serif" w:hint="default"/>
      </w:rPr>
    </w:lvl>
    <w:lvl w:ilvl="2" w:tplc="B906C952">
      <w:start w:val="1"/>
      <w:numFmt w:val="bullet"/>
      <w:lvlText w:val=""/>
      <w:lvlJc w:val="left"/>
      <w:pPr>
        <w:ind w:left="2160" w:hanging="360"/>
      </w:pPr>
      <w:rPr>
        <w:rFonts w:ascii="Wingdings" w:hAnsi="Wingdings" w:hint="default"/>
      </w:rPr>
    </w:lvl>
    <w:lvl w:ilvl="3" w:tplc="D0C6B436">
      <w:start w:val="1"/>
      <w:numFmt w:val="bullet"/>
      <w:lvlText w:val=""/>
      <w:lvlJc w:val="left"/>
      <w:pPr>
        <w:ind w:left="2880" w:hanging="360"/>
      </w:pPr>
      <w:rPr>
        <w:rFonts w:ascii="Symbol" w:hAnsi="Symbol" w:hint="default"/>
      </w:rPr>
    </w:lvl>
    <w:lvl w:ilvl="4" w:tplc="2736AD88">
      <w:start w:val="1"/>
      <w:numFmt w:val="bullet"/>
      <w:lvlText w:val="o"/>
      <w:lvlJc w:val="left"/>
      <w:pPr>
        <w:ind w:left="3600" w:hanging="360"/>
      </w:pPr>
      <w:rPr>
        <w:rFonts w:ascii="Courier New" w:hAnsi="Courier New" w:hint="default"/>
      </w:rPr>
    </w:lvl>
    <w:lvl w:ilvl="5" w:tplc="B7F02712">
      <w:start w:val="1"/>
      <w:numFmt w:val="bullet"/>
      <w:lvlText w:val=""/>
      <w:lvlJc w:val="left"/>
      <w:pPr>
        <w:ind w:left="4320" w:hanging="360"/>
      </w:pPr>
      <w:rPr>
        <w:rFonts w:ascii="Wingdings" w:hAnsi="Wingdings" w:hint="default"/>
      </w:rPr>
    </w:lvl>
    <w:lvl w:ilvl="6" w:tplc="38E62800">
      <w:start w:val="1"/>
      <w:numFmt w:val="bullet"/>
      <w:lvlText w:val=""/>
      <w:lvlJc w:val="left"/>
      <w:pPr>
        <w:ind w:left="5040" w:hanging="360"/>
      </w:pPr>
      <w:rPr>
        <w:rFonts w:ascii="Symbol" w:hAnsi="Symbol" w:hint="default"/>
      </w:rPr>
    </w:lvl>
    <w:lvl w:ilvl="7" w:tplc="FCE467AA">
      <w:start w:val="1"/>
      <w:numFmt w:val="bullet"/>
      <w:lvlText w:val="o"/>
      <w:lvlJc w:val="left"/>
      <w:pPr>
        <w:ind w:left="5760" w:hanging="360"/>
      </w:pPr>
      <w:rPr>
        <w:rFonts w:ascii="Courier New" w:hAnsi="Courier New" w:hint="default"/>
      </w:rPr>
    </w:lvl>
    <w:lvl w:ilvl="8" w:tplc="69AEC112">
      <w:start w:val="1"/>
      <w:numFmt w:val="bullet"/>
      <w:lvlText w:val=""/>
      <w:lvlJc w:val="left"/>
      <w:pPr>
        <w:ind w:left="6480" w:hanging="360"/>
      </w:pPr>
      <w:rPr>
        <w:rFonts w:ascii="Wingdings" w:hAnsi="Wingdings" w:hint="default"/>
      </w:rPr>
    </w:lvl>
  </w:abstractNum>
  <w:num w:numId="1" w16cid:durableId="827407837">
    <w:abstractNumId w:val="34"/>
  </w:num>
  <w:num w:numId="2" w16cid:durableId="1009259874">
    <w:abstractNumId w:val="3"/>
  </w:num>
  <w:num w:numId="3" w16cid:durableId="1458988691">
    <w:abstractNumId w:val="36"/>
  </w:num>
  <w:num w:numId="4" w16cid:durableId="146170132">
    <w:abstractNumId w:val="9"/>
  </w:num>
  <w:num w:numId="5" w16cid:durableId="1560365857">
    <w:abstractNumId w:val="33"/>
  </w:num>
  <w:num w:numId="6" w16cid:durableId="2051033715">
    <w:abstractNumId w:val="19"/>
  </w:num>
  <w:num w:numId="7" w16cid:durableId="220017879">
    <w:abstractNumId w:val="29"/>
  </w:num>
  <w:num w:numId="8" w16cid:durableId="567231847">
    <w:abstractNumId w:val="12"/>
  </w:num>
  <w:num w:numId="9" w16cid:durableId="810251323">
    <w:abstractNumId w:val="2"/>
  </w:num>
  <w:num w:numId="10" w16cid:durableId="812646844">
    <w:abstractNumId w:val="27"/>
  </w:num>
  <w:num w:numId="11" w16cid:durableId="882324028">
    <w:abstractNumId w:val="22"/>
  </w:num>
  <w:num w:numId="12" w16cid:durableId="1648050208">
    <w:abstractNumId w:val="17"/>
  </w:num>
  <w:num w:numId="13" w16cid:durableId="1960063150">
    <w:abstractNumId w:val="31"/>
  </w:num>
  <w:num w:numId="14" w16cid:durableId="240217261">
    <w:abstractNumId w:val="20"/>
  </w:num>
  <w:num w:numId="15" w16cid:durableId="566957589">
    <w:abstractNumId w:val="6"/>
  </w:num>
  <w:num w:numId="16" w16cid:durableId="1736972052">
    <w:abstractNumId w:val="7"/>
  </w:num>
  <w:num w:numId="17" w16cid:durableId="1312101683">
    <w:abstractNumId w:val="18"/>
  </w:num>
  <w:num w:numId="18" w16cid:durableId="2124958235">
    <w:abstractNumId w:val="0"/>
  </w:num>
  <w:num w:numId="19" w16cid:durableId="35545063">
    <w:abstractNumId w:val="24"/>
  </w:num>
  <w:num w:numId="20" w16cid:durableId="1811359842">
    <w:abstractNumId w:val="25"/>
  </w:num>
  <w:num w:numId="21" w16cid:durableId="2096584889">
    <w:abstractNumId w:val="5"/>
  </w:num>
  <w:num w:numId="22" w16cid:durableId="733509939">
    <w:abstractNumId w:val="16"/>
  </w:num>
  <w:num w:numId="23" w16cid:durableId="171461188">
    <w:abstractNumId w:val="11"/>
  </w:num>
  <w:num w:numId="24" w16cid:durableId="305817056">
    <w:abstractNumId w:val="14"/>
  </w:num>
  <w:num w:numId="25" w16cid:durableId="1609314852">
    <w:abstractNumId w:val="1"/>
  </w:num>
  <w:num w:numId="26" w16cid:durableId="120656200">
    <w:abstractNumId w:val="30"/>
  </w:num>
  <w:num w:numId="27" w16cid:durableId="808594206">
    <w:abstractNumId w:val="23"/>
  </w:num>
  <w:num w:numId="28" w16cid:durableId="240220996">
    <w:abstractNumId w:val="35"/>
  </w:num>
  <w:num w:numId="29" w16cid:durableId="1485124153">
    <w:abstractNumId w:val="21"/>
  </w:num>
  <w:num w:numId="30" w16cid:durableId="1903176181">
    <w:abstractNumId w:val="8"/>
  </w:num>
  <w:num w:numId="31" w16cid:durableId="989289115">
    <w:abstractNumId w:val="10"/>
  </w:num>
  <w:num w:numId="32" w16cid:durableId="942884449">
    <w:abstractNumId w:val="4"/>
  </w:num>
  <w:num w:numId="33" w16cid:durableId="83916247">
    <w:abstractNumId w:val="13"/>
  </w:num>
  <w:num w:numId="34" w16cid:durableId="1939824614">
    <w:abstractNumId w:val="32"/>
  </w:num>
  <w:num w:numId="35" w16cid:durableId="85346984">
    <w:abstractNumId w:val="15"/>
  </w:num>
  <w:num w:numId="36" w16cid:durableId="226769910">
    <w:abstractNumId w:val="28"/>
  </w:num>
  <w:num w:numId="37" w16cid:durableId="19552054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A9A"/>
    <w:rsid w:val="001B223F"/>
    <w:rsid w:val="001F0778"/>
    <w:rsid w:val="00211FD9"/>
    <w:rsid w:val="00273A62"/>
    <w:rsid w:val="00297834"/>
    <w:rsid w:val="00324962"/>
    <w:rsid w:val="004072A4"/>
    <w:rsid w:val="00421860"/>
    <w:rsid w:val="00581014"/>
    <w:rsid w:val="00592AA2"/>
    <w:rsid w:val="005B3828"/>
    <w:rsid w:val="005F13FA"/>
    <w:rsid w:val="006439FA"/>
    <w:rsid w:val="006834D8"/>
    <w:rsid w:val="00700534"/>
    <w:rsid w:val="00762457"/>
    <w:rsid w:val="00766801"/>
    <w:rsid w:val="00842589"/>
    <w:rsid w:val="00855AE3"/>
    <w:rsid w:val="009D39F3"/>
    <w:rsid w:val="00AC0E3D"/>
    <w:rsid w:val="00AD1A4A"/>
    <w:rsid w:val="00C06BF7"/>
    <w:rsid w:val="00C51F10"/>
    <w:rsid w:val="00C542E2"/>
    <w:rsid w:val="00C626A4"/>
    <w:rsid w:val="00CC050E"/>
    <w:rsid w:val="00CD7672"/>
    <w:rsid w:val="00D32EA0"/>
    <w:rsid w:val="00D550B7"/>
    <w:rsid w:val="00D64DBA"/>
    <w:rsid w:val="00D74845"/>
    <w:rsid w:val="00D97A9A"/>
    <w:rsid w:val="00DA385E"/>
    <w:rsid w:val="00E53F41"/>
    <w:rsid w:val="00EE44E5"/>
    <w:rsid w:val="00F14F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00249"/>
  <w15:chartTrackingRefBased/>
  <w15:docId w15:val="{639490F0-657F-4771-8053-FB2EF8634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A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97A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97A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97A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97A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97A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7A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7A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7A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A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97A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97A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97A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97A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97A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A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A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A9A"/>
    <w:rPr>
      <w:rFonts w:eastAsiaTheme="majorEastAsia" w:cstheme="majorBidi"/>
      <w:color w:val="272727" w:themeColor="text1" w:themeTint="D8"/>
    </w:rPr>
  </w:style>
  <w:style w:type="paragraph" w:styleId="Title">
    <w:name w:val="Title"/>
    <w:basedOn w:val="Normal"/>
    <w:next w:val="Normal"/>
    <w:link w:val="TitleChar"/>
    <w:uiPriority w:val="10"/>
    <w:qFormat/>
    <w:rsid w:val="00D97A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A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A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A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A9A"/>
    <w:pPr>
      <w:spacing w:before="160"/>
      <w:jc w:val="center"/>
    </w:pPr>
    <w:rPr>
      <w:i/>
      <w:iCs/>
      <w:color w:val="404040" w:themeColor="text1" w:themeTint="BF"/>
    </w:rPr>
  </w:style>
  <w:style w:type="character" w:customStyle="1" w:styleId="QuoteChar">
    <w:name w:val="Quote Char"/>
    <w:basedOn w:val="DefaultParagraphFont"/>
    <w:link w:val="Quote"/>
    <w:uiPriority w:val="29"/>
    <w:rsid w:val="00D97A9A"/>
    <w:rPr>
      <w:i/>
      <w:iCs/>
      <w:color w:val="404040" w:themeColor="text1" w:themeTint="BF"/>
    </w:rPr>
  </w:style>
  <w:style w:type="paragraph" w:styleId="ListParagraph">
    <w:name w:val="List Paragraph"/>
    <w:basedOn w:val="Normal"/>
    <w:uiPriority w:val="34"/>
    <w:qFormat/>
    <w:rsid w:val="00D97A9A"/>
    <w:pPr>
      <w:ind w:left="720"/>
      <w:contextualSpacing/>
    </w:pPr>
  </w:style>
  <w:style w:type="character" w:styleId="IntenseEmphasis">
    <w:name w:val="Intense Emphasis"/>
    <w:basedOn w:val="DefaultParagraphFont"/>
    <w:uiPriority w:val="21"/>
    <w:qFormat/>
    <w:rsid w:val="00D97A9A"/>
    <w:rPr>
      <w:i/>
      <w:iCs/>
      <w:color w:val="2F5496" w:themeColor="accent1" w:themeShade="BF"/>
    </w:rPr>
  </w:style>
  <w:style w:type="paragraph" w:styleId="IntenseQuote">
    <w:name w:val="Intense Quote"/>
    <w:basedOn w:val="Normal"/>
    <w:next w:val="Normal"/>
    <w:link w:val="IntenseQuoteChar"/>
    <w:uiPriority w:val="30"/>
    <w:qFormat/>
    <w:rsid w:val="00D97A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7A9A"/>
    <w:rPr>
      <w:i/>
      <w:iCs/>
      <w:color w:val="2F5496" w:themeColor="accent1" w:themeShade="BF"/>
    </w:rPr>
  </w:style>
  <w:style w:type="character" w:styleId="IntenseReference">
    <w:name w:val="Intense Reference"/>
    <w:basedOn w:val="DefaultParagraphFont"/>
    <w:uiPriority w:val="32"/>
    <w:qFormat/>
    <w:rsid w:val="00D97A9A"/>
    <w:rPr>
      <w:b/>
      <w:bCs/>
      <w:smallCaps/>
      <w:color w:val="2F5496" w:themeColor="accent1" w:themeShade="BF"/>
      <w:spacing w:val="5"/>
    </w:rPr>
  </w:style>
  <w:style w:type="character" w:styleId="Hyperlink">
    <w:name w:val="Hyperlink"/>
    <w:basedOn w:val="DefaultParagraphFont"/>
    <w:uiPriority w:val="99"/>
    <w:unhideWhenUsed/>
    <w:rsid w:val="00C626A4"/>
    <w:rPr>
      <w:color w:val="0563C1" w:themeColor="hyperlink"/>
      <w:u w:val="single"/>
    </w:rPr>
  </w:style>
  <w:style w:type="table" w:styleId="TableGrid">
    <w:name w:val="Table Grid"/>
    <w:basedOn w:val="TableNormal"/>
    <w:uiPriority w:val="59"/>
    <w:rsid w:val="00297834"/>
    <w:pPr>
      <w:spacing w:after="0" w:line="240" w:lineRule="auto"/>
    </w:pPr>
    <w:rPr>
      <w:sz w:val="24"/>
      <w:szCs w:val="24"/>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DefaultParagraphFont"/>
    <w:rsid w:val="00297834"/>
  </w:style>
  <w:style w:type="paragraph" w:customStyle="1" w:styleId="p1">
    <w:name w:val="p1"/>
    <w:basedOn w:val="Normal"/>
    <w:rsid w:val="00297834"/>
    <w:pPr>
      <w:spacing w:after="45" w:line="240" w:lineRule="auto"/>
    </w:pPr>
    <w:rPr>
      <w:rFonts w:ascii=".AppleSystemUIFont" w:eastAsiaTheme="minorEastAsia" w:hAnsi=".AppleSystemUIFont" w:cs="Times New Roman"/>
      <w:kern w:val="0"/>
      <w:sz w:val="48"/>
      <w:szCs w:val="48"/>
      <w:lang w:eastAsia="en-GB"/>
      <w14:ligatures w14:val="none"/>
    </w:rPr>
  </w:style>
  <w:style w:type="paragraph" w:customStyle="1" w:styleId="p2">
    <w:name w:val="p2"/>
    <w:basedOn w:val="Normal"/>
    <w:rsid w:val="00297834"/>
    <w:pPr>
      <w:spacing w:after="0" w:line="240" w:lineRule="auto"/>
    </w:pPr>
    <w:rPr>
      <w:rFonts w:ascii=".AppleSystemUIFont" w:eastAsiaTheme="minorEastAsia" w:hAnsi=".AppleSystemUIFont" w:cs="Times New Roman"/>
      <w:kern w:val="0"/>
      <w:sz w:val="29"/>
      <w:szCs w:val="29"/>
      <w:lang w:eastAsia="en-GB"/>
      <w14:ligatures w14:val="none"/>
    </w:rPr>
  </w:style>
  <w:style w:type="paragraph" w:customStyle="1" w:styleId="p3">
    <w:name w:val="p3"/>
    <w:basedOn w:val="Normal"/>
    <w:rsid w:val="00297834"/>
    <w:pPr>
      <w:spacing w:after="0" w:line="240" w:lineRule="auto"/>
    </w:pPr>
    <w:rPr>
      <w:rFonts w:ascii=".AppleSystemUIFont" w:eastAsiaTheme="minorEastAsia" w:hAnsi=".AppleSystemUIFont" w:cs="Times New Roman"/>
      <w:kern w:val="0"/>
      <w:sz w:val="29"/>
      <w:szCs w:val="29"/>
      <w:lang w:eastAsia="en-GB"/>
      <w14:ligatures w14:val="none"/>
    </w:rPr>
  </w:style>
  <w:style w:type="character" w:customStyle="1" w:styleId="s1">
    <w:name w:val="s1"/>
    <w:basedOn w:val="DefaultParagraphFont"/>
    <w:rsid w:val="00297834"/>
    <w:rPr>
      <w:rFonts w:ascii="UICTFontTextStyleBody" w:hAnsi="UICTFontTextStyleBody" w:hint="default"/>
      <w:b/>
      <w:bCs/>
      <w:i w:val="0"/>
      <w:iCs w:val="0"/>
      <w:sz w:val="48"/>
      <w:szCs w:val="48"/>
    </w:rPr>
  </w:style>
  <w:style w:type="character" w:customStyle="1" w:styleId="s2">
    <w:name w:val="s2"/>
    <w:basedOn w:val="DefaultParagraphFont"/>
    <w:rsid w:val="00297834"/>
    <w:rPr>
      <w:rFonts w:ascii="UICTFontTextStyleBody" w:hAnsi="UICTFontTextStyleBody" w:hint="default"/>
      <w:b w:val="0"/>
      <w:bCs w:val="0"/>
      <w:i w:val="0"/>
      <w:iCs w:val="0"/>
      <w:sz w:val="29"/>
      <w:szCs w:val="29"/>
    </w:rPr>
  </w:style>
  <w:style w:type="paragraph" w:customStyle="1" w:styleId="li3">
    <w:name w:val="li3"/>
    <w:basedOn w:val="Normal"/>
    <w:rsid w:val="00297834"/>
    <w:pPr>
      <w:spacing w:after="0" w:line="240" w:lineRule="auto"/>
    </w:pPr>
    <w:rPr>
      <w:rFonts w:ascii=".AppleSystemUIFont" w:eastAsiaTheme="minorEastAsia" w:hAnsi=".AppleSystemUIFont" w:cs="Times New Roman"/>
      <w:kern w:val="0"/>
      <w:sz w:val="29"/>
      <w:szCs w:val="29"/>
      <w:lang w:eastAsia="en-GB"/>
      <w14:ligatures w14:val="none"/>
    </w:rPr>
  </w:style>
  <w:style w:type="character" w:styleId="Strong">
    <w:name w:val="Strong"/>
    <w:basedOn w:val="DefaultParagraphFont"/>
    <w:uiPriority w:val="22"/>
    <w:qFormat/>
    <w:rsid w:val="002978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docview/1953153284?accountid=130472&amp;parentSessionId=aSmDcVVLusHodnS1pGsqtpX2o%2BXCjSxjCo0Kk%2B0t2i8%3D&amp;pq-origsite=primo&amp;sourcetype=Scholarly%20Journals" TargetMode="External"/><Relationship Id="rId13" Type="http://schemas.openxmlformats.org/officeDocument/2006/relationships/hyperlink" Target="https://www.legislation.gov.uk/ukpga/1996/47/contents" TargetMode="External"/><Relationship Id="rId18" Type="http://schemas.openxmlformats.org/officeDocument/2006/relationships/hyperlink" Target="https://www.legislation.gov.uk/ukpga/2018/12/content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legislation.gov.uk/ukpga/2000/29/contents" TargetMode="External"/><Relationship Id="rId7" Type="http://schemas.openxmlformats.org/officeDocument/2006/relationships/webSettings" Target="webSettings.xml"/><Relationship Id="rId12" Type="http://schemas.openxmlformats.org/officeDocument/2006/relationships/hyperlink" Target="https://www.legislation.gov.uk/ukpga/Geo5/15-16/19/contents" TargetMode="External"/><Relationship Id="rId17" Type="http://schemas.openxmlformats.org/officeDocument/2006/relationships/hyperlink" Target="https://www.legislation.gov.uk/ukpga/1975/63" TargetMode="External"/><Relationship Id="rId25" Type="http://schemas.openxmlformats.org/officeDocument/2006/relationships/hyperlink" Target="https://www.legislation.gov.uk/ukpga/2011/25" TargetMode="External"/><Relationship Id="rId2" Type="http://schemas.openxmlformats.org/officeDocument/2006/relationships/customXml" Target="../customXml/item2.xml"/><Relationship Id="rId16" Type="http://schemas.openxmlformats.org/officeDocument/2006/relationships/hyperlink" Target="https://www.proquest.com/docview/1563186946?accountid=130472&amp;parentSessionId=mnunM8fDwsGabjl5HookQtE2bDOKy6FriYACQ9jMv9s%3D&amp;pq-origsite=primo&amp;sourcetype=Scholarly%20Journals" TargetMode="External"/><Relationship Id="rId20" Type="http://schemas.openxmlformats.org/officeDocument/2006/relationships/hyperlink" Target="https://www.wbw.co.uk/news/general-news/navigating-estate-disputes-amy-read-insigh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00/29/contents" TargetMode="External"/><Relationship Id="rId24" Type="http://schemas.openxmlformats.org/officeDocument/2006/relationships/hyperlink" Target="https://www.legislation.gov.uk/ukpga/2000/29/contents" TargetMode="External"/><Relationship Id="rId5" Type="http://schemas.openxmlformats.org/officeDocument/2006/relationships/styles" Target="styles.xml"/><Relationship Id="rId15" Type="http://schemas.openxmlformats.org/officeDocument/2006/relationships/hyperlink" Target="https://www.proquest.com/docview/1953153284?accountid=130472&amp;parentSessionId=aSmDcVVLusHodnS1pGsqtpX2o%2BXCjSxjCo0Kk%2B0t2i8%3D&amp;pq-origsite=primo&amp;sourcetype=Scholarly%20Journals" TargetMode="External"/><Relationship Id="rId23" Type="http://schemas.openxmlformats.org/officeDocument/2006/relationships/hyperlink" Target="https://www.legislation.gov.uk/ukpga/1996/47/contents" TargetMode="External"/><Relationship Id="rId10" Type="http://schemas.openxmlformats.org/officeDocument/2006/relationships/hyperlink" Target="https://www.legislation.gov.uk/ukpga/2000/29/contents" TargetMode="External"/><Relationship Id="rId19" Type="http://schemas.openxmlformats.org/officeDocument/2006/relationships/hyperlink" Target="https://plus-lexis-com.uwtsd.idm.oclc.org/uk/cases-uk/lewis-and-others-v-tamplin-and-others_2/?crid=312c5ec5-afe0-4b3d-a3f3-3d1f6a930177&amp;pddocumentnumber=1" TargetMode="External"/><Relationship Id="rId4" Type="http://schemas.openxmlformats.org/officeDocument/2006/relationships/numbering" Target="numbering.xml"/><Relationship Id="rId9" Type="http://schemas.openxmlformats.org/officeDocument/2006/relationships/hyperlink" Target="https://www.legislation.gov.uk/ukpga/2018/12/contents" TargetMode="External"/><Relationship Id="rId14" Type="http://schemas.openxmlformats.org/officeDocument/2006/relationships/hyperlink" Target="https://plus-lexis-com.uwtsd.idm.oclc.org/uk/cases-uk/londonderrys-settlement-re-peat-v-walsh_2/?crid=66a37b55-6066-4881-8aa0-52f703d8dfab&amp;pddocumentnumber=1" TargetMode="External"/><Relationship Id="rId22" Type="http://schemas.openxmlformats.org/officeDocument/2006/relationships/hyperlink" Target="https://www.legislation.gov.uk/ukpga/Geo5/15-16/19/content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3" ma:contentTypeDescription="Create a new document." ma:contentTypeScope="" ma:versionID="3463ffd39be3bd3d717f8a792b8635b9">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6bbc7aa7fe105413f512bff56c9ada0c"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BE5E98FE-74EB-433D-8F60-AFB94FD50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4141CB-77EE-4931-8BD1-C049F7AEE6BB}">
  <ds:schemaRefs>
    <ds:schemaRef ds:uri="http://schemas.microsoft.com/sharepoint/v3/contenttype/forms"/>
  </ds:schemaRefs>
</ds:datastoreItem>
</file>

<file path=customXml/itemProps3.xml><?xml version="1.0" encoding="utf-8"?>
<ds:datastoreItem xmlns:ds="http://schemas.openxmlformats.org/officeDocument/2006/customXml" ds:itemID="{7474AF2B-73E6-47D0-A79A-851F31179E45}">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9272</Words>
  <Characters>52854</Characters>
  <Application>Microsoft Office Word</Application>
  <DocSecurity>0</DocSecurity>
  <Lines>440</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Davies</dc:creator>
  <cp:keywords/>
  <dc:description/>
  <cp:lastModifiedBy>Shannon Davies</cp:lastModifiedBy>
  <cp:revision>2</cp:revision>
  <dcterms:created xsi:type="dcterms:W3CDTF">2026-03-13T23:12:00Z</dcterms:created>
  <dcterms:modified xsi:type="dcterms:W3CDTF">2026-03-13T23:12:00Z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14634556-2715-41ab-82cd-156795f3b5f2</vt:lpwstr>
  </property>
  <property fmtid="{D5CDD505-2E9C-101B-9397-08002B2CF9AE}" pid="3" name="ContentTypeId">
    <vt:lpwstr>0x01010096C48B67E562FF45ADD1FE43E2BC7706</vt:lpwstr>
  </property>
</Properties>
</file>