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D1048" w14:textId="5511A002" w:rsidR="00C52452" w:rsidRDefault="005C5FD3" w:rsidP="00265D9F">
      <w:pPr>
        <w:spacing w:line="360" w:lineRule="auto"/>
        <w:rPr>
          <w:rFonts w:ascii="Arial" w:hAnsi="Arial" w:cs="Arial"/>
          <w:sz w:val="24"/>
          <w:szCs w:val="24"/>
        </w:rPr>
      </w:pPr>
      <w:r>
        <w:rPr>
          <w:rFonts w:ascii="Arial" w:hAnsi="Arial" w:cs="Arial"/>
          <w:b/>
          <w:bCs/>
          <w:sz w:val="24"/>
          <w:szCs w:val="24"/>
        </w:rPr>
        <w:t>S</w:t>
      </w:r>
      <w:r w:rsidRPr="005C5FD3">
        <w:rPr>
          <w:rFonts w:ascii="Arial" w:hAnsi="Arial" w:cs="Arial"/>
          <w:b/>
          <w:bCs/>
          <w:sz w:val="24"/>
          <w:szCs w:val="24"/>
        </w:rPr>
        <w:t>tudent Name</w:t>
      </w:r>
      <w:r w:rsidRPr="005C5FD3">
        <w:rPr>
          <w:rFonts w:ascii="Arial" w:hAnsi="Arial" w:cs="Arial"/>
          <w:sz w:val="24"/>
          <w:szCs w:val="24"/>
        </w:rPr>
        <w:t xml:space="preserve">: </w:t>
      </w:r>
      <w:r>
        <w:rPr>
          <w:rFonts w:ascii="Arial" w:hAnsi="Arial" w:cs="Arial"/>
          <w:sz w:val="24"/>
          <w:szCs w:val="24"/>
        </w:rPr>
        <w:t>Mikey Scourfield</w:t>
      </w:r>
      <w:r w:rsidRPr="005C5FD3">
        <w:rPr>
          <w:rFonts w:ascii="Arial" w:hAnsi="Arial" w:cs="Arial"/>
          <w:sz w:val="24"/>
          <w:szCs w:val="24"/>
        </w:rPr>
        <w:br/>
      </w:r>
      <w:r w:rsidRPr="005C5FD3">
        <w:rPr>
          <w:rFonts w:ascii="Arial" w:hAnsi="Arial" w:cs="Arial"/>
          <w:b/>
          <w:bCs/>
          <w:sz w:val="24"/>
          <w:szCs w:val="24"/>
        </w:rPr>
        <w:t>Student ID</w:t>
      </w:r>
      <w:r w:rsidRPr="005C5FD3">
        <w:rPr>
          <w:rFonts w:ascii="Arial" w:hAnsi="Arial" w:cs="Arial"/>
          <w:sz w:val="24"/>
          <w:szCs w:val="24"/>
        </w:rPr>
        <w:t xml:space="preserve">: </w:t>
      </w:r>
      <w:r>
        <w:rPr>
          <w:rFonts w:ascii="Arial" w:hAnsi="Arial" w:cs="Arial"/>
          <w:sz w:val="24"/>
          <w:szCs w:val="24"/>
        </w:rPr>
        <w:t>2410362</w:t>
      </w:r>
      <w:r w:rsidRPr="005C5FD3">
        <w:rPr>
          <w:rFonts w:ascii="Arial" w:hAnsi="Arial" w:cs="Arial"/>
          <w:sz w:val="24"/>
          <w:szCs w:val="24"/>
        </w:rPr>
        <w:br/>
      </w:r>
      <w:r w:rsidRPr="005C5FD3">
        <w:rPr>
          <w:rFonts w:ascii="Arial" w:hAnsi="Arial" w:cs="Arial"/>
          <w:b/>
          <w:bCs/>
          <w:sz w:val="24"/>
          <w:szCs w:val="24"/>
        </w:rPr>
        <w:t>Programme</w:t>
      </w:r>
      <w:r w:rsidRPr="005C5FD3">
        <w:rPr>
          <w:rFonts w:ascii="Arial" w:hAnsi="Arial" w:cs="Arial"/>
          <w:sz w:val="24"/>
          <w:szCs w:val="24"/>
        </w:rPr>
        <w:t>: BSc/HND/HNC Built Environment Portfolio</w:t>
      </w:r>
      <w:r w:rsidRPr="005C5FD3">
        <w:rPr>
          <w:rFonts w:ascii="Arial" w:hAnsi="Arial" w:cs="Arial"/>
          <w:sz w:val="24"/>
          <w:szCs w:val="24"/>
        </w:rPr>
        <w:br/>
      </w:r>
      <w:r w:rsidRPr="005C5FD3">
        <w:rPr>
          <w:rFonts w:ascii="Arial" w:hAnsi="Arial" w:cs="Arial"/>
          <w:b/>
          <w:bCs/>
          <w:sz w:val="24"/>
          <w:szCs w:val="24"/>
        </w:rPr>
        <w:t>Module</w:t>
      </w:r>
      <w:r w:rsidRPr="005C5FD3">
        <w:rPr>
          <w:rFonts w:ascii="Arial" w:hAnsi="Arial" w:cs="Arial"/>
          <w:sz w:val="24"/>
          <w:szCs w:val="24"/>
        </w:rPr>
        <w:t>: Fundamentals of Construction Technology</w:t>
      </w:r>
      <w:r w:rsidRPr="005C5FD3">
        <w:rPr>
          <w:rFonts w:ascii="Arial" w:hAnsi="Arial" w:cs="Arial"/>
          <w:sz w:val="24"/>
          <w:szCs w:val="24"/>
        </w:rPr>
        <w:br/>
      </w:r>
      <w:r w:rsidRPr="005C5FD3">
        <w:rPr>
          <w:rFonts w:ascii="Arial" w:hAnsi="Arial" w:cs="Arial"/>
          <w:b/>
          <w:bCs/>
          <w:sz w:val="24"/>
          <w:szCs w:val="24"/>
        </w:rPr>
        <w:t>Module Code</w:t>
      </w:r>
      <w:r w:rsidRPr="005C5FD3">
        <w:rPr>
          <w:rFonts w:ascii="Arial" w:hAnsi="Arial" w:cs="Arial"/>
          <w:sz w:val="24"/>
          <w:szCs w:val="24"/>
        </w:rPr>
        <w:t>: ACBA4022</w:t>
      </w:r>
      <w:r w:rsidRPr="005C5FD3">
        <w:rPr>
          <w:rFonts w:ascii="Arial" w:hAnsi="Arial" w:cs="Arial"/>
          <w:sz w:val="24"/>
          <w:szCs w:val="24"/>
        </w:rPr>
        <w:br/>
      </w:r>
      <w:r w:rsidRPr="005C5FD3">
        <w:rPr>
          <w:rFonts w:ascii="Arial" w:hAnsi="Arial" w:cs="Arial"/>
          <w:b/>
          <w:bCs/>
          <w:sz w:val="24"/>
          <w:szCs w:val="24"/>
        </w:rPr>
        <w:t>Lecturer</w:t>
      </w:r>
      <w:r w:rsidRPr="005C5FD3">
        <w:rPr>
          <w:rFonts w:ascii="Arial" w:hAnsi="Arial" w:cs="Arial"/>
          <w:sz w:val="24"/>
          <w:szCs w:val="24"/>
        </w:rPr>
        <w:t xml:space="preserve">: Allan </w:t>
      </w:r>
      <w:proofErr w:type="spellStart"/>
      <w:r w:rsidRPr="005C5FD3">
        <w:rPr>
          <w:rFonts w:ascii="Arial" w:hAnsi="Arial" w:cs="Arial"/>
          <w:sz w:val="24"/>
          <w:szCs w:val="24"/>
        </w:rPr>
        <w:t>Na</w:t>
      </w:r>
      <w:r w:rsidR="004B32CA">
        <w:rPr>
          <w:rFonts w:ascii="Arial" w:hAnsi="Arial" w:cs="Arial"/>
          <w:sz w:val="24"/>
          <w:szCs w:val="24"/>
        </w:rPr>
        <w:t>n</w:t>
      </w:r>
      <w:r w:rsidRPr="005C5FD3">
        <w:rPr>
          <w:rFonts w:ascii="Arial" w:hAnsi="Arial" w:cs="Arial"/>
          <w:sz w:val="24"/>
          <w:szCs w:val="24"/>
        </w:rPr>
        <w:t>tel</w:t>
      </w:r>
      <w:proofErr w:type="spellEnd"/>
    </w:p>
    <w:p w14:paraId="1FB57814" w14:textId="7F9107C5" w:rsidR="005C5FD3" w:rsidRDefault="005C5FD3" w:rsidP="00265D9F">
      <w:pPr>
        <w:spacing w:line="360" w:lineRule="auto"/>
        <w:rPr>
          <w:rFonts w:ascii="Arial" w:hAnsi="Arial" w:cs="Arial"/>
          <w:sz w:val="24"/>
          <w:szCs w:val="24"/>
        </w:rPr>
      </w:pPr>
    </w:p>
    <w:p w14:paraId="79E4036E" w14:textId="77777777" w:rsidR="005C5FD3" w:rsidRDefault="005C5FD3">
      <w:pPr>
        <w:rPr>
          <w:rFonts w:ascii="Arial" w:hAnsi="Arial" w:cs="Arial"/>
          <w:sz w:val="24"/>
          <w:szCs w:val="24"/>
        </w:rPr>
      </w:pPr>
      <w:r>
        <w:rPr>
          <w:rFonts w:ascii="Arial" w:hAnsi="Arial" w:cs="Arial"/>
          <w:sz w:val="24"/>
          <w:szCs w:val="24"/>
        </w:rPr>
        <w:br w:type="page"/>
      </w:r>
    </w:p>
    <w:sdt>
      <w:sdtPr>
        <w:id w:val="1030846789"/>
        <w:docPartObj>
          <w:docPartGallery w:val="Table of Contents"/>
          <w:docPartUnique/>
        </w:docPartObj>
      </w:sdtPr>
      <w:sdtEndPr>
        <w:rPr>
          <w:rFonts w:ascii="Arial" w:hAnsi="Arial" w:cs="Arial"/>
          <w:b/>
          <w:bCs/>
          <w:sz w:val="24"/>
          <w:szCs w:val="24"/>
        </w:rPr>
      </w:sdtEndPr>
      <w:sdtContent>
        <w:p w14:paraId="7F2B69B2" w14:textId="361A0185" w:rsidR="005C5FD3" w:rsidRPr="005C5FD3" w:rsidRDefault="005C5FD3" w:rsidP="00A419BB">
          <w:r w:rsidRPr="005C5FD3">
            <w:t>Table of Contents</w:t>
          </w:r>
        </w:p>
        <w:p w14:paraId="4DCECAE0" w14:textId="5128A8C0" w:rsidR="004817A2" w:rsidRDefault="005C5FD3">
          <w:pPr>
            <w:pStyle w:val="TOC1"/>
            <w:tabs>
              <w:tab w:val="left" w:pos="480"/>
              <w:tab w:val="right" w:leader="dot" w:pos="9016"/>
            </w:tabs>
            <w:rPr>
              <w:rFonts w:eastAsiaTheme="minorEastAsia"/>
              <w:noProof/>
              <w:kern w:val="2"/>
              <w:sz w:val="24"/>
              <w:szCs w:val="24"/>
              <w:lang w:eastAsia="en-GB"/>
              <w14:ligatures w14:val="standardContextual"/>
            </w:rPr>
          </w:pPr>
          <w:r w:rsidRPr="005C5FD3">
            <w:rPr>
              <w:rFonts w:ascii="Arial" w:hAnsi="Arial" w:cs="Arial"/>
              <w:sz w:val="24"/>
              <w:szCs w:val="24"/>
            </w:rPr>
            <w:fldChar w:fldCharType="begin"/>
          </w:r>
          <w:r w:rsidRPr="005C5FD3">
            <w:rPr>
              <w:rFonts w:ascii="Arial" w:hAnsi="Arial" w:cs="Arial"/>
              <w:sz w:val="24"/>
              <w:szCs w:val="24"/>
            </w:rPr>
            <w:instrText xml:space="preserve"> TOC \o "1-3" \h \z \u </w:instrText>
          </w:r>
          <w:r w:rsidRPr="005C5FD3">
            <w:rPr>
              <w:rFonts w:ascii="Arial" w:hAnsi="Arial" w:cs="Arial"/>
              <w:sz w:val="24"/>
              <w:szCs w:val="24"/>
            </w:rPr>
            <w:fldChar w:fldCharType="separate"/>
          </w:r>
          <w:hyperlink w:anchor="_Toc187504946" w:history="1">
            <w:r w:rsidR="004817A2" w:rsidRPr="00EF3E8D">
              <w:rPr>
                <w:rStyle w:val="Hyperlink"/>
                <w:noProof/>
              </w:rPr>
              <w:t>1.</w:t>
            </w:r>
            <w:r w:rsidR="004817A2">
              <w:rPr>
                <w:rFonts w:eastAsiaTheme="minorEastAsia"/>
                <w:noProof/>
                <w:kern w:val="2"/>
                <w:sz w:val="24"/>
                <w:szCs w:val="24"/>
                <w:lang w:eastAsia="en-GB"/>
                <w14:ligatures w14:val="standardContextual"/>
              </w:rPr>
              <w:tab/>
            </w:r>
            <w:r w:rsidR="004817A2" w:rsidRPr="00EF3E8D">
              <w:rPr>
                <w:rStyle w:val="Hyperlink"/>
                <w:noProof/>
              </w:rPr>
              <w:t>Introduction</w:t>
            </w:r>
            <w:r w:rsidR="004817A2">
              <w:rPr>
                <w:noProof/>
                <w:webHidden/>
              </w:rPr>
              <w:tab/>
            </w:r>
            <w:r w:rsidR="004817A2">
              <w:rPr>
                <w:noProof/>
                <w:webHidden/>
              </w:rPr>
              <w:fldChar w:fldCharType="begin"/>
            </w:r>
            <w:r w:rsidR="004817A2">
              <w:rPr>
                <w:noProof/>
                <w:webHidden/>
              </w:rPr>
              <w:instrText xml:space="preserve"> PAGEREF _Toc187504946 \h </w:instrText>
            </w:r>
            <w:r w:rsidR="004817A2">
              <w:rPr>
                <w:noProof/>
                <w:webHidden/>
              </w:rPr>
            </w:r>
            <w:r w:rsidR="004817A2">
              <w:rPr>
                <w:noProof/>
                <w:webHidden/>
              </w:rPr>
              <w:fldChar w:fldCharType="separate"/>
            </w:r>
            <w:r w:rsidR="004817A2">
              <w:rPr>
                <w:noProof/>
                <w:webHidden/>
              </w:rPr>
              <w:t>3</w:t>
            </w:r>
            <w:r w:rsidR="004817A2">
              <w:rPr>
                <w:noProof/>
                <w:webHidden/>
              </w:rPr>
              <w:fldChar w:fldCharType="end"/>
            </w:r>
          </w:hyperlink>
        </w:p>
        <w:p w14:paraId="1149DE4D" w14:textId="221EE6B5" w:rsidR="004817A2" w:rsidRDefault="004817A2">
          <w:pPr>
            <w:pStyle w:val="TOC1"/>
            <w:tabs>
              <w:tab w:val="left" w:pos="480"/>
              <w:tab w:val="right" w:leader="dot" w:pos="9016"/>
            </w:tabs>
            <w:rPr>
              <w:rFonts w:eastAsiaTheme="minorEastAsia"/>
              <w:noProof/>
              <w:kern w:val="2"/>
              <w:sz w:val="24"/>
              <w:szCs w:val="24"/>
              <w:lang w:eastAsia="en-GB"/>
              <w14:ligatures w14:val="standardContextual"/>
            </w:rPr>
          </w:pPr>
          <w:hyperlink w:anchor="_Toc187504947" w:history="1">
            <w:r w:rsidRPr="00EF3E8D">
              <w:rPr>
                <w:rStyle w:val="Hyperlink"/>
                <w:noProof/>
              </w:rPr>
              <w:t>2.</w:t>
            </w:r>
            <w:r>
              <w:rPr>
                <w:rFonts w:eastAsiaTheme="minorEastAsia"/>
                <w:noProof/>
                <w:kern w:val="2"/>
                <w:sz w:val="24"/>
                <w:szCs w:val="24"/>
                <w:lang w:eastAsia="en-GB"/>
                <w14:ligatures w14:val="standardContextual"/>
              </w:rPr>
              <w:tab/>
            </w:r>
            <w:r w:rsidRPr="00EF3E8D">
              <w:rPr>
                <w:rStyle w:val="Hyperlink"/>
                <w:noProof/>
              </w:rPr>
              <w:t>Historical Overview of Swansea Mumbles Road Site</w:t>
            </w:r>
            <w:r>
              <w:rPr>
                <w:noProof/>
                <w:webHidden/>
              </w:rPr>
              <w:tab/>
            </w:r>
            <w:r>
              <w:rPr>
                <w:noProof/>
                <w:webHidden/>
              </w:rPr>
              <w:fldChar w:fldCharType="begin"/>
            </w:r>
            <w:r>
              <w:rPr>
                <w:noProof/>
                <w:webHidden/>
              </w:rPr>
              <w:instrText xml:space="preserve"> PAGEREF _Toc187504947 \h </w:instrText>
            </w:r>
            <w:r>
              <w:rPr>
                <w:noProof/>
                <w:webHidden/>
              </w:rPr>
            </w:r>
            <w:r>
              <w:rPr>
                <w:noProof/>
                <w:webHidden/>
              </w:rPr>
              <w:fldChar w:fldCharType="separate"/>
            </w:r>
            <w:r>
              <w:rPr>
                <w:noProof/>
                <w:webHidden/>
              </w:rPr>
              <w:t>3</w:t>
            </w:r>
            <w:r>
              <w:rPr>
                <w:noProof/>
                <w:webHidden/>
              </w:rPr>
              <w:fldChar w:fldCharType="end"/>
            </w:r>
          </w:hyperlink>
        </w:p>
        <w:p w14:paraId="59E1EB2A" w14:textId="664FFC7B" w:rsidR="004817A2" w:rsidRDefault="004817A2">
          <w:pPr>
            <w:pStyle w:val="TOC2"/>
            <w:tabs>
              <w:tab w:val="left" w:pos="960"/>
              <w:tab w:val="right" w:leader="dot" w:pos="9016"/>
            </w:tabs>
            <w:rPr>
              <w:rFonts w:eastAsiaTheme="minorEastAsia"/>
              <w:noProof/>
              <w:kern w:val="2"/>
              <w:sz w:val="24"/>
              <w:szCs w:val="24"/>
              <w:lang w:eastAsia="en-GB"/>
              <w14:ligatures w14:val="standardContextual"/>
            </w:rPr>
          </w:pPr>
          <w:hyperlink w:anchor="_Toc187504948" w:history="1">
            <w:r w:rsidRPr="00EF3E8D">
              <w:rPr>
                <w:rStyle w:val="Hyperlink"/>
                <w:noProof/>
              </w:rPr>
              <w:t>2.1</w:t>
            </w:r>
            <w:r>
              <w:rPr>
                <w:rFonts w:eastAsiaTheme="minorEastAsia"/>
                <w:noProof/>
                <w:kern w:val="2"/>
                <w:sz w:val="24"/>
                <w:szCs w:val="24"/>
                <w:lang w:eastAsia="en-GB"/>
                <w14:ligatures w14:val="standardContextual"/>
              </w:rPr>
              <w:tab/>
            </w:r>
            <w:r w:rsidRPr="00EF3E8D">
              <w:rPr>
                <w:rStyle w:val="Hyperlink"/>
                <w:noProof/>
              </w:rPr>
              <w:t>Ownership of the site</w:t>
            </w:r>
            <w:r>
              <w:rPr>
                <w:noProof/>
                <w:webHidden/>
              </w:rPr>
              <w:tab/>
            </w:r>
            <w:r>
              <w:rPr>
                <w:noProof/>
                <w:webHidden/>
              </w:rPr>
              <w:fldChar w:fldCharType="begin"/>
            </w:r>
            <w:r>
              <w:rPr>
                <w:noProof/>
                <w:webHidden/>
              </w:rPr>
              <w:instrText xml:space="preserve"> PAGEREF _Toc187504948 \h </w:instrText>
            </w:r>
            <w:r>
              <w:rPr>
                <w:noProof/>
                <w:webHidden/>
              </w:rPr>
            </w:r>
            <w:r>
              <w:rPr>
                <w:noProof/>
                <w:webHidden/>
              </w:rPr>
              <w:fldChar w:fldCharType="separate"/>
            </w:r>
            <w:r>
              <w:rPr>
                <w:noProof/>
                <w:webHidden/>
              </w:rPr>
              <w:t>3</w:t>
            </w:r>
            <w:r>
              <w:rPr>
                <w:noProof/>
                <w:webHidden/>
              </w:rPr>
              <w:fldChar w:fldCharType="end"/>
            </w:r>
          </w:hyperlink>
        </w:p>
        <w:p w14:paraId="4B079721" w14:textId="727DE974" w:rsidR="004817A2" w:rsidRDefault="004817A2">
          <w:pPr>
            <w:pStyle w:val="TOC1"/>
            <w:tabs>
              <w:tab w:val="left" w:pos="480"/>
              <w:tab w:val="right" w:leader="dot" w:pos="9016"/>
            </w:tabs>
            <w:rPr>
              <w:rFonts w:eastAsiaTheme="minorEastAsia"/>
              <w:noProof/>
              <w:kern w:val="2"/>
              <w:sz w:val="24"/>
              <w:szCs w:val="24"/>
              <w:lang w:eastAsia="en-GB"/>
              <w14:ligatures w14:val="standardContextual"/>
            </w:rPr>
          </w:pPr>
          <w:hyperlink w:anchor="_Toc187504949" w:history="1">
            <w:r w:rsidRPr="00EF3E8D">
              <w:rPr>
                <w:rStyle w:val="Hyperlink"/>
                <w:noProof/>
              </w:rPr>
              <w:t>3.</w:t>
            </w:r>
            <w:r>
              <w:rPr>
                <w:rFonts w:eastAsiaTheme="minorEastAsia"/>
                <w:noProof/>
                <w:kern w:val="2"/>
                <w:sz w:val="24"/>
                <w:szCs w:val="24"/>
                <w:lang w:eastAsia="en-GB"/>
                <w14:ligatures w14:val="standardContextual"/>
              </w:rPr>
              <w:tab/>
            </w:r>
            <w:r w:rsidRPr="00EF3E8D">
              <w:rPr>
                <w:rStyle w:val="Hyperlink"/>
                <w:noProof/>
              </w:rPr>
              <w:t>Site Investigation</w:t>
            </w:r>
            <w:r>
              <w:rPr>
                <w:noProof/>
                <w:webHidden/>
              </w:rPr>
              <w:tab/>
            </w:r>
            <w:r>
              <w:rPr>
                <w:noProof/>
                <w:webHidden/>
              </w:rPr>
              <w:fldChar w:fldCharType="begin"/>
            </w:r>
            <w:r>
              <w:rPr>
                <w:noProof/>
                <w:webHidden/>
              </w:rPr>
              <w:instrText xml:space="preserve"> PAGEREF _Toc187504949 \h </w:instrText>
            </w:r>
            <w:r>
              <w:rPr>
                <w:noProof/>
                <w:webHidden/>
              </w:rPr>
            </w:r>
            <w:r>
              <w:rPr>
                <w:noProof/>
                <w:webHidden/>
              </w:rPr>
              <w:fldChar w:fldCharType="separate"/>
            </w:r>
            <w:r>
              <w:rPr>
                <w:noProof/>
                <w:webHidden/>
              </w:rPr>
              <w:t>4</w:t>
            </w:r>
            <w:r>
              <w:rPr>
                <w:noProof/>
                <w:webHidden/>
              </w:rPr>
              <w:fldChar w:fldCharType="end"/>
            </w:r>
          </w:hyperlink>
        </w:p>
        <w:p w14:paraId="7D3DA3E7" w14:textId="680C8A96" w:rsidR="004817A2" w:rsidRDefault="004817A2">
          <w:pPr>
            <w:pStyle w:val="TOC2"/>
            <w:tabs>
              <w:tab w:val="left" w:pos="960"/>
              <w:tab w:val="right" w:leader="dot" w:pos="9016"/>
            </w:tabs>
            <w:rPr>
              <w:rFonts w:eastAsiaTheme="minorEastAsia"/>
              <w:noProof/>
              <w:kern w:val="2"/>
              <w:sz w:val="24"/>
              <w:szCs w:val="24"/>
              <w:lang w:eastAsia="en-GB"/>
              <w14:ligatures w14:val="standardContextual"/>
            </w:rPr>
          </w:pPr>
          <w:hyperlink w:anchor="_Toc187504950" w:history="1">
            <w:r w:rsidRPr="00EF3E8D">
              <w:rPr>
                <w:rStyle w:val="Hyperlink"/>
                <w:noProof/>
              </w:rPr>
              <w:t>3.1</w:t>
            </w:r>
            <w:r>
              <w:rPr>
                <w:rFonts w:eastAsiaTheme="minorEastAsia"/>
                <w:noProof/>
                <w:kern w:val="2"/>
                <w:sz w:val="24"/>
                <w:szCs w:val="24"/>
                <w:lang w:eastAsia="en-GB"/>
                <w14:ligatures w14:val="standardContextual"/>
              </w:rPr>
              <w:tab/>
            </w:r>
            <w:r w:rsidRPr="00EF3E8D">
              <w:rPr>
                <w:rStyle w:val="Hyperlink"/>
                <w:noProof/>
              </w:rPr>
              <w:t>Geotechnical Overview</w:t>
            </w:r>
            <w:r>
              <w:rPr>
                <w:noProof/>
                <w:webHidden/>
              </w:rPr>
              <w:tab/>
            </w:r>
            <w:r>
              <w:rPr>
                <w:noProof/>
                <w:webHidden/>
              </w:rPr>
              <w:fldChar w:fldCharType="begin"/>
            </w:r>
            <w:r>
              <w:rPr>
                <w:noProof/>
                <w:webHidden/>
              </w:rPr>
              <w:instrText xml:space="preserve"> PAGEREF _Toc187504950 \h </w:instrText>
            </w:r>
            <w:r>
              <w:rPr>
                <w:noProof/>
                <w:webHidden/>
              </w:rPr>
            </w:r>
            <w:r>
              <w:rPr>
                <w:noProof/>
                <w:webHidden/>
              </w:rPr>
              <w:fldChar w:fldCharType="separate"/>
            </w:r>
            <w:r>
              <w:rPr>
                <w:noProof/>
                <w:webHidden/>
              </w:rPr>
              <w:t>4</w:t>
            </w:r>
            <w:r>
              <w:rPr>
                <w:noProof/>
                <w:webHidden/>
              </w:rPr>
              <w:fldChar w:fldCharType="end"/>
            </w:r>
          </w:hyperlink>
        </w:p>
        <w:p w14:paraId="40C5C9BB" w14:textId="015E0A58" w:rsidR="004817A2" w:rsidRDefault="004817A2">
          <w:pPr>
            <w:pStyle w:val="TOC2"/>
            <w:tabs>
              <w:tab w:val="left" w:pos="960"/>
              <w:tab w:val="right" w:leader="dot" w:pos="9016"/>
            </w:tabs>
            <w:rPr>
              <w:rFonts w:eastAsiaTheme="minorEastAsia"/>
              <w:noProof/>
              <w:kern w:val="2"/>
              <w:sz w:val="24"/>
              <w:szCs w:val="24"/>
              <w:lang w:eastAsia="en-GB"/>
              <w14:ligatures w14:val="standardContextual"/>
            </w:rPr>
          </w:pPr>
          <w:hyperlink w:anchor="_Toc187504951" w:history="1">
            <w:r w:rsidRPr="00EF3E8D">
              <w:rPr>
                <w:rStyle w:val="Hyperlink"/>
                <w:noProof/>
              </w:rPr>
              <w:t>3.2</w:t>
            </w:r>
            <w:r>
              <w:rPr>
                <w:rFonts w:eastAsiaTheme="minorEastAsia"/>
                <w:noProof/>
                <w:kern w:val="2"/>
                <w:sz w:val="24"/>
                <w:szCs w:val="24"/>
                <w:lang w:eastAsia="en-GB"/>
                <w14:ligatures w14:val="standardContextual"/>
              </w:rPr>
              <w:tab/>
            </w:r>
            <w:r w:rsidRPr="00EF3E8D">
              <w:rPr>
                <w:rStyle w:val="Hyperlink"/>
                <w:noProof/>
              </w:rPr>
              <w:t>Recommendations for Further Investigation</w:t>
            </w:r>
            <w:r>
              <w:rPr>
                <w:noProof/>
                <w:webHidden/>
              </w:rPr>
              <w:tab/>
            </w:r>
            <w:r>
              <w:rPr>
                <w:noProof/>
                <w:webHidden/>
              </w:rPr>
              <w:fldChar w:fldCharType="begin"/>
            </w:r>
            <w:r>
              <w:rPr>
                <w:noProof/>
                <w:webHidden/>
              </w:rPr>
              <w:instrText xml:space="preserve"> PAGEREF _Toc187504951 \h </w:instrText>
            </w:r>
            <w:r>
              <w:rPr>
                <w:noProof/>
                <w:webHidden/>
              </w:rPr>
            </w:r>
            <w:r>
              <w:rPr>
                <w:noProof/>
                <w:webHidden/>
              </w:rPr>
              <w:fldChar w:fldCharType="separate"/>
            </w:r>
            <w:r>
              <w:rPr>
                <w:noProof/>
                <w:webHidden/>
              </w:rPr>
              <w:t>4</w:t>
            </w:r>
            <w:r>
              <w:rPr>
                <w:noProof/>
                <w:webHidden/>
              </w:rPr>
              <w:fldChar w:fldCharType="end"/>
            </w:r>
          </w:hyperlink>
        </w:p>
        <w:p w14:paraId="7ED8EBAA" w14:textId="29CCFE6E" w:rsidR="004817A2" w:rsidRDefault="004817A2">
          <w:pPr>
            <w:pStyle w:val="TOC2"/>
            <w:tabs>
              <w:tab w:val="left" w:pos="960"/>
              <w:tab w:val="right" w:leader="dot" w:pos="9016"/>
            </w:tabs>
            <w:rPr>
              <w:rFonts w:eastAsiaTheme="minorEastAsia"/>
              <w:noProof/>
              <w:kern w:val="2"/>
              <w:sz w:val="24"/>
              <w:szCs w:val="24"/>
              <w:lang w:eastAsia="en-GB"/>
              <w14:ligatures w14:val="standardContextual"/>
            </w:rPr>
          </w:pPr>
          <w:hyperlink w:anchor="_Toc187504952" w:history="1">
            <w:r w:rsidRPr="00EF3E8D">
              <w:rPr>
                <w:rStyle w:val="Hyperlink"/>
                <w:noProof/>
              </w:rPr>
              <w:t>3.3</w:t>
            </w:r>
            <w:r>
              <w:rPr>
                <w:rFonts w:eastAsiaTheme="minorEastAsia"/>
                <w:noProof/>
                <w:kern w:val="2"/>
                <w:sz w:val="24"/>
                <w:szCs w:val="24"/>
                <w:lang w:eastAsia="en-GB"/>
                <w14:ligatures w14:val="standardContextual"/>
              </w:rPr>
              <w:tab/>
            </w:r>
            <w:r w:rsidRPr="00EF3E8D">
              <w:rPr>
                <w:rStyle w:val="Hyperlink"/>
                <w:noProof/>
              </w:rPr>
              <w:t>Environmental and Social Considerations</w:t>
            </w:r>
            <w:r>
              <w:rPr>
                <w:noProof/>
                <w:webHidden/>
              </w:rPr>
              <w:tab/>
            </w:r>
            <w:r>
              <w:rPr>
                <w:noProof/>
                <w:webHidden/>
              </w:rPr>
              <w:fldChar w:fldCharType="begin"/>
            </w:r>
            <w:r>
              <w:rPr>
                <w:noProof/>
                <w:webHidden/>
              </w:rPr>
              <w:instrText xml:space="preserve"> PAGEREF _Toc187504952 \h </w:instrText>
            </w:r>
            <w:r>
              <w:rPr>
                <w:noProof/>
                <w:webHidden/>
              </w:rPr>
            </w:r>
            <w:r>
              <w:rPr>
                <w:noProof/>
                <w:webHidden/>
              </w:rPr>
              <w:fldChar w:fldCharType="separate"/>
            </w:r>
            <w:r>
              <w:rPr>
                <w:noProof/>
                <w:webHidden/>
              </w:rPr>
              <w:t>5</w:t>
            </w:r>
            <w:r>
              <w:rPr>
                <w:noProof/>
                <w:webHidden/>
              </w:rPr>
              <w:fldChar w:fldCharType="end"/>
            </w:r>
          </w:hyperlink>
        </w:p>
        <w:p w14:paraId="62D5C5B4" w14:textId="3CB5112E" w:rsidR="004817A2" w:rsidRDefault="004817A2">
          <w:pPr>
            <w:pStyle w:val="TOC2"/>
            <w:tabs>
              <w:tab w:val="left" w:pos="960"/>
              <w:tab w:val="right" w:leader="dot" w:pos="9016"/>
            </w:tabs>
            <w:rPr>
              <w:rFonts w:eastAsiaTheme="minorEastAsia"/>
              <w:noProof/>
              <w:kern w:val="2"/>
              <w:sz w:val="24"/>
              <w:szCs w:val="24"/>
              <w:lang w:eastAsia="en-GB"/>
              <w14:ligatures w14:val="standardContextual"/>
            </w:rPr>
          </w:pPr>
          <w:hyperlink w:anchor="_Toc187504953" w:history="1">
            <w:r w:rsidRPr="00EF3E8D">
              <w:rPr>
                <w:rStyle w:val="Hyperlink"/>
                <w:noProof/>
              </w:rPr>
              <w:t>3.4</w:t>
            </w:r>
            <w:r>
              <w:rPr>
                <w:rFonts w:eastAsiaTheme="minorEastAsia"/>
                <w:noProof/>
                <w:kern w:val="2"/>
                <w:sz w:val="24"/>
                <w:szCs w:val="24"/>
                <w:lang w:eastAsia="en-GB"/>
                <w14:ligatures w14:val="standardContextual"/>
              </w:rPr>
              <w:tab/>
            </w:r>
            <w:r w:rsidRPr="00EF3E8D">
              <w:rPr>
                <w:rStyle w:val="Hyperlink"/>
                <w:noProof/>
              </w:rPr>
              <w:t>Foundation Recommendations</w:t>
            </w:r>
            <w:r>
              <w:rPr>
                <w:noProof/>
                <w:webHidden/>
              </w:rPr>
              <w:tab/>
            </w:r>
            <w:r>
              <w:rPr>
                <w:noProof/>
                <w:webHidden/>
              </w:rPr>
              <w:fldChar w:fldCharType="begin"/>
            </w:r>
            <w:r>
              <w:rPr>
                <w:noProof/>
                <w:webHidden/>
              </w:rPr>
              <w:instrText xml:space="preserve"> PAGEREF _Toc187504953 \h </w:instrText>
            </w:r>
            <w:r>
              <w:rPr>
                <w:noProof/>
                <w:webHidden/>
              </w:rPr>
            </w:r>
            <w:r>
              <w:rPr>
                <w:noProof/>
                <w:webHidden/>
              </w:rPr>
              <w:fldChar w:fldCharType="separate"/>
            </w:r>
            <w:r>
              <w:rPr>
                <w:noProof/>
                <w:webHidden/>
              </w:rPr>
              <w:t>7</w:t>
            </w:r>
            <w:r>
              <w:rPr>
                <w:noProof/>
                <w:webHidden/>
              </w:rPr>
              <w:fldChar w:fldCharType="end"/>
            </w:r>
          </w:hyperlink>
        </w:p>
        <w:p w14:paraId="3E0E686D" w14:textId="386C0753" w:rsidR="004817A2" w:rsidRDefault="004817A2">
          <w:pPr>
            <w:pStyle w:val="TOC3"/>
            <w:tabs>
              <w:tab w:val="right" w:leader="dot" w:pos="9016"/>
            </w:tabs>
            <w:rPr>
              <w:noProof/>
            </w:rPr>
          </w:pPr>
          <w:hyperlink w:anchor="_Toc187504954" w:history="1">
            <w:r w:rsidRPr="00EF3E8D">
              <w:rPr>
                <w:rStyle w:val="Hyperlink"/>
                <w:noProof/>
              </w:rPr>
              <w:t>3.4.1 Assessment of Foundation Options</w:t>
            </w:r>
            <w:r>
              <w:rPr>
                <w:noProof/>
                <w:webHidden/>
              </w:rPr>
              <w:tab/>
            </w:r>
            <w:r>
              <w:rPr>
                <w:noProof/>
                <w:webHidden/>
              </w:rPr>
              <w:fldChar w:fldCharType="begin"/>
            </w:r>
            <w:r>
              <w:rPr>
                <w:noProof/>
                <w:webHidden/>
              </w:rPr>
              <w:instrText xml:space="preserve"> PAGEREF _Toc187504954 \h </w:instrText>
            </w:r>
            <w:r>
              <w:rPr>
                <w:noProof/>
                <w:webHidden/>
              </w:rPr>
            </w:r>
            <w:r>
              <w:rPr>
                <w:noProof/>
                <w:webHidden/>
              </w:rPr>
              <w:fldChar w:fldCharType="separate"/>
            </w:r>
            <w:r>
              <w:rPr>
                <w:noProof/>
                <w:webHidden/>
              </w:rPr>
              <w:t>7</w:t>
            </w:r>
            <w:r>
              <w:rPr>
                <w:noProof/>
                <w:webHidden/>
              </w:rPr>
              <w:fldChar w:fldCharType="end"/>
            </w:r>
          </w:hyperlink>
        </w:p>
        <w:p w14:paraId="49C8F5DD" w14:textId="6661F003" w:rsidR="004817A2" w:rsidRDefault="004817A2">
          <w:pPr>
            <w:pStyle w:val="TOC3"/>
            <w:tabs>
              <w:tab w:val="right" w:leader="dot" w:pos="9016"/>
            </w:tabs>
            <w:rPr>
              <w:noProof/>
            </w:rPr>
          </w:pPr>
          <w:hyperlink w:anchor="_Toc187504955" w:history="1">
            <w:r w:rsidRPr="00EF3E8D">
              <w:rPr>
                <w:rStyle w:val="Hyperlink"/>
                <w:noProof/>
              </w:rPr>
              <w:t>3.4.2 Techni</w:t>
            </w:r>
            <w:r w:rsidRPr="00EF3E8D">
              <w:rPr>
                <w:rStyle w:val="Hyperlink"/>
                <w:noProof/>
              </w:rPr>
              <w:t>c</w:t>
            </w:r>
            <w:r w:rsidRPr="00EF3E8D">
              <w:rPr>
                <w:rStyle w:val="Hyperlink"/>
                <w:noProof/>
              </w:rPr>
              <w:t>al Recommendations</w:t>
            </w:r>
            <w:r>
              <w:rPr>
                <w:noProof/>
                <w:webHidden/>
              </w:rPr>
              <w:tab/>
            </w:r>
            <w:r>
              <w:rPr>
                <w:noProof/>
                <w:webHidden/>
              </w:rPr>
              <w:fldChar w:fldCharType="begin"/>
            </w:r>
            <w:r>
              <w:rPr>
                <w:noProof/>
                <w:webHidden/>
              </w:rPr>
              <w:instrText xml:space="preserve"> PAGEREF _Toc187504955 \h </w:instrText>
            </w:r>
            <w:r>
              <w:rPr>
                <w:noProof/>
                <w:webHidden/>
              </w:rPr>
            </w:r>
            <w:r>
              <w:rPr>
                <w:noProof/>
                <w:webHidden/>
              </w:rPr>
              <w:fldChar w:fldCharType="separate"/>
            </w:r>
            <w:r>
              <w:rPr>
                <w:noProof/>
                <w:webHidden/>
              </w:rPr>
              <w:t>9</w:t>
            </w:r>
            <w:r>
              <w:rPr>
                <w:noProof/>
                <w:webHidden/>
              </w:rPr>
              <w:fldChar w:fldCharType="end"/>
            </w:r>
          </w:hyperlink>
        </w:p>
        <w:p w14:paraId="3D8CF813" w14:textId="3A0E70FF" w:rsidR="004817A2" w:rsidRDefault="004817A2">
          <w:pPr>
            <w:pStyle w:val="TOC3"/>
            <w:tabs>
              <w:tab w:val="right" w:leader="dot" w:pos="9016"/>
            </w:tabs>
            <w:rPr>
              <w:noProof/>
            </w:rPr>
          </w:pPr>
          <w:hyperlink w:anchor="_Toc187504956" w:history="1">
            <w:r w:rsidRPr="00EF3E8D">
              <w:rPr>
                <w:rStyle w:val="Hyperlink"/>
                <w:noProof/>
              </w:rPr>
              <w:t>3.4.3 Groundwater Management</w:t>
            </w:r>
            <w:r>
              <w:rPr>
                <w:noProof/>
                <w:webHidden/>
              </w:rPr>
              <w:tab/>
            </w:r>
            <w:r>
              <w:rPr>
                <w:noProof/>
                <w:webHidden/>
              </w:rPr>
              <w:fldChar w:fldCharType="begin"/>
            </w:r>
            <w:r>
              <w:rPr>
                <w:noProof/>
                <w:webHidden/>
              </w:rPr>
              <w:instrText xml:space="preserve"> PAGEREF _Toc187504956 \h </w:instrText>
            </w:r>
            <w:r>
              <w:rPr>
                <w:noProof/>
                <w:webHidden/>
              </w:rPr>
            </w:r>
            <w:r>
              <w:rPr>
                <w:noProof/>
                <w:webHidden/>
              </w:rPr>
              <w:fldChar w:fldCharType="separate"/>
            </w:r>
            <w:r>
              <w:rPr>
                <w:noProof/>
                <w:webHidden/>
              </w:rPr>
              <w:t>9</w:t>
            </w:r>
            <w:r>
              <w:rPr>
                <w:noProof/>
                <w:webHidden/>
              </w:rPr>
              <w:fldChar w:fldCharType="end"/>
            </w:r>
          </w:hyperlink>
        </w:p>
        <w:p w14:paraId="6415D41B" w14:textId="47744DDB" w:rsidR="004817A2" w:rsidRDefault="004817A2">
          <w:pPr>
            <w:pStyle w:val="TOC3"/>
            <w:tabs>
              <w:tab w:val="right" w:leader="dot" w:pos="9016"/>
            </w:tabs>
            <w:rPr>
              <w:noProof/>
            </w:rPr>
          </w:pPr>
          <w:hyperlink w:anchor="_Toc187504957" w:history="1">
            <w:r w:rsidRPr="00EF3E8D">
              <w:rPr>
                <w:rStyle w:val="Hyperlink"/>
                <w:noProof/>
              </w:rPr>
              <w:t>3.4.4 Summary</w:t>
            </w:r>
            <w:r>
              <w:rPr>
                <w:noProof/>
                <w:webHidden/>
              </w:rPr>
              <w:tab/>
            </w:r>
            <w:r>
              <w:rPr>
                <w:noProof/>
                <w:webHidden/>
              </w:rPr>
              <w:fldChar w:fldCharType="begin"/>
            </w:r>
            <w:r>
              <w:rPr>
                <w:noProof/>
                <w:webHidden/>
              </w:rPr>
              <w:instrText xml:space="preserve"> PAGEREF _Toc187504957 \h </w:instrText>
            </w:r>
            <w:r>
              <w:rPr>
                <w:noProof/>
                <w:webHidden/>
              </w:rPr>
            </w:r>
            <w:r>
              <w:rPr>
                <w:noProof/>
                <w:webHidden/>
              </w:rPr>
              <w:fldChar w:fldCharType="separate"/>
            </w:r>
            <w:r>
              <w:rPr>
                <w:noProof/>
                <w:webHidden/>
              </w:rPr>
              <w:t>9</w:t>
            </w:r>
            <w:r>
              <w:rPr>
                <w:noProof/>
                <w:webHidden/>
              </w:rPr>
              <w:fldChar w:fldCharType="end"/>
            </w:r>
          </w:hyperlink>
        </w:p>
        <w:p w14:paraId="3476FC88" w14:textId="4C68F5EE" w:rsidR="004817A2" w:rsidRDefault="004817A2">
          <w:pPr>
            <w:pStyle w:val="TOC2"/>
            <w:tabs>
              <w:tab w:val="left" w:pos="960"/>
              <w:tab w:val="right" w:leader="dot" w:pos="9016"/>
            </w:tabs>
            <w:rPr>
              <w:rFonts w:eastAsiaTheme="minorEastAsia"/>
              <w:noProof/>
              <w:kern w:val="2"/>
              <w:sz w:val="24"/>
              <w:szCs w:val="24"/>
              <w:lang w:eastAsia="en-GB"/>
              <w14:ligatures w14:val="standardContextual"/>
            </w:rPr>
          </w:pPr>
          <w:hyperlink w:anchor="_Toc187504958" w:history="1">
            <w:r w:rsidRPr="00EF3E8D">
              <w:rPr>
                <w:rStyle w:val="Hyperlink"/>
                <w:noProof/>
              </w:rPr>
              <w:t>3.5</w:t>
            </w:r>
            <w:r>
              <w:rPr>
                <w:rFonts w:eastAsiaTheme="minorEastAsia"/>
                <w:noProof/>
                <w:kern w:val="2"/>
                <w:sz w:val="24"/>
                <w:szCs w:val="24"/>
                <w:lang w:eastAsia="en-GB"/>
                <w14:ligatures w14:val="standardContextual"/>
              </w:rPr>
              <w:tab/>
            </w:r>
            <w:r w:rsidRPr="00EF3E8D">
              <w:rPr>
                <w:rStyle w:val="Hyperlink"/>
                <w:noProof/>
              </w:rPr>
              <w:t>Visual Summary</w:t>
            </w:r>
            <w:r>
              <w:rPr>
                <w:noProof/>
                <w:webHidden/>
              </w:rPr>
              <w:tab/>
            </w:r>
            <w:r>
              <w:rPr>
                <w:noProof/>
                <w:webHidden/>
              </w:rPr>
              <w:fldChar w:fldCharType="begin"/>
            </w:r>
            <w:r>
              <w:rPr>
                <w:noProof/>
                <w:webHidden/>
              </w:rPr>
              <w:instrText xml:space="preserve"> PAGEREF _Toc187504958 \h </w:instrText>
            </w:r>
            <w:r>
              <w:rPr>
                <w:noProof/>
                <w:webHidden/>
              </w:rPr>
            </w:r>
            <w:r>
              <w:rPr>
                <w:noProof/>
                <w:webHidden/>
              </w:rPr>
              <w:fldChar w:fldCharType="separate"/>
            </w:r>
            <w:r>
              <w:rPr>
                <w:noProof/>
                <w:webHidden/>
              </w:rPr>
              <w:t>9</w:t>
            </w:r>
            <w:r>
              <w:rPr>
                <w:noProof/>
                <w:webHidden/>
              </w:rPr>
              <w:fldChar w:fldCharType="end"/>
            </w:r>
          </w:hyperlink>
        </w:p>
        <w:p w14:paraId="53C2B663" w14:textId="72221534" w:rsidR="004817A2" w:rsidRDefault="004817A2">
          <w:pPr>
            <w:pStyle w:val="TOC1"/>
            <w:tabs>
              <w:tab w:val="left" w:pos="440"/>
              <w:tab w:val="right" w:leader="dot" w:pos="9016"/>
            </w:tabs>
            <w:rPr>
              <w:rFonts w:eastAsiaTheme="minorEastAsia"/>
              <w:noProof/>
              <w:kern w:val="2"/>
              <w:sz w:val="24"/>
              <w:szCs w:val="24"/>
              <w:lang w:eastAsia="en-GB"/>
              <w14:ligatures w14:val="standardContextual"/>
            </w:rPr>
          </w:pPr>
          <w:hyperlink w:anchor="_Toc187504959" w:history="1">
            <w:r w:rsidRPr="00EF3E8D">
              <w:rPr>
                <w:rStyle w:val="Hyperlink"/>
                <w:noProof/>
              </w:rPr>
              <w:t>4.</w:t>
            </w:r>
            <w:r>
              <w:rPr>
                <w:rFonts w:eastAsiaTheme="minorEastAsia"/>
                <w:noProof/>
                <w:kern w:val="2"/>
                <w:sz w:val="24"/>
                <w:szCs w:val="24"/>
                <w:lang w:eastAsia="en-GB"/>
                <w14:ligatures w14:val="standardContextual"/>
              </w:rPr>
              <w:tab/>
            </w:r>
            <w:r w:rsidRPr="00EF3E8D">
              <w:rPr>
                <w:rStyle w:val="Hyperlink"/>
                <w:noProof/>
              </w:rPr>
              <w:t>Reference List</w:t>
            </w:r>
            <w:r>
              <w:rPr>
                <w:noProof/>
                <w:webHidden/>
              </w:rPr>
              <w:tab/>
            </w:r>
            <w:r>
              <w:rPr>
                <w:noProof/>
                <w:webHidden/>
              </w:rPr>
              <w:fldChar w:fldCharType="begin"/>
            </w:r>
            <w:r>
              <w:rPr>
                <w:noProof/>
                <w:webHidden/>
              </w:rPr>
              <w:instrText xml:space="preserve"> PAGEREF _Toc187504959 \h </w:instrText>
            </w:r>
            <w:r>
              <w:rPr>
                <w:noProof/>
                <w:webHidden/>
              </w:rPr>
            </w:r>
            <w:r>
              <w:rPr>
                <w:noProof/>
                <w:webHidden/>
              </w:rPr>
              <w:fldChar w:fldCharType="separate"/>
            </w:r>
            <w:r>
              <w:rPr>
                <w:noProof/>
                <w:webHidden/>
              </w:rPr>
              <w:t>12</w:t>
            </w:r>
            <w:r>
              <w:rPr>
                <w:noProof/>
                <w:webHidden/>
              </w:rPr>
              <w:fldChar w:fldCharType="end"/>
            </w:r>
          </w:hyperlink>
        </w:p>
        <w:p w14:paraId="3F82C760" w14:textId="6FDBCAA7" w:rsidR="005C5FD3" w:rsidRPr="005C5FD3" w:rsidRDefault="005C5FD3">
          <w:pPr>
            <w:rPr>
              <w:rFonts w:ascii="Arial" w:hAnsi="Arial" w:cs="Arial"/>
              <w:sz w:val="24"/>
              <w:szCs w:val="24"/>
            </w:rPr>
          </w:pPr>
          <w:r w:rsidRPr="005C5FD3">
            <w:rPr>
              <w:rFonts w:ascii="Arial" w:hAnsi="Arial" w:cs="Arial"/>
              <w:b/>
              <w:bCs/>
              <w:sz w:val="24"/>
              <w:szCs w:val="24"/>
            </w:rPr>
            <w:fldChar w:fldCharType="end"/>
          </w:r>
        </w:p>
      </w:sdtContent>
    </w:sdt>
    <w:p w14:paraId="2FE85852" w14:textId="5799E4FD" w:rsidR="005C5FD3" w:rsidRDefault="005C5FD3" w:rsidP="00265D9F">
      <w:pPr>
        <w:spacing w:line="360" w:lineRule="auto"/>
        <w:rPr>
          <w:rFonts w:ascii="Arial" w:hAnsi="Arial" w:cs="Arial"/>
          <w:sz w:val="24"/>
          <w:szCs w:val="24"/>
        </w:rPr>
      </w:pPr>
    </w:p>
    <w:p w14:paraId="45F2A742" w14:textId="77777777" w:rsidR="005C5FD3" w:rsidRDefault="005C5FD3">
      <w:pPr>
        <w:rPr>
          <w:rFonts w:ascii="Arial" w:hAnsi="Arial" w:cs="Arial"/>
          <w:sz w:val="24"/>
          <w:szCs w:val="24"/>
        </w:rPr>
      </w:pPr>
      <w:r>
        <w:rPr>
          <w:rFonts w:ascii="Arial" w:hAnsi="Arial" w:cs="Arial"/>
          <w:sz w:val="24"/>
          <w:szCs w:val="24"/>
        </w:rPr>
        <w:br w:type="page"/>
      </w:r>
    </w:p>
    <w:p w14:paraId="5329D671" w14:textId="330197AD" w:rsidR="00BA2BF6" w:rsidRDefault="00BA2BF6" w:rsidP="00BA2BF6">
      <w:pPr>
        <w:pStyle w:val="Heading1"/>
      </w:pPr>
      <w:bookmarkStart w:id="0" w:name="_Toc187504946"/>
      <w:r>
        <w:lastRenderedPageBreak/>
        <w:t>Introduction</w:t>
      </w:r>
      <w:bookmarkEnd w:id="0"/>
    </w:p>
    <w:p w14:paraId="55F4EFFE" w14:textId="34041F1C" w:rsidR="00BA2BF6" w:rsidRDefault="00BA132F" w:rsidP="00BA2BF6">
      <w:r>
        <w:t>This section provides a detailed historical overview of the Swansea Mumbles Road site, including its ownership and past uses</w:t>
      </w:r>
      <w:r w:rsidR="00BA2BF6" w:rsidRPr="00BA2BF6">
        <w:t>.</w:t>
      </w:r>
    </w:p>
    <w:p w14:paraId="4285C1E3" w14:textId="08F1BFF7" w:rsidR="00BA2BF6" w:rsidRDefault="00BA2BF6" w:rsidP="00BA2BF6">
      <w:r w:rsidRPr="00BA2BF6">
        <w:t xml:space="preserve">Comprehending the site's historical context is essential for recognising potential obstacles, including contamination, existing subterranean structures, or other site-specific limitations. A comprehensive site study is </w:t>
      </w:r>
      <w:r w:rsidR="00A81F16">
        <w:t>necessary for</w:t>
      </w:r>
      <w:r w:rsidRPr="00BA2BF6">
        <w:t xml:space="preserve"> guaranteeing the stability, safety, and sustainability of the new build. Ultimately, choosing the suitable foundation system for the project necessitates meticulous evaluation of the building's specifications and the site's geotechnical characteristics.</w:t>
      </w:r>
    </w:p>
    <w:p w14:paraId="5ED81645" w14:textId="203498A0" w:rsidR="00BA2BF6" w:rsidRPr="00BA2BF6" w:rsidRDefault="00BA2BF6" w:rsidP="00BA2BF6">
      <w:r w:rsidRPr="00BA2BF6">
        <w:t xml:space="preserve">This report intends to deliver a thorough historical analysis of the site, propose site assessment methodologies, and offer a well-informed proposal for an appropriate foundation type. </w:t>
      </w:r>
      <w:r w:rsidR="00C572EB">
        <w:t>By addressing these topics, the study aims to assist the project team in making informed, evidence-based decisions for the effective execution of the Swansea Mumbles Road development</w:t>
      </w:r>
      <w:r w:rsidRPr="00BA2BF6">
        <w:t>.</w:t>
      </w:r>
    </w:p>
    <w:p w14:paraId="38E890CC" w14:textId="55830D7D" w:rsidR="00495130" w:rsidRDefault="0047602F" w:rsidP="00495130">
      <w:pPr>
        <w:pStyle w:val="Heading1"/>
      </w:pPr>
      <w:bookmarkStart w:id="1" w:name="_Toc187504947"/>
      <w:r>
        <w:t>Historical Overview of Swansea Mumbles Road Site</w:t>
      </w:r>
      <w:bookmarkEnd w:id="1"/>
    </w:p>
    <w:p w14:paraId="56D10FAE" w14:textId="7F2B0E7A" w:rsidR="00AC033D" w:rsidRDefault="00AC033D" w:rsidP="00AC033D">
      <w:pPr>
        <w:pStyle w:val="Heading2"/>
        <w:numPr>
          <w:ilvl w:val="1"/>
          <w:numId w:val="6"/>
        </w:numPr>
      </w:pPr>
      <w:bookmarkStart w:id="2" w:name="_Toc187504948"/>
      <w:r>
        <w:t>Ownership of the site</w:t>
      </w:r>
      <w:bookmarkEnd w:id="2"/>
    </w:p>
    <w:p w14:paraId="4769A5FE" w14:textId="77777777" w:rsidR="001F7C53" w:rsidRPr="001F7C53" w:rsidRDefault="00D42BD8" w:rsidP="001F7C53">
      <w:r w:rsidRPr="00E55806">
        <w:drawing>
          <wp:anchor distT="0" distB="0" distL="114300" distR="114300" simplePos="0" relativeHeight="251660288" behindDoc="0" locked="0" layoutInCell="1" allowOverlap="1" wp14:anchorId="3542D64F" wp14:editId="26A9CC54">
            <wp:simplePos x="0" y="0"/>
            <wp:positionH relativeFrom="margin">
              <wp:posOffset>3437255</wp:posOffset>
            </wp:positionH>
            <wp:positionV relativeFrom="paragraph">
              <wp:posOffset>5715</wp:posOffset>
            </wp:positionV>
            <wp:extent cx="2292350" cy="3063240"/>
            <wp:effectExtent l="0" t="0" r="0" b="3810"/>
            <wp:wrapThrough wrapText="bothSides">
              <wp:wrapPolygon edited="0">
                <wp:start x="0" y="0"/>
                <wp:lineTo x="0" y="21493"/>
                <wp:lineTo x="21361" y="21493"/>
                <wp:lineTo x="21361" y="0"/>
                <wp:lineTo x="0" y="0"/>
              </wp:wrapPolygon>
            </wp:wrapThrough>
            <wp:docPr id="1177713864" name="Picture 2"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713864" name="Picture 2" descr="A map of a city&#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2350" cy="3063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033D" w:rsidRPr="00AC033D">
        <w:t xml:space="preserve"> </w:t>
      </w:r>
      <w:r w:rsidR="001F7C53" w:rsidRPr="001F7C53">
        <w:t xml:space="preserve">The proposed site on </w:t>
      </w:r>
      <w:r w:rsidR="001F7C53" w:rsidRPr="001F7C53">
        <w:rPr>
          <w:b/>
          <w:bCs/>
        </w:rPr>
        <w:t>Mumbles Road</w:t>
      </w:r>
      <w:r w:rsidR="001F7C53" w:rsidRPr="001F7C53">
        <w:t xml:space="preserve">, Swansea, holds a rich and layered industrial history. In </w:t>
      </w:r>
      <w:r w:rsidR="001F7C53" w:rsidRPr="001F7C53">
        <w:rPr>
          <w:b/>
          <w:bCs/>
        </w:rPr>
        <w:t>1804</w:t>
      </w:r>
      <w:r w:rsidR="001F7C53" w:rsidRPr="001F7C53">
        <w:t xml:space="preserve">, the </w:t>
      </w:r>
      <w:r w:rsidR="001F7C53" w:rsidRPr="001F7C53">
        <w:rPr>
          <w:b/>
          <w:bCs/>
        </w:rPr>
        <w:t>Swansea and Mumbles Railway</w:t>
      </w:r>
      <w:r w:rsidR="001F7C53" w:rsidRPr="001F7C53">
        <w:t xml:space="preserve"> was established, initially for transporting quarried materials, and later became the world’s first passenger railway in </w:t>
      </w:r>
      <w:r w:rsidR="001F7C53" w:rsidRPr="001F7C53">
        <w:rPr>
          <w:b/>
          <w:bCs/>
        </w:rPr>
        <w:t>1807</w:t>
      </w:r>
      <w:r w:rsidR="001F7C53" w:rsidRPr="001F7C53">
        <w:t xml:space="preserve"> </w:t>
      </w:r>
      <w:r w:rsidR="001F7C53" w:rsidRPr="001F7C53">
        <w:rPr>
          <w:i/>
          <w:iCs/>
        </w:rPr>
        <w:t xml:space="preserve">(Swansea Museum, n.d.; </w:t>
      </w:r>
      <w:proofErr w:type="spellStart"/>
      <w:r w:rsidR="001F7C53" w:rsidRPr="001F7C53">
        <w:rPr>
          <w:i/>
          <w:iCs/>
        </w:rPr>
        <w:t>Coflein</w:t>
      </w:r>
      <w:proofErr w:type="spellEnd"/>
      <w:r w:rsidR="001F7C53" w:rsidRPr="001F7C53">
        <w:rPr>
          <w:i/>
          <w:iCs/>
        </w:rPr>
        <w:t>, n.d.)</w:t>
      </w:r>
      <w:r w:rsidR="001F7C53" w:rsidRPr="001F7C53">
        <w:t xml:space="preserve">. The railway served passengers and goods for over a century before its closure in </w:t>
      </w:r>
      <w:r w:rsidR="001F7C53" w:rsidRPr="001F7C53">
        <w:rPr>
          <w:b/>
          <w:bCs/>
        </w:rPr>
        <w:t>1960</w:t>
      </w:r>
      <w:r w:rsidR="001F7C53" w:rsidRPr="001F7C53">
        <w:t>.</w:t>
      </w:r>
    </w:p>
    <w:p w14:paraId="3B11CD8D" w14:textId="34906E3B" w:rsidR="001F7C53" w:rsidRPr="001F7C53" w:rsidRDefault="001F7C53" w:rsidP="001F7C53">
      <w:r w:rsidRPr="001F7C53">
        <w:t xml:space="preserve">Historical maps from the </w:t>
      </w:r>
      <w:r w:rsidRPr="001F7C53">
        <w:rPr>
          <w:b/>
          <w:bCs/>
        </w:rPr>
        <w:t>1870s</w:t>
      </w:r>
      <w:r w:rsidRPr="001F7C53">
        <w:t xml:space="preserve"> indicate that part of the site was also occupied by a </w:t>
      </w:r>
      <w:r w:rsidRPr="001F7C53">
        <w:rPr>
          <w:b/>
          <w:bCs/>
        </w:rPr>
        <w:t>gasworks</w:t>
      </w:r>
      <w:r w:rsidRPr="001F7C53">
        <w:t xml:space="preserve">, </w:t>
      </w:r>
      <w:r w:rsidR="00C572EB">
        <w:t>labelled</w:t>
      </w:r>
      <w:r w:rsidRPr="001F7C53">
        <w:t xml:space="preserve"> as a </w:t>
      </w:r>
      <w:r w:rsidRPr="001F7C53">
        <w:rPr>
          <w:b/>
          <w:bCs/>
        </w:rPr>
        <w:t>Gasometer</w:t>
      </w:r>
      <w:r w:rsidRPr="001F7C53">
        <w:t xml:space="preserve">, operated by the </w:t>
      </w:r>
      <w:r w:rsidRPr="001F7C53">
        <w:rPr>
          <w:b/>
          <w:bCs/>
        </w:rPr>
        <w:t>Swansea Gas Light Company</w:t>
      </w:r>
      <w:r w:rsidRPr="001F7C53">
        <w:t xml:space="preserve">. This facility stored and distributed town gas to the surrounding area, operating alongside the railway for several decades </w:t>
      </w:r>
      <w:r w:rsidRPr="001F7C53">
        <w:rPr>
          <w:i/>
          <w:iCs/>
        </w:rPr>
        <w:t>(</w:t>
      </w:r>
      <w:proofErr w:type="spellStart"/>
      <w:r w:rsidRPr="001F7C53">
        <w:rPr>
          <w:i/>
          <w:iCs/>
        </w:rPr>
        <w:t>Coflein</w:t>
      </w:r>
      <w:proofErr w:type="spellEnd"/>
      <w:r w:rsidRPr="001F7C53">
        <w:rPr>
          <w:i/>
          <w:iCs/>
        </w:rPr>
        <w:t>, n.d.; Archives Hub, n.d.)</w:t>
      </w:r>
      <w:r w:rsidRPr="001F7C53">
        <w:t>.</w:t>
      </w:r>
    </w:p>
    <w:p w14:paraId="3507709E" w14:textId="634BA599" w:rsidR="001F7C53" w:rsidRPr="001F7C53" w:rsidRDefault="001F7C53" w:rsidP="001F7C53">
      <w:r w:rsidRPr="001F7C53">
        <w:t xml:space="preserve">After </w:t>
      </w:r>
      <w:r w:rsidR="00C572EB">
        <w:t>the railway closed</w:t>
      </w:r>
      <w:r w:rsidRPr="001F7C53">
        <w:t xml:space="preserve"> in </w:t>
      </w:r>
      <w:r w:rsidRPr="001F7C53">
        <w:rPr>
          <w:b/>
          <w:bCs/>
        </w:rPr>
        <w:t>1960</w:t>
      </w:r>
      <w:r w:rsidRPr="001F7C53">
        <w:t xml:space="preserve">, the gasworks continued to function as a key energy facility until the late </w:t>
      </w:r>
      <w:r w:rsidRPr="001F7C53">
        <w:rPr>
          <w:b/>
          <w:bCs/>
        </w:rPr>
        <w:t>20th century</w:t>
      </w:r>
      <w:r w:rsidRPr="001F7C53">
        <w:t xml:space="preserve">, when advancements in energy technology and the transition to natural gas rendered the facility obsolete. The site was subsequently sold and redeveloped in the </w:t>
      </w:r>
      <w:r w:rsidRPr="001F7C53">
        <w:rPr>
          <w:b/>
          <w:bCs/>
        </w:rPr>
        <w:t>1990s</w:t>
      </w:r>
      <w:r w:rsidRPr="001F7C53">
        <w:t xml:space="preserve">, with a </w:t>
      </w:r>
      <w:r w:rsidRPr="001F7C53">
        <w:rPr>
          <w:b/>
          <w:bCs/>
        </w:rPr>
        <w:t>Tesco superstore</w:t>
      </w:r>
      <w:r w:rsidRPr="001F7C53">
        <w:t xml:space="preserve"> opening in </w:t>
      </w:r>
      <w:r w:rsidRPr="001F7C53">
        <w:rPr>
          <w:b/>
          <w:bCs/>
        </w:rPr>
        <w:t>2000</w:t>
      </w:r>
      <w:r w:rsidRPr="001F7C53">
        <w:t xml:space="preserve"> to mark its transformation from industrial to retail use </w:t>
      </w:r>
      <w:r w:rsidRPr="001F7C53">
        <w:rPr>
          <w:i/>
          <w:iCs/>
        </w:rPr>
        <w:t xml:space="preserve">(Archives Hub, n.d.; </w:t>
      </w:r>
      <w:proofErr w:type="spellStart"/>
      <w:r w:rsidRPr="001F7C53">
        <w:rPr>
          <w:i/>
          <w:iCs/>
        </w:rPr>
        <w:t>Coflein</w:t>
      </w:r>
      <w:proofErr w:type="spellEnd"/>
      <w:r w:rsidRPr="001F7C53">
        <w:rPr>
          <w:i/>
          <w:iCs/>
        </w:rPr>
        <w:t>, n.d.)</w:t>
      </w:r>
      <w:r w:rsidRPr="001F7C53">
        <w:t>.</w:t>
      </w:r>
    </w:p>
    <w:p w14:paraId="2B9BB2FA" w14:textId="7978216E" w:rsidR="00D42BD8" w:rsidRPr="00D42BD8" w:rsidRDefault="00D42BD8" w:rsidP="00D42BD8"/>
    <w:p w14:paraId="74954ED9" w14:textId="1AE0E3AC" w:rsidR="00F77D67" w:rsidRDefault="00F77D67" w:rsidP="00F77D67">
      <w:pPr>
        <w:pStyle w:val="Heading1"/>
      </w:pPr>
      <w:bookmarkStart w:id="3" w:name="_Toc187504949"/>
      <w:r>
        <w:lastRenderedPageBreak/>
        <w:t>Site Investigation</w:t>
      </w:r>
      <w:bookmarkEnd w:id="3"/>
    </w:p>
    <w:p w14:paraId="3F1627C9" w14:textId="26781C5B" w:rsidR="00F77D67" w:rsidRDefault="00F77D67" w:rsidP="00F77D67">
      <w:pPr>
        <w:pStyle w:val="Heading2"/>
        <w:numPr>
          <w:ilvl w:val="1"/>
          <w:numId w:val="7"/>
        </w:numPr>
      </w:pPr>
      <w:bookmarkStart w:id="4" w:name="_Toc187504950"/>
      <w:r>
        <w:t>Geotechnical Overview</w:t>
      </w:r>
      <w:bookmarkEnd w:id="4"/>
    </w:p>
    <w:p w14:paraId="1066FA5D" w14:textId="75430A4D" w:rsidR="00F77D67" w:rsidRDefault="00066CEC" w:rsidP="00F77D67">
      <w:r w:rsidRPr="001E0A65">
        <w:drawing>
          <wp:anchor distT="0" distB="0" distL="114300" distR="114300" simplePos="0" relativeHeight="251661312" behindDoc="0" locked="0" layoutInCell="1" allowOverlap="1" wp14:anchorId="10321FFA" wp14:editId="5267BE78">
            <wp:simplePos x="0" y="0"/>
            <wp:positionH relativeFrom="margin">
              <wp:align>right</wp:align>
            </wp:positionH>
            <wp:positionV relativeFrom="paragraph">
              <wp:posOffset>2540</wp:posOffset>
            </wp:positionV>
            <wp:extent cx="2685415" cy="1902460"/>
            <wp:effectExtent l="0" t="0" r="635" b="2540"/>
            <wp:wrapThrough wrapText="bothSides">
              <wp:wrapPolygon edited="0">
                <wp:start x="0" y="0"/>
                <wp:lineTo x="0" y="21413"/>
                <wp:lineTo x="21452" y="21413"/>
                <wp:lineTo x="21452" y="0"/>
                <wp:lineTo x="0" y="0"/>
              </wp:wrapPolygon>
            </wp:wrapThrough>
            <wp:docPr id="95386164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61648" name="Picture 1" descr="A map of a cit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685415" cy="1902460"/>
                    </a:xfrm>
                    <a:prstGeom prst="rect">
                      <a:avLst/>
                    </a:prstGeom>
                  </pic:spPr>
                </pic:pic>
              </a:graphicData>
            </a:graphic>
          </wp:anchor>
        </w:drawing>
      </w:r>
      <w:r w:rsidRPr="00066CEC">
        <w:t>Comprehending the underlying conditions at the Swansea Mumbles Road location is essential for evaluating the viability of the proposed development. This document summarises the geological setting and results from drilling research.</w:t>
      </w:r>
      <w:r w:rsidRPr="00066CEC">
        <w:t xml:space="preserve"> </w:t>
      </w:r>
    </w:p>
    <w:p w14:paraId="425738C4" w14:textId="2346EAE6" w:rsidR="00C75F75" w:rsidRPr="00C75F75" w:rsidRDefault="00C75F75" w:rsidP="00C75F75">
      <w:r w:rsidRPr="00C75F75">
        <w:rPr>
          <w:b/>
          <w:bCs/>
        </w:rPr>
        <w:t>Geological Context</w:t>
      </w:r>
      <w:r w:rsidRPr="00C75F75">
        <w:t>:</w:t>
      </w:r>
    </w:p>
    <w:p w14:paraId="27299EFB" w14:textId="1F58C9D4" w:rsidR="00C75F75" w:rsidRPr="00C75F75" w:rsidRDefault="00C75F75" w:rsidP="00C75F75">
      <w:pPr>
        <w:numPr>
          <w:ilvl w:val="0"/>
          <w:numId w:val="10"/>
        </w:numPr>
      </w:pPr>
      <w:r w:rsidRPr="00C75F75">
        <w:t xml:space="preserve">The site is underlain by the </w:t>
      </w:r>
      <w:r w:rsidRPr="00C75F75">
        <w:rPr>
          <w:b/>
          <w:bCs/>
        </w:rPr>
        <w:t>South Wales Middle Coal Measures Formation</w:t>
      </w:r>
      <w:r w:rsidRPr="00C75F75">
        <w:t xml:space="preserve">, a sequence of mudstone, sandstone, and coal seams. Superficial deposits comprise </w:t>
      </w:r>
      <w:r w:rsidRPr="00C75F75">
        <w:rPr>
          <w:b/>
          <w:bCs/>
        </w:rPr>
        <w:t>Blown Sand</w:t>
      </w:r>
      <w:r w:rsidRPr="00C75F75">
        <w:t>, which may exhibit variable strength and stability</w:t>
      </w:r>
      <w:r w:rsidR="009B1463">
        <w:t xml:space="preserve"> </w:t>
      </w:r>
      <w:r w:rsidR="009B1463" w:rsidRPr="009B1463">
        <w:t>(British Geological Survey, n.d.)</w:t>
      </w:r>
      <w:r w:rsidR="009B1463">
        <w:t>.</w:t>
      </w:r>
    </w:p>
    <w:p w14:paraId="02C4CC9E" w14:textId="77777777" w:rsidR="00C75F75" w:rsidRPr="00C75F75" w:rsidRDefault="00C75F75" w:rsidP="00C75F75">
      <w:pPr>
        <w:numPr>
          <w:ilvl w:val="0"/>
          <w:numId w:val="10"/>
        </w:numPr>
      </w:pPr>
      <w:r w:rsidRPr="00C75F75">
        <w:rPr>
          <w:b/>
          <w:bCs/>
        </w:rPr>
        <w:t>Implications</w:t>
      </w:r>
      <w:r w:rsidRPr="00C75F75">
        <w:t>:</w:t>
      </w:r>
    </w:p>
    <w:p w14:paraId="52EA7D2C" w14:textId="1E51034E" w:rsidR="00C75F75" w:rsidRDefault="00C75F75" w:rsidP="00C75F75">
      <w:pPr>
        <w:numPr>
          <w:ilvl w:val="1"/>
          <w:numId w:val="10"/>
        </w:numPr>
      </w:pPr>
      <w:r w:rsidRPr="00C75F75">
        <w:t>The diversity of surface deposits and the existence of compressible layers require meticulous geotechnical evaluation to ascertain risks associated with excavation and load-bearing capacity</w:t>
      </w:r>
      <w:r w:rsidR="009B1463" w:rsidRPr="009B1463">
        <w:t xml:space="preserve"> </w:t>
      </w:r>
      <w:r w:rsidR="009B1463" w:rsidRPr="009B1463">
        <w:t>(British Geological Survey, n.d.).</w:t>
      </w:r>
    </w:p>
    <w:p w14:paraId="040FA40D" w14:textId="301FE894" w:rsidR="00C75F75" w:rsidRPr="00C75F75" w:rsidRDefault="00C75F75" w:rsidP="00C75F75">
      <w:r w:rsidRPr="00C75F75">
        <w:rPr>
          <w:b/>
          <w:bCs/>
        </w:rPr>
        <w:t>Borehole Data Summary</w:t>
      </w:r>
      <w:r w:rsidRPr="00C75F75">
        <w:t>:</w:t>
      </w:r>
    </w:p>
    <w:p w14:paraId="67153DF1" w14:textId="77777777" w:rsidR="00C75F75" w:rsidRPr="00C75F75" w:rsidRDefault="00C75F75" w:rsidP="00C75F75">
      <w:pPr>
        <w:numPr>
          <w:ilvl w:val="0"/>
          <w:numId w:val="11"/>
        </w:numPr>
      </w:pPr>
      <w:r w:rsidRPr="00C75F75">
        <w:t>Boreholes 370487, 370488, and 370489 reveal:</w:t>
      </w:r>
    </w:p>
    <w:p w14:paraId="34F641BC" w14:textId="77777777" w:rsidR="00C75F75" w:rsidRPr="00C75F75" w:rsidRDefault="00C75F75" w:rsidP="00C75F75">
      <w:pPr>
        <w:numPr>
          <w:ilvl w:val="1"/>
          <w:numId w:val="11"/>
        </w:numPr>
      </w:pPr>
      <w:r w:rsidRPr="00C75F75">
        <w:rPr>
          <w:b/>
          <w:bCs/>
        </w:rPr>
        <w:t>0–3m (Made Ground)</w:t>
      </w:r>
      <w:r w:rsidRPr="00C75F75">
        <w:t>: Composed of rubble, silty clay, and gravelly sand. Weak and inconsistent, posing settlement risks.</w:t>
      </w:r>
    </w:p>
    <w:p w14:paraId="66449473" w14:textId="77777777" w:rsidR="00C75F75" w:rsidRPr="00C75F75" w:rsidRDefault="00C75F75" w:rsidP="00C75F75">
      <w:pPr>
        <w:numPr>
          <w:ilvl w:val="1"/>
          <w:numId w:val="11"/>
        </w:numPr>
      </w:pPr>
      <w:r w:rsidRPr="00C75F75">
        <w:rPr>
          <w:b/>
          <w:bCs/>
        </w:rPr>
        <w:t>3–5m (Alluvium)</w:t>
      </w:r>
      <w:r w:rsidRPr="00C75F75">
        <w:t>: Layers of peat and sandy silt, which are highly compressible and unsuitable for foundations.</w:t>
      </w:r>
    </w:p>
    <w:p w14:paraId="6FFFE0BB" w14:textId="77777777" w:rsidR="00C75F75" w:rsidRDefault="00C75F75" w:rsidP="00C75F75">
      <w:pPr>
        <w:numPr>
          <w:ilvl w:val="1"/>
          <w:numId w:val="11"/>
        </w:numPr>
      </w:pPr>
      <w:r w:rsidRPr="00C75F75">
        <w:rPr>
          <w:b/>
          <w:bCs/>
        </w:rPr>
        <w:t>&gt;6m (Dense Gravel or Bedrock)</w:t>
      </w:r>
      <w:r w:rsidRPr="00C75F75">
        <w:t>: Provides stable conditions for anchoring deep foundations.</w:t>
      </w:r>
    </w:p>
    <w:p w14:paraId="3230AF0D" w14:textId="2AC8C3E1" w:rsidR="001A39E6" w:rsidRDefault="001A39E6" w:rsidP="001A39E6">
      <w:r w:rsidRPr="001A39E6">
        <w:t>(British Geological Survey, n.d.)</w:t>
      </w:r>
    </w:p>
    <w:p w14:paraId="665C12DB" w14:textId="632B6823" w:rsidR="00C75F75" w:rsidRPr="00C75F75" w:rsidRDefault="00C75F75" w:rsidP="00C75F75">
      <w:r w:rsidRPr="00C75F75">
        <w:rPr>
          <w:b/>
          <w:bCs/>
        </w:rPr>
        <w:t>Groundwater</w:t>
      </w:r>
      <w:r w:rsidRPr="00C75F75">
        <w:t>:</w:t>
      </w:r>
    </w:p>
    <w:p w14:paraId="585FBBE0" w14:textId="0A4999C3" w:rsidR="00C75F75" w:rsidRDefault="00C75F75" w:rsidP="00C75F75">
      <w:pPr>
        <w:numPr>
          <w:ilvl w:val="0"/>
          <w:numId w:val="12"/>
        </w:numPr>
      </w:pPr>
      <w:r>
        <w:t>Due to the collated borehole data it was observed that at depths of 1.5 – 2m there were groundwater strikes, this indicates the need for dewatering systems during construction</w:t>
      </w:r>
      <w:r w:rsidR="001A39E6">
        <w:t xml:space="preserve"> </w:t>
      </w:r>
      <w:r w:rsidR="001A39E6" w:rsidRPr="001A39E6">
        <w:t>(British Geological Survey, n.d.)</w:t>
      </w:r>
      <w:r>
        <w:t>.</w:t>
      </w:r>
    </w:p>
    <w:p w14:paraId="49ABE561" w14:textId="6CE05BAD" w:rsidR="00C75F75" w:rsidRDefault="005C201B" w:rsidP="00C75F75">
      <w:pPr>
        <w:pStyle w:val="Heading2"/>
        <w:numPr>
          <w:ilvl w:val="1"/>
          <w:numId w:val="7"/>
        </w:numPr>
      </w:pPr>
      <w:bookmarkStart w:id="5" w:name="_Toc187504951"/>
      <w:r>
        <w:t>Recommendations</w:t>
      </w:r>
      <w:r w:rsidR="00C75F75">
        <w:t xml:space="preserve"> for Further Investigation</w:t>
      </w:r>
      <w:bookmarkEnd w:id="5"/>
    </w:p>
    <w:p w14:paraId="0506D16D" w14:textId="77777777" w:rsidR="001A39E6" w:rsidRPr="001A39E6" w:rsidRDefault="001A39E6" w:rsidP="001A39E6">
      <w:pPr>
        <w:spacing w:before="100" w:beforeAutospacing="1" w:after="100" w:afterAutospacing="1" w:line="240" w:lineRule="auto"/>
        <w:rPr>
          <w:rFonts w:eastAsia="Times New Roman" w:cs="Times New Roman"/>
          <w:lang w:eastAsia="en-GB"/>
        </w:rPr>
      </w:pPr>
      <w:r w:rsidRPr="001A39E6">
        <w:rPr>
          <w:rFonts w:eastAsia="Times New Roman" w:cs="Times New Roman"/>
          <w:lang w:eastAsia="en-GB"/>
        </w:rPr>
        <w:t>Given the historical industrial use of the site and the current findings, the following investigations are recommended:</w:t>
      </w:r>
    </w:p>
    <w:p w14:paraId="719CFE50" w14:textId="77777777" w:rsidR="001A39E6" w:rsidRPr="001A39E6" w:rsidRDefault="001A39E6" w:rsidP="001A39E6">
      <w:pPr>
        <w:numPr>
          <w:ilvl w:val="0"/>
          <w:numId w:val="13"/>
        </w:numPr>
        <w:spacing w:before="100" w:beforeAutospacing="1" w:after="100" w:afterAutospacing="1" w:line="240" w:lineRule="auto"/>
        <w:rPr>
          <w:rFonts w:eastAsia="Times New Roman" w:cs="Times New Roman"/>
          <w:lang w:eastAsia="en-GB"/>
        </w:rPr>
      </w:pPr>
      <w:r w:rsidRPr="001A39E6">
        <w:rPr>
          <w:rFonts w:eastAsia="Times New Roman" w:cs="Times New Roman"/>
          <w:b/>
          <w:bCs/>
          <w:lang w:eastAsia="en-GB"/>
        </w:rPr>
        <w:t>Geotechnical Tests</w:t>
      </w:r>
      <w:r w:rsidRPr="001A39E6">
        <w:rPr>
          <w:rFonts w:eastAsia="Times New Roman" w:cs="Times New Roman"/>
          <w:lang w:eastAsia="en-GB"/>
        </w:rPr>
        <w:t>:</w:t>
      </w:r>
    </w:p>
    <w:p w14:paraId="2ED53A5A" w14:textId="77777777" w:rsidR="001A39E6" w:rsidRPr="001A39E6" w:rsidRDefault="001A39E6" w:rsidP="001A39E6">
      <w:pPr>
        <w:numPr>
          <w:ilvl w:val="1"/>
          <w:numId w:val="13"/>
        </w:numPr>
        <w:spacing w:before="100" w:beforeAutospacing="1" w:after="100" w:afterAutospacing="1" w:line="240" w:lineRule="auto"/>
        <w:rPr>
          <w:rFonts w:eastAsia="Times New Roman" w:cs="Times New Roman"/>
          <w:lang w:eastAsia="en-GB"/>
        </w:rPr>
      </w:pPr>
      <w:r w:rsidRPr="001A39E6">
        <w:rPr>
          <w:rFonts w:eastAsia="Times New Roman" w:cs="Times New Roman"/>
          <w:b/>
          <w:bCs/>
          <w:lang w:eastAsia="en-GB"/>
        </w:rPr>
        <w:t>Trial Pits</w:t>
      </w:r>
      <w:r w:rsidRPr="001A39E6">
        <w:rPr>
          <w:rFonts w:eastAsia="Times New Roman" w:cs="Times New Roman"/>
          <w:lang w:eastAsia="en-GB"/>
        </w:rPr>
        <w:t>: Excavate shallow pits to visually confirm the variability in the made ground and its depth.</w:t>
      </w:r>
    </w:p>
    <w:p w14:paraId="452C48C4" w14:textId="77777777" w:rsidR="001A39E6" w:rsidRPr="001A39E6" w:rsidRDefault="001A39E6" w:rsidP="001A39E6">
      <w:pPr>
        <w:numPr>
          <w:ilvl w:val="1"/>
          <w:numId w:val="13"/>
        </w:numPr>
        <w:spacing w:before="100" w:beforeAutospacing="1" w:after="100" w:afterAutospacing="1" w:line="240" w:lineRule="auto"/>
        <w:rPr>
          <w:rFonts w:eastAsia="Times New Roman" w:cs="Times New Roman"/>
          <w:lang w:eastAsia="en-GB"/>
        </w:rPr>
      </w:pPr>
      <w:r w:rsidRPr="001A39E6">
        <w:rPr>
          <w:rFonts w:eastAsia="Times New Roman" w:cs="Times New Roman"/>
          <w:b/>
          <w:bCs/>
          <w:lang w:eastAsia="en-GB"/>
        </w:rPr>
        <w:lastRenderedPageBreak/>
        <w:t>Cone Penetration Testing (CPT)</w:t>
      </w:r>
      <w:r w:rsidRPr="001A39E6">
        <w:rPr>
          <w:rFonts w:eastAsia="Times New Roman" w:cs="Times New Roman"/>
          <w:lang w:eastAsia="en-GB"/>
        </w:rPr>
        <w:t>: Determine soil strength and stiffness, providing continuous profiles for validation.</w:t>
      </w:r>
    </w:p>
    <w:p w14:paraId="1220A768" w14:textId="6061743E" w:rsidR="001A39E6" w:rsidRPr="001A39E6" w:rsidRDefault="001A39E6" w:rsidP="001A39E6">
      <w:pPr>
        <w:numPr>
          <w:ilvl w:val="1"/>
          <w:numId w:val="13"/>
        </w:numPr>
        <w:spacing w:before="100" w:beforeAutospacing="1" w:after="100" w:afterAutospacing="1" w:line="240" w:lineRule="auto"/>
        <w:rPr>
          <w:rFonts w:eastAsia="Times New Roman" w:cs="Times New Roman"/>
          <w:lang w:eastAsia="en-GB"/>
        </w:rPr>
      </w:pPr>
      <w:r w:rsidRPr="001A39E6">
        <w:rPr>
          <w:rFonts w:eastAsia="Times New Roman" w:cs="Times New Roman"/>
          <w:b/>
          <w:bCs/>
          <w:lang w:eastAsia="en-GB"/>
        </w:rPr>
        <w:t>Plate Load Testing</w:t>
      </w:r>
      <w:r w:rsidRPr="001A39E6">
        <w:rPr>
          <w:rFonts w:eastAsia="Times New Roman" w:cs="Times New Roman"/>
          <w:lang w:eastAsia="en-GB"/>
        </w:rPr>
        <w:t>: Assess the bearing capacity of silty clay and gravel layers to evaluate their performance under load (British Standards Institution, 2020).</w:t>
      </w:r>
    </w:p>
    <w:p w14:paraId="789624AF" w14:textId="77777777" w:rsidR="007F36DF" w:rsidRPr="007F36DF" w:rsidRDefault="007F36DF" w:rsidP="007F36DF">
      <w:pPr>
        <w:spacing w:before="100" w:beforeAutospacing="1" w:after="100" w:afterAutospacing="1" w:line="240" w:lineRule="auto"/>
        <w:rPr>
          <w:rFonts w:eastAsia="Times New Roman" w:cs="Times New Roman"/>
          <w:lang w:eastAsia="en-GB"/>
        </w:rPr>
      </w:pPr>
      <w:r w:rsidRPr="007F36DF">
        <w:rPr>
          <w:rFonts w:eastAsia="Times New Roman" w:cs="Times New Roman"/>
          <w:b/>
          <w:bCs/>
          <w:lang w:eastAsia="en-GB"/>
        </w:rPr>
        <w:t>Contamination Tests:</w:t>
      </w:r>
    </w:p>
    <w:p w14:paraId="330A3C9E" w14:textId="77777777" w:rsidR="007F36DF" w:rsidRPr="007F36DF" w:rsidRDefault="007F36DF" w:rsidP="007F36DF">
      <w:pPr>
        <w:numPr>
          <w:ilvl w:val="0"/>
          <w:numId w:val="18"/>
        </w:numPr>
        <w:spacing w:before="100" w:beforeAutospacing="1" w:after="100" w:afterAutospacing="1" w:line="240" w:lineRule="auto"/>
        <w:rPr>
          <w:rFonts w:eastAsia="Times New Roman" w:cs="Times New Roman"/>
          <w:lang w:eastAsia="en-GB"/>
        </w:rPr>
      </w:pPr>
      <w:r w:rsidRPr="007F36DF">
        <w:rPr>
          <w:rFonts w:eastAsia="Times New Roman" w:cs="Times New Roman"/>
          <w:b/>
          <w:bCs/>
          <w:lang w:eastAsia="en-GB"/>
        </w:rPr>
        <w:t>Soil Sampling</w:t>
      </w:r>
      <w:r w:rsidRPr="007F36DF">
        <w:rPr>
          <w:rFonts w:eastAsia="Times New Roman" w:cs="Times New Roman"/>
          <w:lang w:eastAsia="en-GB"/>
        </w:rPr>
        <w:t>:</w:t>
      </w:r>
    </w:p>
    <w:p w14:paraId="2AC45ABB" w14:textId="77777777" w:rsidR="007F36DF" w:rsidRPr="007F36DF" w:rsidRDefault="007F36DF" w:rsidP="007F36DF">
      <w:pPr>
        <w:numPr>
          <w:ilvl w:val="1"/>
          <w:numId w:val="18"/>
        </w:numPr>
        <w:spacing w:before="100" w:beforeAutospacing="1" w:after="100" w:afterAutospacing="1" w:line="240" w:lineRule="auto"/>
        <w:rPr>
          <w:rFonts w:eastAsia="Times New Roman" w:cs="Times New Roman"/>
          <w:lang w:eastAsia="en-GB"/>
        </w:rPr>
      </w:pPr>
      <w:r w:rsidRPr="007F36DF">
        <w:rPr>
          <w:rFonts w:eastAsia="Times New Roman" w:cs="Times New Roman"/>
          <w:lang w:eastAsia="en-GB"/>
        </w:rPr>
        <w:t>It is advised that the developer target made ground and peat layers for hydrocarbons, heavy metals (e.g., arsenic, lead), and cyanides from historical gasworks and railway activities (British Standards Institution, 2013).</w:t>
      </w:r>
    </w:p>
    <w:p w14:paraId="49D98FE6" w14:textId="77777777" w:rsidR="007F36DF" w:rsidRPr="007F36DF" w:rsidRDefault="007F36DF" w:rsidP="007F36DF">
      <w:pPr>
        <w:numPr>
          <w:ilvl w:val="0"/>
          <w:numId w:val="18"/>
        </w:numPr>
        <w:spacing w:before="100" w:beforeAutospacing="1" w:after="100" w:afterAutospacing="1" w:line="240" w:lineRule="auto"/>
        <w:rPr>
          <w:rFonts w:eastAsia="Times New Roman" w:cs="Times New Roman"/>
          <w:lang w:eastAsia="en-GB"/>
        </w:rPr>
      </w:pPr>
      <w:r w:rsidRPr="007F36DF">
        <w:rPr>
          <w:rFonts w:eastAsia="Times New Roman" w:cs="Times New Roman"/>
          <w:b/>
          <w:bCs/>
          <w:lang w:eastAsia="en-GB"/>
        </w:rPr>
        <w:t>Groundwater Sampling</w:t>
      </w:r>
      <w:r w:rsidRPr="007F36DF">
        <w:rPr>
          <w:rFonts w:eastAsia="Times New Roman" w:cs="Times New Roman"/>
          <w:lang w:eastAsia="en-GB"/>
        </w:rPr>
        <w:t>:</w:t>
      </w:r>
    </w:p>
    <w:p w14:paraId="3A724DD6" w14:textId="77777777" w:rsidR="007F36DF" w:rsidRPr="007F36DF" w:rsidRDefault="007F36DF" w:rsidP="007F36DF">
      <w:pPr>
        <w:numPr>
          <w:ilvl w:val="1"/>
          <w:numId w:val="18"/>
        </w:numPr>
        <w:spacing w:before="100" w:beforeAutospacing="1" w:after="100" w:afterAutospacing="1" w:line="240" w:lineRule="auto"/>
        <w:rPr>
          <w:rFonts w:eastAsia="Times New Roman" w:cs="Times New Roman"/>
          <w:lang w:eastAsia="en-GB"/>
        </w:rPr>
      </w:pPr>
      <w:r w:rsidRPr="007F36DF">
        <w:rPr>
          <w:rFonts w:eastAsia="Times New Roman" w:cs="Times New Roman"/>
          <w:lang w:eastAsia="en-GB"/>
        </w:rPr>
        <w:t>Test for leachates, including hydrocarbons and dissolved metals, to evaluate contamination risks (British Standards Institution, 2013).</w:t>
      </w:r>
    </w:p>
    <w:p w14:paraId="4E20D811" w14:textId="77777777" w:rsidR="007F36DF" w:rsidRPr="007F36DF" w:rsidRDefault="007F36DF" w:rsidP="007F36DF">
      <w:pPr>
        <w:numPr>
          <w:ilvl w:val="0"/>
          <w:numId w:val="18"/>
        </w:numPr>
        <w:spacing w:before="100" w:beforeAutospacing="1" w:after="100" w:afterAutospacing="1" w:line="240" w:lineRule="auto"/>
        <w:rPr>
          <w:rFonts w:eastAsia="Times New Roman" w:cs="Times New Roman"/>
          <w:lang w:eastAsia="en-GB"/>
        </w:rPr>
      </w:pPr>
      <w:r w:rsidRPr="007F36DF">
        <w:rPr>
          <w:rFonts w:eastAsia="Times New Roman" w:cs="Times New Roman"/>
          <w:b/>
          <w:bCs/>
          <w:lang w:eastAsia="en-GB"/>
        </w:rPr>
        <w:t>Gas Monitoring</w:t>
      </w:r>
      <w:r w:rsidRPr="007F36DF">
        <w:rPr>
          <w:rFonts w:eastAsia="Times New Roman" w:cs="Times New Roman"/>
          <w:lang w:eastAsia="en-GB"/>
        </w:rPr>
        <w:t>:</w:t>
      </w:r>
    </w:p>
    <w:p w14:paraId="5D0DEF66" w14:textId="77777777" w:rsidR="007F36DF" w:rsidRPr="007F36DF" w:rsidRDefault="007F36DF" w:rsidP="007F36DF">
      <w:pPr>
        <w:numPr>
          <w:ilvl w:val="1"/>
          <w:numId w:val="18"/>
        </w:numPr>
        <w:spacing w:before="100" w:beforeAutospacing="1" w:after="100" w:afterAutospacing="1" w:line="240" w:lineRule="auto"/>
        <w:rPr>
          <w:rFonts w:eastAsia="Times New Roman" w:cs="Times New Roman"/>
          <w:lang w:eastAsia="en-GB"/>
        </w:rPr>
      </w:pPr>
      <w:r w:rsidRPr="007F36DF">
        <w:rPr>
          <w:rFonts w:eastAsia="Times New Roman" w:cs="Times New Roman"/>
          <w:lang w:eastAsia="en-GB"/>
        </w:rPr>
        <w:t>Install gas monitoring wells to detect methane and carbon dioxide emissions, particularly near organic layers (British Standards Institution, 2013).</w:t>
      </w:r>
    </w:p>
    <w:p w14:paraId="5297FC81" w14:textId="2F54F5E0" w:rsidR="005C201B" w:rsidRDefault="005C201B" w:rsidP="005C201B">
      <w:pPr>
        <w:pStyle w:val="Heading2"/>
        <w:numPr>
          <w:ilvl w:val="1"/>
          <w:numId w:val="7"/>
        </w:numPr>
      </w:pPr>
      <w:bookmarkStart w:id="6" w:name="_Toc187504952"/>
      <w:r>
        <w:t>Environmental and Social Considerations</w:t>
      </w:r>
      <w:bookmarkEnd w:id="6"/>
    </w:p>
    <w:p w14:paraId="6F433173" w14:textId="77777777" w:rsidR="005C201B" w:rsidRPr="005C201B" w:rsidRDefault="005C201B" w:rsidP="005C201B">
      <w:r w:rsidRPr="005C201B">
        <w:t>The urban nature of the site and its proximity to residential and commercial areas require thoughtful planning to minimize environmental and social impacts.</w:t>
      </w:r>
    </w:p>
    <w:p w14:paraId="7FCCFC8A" w14:textId="77777777" w:rsidR="005C201B" w:rsidRPr="005C201B" w:rsidRDefault="005C201B" w:rsidP="005C201B">
      <w:pPr>
        <w:numPr>
          <w:ilvl w:val="0"/>
          <w:numId w:val="14"/>
        </w:numPr>
      </w:pPr>
      <w:r w:rsidRPr="005C201B">
        <w:rPr>
          <w:b/>
          <w:bCs/>
        </w:rPr>
        <w:t>Environmental Impacts</w:t>
      </w:r>
      <w:r w:rsidRPr="005C201B">
        <w:t>:</w:t>
      </w:r>
    </w:p>
    <w:p w14:paraId="76012C65" w14:textId="0CC42E2D" w:rsidR="005C201B" w:rsidRPr="005C201B" w:rsidRDefault="007F36DF" w:rsidP="007F36DF">
      <w:pPr>
        <w:numPr>
          <w:ilvl w:val="1"/>
          <w:numId w:val="14"/>
        </w:numPr>
      </w:pPr>
      <w:r w:rsidRPr="007F36DF">
        <w:t>The NRW Phase 1 Vegetation Habitat Map indicates urbanized land use with no direct ecological sensitivity. However, indirect impacts such as runoff to nearby watercourses must be managed (Natural Resources Wales, n.d.).</w:t>
      </w:r>
    </w:p>
    <w:p w14:paraId="26111F0C" w14:textId="77777777" w:rsidR="005C201B" w:rsidRPr="005C201B" w:rsidRDefault="005C201B" w:rsidP="005C201B">
      <w:pPr>
        <w:numPr>
          <w:ilvl w:val="1"/>
          <w:numId w:val="14"/>
        </w:numPr>
      </w:pPr>
      <w:r w:rsidRPr="005C201B">
        <w:rPr>
          <w:b/>
          <w:bCs/>
        </w:rPr>
        <w:t>Recommendations</w:t>
      </w:r>
      <w:r w:rsidRPr="005C201B">
        <w:t>:</w:t>
      </w:r>
    </w:p>
    <w:p w14:paraId="79E0C8AD" w14:textId="5936CD99" w:rsidR="005C201B" w:rsidRPr="005C201B" w:rsidRDefault="007F36DF" w:rsidP="005C201B">
      <w:pPr>
        <w:numPr>
          <w:ilvl w:val="2"/>
          <w:numId w:val="14"/>
        </w:numPr>
      </w:pPr>
      <w:r w:rsidRPr="007F36DF">
        <w:t>Implement sustainable drainage systems (</w:t>
      </w:r>
      <w:proofErr w:type="spellStart"/>
      <w:r w:rsidRPr="007F36DF">
        <w:t>SuDS</w:t>
      </w:r>
      <w:proofErr w:type="spellEnd"/>
      <w:r w:rsidRPr="007F36DF">
        <w:t>) to control water runoff (Construction Industry Research and Information Association, 2015).</w:t>
      </w:r>
    </w:p>
    <w:p w14:paraId="69C631C6" w14:textId="77777777" w:rsidR="00E405D9" w:rsidRDefault="007F36DF" w:rsidP="00E405D9">
      <w:pPr>
        <w:numPr>
          <w:ilvl w:val="2"/>
          <w:numId w:val="14"/>
        </w:numPr>
      </w:pPr>
      <w:r w:rsidRPr="007F36DF">
        <w:t>Prevent contamination of adjacent areas by managing on-site spills and leachates (Construction Industry Research and Information Association, 2015).</w:t>
      </w:r>
    </w:p>
    <w:p w14:paraId="30511B29" w14:textId="5664881A" w:rsidR="00E405D9" w:rsidRDefault="00E405D9" w:rsidP="00E405D9">
      <w:pPr>
        <w:pStyle w:val="ListParagraph"/>
        <w:numPr>
          <w:ilvl w:val="0"/>
          <w:numId w:val="14"/>
        </w:numPr>
      </w:pPr>
      <w:r>
        <w:t>Flood Risk and Planning Maps:</w:t>
      </w:r>
    </w:p>
    <w:p w14:paraId="39190CF6" w14:textId="796E8D26" w:rsidR="00E405D9" w:rsidRDefault="00E405D9" w:rsidP="00E405D9">
      <w:pPr>
        <w:numPr>
          <w:ilvl w:val="1"/>
          <w:numId w:val="14"/>
        </w:numPr>
      </w:pPr>
      <w:r w:rsidRPr="00E405D9">
        <w:t>The following maps illustrate the flood risks associated with the site and its surroundings (Natural Resources Wales, n.d.).</w:t>
      </w:r>
    </w:p>
    <w:p w14:paraId="6355B504" w14:textId="77777777" w:rsidR="00E405D9" w:rsidRPr="00E405D9" w:rsidRDefault="00E405D9" w:rsidP="00E405D9">
      <w:pPr>
        <w:spacing w:before="100" w:beforeAutospacing="1" w:after="100" w:afterAutospacing="1" w:line="240" w:lineRule="auto"/>
        <w:rPr>
          <w:rFonts w:eastAsia="Times New Roman" w:cs="Times New Roman"/>
          <w:lang w:eastAsia="en-GB"/>
        </w:rPr>
      </w:pPr>
      <w:r w:rsidRPr="00E405D9">
        <w:rPr>
          <w:rFonts w:eastAsia="Times New Roman" w:cs="Times New Roman"/>
          <w:b/>
          <w:bCs/>
          <w:lang w:eastAsia="en-GB"/>
        </w:rPr>
        <w:t>Figure 1: Flood Risk Map for Planning: The Mumbles</w:t>
      </w:r>
      <w:r w:rsidRPr="00E405D9">
        <w:rPr>
          <w:rFonts w:eastAsia="Times New Roman" w:cs="Times New Roman"/>
          <w:lang w:eastAsia="en-GB"/>
        </w:rPr>
        <w:br/>
      </w:r>
      <w:r w:rsidRPr="00E405D9">
        <w:rPr>
          <w:rFonts w:eastAsia="Times New Roman" w:cs="Times New Roman"/>
          <w:i/>
          <w:iCs/>
          <w:lang w:eastAsia="en-GB"/>
        </w:rPr>
        <w:t>(Source: Natural Resources Wales, n.d.)</w:t>
      </w:r>
    </w:p>
    <w:p w14:paraId="3DF8F2EB" w14:textId="0C9B5272" w:rsidR="00E405D9" w:rsidRPr="00E405D9" w:rsidRDefault="00E405D9" w:rsidP="00E405D9">
      <w:pPr>
        <w:spacing w:before="100" w:beforeAutospacing="1" w:after="100" w:afterAutospacing="1" w:line="240" w:lineRule="auto"/>
        <w:rPr>
          <w:rFonts w:eastAsia="Times New Roman" w:cs="Times New Roman"/>
          <w:lang w:eastAsia="en-GB"/>
        </w:rPr>
      </w:pPr>
      <w:r>
        <w:rPr>
          <w:rFonts w:eastAsia="Times New Roman" w:cs="Times New Roman"/>
          <w:b/>
          <w:bCs/>
          <w:noProof/>
          <w:lang w:eastAsia="en-GB"/>
        </w:rPr>
        <w:lastRenderedPageBreak/>
        <w:drawing>
          <wp:inline distT="0" distB="0" distL="0" distR="0" wp14:anchorId="3DB6997C" wp14:editId="616F8B4A">
            <wp:extent cx="5731510" cy="4053205"/>
            <wp:effectExtent l="0" t="0" r="2540" b="4445"/>
            <wp:docPr id="723887446" name="Picture 3"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87446" name="Picture 3" descr="A map of a cit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pic:spPr>
                </pic:pic>
              </a:graphicData>
            </a:graphic>
          </wp:inline>
        </w:drawing>
      </w:r>
      <w:r w:rsidRPr="00E405D9">
        <w:rPr>
          <w:rFonts w:eastAsia="Times New Roman" w:cs="Times New Roman"/>
          <w:b/>
          <w:bCs/>
          <w:lang w:eastAsia="en-GB"/>
        </w:rPr>
        <w:t>Figure 2: Flood Map for Planning: The Mumbles (Surface Water)</w:t>
      </w:r>
      <w:r w:rsidRPr="00E405D9">
        <w:rPr>
          <w:rFonts w:eastAsia="Times New Roman" w:cs="Times New Roman"/>
          <w:lang w:eastAsia="en-GB"/>
        </w:rPr>
        <w:br/>
      </w:r>
      <w:r w:rsidRPr="00E405D9">
        <w:rPr>
          <w:rFonts w:eastAsia="Times New Roman" w:cs="Times New Roman"/>
          <w:i/>
          <w:iCs/>
          <w:lang w:eastAsia="en-GB"/>
        </w:rPr>
        <w:t>(Source: Natural Resources Wales, n.d.)</w:t>
      </w:r>
    </w:p>
    <w:p w14:paraId="1237D59E" w14:textId="2EB72AEE" w:rsidR="00E405D9" w:rsidRPr="005C201B" w:rsidRDefault="00E405D9" w:rsidP="00E405D9">
      <w:r>
        <w:rPr>
          <w:noProof/>
        </w:rPr>
        <w:drawing>
          <wp:inline distT="0" distB="0" distL="0" distR="0" wp14:anchorId="43F6A602" wp14:editId="44C5558B">
            <wp:extent cx="5731510" cy="4053205"/>
            <wp:effectExtent l="0" t="0" r="2540" b="4445"/>
            <wp:docPr id="345016955" name="Picture 4"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16955" name="Picture 4" descr="A map of a cit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pic:spPr>
                </pic:pic>
              </a:graphicData>
            </a:graphic>
          </wp:inline>
        </w:drawing>
      </w:r>
    </w:p>
    <w:p w14:paraId="1C43C85F" w14:textId="77777777" w:rsidR="005C201B" w:rsidRPr="005C201B" w:rsidRDefault="005C201B" w:rsidP="005C201B">
      <w:pPr>
        <w:numPr>
          <w:ilvl w:val="0"/>
          <w:numId w:val="14"/>
        </w:numPr>
      </w:pPr>
      <w:r w:rsidRPr="005C201B">
        <w:rPr>
          <w:b/>
          <w:bCs/>
        </w:rPr>
        <w:lastRenderedPageBreak/>
        <w:t>Social Impacts</w:t>
      </w:r>
      <w:r w:rsidRPr="005C201B">
        <w:t>:</w:t>
      </w:r>
    </w:p>
    <w:p w14:paraId="6F6AA998" w14:textId="77777777" w:rsidR="005C201B" w:rsidRPr="005C201B" w:rsidRDefault="005C201B" w:rsidP="005C201B">
      <w:pPr>
        <w:numPr>
          <w:ilvl w:val="1"/>
          <w:numId w:val="14"/>
        </w:numPr>
      </w:pPr>
      <w:r w:rsidRPr="005C201B">
        <w:t>Proximity to residential and commercial properties means construction noise, dust, and disruption may affect the local community.</w:t>
      </w:r>
    </w:p>
    <w:p w14:paraId="69F91830" w14:textId="77777777" w:rsidR="005C201B" w:rsidRPr="005C201B" w:rsidRDefault="005C201B" w:rsidP="005C201B">
      <w:pPr>
        <w:numPr>
          <w:ilvl w:val="1"/>
          <w:numId w:val="14"/>
        </w:numPr>
      </w:pPr>
      <w:r w:rsidRPr="005C201B">
        <w:rPr>
          <w:b/>
          <w:bCs/>
        </w:rPr>
        <w:t>Recommendations</w:t>
      </w:r>
      <w:r w:rsidRPr="005C201B">
        <w:t>:</w:t>
      </w:r>
    </w:p>
    <w:p w14:paraId="45DEF191" w14:textId="77777777" w:rsidR="00E405D9" w:rsidRDefault="00E405D9" w:rsidP="005C201B">
      <w:pPr>
        <w:numPr>
          <w:ilvl w:val="2"/>
          <w:numId w:val="14"/>
        </w:numPr>
      </w:pPr>
      <w:r w:rsidRPr="00E405D9">
        <w:t>Follow Considerate Constructors Scheme guidelines to mitigate noise and dust (Considerate Constructors Scheme, n.d.).</w:t>
      </w:r>
    </w:p>
    <w:p w14:paraId="131A2233" w14:textId="25250731" w:rsidR="005C201B" w:rsidRDefault="00E405D9" w:rsidP="005C201B">
      <w:pPr>
        <w:numPr>
          <w:ilvl w:val="2"/>
          <w:numId w:val="14"/>
        </w:numPr>
      </w:pPr>
      <w:r w:rsidRPr="00E405D9">
        <w:t>Engage local stakeholders early to address concerns and share project timelines (Considerate Constructors Scheme, n.d.).</w:t>
      </w:r>
    </w:p>
    <w:p w14:paraId="03F3AD75" w14:textId="5E8C9C92" w:rsidR="005C201B" w:rsidRDefault="005C201B" w:rsidP="005C201B">
      <w:pPr>
        <w:pStyle w:val="Heading2"/>
        <w:numPr>
          <w:ilvl w:val="1"/>
          <w:numId w:val="7"/>
        </w:numPr>
      </w:pPr>
      <w:bookmarkStart w:id="7" w:name="_Toc187504953"/>
      <w:r>
        <w:t>Foundation Recommendations</w:t>
      </w:r>
      <w:bookmarkEnd w:id="7"/>
    </w:p>
    <w:p w14:paraId="1DC59C85" w14:textId="77777777" w:rsidR="00294969" w:rsidRDefault="00294969" w:rsidP="00294969">
      <w:r w:rsidRPr="00294969">
        <w:t>The geotechnical and borehole data collected from the Swansea Mumbles Road site provide critical insights for foundation design. The upper layers of the site, composed of made ground and alluvial deposits, exhibit significant variability and compressibility, making shallow foundations unsuitable. At greater depths, dense gravel and bedrock layers offer the stability required for anchoring deep pile foundations.</w:t>
      </w:r>
    </w:p>
    <w:p w14:paraId="531C4419" w14:textId="77777777" w:rsidR="00C20D41" w:rsidRPr="006B1618" w:rsidRDefault="00C20D41" w:rsidP="006B1618">
      <w:pPr>
        <w:pStyle w:val="Heading3"/>
        <w:ind w:left="927" w:hanging="567"/>
        <w:rPr>
          <w:color w:val="auto"/>
          <w:sz w:val="26"/>
          <w:szCs w:val="26"/>
        </w:rPr>
      </w:pPr>
      <w:bookmarkStart w:id="8" w:name="_Toc187504954"/>
      <w:r w:rsidRPr="006B1618">
        <w:rPr>
          <w:color w:val="auto"/>
          <w:sz w:val="26"/>
          <w:szCs w:val="26"/>
        </w:rPr>
        <w:t>3.4.1 Assessment of Foundation Options</w:t>
      </w:r>
      <w:bookmarkEnd w:id="8"/>
    </w:p>
    <w:p w14:paraId="3274F407" w14:textId="4B8CC89C" w:rsidR="006B1618" w:rsidRPr="006B1618" w:rsidRDefault="006B1618" w:rsidP="006B1618">
      <w:r w:rsidRPr="006B1618">
        <w:t>The Swansea Mumbles Road site presents challenging geotechnical conditions, particularly in the upper strata. Based on borehole data and insights from similar projects, the following foundation options were assessed:</w:t>
      </w:r>
    </w:p>
    <w:p w14:paraId="4BC28E81" w14:textId="77777777" w:rsidR="006B1618" w:rsidRPr="006B1618" w:rsidRDefault="006B1618" w:rsidP="006B1618">
      <w:r w:rsidRPr="006B1618">
        <w:rPr>
          <w:b/>
          <w:bCs/>
        </w:rPr>
        <w:t>Shallow Foundations</w:t>
      </w:r>
      <w:r w:rsidRPr="006B1618">
        <w:br/>
        <w:t>Shallow foundations, such as strip or raft foundations, are typically cost-effective and straightforward to design. However, they are unsuitable for the Swansea Mumbles Road site due to the weak bearing capacity of the upper layers.</w:t>
      </w:r>
    </w:p>
    <w:p w14:paraId="01E1BC2A" w14:textId="77777777" w:rsidR="006B1618" w:rsidRPr="006B1618" w:rsidRDefault="006B1618" w:rsidP="006B1618">
      <w:pPr>
        <w:numPr>
          <w:ilvl w:val="0"/>
          <w:numId w:val="32"/>
        </w:numPr>
      </w:pPr>
      <w:r w:rsidRPr="006B1618">
        <w:rPr>
          <w:b/>
          <w:bCs/>
        </w:rPr>
        <w:t>Site-Specific Constraints</w:t>
      </w:r>
      <w:r w:rsidRPr="006B1618">
        <w:t>:</w:t>
      </w:r>
    </w:p>
    <w:p w14:paraId="4BFC4DCE" w14:textId="77777777" w:rsidR="006B1618" w:rsidRPr="006B1618" w:rsidRDefault="006B1618" w:rsidP="006B1618">
      <w:pPr>
        <w:numPr>
          <w:ilvl w:val="1"/>
          <w:numId w:val="32"/>
        </w:numPr>
      </w:pPr>
      <w:r w:rsidRPr="006B1618">
        <w:t>Borehole logs (370487, 370488, and 370489) reveal that the upper 3m consists of made ground, including rubble, silty clay, and sandy silt, which are prone to settlement.</w:t>
      </w:r>
    </w:p>
    <w:p w14:paraId="2941BAAC" w14:textId="77777777" w:rsidR="006B1618" w:rsidRPr="006B1618" w:rsidRDefault="006B1618" w:rsidP="006B1618">
      <w:pPr>
        <w:numPr>
          <w:ilvl w:val="1"/>
          <w:numId w:val="32"/>
        </w:numPr>
      </w:pPr>
      <w:r w:rsidRPr="006B1618">
        <w:t>Beneath this, the 3–5m layer comprises peat and silty clay (alluvial deposits), which are highly compressible and unsuitable for supporting structural loads (British Geological Survey, 2025a–c).</w:t>
      </w:r>
    </w:p>
    <w:p w14:paraId="59A31301" w14:textId="77777777" w:rsidR="006B1618" w:rsidRPr="006B1618" w:rsidRDefault="006B1618" w:rsidP="006B1618">
      <w:pPr>
        <w:numPr>
          <w:ilvl w:val="0"/>
          <w:numId w:val="32"/>
        </w:numPr>
      </w:pPr>
      <w:r w:rsidRPr="006B1618">
        <w:rPr>
          <w:b/>
          <w:bCs/>
        </w:rPr>
        <w:t>Supporting Evidence from Case Studies</w:t>
      </w:r>
      <w:r w:rsidRPr="006B1618">
        <w:t>:</w:t>
      </w:r>
    </w:p>
    <w:p w14:paraId="601CE1E1" w14:textId="77777777" w:rsidR="006B1618" w:rsidRPr="006B1618" w:rsidRDefault="006B1618" w:rsidP="006B1618">
      <w:pPr>
        <w:numPr>
          <w:ilvl w:val="1"/>
          <w:numId w:val="32"/>
        </w:numPr>
      </w:pPr>
      <w:r w:rsidRPr="006B1618">
        <w:t>A study on foundation challenges in diatomaceous soil (ScienceDirect, 2013) highlighted the risks of settlement and structural instability when using shallow foundations on compressible layers.</w:t>
      </w:r>
    </w:p>
    <w:p w14:paraId="4F1270BE" w14:textId="77777777" w:rsidR="006B1618" w:rsidRPr="006B1618" w:rsidRDefault="006B1618" w:rsidP="006B1618">
      <w:pPr>
        <w:numPr>
          <w:ilvl w:val="1"/>
          <w:numId w:val="32"/>
        </w:numPr>
      </w:pPr>
      <w:r w:rsidRPr="006B1618">
        <w:t>The failures observed in soft marine clay foundations (DFI Journal, 2009) underscore the need to avoid shallow foundations in sites with weak upper strata.</w:t>
      </w:r>
    </w:p>
    <w:p w14:paraId="61102138" w14:textId="4862DDF0" w:rsidR="006B1618" w:rsidRPr="006B1618" w:rsidRDefault="006B1618" w:rsidP="006B1618">
      <w:pPr>
        <w:numPr>
          <w:ilvl w:val="0"/>
          <w:numId w:val="32"/>
        </w:numPr>
      </w:pPr>
      <w:r w:rsidRPr="006B1618">
        <w:rPr>
          <w:b/>
          <w:bCs/>
        </w:rPr>
        <w:t>Conclusion</w:t>
      </w:r>
      <w:r w:rsidRPr="006B1618">
        <w:t>: Shallow foundations would result in uneven settlement and instability, making them unsuitable for this site.</w:t>
      </w:r>
    </w:p>
    <w:p w14:paraId="42D740F4" w14:textId="77777777" w:rsidR="006B1618" w:rsidRPr="006B1618" w:rsidRDefault="006B1618" w:rsidP="006B1618">
      <w:r w:rsidRPr="006B1618">
        <w:rPr>
          <w:b/>
          <w:bCs/>
        </w:rPr>
        <w:lastRenderedPageBreak/>
        <w:t>Deep Pile Foundations</w:t>
      </w:r>
      <w:r w:rsidRPr="006B1618">
        <w:br/>
        <w:t>Deep pile foundations offer a viable solution for transferring structural loads through weak strata to stable bearing layers.</w:t>
      </w:r>
    </w:p>
    <w:p w14:paraId="56E3A1C9" w14:textId="77777777" w:rsidR="006B1618" w:rsidRPr="006B1618" w:rsidRDefault="006B1618" w:rsidP="006B1618">
      <w:pPr>
        <w:numPr>
          <w:ilvl w:val="0"/>
          <w:numId w:val="33"/>
        </w:numPr>
      </w:pPr>
      <w:r w:rsidRPr="006B1618">
        <w:rPr>
          <w:b/>
          <w:bCs/>
        </w:rPr>
        <w:t>Geotechnical Justification</w:t>
      </w:r>
      <w:r w:rsidRPr="006B1618">
        <w:t>:</w:t>
      </w:r>
    </w:p>
    <w:p w14:paraId="75C2915B" w14:textId="77777777" w:rsidR="006B1618" w:rsidRPr="006B1618" w:rsidRDefault="006B1618" w:rsidP="006B1618">
      <w:pPr>
        <w:numPr>
          <w:ilvl w:val="1"/>
          <w:numId w:val="33"/>
        </w:numPr>
      </w:pPr>
      <w:r w:rsidRPr="006B1618">
        <w:t>Dense gravel and bedrock layers (&gt;6m), identified in borehole logs, provide the necessary stability for supporting significant structural loads.</w:t>
      </w:r>
    </w:p>
    <w:p w14:paraId="444F3B22" w14:textId="77777777" w:rsidR="006B1618" w:rsidRPr="006B1618" w:rsidRDefault="006B1618" w:rsidP="006B1618">
      <w:pPr>
        <w:numPr>
          <w:ilvl w:val="1"/>
          <w:numId w:val="33"/>
        </w:numPr>
      </w:pPr>
      <w:r w:rsidRPr="006B1618">
        <w:t>Deep pile foundations can bypass compressible layers, ensuring minimal settlement and long-term performance.</w:t>
      </w:r>
    </w:p>
    <w:p w14:paraId="2E9C508F" w14:textId="77777777" w:rsidR="006B1618" w:rsidRPr="006B1618" w:rsidRDefault="006B1618" w:rsidP="006B1618">
      <w:pPr>
        <w:numPr>
          <w:ilvl w:val="0"/>
          <w:numId w:val="33"/>
        </w:numPr>
      </w:pPr>
      <w:r w:rsidRPr="006B1618">
        <w:rPr>
          <w:b/>
          <w:bCs/>
        </w:rPr>
        <w:t>Case Study Support</w:t>
      </w:r>
      <w:r w:rsidRPr="006B1618">
        <w:t>:</w:t>
      </w:r>
    </w:p>
    <w:p w14:paraId="3DCB432F" w14:textId="77777777" w:rsidR="006B1618" w:rsidRPr="006B1618" w:rsidRDefault="006B1618" w:rsidP="006B1618">
      <w:pPr>
        <w:numPr>
          <w:ilvl w:val="1"/>
          <w:numId w:val="33"/>
        </w:numPr>
      </w:pPr>
      <w:r w:rsidRPr="006B1618">
        <w:t>Optimized bored piles used in London’s Hyde Park (Case Studies in Structural Engineering, 2014) successfully overcame similar challenges with weak upper layers, demonstrating cost-efficiency and reliability.</w:t>
      </w:r>
    </w:p>
    <w:p w14:paraId="39DD359F" w14:textId="77777777" w:rsidR="006B1618" w:rsidRPr="006B1618" w:rsidRDefault="006B1618" w:rsidP="006B1618">
      <w:pPr>
        <w:numPr>
          <w:ilvl w:val="1"/>
          <w:numId w:val="33"/>
        </w:numPr>
      </w:pPr>
      <w:r w:rsidRPr="006B1618">
        <w:t>The setup effects observed in driven pile foundations in diatomaceous soil (ScienceDirect, 2013) highlight the potential for increased bearing capacity over time.</w:t>
      </w:r>
    </w:p>
    <w:p w14:paraId="765EDC8A" w14:textId="77777777" w:rsidR="006B1618" w:rsidRPr="006B1618" w:rsidRDefault="006B1618" w:rsidP="006B1618">
      <w:pPr>
        <w:numPr>
          <w:ilvl w:val="1"/>
          <w:numId w:val="33"/>
        </w:numPr>
      </w:pPr>
      <w:r w:rsidRPr="006B1618">
        <w:t>Lateral resistance improvements for piles in complex strata (ISFOG, 2015) further validate the importance of proper pile design for urban developments.</w:t>
      </w:r>
    </w:p>
    <w:p w14:paraId="303F9AC9" w14:textId="77777777" w:rsidR="006B1618" w:rsidRPr="006B1618" w:rsidRDefault="006B1618" w:rsidP="006B1618">
      <w:pPr>
        <w:numPr>
          <w:ilvl w:val="0"/>
          <w:numId w:val="33"/>
        </w:numPr>
      </w:pPr>
      <w:r w:rsidRPr="006B1618">
        <w:rPr>
          <w:b/>
          <w:bCs/>
        </w:rPr>
        <w:t>Comparison of Options</w:t>
      </w:r>
      <w:r w:rsidRPr="006B1618">
        <w:t>:</w:t>
      </w:r>
    </w:p>
    <w:p w14:paraId="1321E637" w14:textId="77777777" w:rsidR="006B1618" w:rsidRPr="006B1618" w:rsidRDefault="006B1618" w:rsidP="006B1618">
      <w:pPr>
        <w:numPr>
          <w:ilvl w:val="1"/>
          <w:numId w:val="33"/>
        </w:numPr>
      </w:pPr>
      <w:r w:rsidRPr="006B1618">
        <w:rPr>
          <w:b/>
          <w:bCs/>
        </w:rPr>
        <w:t>Bored Piles</w:t>
      </w:r>
      <w:r w:rsidRPr="006B1618">
        <w:t>:</w:t>
      </w:r>
    </w:p>
    <w:p w14:paraId="1689939D" w14:textId="77777777" w:rsidR="006B1618" w:rsidRPr="006B1618" w:rsidRDefault="006B1618" w:rsidP="006B1618">
      <w:pPr>
        <w:numPr>
          <w:ilvl w:val="2"/>
          <w:numId w:val="33"/>
        </w:numPr>
      </w:pPr>
      <w:r w:rsidRPr="006B1618">
        <w:t>Advantages: Minimal noise and vibration, ideal for urban settings.</w:t>
      </w:r>
    </w:p>
    <w:p w14:paraId="36F0BA63" w14:textId="77777777" w:rsidR="006B1618" w:rsidRPr="006B1618" w:rsidRDefault="006B1618" w:rsidP="006B1618">
      <w:pPr>
        <w:numPr>
          <w:ilvl w:val="2"/>
          <w:numId w:val="33"/>
        </w:numPr>
      </w:pPr>
      <w:r w:rsidRPr="006B1618">
        <w:t>Recommended due to compatibility with the site's constraints and reduced disruption to nearby properties.</w:t>
      </w:r>
    </w:p>
    <w:p w14:paraId="4C2B4553" w14:textId="77777777" w:rsidR="006B1618" w:rsidRPr="006B1618" w:rsidRDefault="006B1618" w:rsidP="006B1618">
      <w:pPr>
        <w:numPr>
          <w:ilvl w:val="1"/>
          <w:numId w:val="33"/>
        </w:numPr>
      </w:pPr>
      <w:r w:rsidRPr="006B1618">
        <w:rPr>
          <w:b/>
          <w:bCs/>
        </w:rPr>
        <w:t>Driven Piles</w:t>
      </w:r>
      <w:r w:rsidRPr="006B1618">
        <w:t>:</w:t>
      </w:r>
    </w:p>
    <w:p w14:paraId="330F676E" w14:textId="77777777" w:rsidR="006B1618" w:rsidRPr="006B1618" w:rsidRDefault="006B1618" w:rsidP="006B1618">
      <w:pPr>
        <w:numPr>
          <w:ilvl w:val="2"/>
          <w:numId w:val="33"/>
        </w:numPr>
      </w:pPr>
      <w:r w:rsidRPr="006B1618">
        <w:t>Advantages: Faster installation and high initial capacity.</w:t>
      </w:r>
    </w:p>
    <w:p w14:paraId="70FFBE79" w14:textId="77777777" w:rsidR="006B1618" w:rsidRPr="006B1618" w:rsidRDefault="006B1618" w:rsidP="006B1618">
      <w:pPr>
        <w:numPr>
          <w:ilvl w:val="2"/>
          <w:numId w:val="33"/>
        </w:numPr>
      </w:pPr>
      <w:r w:rsidRPr="006B1618">
        <w:t>Limitations: Noise and vibration make them less suitable for urban areas like Swansea Mumbles Road.</w:t>
      </w:r>
    </w:p>
    <w:p w14:paraId="5FE2C791" w14:textId="687F540F" w:rsidR="00C20D41" w:rsidRDefault="006B1618" w:rsidP="006B1618">
      <w:pPr>
        <w:numPr>
          <w:ilvl w:val="0"/>
          <w:numId w:val="33"/>
        </w:numPr>
      </w:pPr>
      <w:r w:rsidRPr="006B1618">
        <w:rPr>
          <w:b/>
          <w:bCs/>
        </w:rPr>
        <w:t>Conclusion</w:t>
      </w:r>
      <w:r w:rsidRPr="006B1618">
        <w:t>: Based on borehole data and precedents, bored piles are the most appropriate foundation option for this site.</w:t>
      </w:r>
    </w:p>
    <w:p w14:paraId="6F4F4D0A" w14:textId="626A3865" w:rsidR="006B1618" w:rsidRDefault="006B1618" w:rsidP="006B1618">
      <w:r w:rsidRPr="006B1618">
        <w:t>The following table provides a comparison of foundation types, evaluating their advantages, disadvantages, and suitability based on the site's geotechnical profile and urban context.</w:t>
      </w:r>
    </w:p>
    <w:tbl>
      <w:tblPr>
        <w:tblStyle w:val="TableGrid"/>
        <w:tblW w:w="0" w:type="auto"/>
        <w:tblLook w:val="04A0" w:firstRow="1" w:lastRow="0" w:firstColumn="1" w:lastColumn="0" w:noHBand="0" w:noVBand="1"/>
      </w:tblPr>
      <w:tblGrid>
        <w:gridCol w:w="1586"/>
        <w:gridCol w:w="2301"/>
        <w:gridCol w:w="2473"/>
        <w:gridCol w:w="2656"/>
      </w:tblGrid>
      <w:tr w:rsidR="006B1618" w:rsidRPr="006B1618" w14:paraId="2D52AA2E" w14:textId="77777777" w:rsidTr="006B1618">
        <w:tc>
          <w:tcPr>
            <w:tcW w:w="0" w:type="auto"/>
            <w:hideMark/>
          </w:tcPr>
          <w:p w14:paraId="3714742D" w14:textId="77777777" w:rsidR="006B1618" w:rsidRPr="006B1618" w:rsidRDefault="006B1618" w:rsidP="006B1618">
            <w:pPr>
              <w:spacing w:after="160" w:line="259" w:lineRule="auto"/>
              <w:rPr>
                <w:b/>
                <w:bCs/>
              </w:rPr>
            </w:pPr>
            <w:r w:rsidRPr="006B1618">
              <w:rPr>
                <w:b/>
                <w:bCs/>
              </w:rPr>
              <w:t>Foundation Type</w:t>
            </w:r>
          </w:p>
        </w:tc>
        <w:tc>
          <w:tcPr>
            <w:tcW w:w="0" w:type="auto"/>
            <w:hideMark/>
          </w:tcPr>
          <w:p w14:paraId="26B9C2B5" w14:textId="77777777" w:rsidR="006B1618" w:rsidRPr="006B1618" w:rsidRDefault="006B1618" w:rsidP="006B1618">
            <w:pPr>
              <w:spacing w:after="160" w:line="259" w:lineRule="auto"/>
              <w:rPr>
                <w:b/>
                <w:bCs/>
              </w:rPr>
            </w:pPr>
            <w:r w:rsidRPr="006B1618">
              <w:rPr>
                <w:b/>
                <w:bCs/>
              </w:rPr>
              <w:t>Advantages</w:t>
            </w:r>
          </w:p>
        </w:tc>
        <w:tc>
          <w:tcPr>
            <w:tcW w:w="0" w:type="auto"/>
            <w:hideMark/>
          </w:tcPr>
          <w:p w14:paraId="3F6F63DC" w14:textId="77777777" w:rsidR="006B1618" w:rsidRPr="006B1618" w:rsidRDefault="006B1618" w:rsidP="006B1618">
            <w:pPr>
              <w:spacing w:after="160" w:line="259" w:lineRule="auto"/>
              <w:rPr>
                <w:b/>
                <w:bCs/>
              </w:rPr>
            </w:pPr>
            <w:r w:rsidRPr="006B1618">
              <w:rPr>
                <w:b/>
                <w:bCs/>
              </w:rPr>
              <w:t>Disadvantages</w:t>
            </w:r>
          </w:p>
        </w:tc>
        <w:tc>
          <w:tcPr>
            <w:tcW w:w="0" w:type="auto"/>
            <w:hideMark/>
          </w:tcPr>
          <w:p w14:paraId="2F56BB0D" w14:textId="77777777" w:rsidR="006B1618" w:rsidRPr="006B1618" w:rsidRDefault="006B1618" w:rsidP="006B1618">
            <w:pPr>
              <w:spacing w:after="160" w:line="259" w:lineRule="auto"/>
              <w:rPr>
                <w:b/>
                <w:bCs/>
              </w:rPr>
            </w:pPr>
            <w:r w:rsidRPr="006B1618">
              <w:rPr>
                <w:b/>
                <w:bCs/>
              </w:rPr>
              <w:t>Suitability for Site</w:t>
            </w:r>
          </w:p>
        </w:tc>
      </w:tr>
      <w:tr w:rsidR="006B1618" w:rsidRPr="006B1618" w14:paraId="03E4B707" w14:textId="77777777" w:rsidTr="006B1618">
        <w:tc>
          <w:tcPr>
            <w:tcW w:w="0" w:type="auto"/>
            <w:hideMark/>
          </w:tcPr>
          <w:p w14:paraId="575772FD" w14:textId="77777777" w:rsidR="006B1618" w:rsidRPr="006B1618" w:rsidRDefault="006B1618" w:rsidP="006B1618">
            <w:pPr>
              <w:spacing w:after="160" w:line="259" w:lineRule="auto"/>
            </w:pPr>
            <w:r w:rsidRPr="006B1618">
              <w:rPr>
                <w:b/>
                <w:bCs/>
              </w:rPr>
              <w:t>Shallow Foundations</w:t>
            </w:r>
          </w:p>
        </w:tc>
        <w:tc>
          <w:tcPr>
            <w:tcW w:w="0" w:type="auto"/>
            <w:hideMark/>
          </w:tcPr>
          <w:p w14:paraId="50E32A4D" w14:textId="77777777" w:rsidR="006B1618" w:rsidRPr="006B1618" w:rsidRDefault="006B1618" w:rsidP="006B1618">
            <w:pPr>
              <w:spacing w:after="160" w:line="259" w:lineRule="auto"/>
            </w:pPr>
            <w:r w:rsidRPr="006B1618">
              <w:t>Cost-effective and easy to construct.</w:t>
            </w:r>
          </w:p>
        </w:tc>
        <w:tc>
          <w:tcPr>
            <w:tcW w:w="0" w:type="auto"/>
            <w:hideMark/>
          </w:tcPr>
          <w:p w14:paraId="35DAB65F" w14:textId="77777777" w:rsidR="006B1618" w:rsidRPr="006B1618" w:rsidRDefault="006B1618" w:rsidP="006B1618">
            <w:pPr>
              <w:spacing w:after="160" w:line="259" w:lineRule="auto"/>
            </w:pPr>
            <w:r w:rsidRPr="006B1618">
              <w:t>Prone to uneven settlement due to weak upper layers; low bearing capacity.</w:t>
            </w:r>
          </w:p>
        </w:tc>
        <w:tc>
          <w:tcPr>
            <w:tcW w:w="0" w:type="auto"/>
            <w:hideMark/>
          </w:tcPr>
          <w:p w14:paraId="229331A8" w14:textId="77777777" w:rsidR="006B1618" w:rsidRPr="006B1618" w:rsidRDefault="006B1618" w:rsidP="006B1618">
            <w:pPr>
              <w:spacing w:after="160" w:line="259" w:lineRule="auto"/>
            </w:pPr>
            <w:r w:rsidRPr="006B1618">
              <w:t>Unsuitable: Weak and compressible layers make shallow foundations unreliable.</w:t>
            </w:r>
          </w:p>
        </w:tc>
      </w:tr>
      <w:tr w:rsidR="006B1618" w:rsidRPr="006B1618" w14:paraId="42961F58" w14:textId="77777777" w:rsidTr="006B1618">
        <w:tc>
          <w:tcPr>
            <w:tcW w:w="0" w:type="auto"/>
            <w:hideMark/>
          </w:tcPr>
          <w:p w14:paraId="784E3579" w14:textId="77777777" w:rsidR="006B1618" w:rsidRPr="006B1618" w:rsidRDefault="006B1618" w:rsidP="006B1618">
            <w:pPr>
              <w:spacing w:after="160" w:line="259" w:lineRule="auto"/>
            </w:pPr>
            <w:r w:rsidRPr="006B1618">
              <w:rPr>
                <w:b/>
                <w:bCs/>
              </w:rPr>
              <w:lastRenderedPageBreak/>
              <w:t>Driven Piles</w:t>
            </w:r>
          </w:p>
        </w:tc>
        <w:tc>
          <w:tcPr>
            <w:tcW w:w="0" w:type="auto"/>
            <w:hideMark/>
          </w:tcPr>
          <w:p w14:paraId="6B664A0E" w14:textId="77777777" w:rsidR="006B1618" w:rsidRPr="006B1618" w:rsidRDefault="006B1618" w:rsidP="006B1618">
            <w:pPr>
              <w:spacing w:after="160" w:line="259" w:lineRule="auto"/>
            </w:pPr>
            <w:r w:rsidRPr="006B1618">
              <w:t>Quick installation; high load capacity.</w:t>
            </w:r>
          </w:p>
        </w:tc>
        <w:tc>
          <w:tcPr>
            <w:tcW w:w="0" w:type="auto"/>
            <w:hideMark/>
          </w:tcPr>
          <w:p w14:paraId="4E33F8E4" w14:textId="77777777" w:rsidR="006B1618" w:rsidRPr="006B1618" w:rsidRDefault="006B1618" w:rsidP="006B1618">
            <w:pPr>
              <w:spacing w:after="160" w:line="259" w:lineRule="auto"/>
            </w:pPr>
            <w:r w:rsidRPr="006B1618">
              <w:t>High noise and vibration levels; disruption to nearby properties.</w:t>
            </w:r>
          </w:p>
        </w:tc>
        <w:tc>
          <w:tcPr>
            <w:tcW w:w="0" w:type="auto"/>
            <w:hideMark/>
          </w:tcPr>
          <w:p w14:paraId="3AE01BC5" w14:textId="77777777" w:rsidR="006B1618" w:rsidRPr="006B1618" w:rsidRDefault="006B1618" w:rsidP="006B1618">
            <w:pPr>
              <w:spacing w:after="160" w:line="259" w:lineRule="auto"/>
            </w:pPr>
            <w:r w:rsidRPr="006B1618">
              <w:t>Limited: Suitable for less sensitive areas but not ideal for urban settings.</w:t>
            </w:r>
          </w:p>
        </w:tc>
      </w:tr>
      <w:tr w:rsidR="006B1618" w:rsidRPr="006B1618" w14:paraId="66DEC317" w14:textId="77777777" w:rsidTr="006B1618">
        <w:tc>
          <w:tcPr>
            <w:tcW w:w="0" w:type="auto"/>
            <w:hideMark/>
          </w:tcPr>
          <w:p w14:paraId="143D5773" w14:textId="77777777" w:rsidR="006B1618" w:rsidRPr="006B1618" w:rsidRDefault="006B1618" w:rsidP="006B1618">
            <w:pPr>
              <w:spacing w:after="160" w:line="259" w:lineRule="auto"/>
            </w:pPr>
            <w:r w:rsidRPr="006B1618">
              <w:rPr>
                <w:b/>
                <w:bCs/>
              </w:rPr>
              <w:t>Bored Piles</w:t>
            </w:r>
          </w:p>
        </w:tc>
        <w:tc>
          <w:tcPr>
            <w:tcW w:w="0" w:type="auto"/>
            <w:hideMark/>
          </w:tcPr>
          <w:p w14:paraId="1050A083" w14:textId="77777777" w:rsidR="006B1618" w:rsidRPr="006B1618" w:rsidRDefault="006B1618" w:rsidP="006B1618">
            <w:pPr>
              <w:spacing w:after="160" w:line="259" w:lineRule="auto"/>
            </w:pPr>
            <w:r w:rsidRPr="006B1618">
              <w:t>Minimal noise and vibration; adaptable to urban constraints; bypasses weak strata.</w:t>
            </w:r>
          </w:p>
        </w:tc>
        <w:tc>
          <w:tcPr>
            <w:tcW w:w="0" w:type="auto"/>
            <w:hideMark/>
          </w:tcPr>
          <w:p w14:paraId="002A6AE1" w14:textId="77777777" w:rsidR="006B1618" w:rsidRPr="006B1618" w:rsidRDefault="006B1618" w:rsidP="006B1618">
            <w:pPr>
              <w:spacing w:after="160" w:line="259" w:lineRule="auto"/>
            </w:pPr>
            <w:r w:rsidRPr="006B1618">
              <w:t>Higher initial cost compared to shallow foundations.</w:t>
            </w:r>
          </w:p>
        </w:tc>
        <w:tc>
          <w:tcPr>
            <w:tcW w:w="0" w:type="auto"/>
            <w:hideMark/>
          </w:tcPr>
          <w:p w14:paraId="7652F06F" w14:textId="77777777" w:rsidR="006B1618" w:rsidRPr="006B1618" w:rsidRDefault="006B1618" w:rsidP="006B1618">
            <w:pPr>
              <w:spacing w:after="160" w:line="259" w:lineRule="auto"/>
            </w:pPr>
            <w:r w:rsidRPr="006B1618">
              <w:t>Recommended: Provides stability by anchoring into dense gravel/bedrock layers (&gt;6m).</w:t>
            </w:r>
          </w:p>
        </w:tc>
      </w:tr>
    </w:tbl>
    <w:p w14:paraId="34735381" w14:textId="77777777" w:rsidR="006B1618" w:rsidRPr="00C20D41" w:rsidRDefault="006B1618" w:rsidP="006B1618"/>
    <w:p w14:paraId="7D6E9B78" w14:textId="1BABE40B" w:rsidR="00C20D41" w:rsidRPr="006B1618" w:rsidRDefault="00C20D41" w:rsidP="006B1618">
      <w:pPr>
        <w:pStyle w:val="Heading3"/>
        <w:ind w:left="360"/>
        <w:rPr>
          <w:color w:val="auto"/>
          <w:sz w:val="26"/>
          <w:szCs w:val="26"/>
        </w:rPr>
      </w:pPr>
      <w:bookmarkStart w:id="9" w:name="_Toc187504955"/>
      <w:r w:rsidRPr="006B1618">
        <w:rPr>
          <w:color w:val="auto"/>
          <w:sz w:val="26"/>
          <w:szCs w:val="26"/>
        </w:rPr>
        <w:t>3.4.</w:t>
      </w:r>
      <w:r w:rsidRPr="006B1618">
        <w:rPr>
          <w:color w:val="auto"/>
          <w:sz w:val="26"/>
          <w:szCs w:val="26"/>
        </w:rPr>
        <w:t>2</w:t>
      </w:r>
      <w:r w:rsidRPr="006B1618">
        <w:rPr>
          <w:color w:val="auto"/>
          <w:sz w:val="26"/>
          <w:szCs w:val="26"/>
        </w:rPr>
        <w:t xml:space="preserve"> Technical Recommendations</w:t>
      </w:r>
      <w:bookmarkEnd w:id="9"/>
    </w:p>
    <w:p w14:paraId="49F481A5" w14:textId="68E1F825" w:rsidR="00C20D41" w:rsidRPr="00C20D41" w:rsidRDefault="00C20D41" w:rsidP="00C20D41">
      <w:pPr>
        <w:pStyle w:val="ListParagraph"/>
        <w:numPr>
          <w:ilvl w:val="0"/>
          <w:numId w:val="24"/>
        </w:numPr>
      </w:pPr>
      <w:r w:rsidRPr="00C20D41">
        <w:rPr>
          <w:b/>
          <w:bCs/>
        </w:rPr>
        <w:t>Recommended Method</w:t>
      </w:r>
      <w:r w:rsidRPr="00C20D41">
        <w:t>:</w:t>
      </w:r>
    </w:p>
    <w:p w14:paraId="0C70643D" w14:textId="77777777" w:rsidR="004817A2" w:rsidRPr="004817A2" w:rsidRDefault="004817A2" w:rsidP="004817A2">
      <w:r w:rsidRPr="004817A2">
        <w:t>The Swansea Mumbles Road site presents significant geotechnical challenges due to the variability and compressibility of the upper strata. Based on borehole data, case studies, and recognized industry standards, the following recommendations are provided to ensure a stable and efficient foundation design.</w:t>
      </w:r>
    </w:p>
    <w:p w14:paraId="4EC24051" w14:textId="77777777" w:rsidR="004817A2" w:rsidRPr="004817A2" w:rsidRDefault="004817A2" w:rsidP="004817A2">
      <w:pPr>
        <w:rPr>
          <w:b/>
          <w:bCs/>
        </w:rPr>
      </w:pPr>
      <w:r w:rsidRPr="004817A2">
        <w:rPr>
          <w:b/>
          <w:bCs/>
        </w:rPr>
        <w:t>Selection of Deep Pile Foundations</w:t>
      </w:r>
    </w:p>
    <w:p w14:paraId="0D2A3A32" w14:textId="77777777" w:rsidR="004817A2" w:rsidRPr="004817A2" w:rsidRDefault="004817A2" w:rsidP="004817A2">
      <w:r w:rsidRPr="004817A2">
        <w:t>Deep pile foundations are the preferred choice for this site, as they can bypass the compressible upper layers and anchor securely into the dense gravel or bedrock layers identified at depths exceeding 6m. Borehole logs (370487, 370488, and 370489) confirm that the upper 5m comprises made ground, peat, and silty clay, all of which are unsuitable for bearing structural loads (British Geological Survey, 2025a–c).</w:t>
      </w:r>
    </w:p>
    <w:p w14:paraId="280750AE" w14:textId="77777777" w:rsidR="004817A2" w:rsidRPr="004817A2" w:rsidRDefault="004817A2" w:rsidP="004817A2">
      <w:pPr>
        <w:numPr>
          <w:ilvl w:val="0"/>
          <w:numId w:val="34"/>
        </w:numPr>
      </w:pPr>
      <w:r w:rsidRPr="004817A2">
        <w:rPr>
          <w:b/>
          <w:bCs/>
        </w:rPr>
        <w:t>Preferred Pile Type</w:t>
      </w:r>
      <w:r w:rsidRPr="004817A2">
        <w:t>:</w:t>
      </w:r>
    </w:p>
    <w:p w14:paraId="3BAEE5BF" w14:textId="77777777" w:rsidR="004817A2" w:rsidRPr="004817A2" w:rsidRDefault="004817A2" w:rsidP="004817A2">
      <w:pPr>
        <w:numPr>
          <w:ilvl w:val="1"/>
          <w:numId w:val="34"/>
        </w:numPr>
      </w:pPr>
      <w:r w:rsidRPr="004817A2">
        <w:rPr>
          <w:b/>
          <w:bCs/>
        </w:rPr>
        <w:t>Bored Piles</w:t>
      </w:r>
      <w:r w:rsidRPr="004817A2">
        <w:t xml:space="preserve"> are recommended due to their adaptability to urban constraints, such as minimal noise and vibration during installation. This makes them ideal for densely developed environments like Swansea.</w:t>
      </w:r>
    </w:p>
    <w:p w14:paraId="79343115" w14:textId="5C0C31B1" w:rsidR="004817A2" w:rsidRPr="004817A2" w:rsidRDefault="004817A2" w:rsidP="004817A2">
      <w:pPr>
        <w:numPr>
          <w:ilvl w:val="1"/>
          <w:numId w:val="34"/>
        </w:numPr>
      </w:pPr>
      <w:r w:rsidRPr="004817A2">
        <w:rPr>
          <w:b/>
          <w:bCs/>
        </w:rPr>
        <w:t>Case Study Support</w:t>
      </w:r>
      <w:r w:rsidRPr="004817A2">
        <w:t>: The use of bored piles at Hyde Park in London demonstrated their efficacy in urban sites with similar geotechnical challenges (Case Studies in Structural Engineering, 2014).</w:t>
      </w:r>
    </w:p>
    <w:p w14:paraId="624BE5CB" w14:textId="77777777" w:rsidR="004817A2" w:rsidRPr="004817A2" w:rsidRDefault="004817A2" w:rsidP="004817A2">
      <w:pPr>
        <w:rPr>
          <w:b/>
          <w:bCs/>
        </w:rPr>
      </w:pPr>
      <w:r w:rsidRPr="004817A2">
        <w:rPr>
          <w:b/>
          <w:bCs/>
        </w:rPr>
        <w:t>Pile Installation Methods</w:t>
      </w:r>
    </w:p>
    <w:p w14:paraId="14BB7DA2" w14:textId="77777777" w:rsidR="004817A2" w:rsidRPr="004817A2" w:rsidRDefault="004817A2" w:rsidP="004817A2">
      <w:r w:rsidRPr="004817A2">
        <w:t>The installation of deep piles must be carefully planned and executed to mitigate risks and ensure structural stability.</w:t>
      </w:r>
    </w:p>
    <w:p w14:paraId="77CF5E01" w14:textId="77777777" w:rsidR="004817A2" w:rsidRPr="004817A2" w:rsidRDefault="004817A2" w:rsidP="004817A2">
      <w:pPr>
        <w:numPr>
          <w:ilvl w:val="0"/>
          <w:numId w:val="35"/>
        </w:numPr>
      </w:pPr>
      <w:r w:rsidRPr="004817A2">
        <w:rPr>
          <w:b/>
          <w:bCs/>
        </w:rPr>
        <w:t>Recommended Method</w:t>
      </w:r>
      <w:r w:rsidRPr="004817A2">
        <w:t>:</w:t>
      </w:r>
      <w:r w:rsidRPr="004817A2">
        <w:br/>
        <w:t>Continuous Flight Auger (CFA) piles are advised for this site. They offer:</w:t>
      </w:r>
    </w:p>
    <w:p w14:paraId="6956485E" w14:textId="77777777" w:rsidR="004817A2" w:rsidRPr="004817A2" w:rsidRDefault="004817A2" w:rsidP="004817A2">
      <w:pPr>
        <w:numPr>
          <w:ilvl w:val="1"/>
          <w:numId w:val="35"/>
        </w:numPr>
      </w:pPr>
      <w:r w:rsidRPr="004817A2">
        <w:t>Quiet and vibration-free installation, minimizing disturbance to nearby properties.</w:t>
      </w:r>
    </w:p>
    <w:p w14:paraId="2E232FAB" w14:textId="77777777" w:rsidR="004817A2" w:rsidRPr="004817A2" w:rsidRDefault="004817A2" w:rsidP="004817A2">
      <w:pPr>
        <w:numPr>
          <w:ilvl w:val="1"/>
          <w:numId w:val="35"/>
        </w:numPr>
      </w:pPr>
      <w:r w:rsidRPr="004817A2">
        <w:t>Real-time monitoring capabilities, enabling adjustments during installation to maintain stability.</w:t>
      </w:r>
    </w:p>
    <w:p w14:paraId="16E86DB8" w14:textId="77777777" w:rsidR="004817A2" w:rsidRPr="004817A2" w:rsidRDefault="004817A2" w:rsidP="004817A2">
      <w:pPr>
        <w:numPr>
          <w:ilvl w:val="0"/>
          <w:numId w:val="35"/>
        </w:numPr>
      </w:pPr>
      <w:r w:rsidRPr="004817A2">
        <w:rPr>
          <w:b/>
          <w:bCs/>
        </w:rPr>
        <w:t>Additional Measures</w:t>
      </w:r>
      <w:r w:rsidRPr="004817A2">
        <w:t>:</w:t>
      </w:r>
    </w:p>
    <w:p w14:paraId="6DC5E0F7" w14:textId="77777777" w:rsidR="004817A2" w:rsidRPr="004817A2" w:rsidRDefault="004817A2" w:rsidP="004817A2">
      <w:pPr>
        <w:numPr>
          <w:ilvl w:val="1"/>
          <w:numId w:val="35"/>
        </w:numPr>
      </w:pPr>
      <w:r w:rsidRPr="004817A2">
        <w:lastRenderedPageBreak/>
        <w:t>Utilize casing or bentonite to stabilize boreholes in loose or saturated soils.</w:t>
      </w:r>
    </w:p>
    <w:p w14:paraId="4E4B87DA" w14:textId="0BDAC570" w:rsidR="004817A2" w:rsidRPr="004817A2" w:rsidRDefault="004817A2" w:rsidP="004817A2">
      <w:pPr>
        <w:numPr>
          <w:ilvl w:val="1"/>
          <w:numId w:val="35"/>
        </w:numPr>
      </w:pPr>
      <w:r w:rsidRPr="004817A2">
        <w:t>Ensure proper alignment and depth of piles through continuous monitoring.</w:t>
      </w:r>
    </w:p>
    <w:p w14:paraId="42A78CAA" w14:textId="77777777" w:rsidR="004817A2" w:rsidRPr="004817A2" w:rsidRDefault="004817A2" w:rsidP="004817A2">
      <w:pPr>
        <w:rPr>
          <w:b/>
          <w:bCs/>
        </w:rPr>
      </w:pPr>
      <w:r w:rsidRPr="004817A2">
        <w:rPr>
          <w:b/>
          <w:bCs/>
        </w:rPr>
        <w:t>Structural and Geotechnical Considerations</w:t>
      </w:r>
    </w:p>
    <w:p w14:paraId="30CC20C3" w14:textId="77777777" w:rsidR="004817A2" w:rsidRPr="004817A2" w:rsidRDefault="004817A2" w:rsidP="004817A2">
      <w:r w:rsidRPr="004817A2">
        <w:t>Given the site’s characteristics, additional design considerations are essential to address lateral resistance and settlement risks.</w:t>
      </w:r>
    </w:p>
    <w:p w14:paraId="2211ABDD" w14:textId="77777777" w:rsidR="004817A2" w:rsidRPr="004817A2" w:rsidRDefault="004817A2" w:rsidP="004817A2">
      <w:pPr>
        <w:numPr>
          <w:ilvl w:val="0"/>
          <w:numId w:val="36"/>
        </w:numPr>
      </w:pPr>
      <w:r w:rsidRPr="004817A2">
        <w:rPr>
          <w:b/>
          <w:bCs/>
        </w:rPr>
        <w:t>Lateral Resistance</w:t>
      </w:r>
      <w:r w:rsidRPr="004817A2">
        <w:t>:</w:t>
      </w:r>
    </w:p>
    <w:p w14:paraId="1AFAFAA7" w14:textId="77777777" w:rsidR="004817A2" w:rsidRPr="004817A2" w:rsidRDefault="004817A2" w:rsidP="004817A2">
      <w:pPr>
        <w:numPr>
          <w:ilvl w:val="1"/>
          <w:numId w:val="36"/>
        </w:numPr>
      </w:pPr>
      <w:r w:rsidRPr="004817A2">
        <w:t>Design the piles to withstand lateral forces, especially in areas with uneven load distribution.</w:t>
      </w:r>
    </w:p>
    <w:p w14:paraId="296EA971" w14:textId="77777777" w:rsidR="004817A2" w:rsidRPr="004817A2" w:rsidRDefault="004817A2" w:rsidP="004817A2">
      <w:pPr>
        <w:numPr>
          <w:ilvl w:val="1"/>
          <w:numId w:val="36"/>
        </w:numPr>
      </w:pPr>
      <w:r w:rsidRPr="004817A2">
        <w:rPr>
          <w:b/>
          <w:bCs/>
        </w:rPr>
        <w:t>Case Study Support</w:t>
      </w:r>
      <w:r w:rsidRPr="004817A2">
        <w:t>: Research from ISFOG (2015) highlights the importance of rotational restraints or pile caps for improving lateral resistance in complex geotechnical environments.</w:t>
      </w:r>
    </w:p>
    <w:p w14:paraId="1567268D" w14:textId="77777777" w:rsidR="004817A2" w:rsidRPr="004817A2" w:rsidRDefault="004817A2" w:rsidP="004817A2">
      <w:pPr>
        <w:numPr>
          <w:ilvl w:val="0"/>
          <w:numId w:val="36"/>
        </w:numPr>
      </w:pPr>
      <w:r w:rsidRPr="004817A2">
        <w:rPr>
          <w:b/>
          <w:bCs/>
        </w:rPr>
        <w:t>Settlement Control</w:t>
      </w:r>
      <w:r w:rsidRPr="004817A2">
        <w:t>:</w:t>
      </w:r>
    </w:p>
    <w:p w14:paraId="313EA22D" w14:textId="77777777" w:rsidR="004817A2" w:rsidRPr="004817A2" w:rsidRDefault="004817A2" w:rsidP="004817A2">
      <w:pPr>
        <w:numPr>
          <w:ilvl w:val="1"/>
          <w:numId w:val="36"/>
        </w:numPr>
      </w:pPr>
      <w:r w:rsidRPr="004817A2">
        <w:t>Piles must bypass compressible layers to minimize settlement risks and ensure long-term stability.</w:t>
      </w:r>
    </w:p>
    <w:p w14:paraId="1CC08D2F" w14:textId="6ACB571E" w:rsidR="004817A2" w:rsidRPr="004817A2" w:rsidRDefault="004817A2" w:rsidP="004817A2">
      <w:pPr>
        <w:numPr>
          <w:ilvl w:val="1"/>
          <w:numId w:val="36"/>
        </w:numPr>
      </w:pPr>
      <w:r w:rsidRPr="004817A2">
        <w:t>Insights from diatomaceous soil projects further validate the importance of robust pile design in mitigating settlement risks (ScienceDirect, 2013).</w:t>
      </w:r>
    </w:p>
    <w:p w14:paraId="21F50FAE" w14:textId="77777777" w:rsidR="004817A2" w:rsidRPr="004817A2" w:rsidRDefault="004817A2" w:rsidP="004817A2">
      <w:pPr>
        <w:rPr>
          <w:b/>
          <w:bCs/>
        </w:rPr>
      </w:pPr>
      <w:r w:rsidRPr="004817A2">
        <w:rPr>
          <w:b/>
          <w:bCs/>
        </w:rPr>
        <w:t>Post-Installation Monitoring</w:t>
      </w:r>
    </w:p>
    <w:p w14:paraId="51674440" w14:textId="77777777" w:rsidR="004817A2" w:rsidRPr="004817A2" w:rsidRDefault="004817A2" w:rsidP="004817A2">
      <w:r w:rsidRPr="004817A2">
        <w:t>To ensure foundation performance, rigorous monitoring and testing are required both during and after installation.</w:t>
      </w:r>
    </w:p>
    <w:p w14:paraId="01B23461" w14:textId="77777777" w:rsidR="004817A2" w:rsidRPr="004817A2" w:rsidRDefault="004817A2" w:rsidP="004817A2">
      <w:pPr>
        <w:numPr>
          <w:ilvl w:val="0"/>
          <w:numId w:val="37"/>
        </w:numPr>
      </w:pPr>
      <w:r w:rsidRPr="004817A2">
        <w:rPr>
          <w:b/>
          <w:bCs/>
        </w:rPr>
        <w:t>Dynamic Load Testing</w:t>
      </w:r>
      <w:r w:rsidRPr="004817A2">
        <w:t>:</w:t>
      </w:r>
    </w:p>
    <w:p w14:paraId="2C901AA5" w14:textId="77777777" w:rsidR="004817A2" w:rsidRPr="004817A2" w:rsidRDefault="004817A2" w:rsidP="004817A2">
      <w:pPr>
        <w:numPr>
          <w:ilvl w:val="1"/>
          <w:numId w:val="37"/>
        </w:numPr>
      </w:pPr>
      <w:r w:rsidRPr="004817A2">
        <w:t>Conduct load tests on selected piles to confirm their load-bearing capacity and validate design assumptions.</w:t>
      </w:r>
    </w:p>
    <w:p w14:paraId="2F5B08A2" w14:textId="77777777" w:rsidR="004817A2" w:rsidRPr="004817A2" w:rsidRDefault="004817A2" w:rsidP="004817A2">
      <w:pPr>
        <w:numPr>
          <w:ilvl w:val="0"/>
          <w:numId w:val="37"/>
        </w:numPr>
      </w:pPr>
      <w:r w:rsidRPr="004817A2">
        <w:rPr>
          <w:b/>
          <w:bCs/>
        </w:rPr>
        <w:t>Instrumentation</w:t>
      </w:r>
      <w:r w:rsidRPr="004817A2">
        <w:t>:</w:t>
      </w:r>
    </w:p>
    <w:p w14:paraId="51AEEF0C" w14:textId="537E023C" w:rsidR="004817A2" w:rsidRPr="004817A2" w:rsidRDefault="004817A2" w:rsidP="004817A2">
      <w:pPr>
        <w:numPr>
          <w:ilvl w:val="1"/>
          <w:numId w:val="37"/>
        </w:numPr>
      </w:pPr>
      <w:r w:rsidRPr="004817A2">
        <w:t>Install sensors to monitor lateral displacement and settlement throughout construction, ensuring compliance with design parameters and early detection of potential issues.</w:t>
      </w:r>
    </w:p>
    <w:p w14:paraId="3F157CA5" w14:textId="77777777" w:rsidR="004817A2" w:rsidRPr="004817A2" w:rsidRDefault="004817A2" w:rsidP="004817A2">
      <w:pPr>
        <w:rPr>
          <w:b/>
          <w:bCs/>
        </w:rPr>
      </w:pPr>
      <w:r w:rsidRPr="004817A2">
        <w:rPr>
          <w:b/>
          <w:bCs/>
        </w:rPr>
        <w:t>Standards Compliance</w:t>
      </w:r>
    </w:p>
    <w:p w14:paraId="365BA540" w14:textId="77777777" w:rsidR="004817A2" w:rsidRPr="004817A2" w:rsidRDefault="004817A2" w:rsidP="004817A2">
      <w:r w:rsidRPr="004817A2">
        <w:t>The design and implementation of the foundations must adhere to the following industry standards:</w:t>
      </w:r>
    </w:p>
    <w:p w14:paraId="74DF63E2" w14:textId="77777777" w:rsidR="004817A2" w:rsidRPr="004817A2" w:rsidRDefault="004817A2" w:rsidP="004817A2">
      <w:pPr>
        <w:numPr>
          <w:ilvl w:val="0"/>
          <w:numId w:val="38"/>
        </w:numPr>
      </w:pPr>
      <w:r w:rsidRPr="004817A2">
        <w:rPr>
          <w:b/>
          <w:bCs/>
        </w:rPr>
        <w:t>BS 8004:2015</w:t>
      </w:r>
      <w:r w:rsidRPr="004817A2">
        <w:t>: Guidelines for the design of pile foundations.</w:t>
      </w:r>
    </w:p>
    <w:p w14:paraId="3907DAED" w14:textId="77777777" w:rsidR="004817A2" w:rsidRPr="004817A2" w:rsidRDefault="004817A2" w:rsidP="004817A2">
      <w:pPr>
        <w:numPr>
          <w:ilvl w:val="0"/>
          <w:numId w:val="38"/>
        </w:numPr>
      </w:pPr>
      <w:r w:rsidRPr="004817A2">
        <w:rPr>
          <w:b/>
          <w:bCs/>
        </w:rPr>
        <w:t>BS 5930:2015</w:t>
      </w:r>
      <w:r w:rsidRPr="004817A2">
        <w:t>: Site investigation protocols for reliable geotechnical data.</w:t>
      </w:r>
    </w:p>
    <w:p w14:paraId="5F4E62A8" w14:textId="16D01CA2" w:rsidR="004817A2" w:rsidRPr="004817A2" w:rsidRDefault="004817A2" w:rsidP="004817A2">
      <w:pPr>
        <w:numPr>
          <w:ilvl w:val="0"/>
          <w:numId w:val="38"/>
        </w:numPr>
      </w:pPr>
      <w:r w:rsidRPr="004817A2">
        <w:rPr>
          <w:b/>
          <w:bCs/>
        </w:rPr>
        <w:t>BS 8485:2015</w:t>
      </w:r>
      <w:r w:rsidRPr="004817A2">
        <w:t>: Recommendations for mitigating ground gases, such as methane or carbon dioxide, if identified during site investigations.</w:t>
      </w:r>
    </w:p>
    <w:p w14:paraId="5D2BA943" w14:textId="77777777" w:rsidR="004817A2" w:rsidRPr="004817A2" w:rsidRDefault="004817A2" w:rsidP="004817A2">
      <w:r w:rsidRPr="004817A2">
        <w:t xml:space="preserve">By combining deep pile foundations, advanced installation techniques, and robust monitoring protocols, the recommendations outlined above ensure that the proposed development at Swansea Mumbles Road will be both stable and sustainable. These strategies, supported by </w:t>
      </w:r>
      <w:r w:rsidRPr="004817A2">
        <w:lastRenderedPageBreak/>
        <w:t>real-world case studies and industry standards, address the site’s unique challenges effectively.</w:t>
      </w:r>
    </w:p>
    <w:p w14:paraId="5AE358D0" w14:textId="58301B18" w:rsidR="00C20D41" w:rsidRDefault="00C20D41" w:rsidP="004817A2"/>
    <w:p w14:paraId="2E4FD099" w14:textId="617A3E24" w:rsidR="00C20D41" w:rsidRPr="006B1618" w:rsidRDefault="00C20D41" w:rsidP="006B1618">
      <w:pPr>
        <w:pStyle w:val="Heading3"/>
        <w:ind w:left="360"/>
        <w:rPr>
          <w:color w:val="auto"/>
          <w:sz w:val="26"/>
          <w:szCs w:val="26"/>
        </w:rPr>
      </w:pPr>
      <w:bookmarkStart w:id="10" w:name="_Toc187504956"/>
      <w:r w:rsidRPr="006B1618">
        <w:rPr>
          <w:color w:val="auto"/>
          <w:sz w:val="26"/>
          <w:szCs w:val="26"/>
        </w:rPr>
        <w:t>3.4.</w:t>
      </w:r>
      <w:r w:rsidRPr="006B1618">
        <w:rPr>
          <w:color w:val="auto"/>
          <w:sz w:val="26"/>
          <w:szCs w:val="26"/>
        </w:rPr>
        <w:t>3</w:t>
      </w:r>
      <w:r w:rsidRPr="006B1618">
        <w:rPr>
          <w:color w:val="auto"/>
          <w:sz w:val="26"/>
          <w:szCs w:val="26"/>
        </w:rPr>
        <w:t xml:space="preserve"> Groundwater Management</w:t>
      </w:r>
      <w:bookmarkEnd w:id="10"/>
    </w:p>
    <w:p w14:paraId="70AE9002" w14:textId="7E7EDF0D" w:rsidR="00C20D41" w:rsidRPr="00C20D41" w:rsidRDefault="00C20D41" w:rsidP="00C20D41">
      <w:pPr>
        <w:pStyle w:val="ListParagraph"/>
        <w:numPr>
          <w:ilvl w:val="0"/>
          <w:numId w:val="25"/>
        </w:numPr>
      </w:pPr>
      <w:r w:rsidRPr="00C20D41">
        <w:t>Groundwater strikes observed at depths of 1.5–2m necessitate temporary dewatering during construction.</w:t>
      </w:r>
    </w:p>
    <w:p w14:paraId="3DAE7454" w14:textId="77777777" w:rsidR="00C20D41" w:rsidRDefault="00C20D41" w:rsidP="00C20D41">
      <w:pPr>
        <w:pStyle w:val="ListParagraph"/>
        <w:numPr>
          <w:ilvl w:val="0"/>
          <w:numId w:val="29"/>
        </w:numPr>
      </w:pPr>
      <w:r w:rsidRPr="00C20D41">
        <w:t>Suggested methods include:</w:t>
      </w:r>
    </w:p>
    <w:p w14:paraId="1014E503" w14:textId="77777777" w:rsidR="00C20D41" w:rsidRDefault="00C20D41" w:rsidP="00C20D41">
      <w:pPr>
        <w:pStyle w:val="ListParagraph"/>
        <w:numPr>
          <w:ilvl w:val="1"/>
          <w:numId w:val="29"/>
        </w:numPr>
        <w:spacing w:line="480" w:lineRule="auto"/>
      </w:pPr>
      <w:r w:rsidRPr="00C20D41">
        <w:rPr>
          <w:b/>
          <w:bCs/>
        </w:rPr>
        <w:t>Sump Pumps</w:t>
      </w:r>
      <w:r w:rsidRPr="00C20D41">
        <w:t>: Cost-effective and easy to deploy for localized dewatering.</w:t>
      </w:r>
    </w:p>
    <w:p w14:paraId="763D7A5B" w14:textId="680482A5" w:rsidR="00C20D41" w:rsidRPr="00C20D41" w:rsidRDefault="00C20D41" w:rsidP="00C20D41">
      <w:pPr>
        <w:pStyle w:val="ListParagraph"/>
        <w:numPr>
          <w:ilvl w:val="1"/>
          <w:numId w:val="29"/>
        </w:numPr>
      </w:pPr>
      <w:r w:rsidRPr="00C20D41">
        <w:rPr>
          <w:b/>
          <w:bCs/>
        </w:rPr>
        <w:t>Wellpoint Systems</w:t>
      </w:r>
      <w:r w:rsidRPr="00C20D41">
        <w:t>: Suitable for managing shallow groundwater over larger areas.</w:t>
      </w:r>
    </w:p>
    <w:p w14:paraId="0F340CA2" w14:textId="5B16D178" w:rsidR="00C20D41" w:rsidRDefault="00C20D41" w:rsidP="00C20D41">
      <w:pPr>
        <w:pStyle w:val="ListParagraph"/>
        <w:numPr>
          <w:ilvl w:val="0"/>
          <w:numId w:val="30"/>
        </w:numPr>
      </w:pPr>
      <w:r w:rsidRPr="00C20D41">
        <w:t>Effective dewatering ensures stability during pile installation and prevents water ingress, aligning with BS 5930:2015 guidelines.</w:t>
      </w:r>
    </w:p>
    <w:p w14:paraId="77045390" w14:textId="6B2C71FC" w:rsidR="006B1618" w:rsidRPr="006B1618" w:rsidRDefault="006B1618" w:rsidP="006B1618">
      <w:pPr>
        <w:pStyle w:val="Heading3"/>
        <w:ind w:left="360"/>
        <w:rPr>
          <w:color w:val="auto"/>
          <w:sz w:val="26"/>
          <w:szCs w:val="26"/>
        </w:rPr>
      </w:pPr>
      <w:bookmarkStart w:id="11" w:name="_Toc187504957"/>
      <w:r w:rsidRPr="006B1618">
        <w:rPr>
          <w:color w:val="auto"/>
          <w:sz w:val="26"/>
          <w:szCs w:val="26"/>
        </w:rPr>
        <w:t>3.4.</w:t>
      </w:r>
      <w:r w:rsidRPr="006B1618">
        <w:rPr>
          <w:color w:val="auto"/>
          <w:sz w:val="26"/>
          <w:szCs w:val="26"/>
        </w:rPr>
        <w:t>4</w:t>
      </w:r>
      <w:r w:rsidRPr="006B1618">
        <w:rPr>
          <w:color w:val="auto"/>
          <w:sz w:val="26"/>
          <w:szCs w:val="26"/>
        </w:rPr>
        <w:t xml:space="preserve"> </w:t>
      </w:r>
      <w:r w:rsidRPr="006B1618">
        <w:rPr>
          <w:color w:val="auto"/>
          <w:sz w:val="26"/>
          <w:szCs w:val="26"/>
        </w:rPr>
        <w:t>Summary</w:t>
      </w:r>
      <w:bookmarkEnd w:id="11"/>
    </w:p>
    <w:p w14:paraId="503CF00E" w14:textId="77777777" w:rsidR="006B1618" w:rsidRPr="006B1618" w:rsidRDefault="006B1618" w:rsidP="006B1618">
      <w:pPr>
        <w:numPr>
          <w:ilvl w:val="0"/>
          <w:numId w:val="31"/>
        </w:numPr>
      </w:pPr>
      <w:r w:rsidRPr="006B1618">
        <w:rPr>
          <w:b/>
          <w:bCs/>
        </w:rPr>
        <w:t>Deep Pile Foundations</w:t>
      </w:r>
      <w:r w:rsidRPr="006B1618">
        <w:t>: Anchor piles in dense gravel or bedrock (&gt;6m) to ensure structural stability.</w:t>
      </w:r>
    </w:p>
    <w:p w14:paraId="4CD219EF" w14:textId="77777777" w:rsidR="006B1618" w:rsidRPr="006B1618" w:rsidRDefault="006B1618" w:rsidP="006B1618">
      <w:pPr>
        <w:numPr>
          <w:ilvl w:val="0"/>
          <w:numId w:val="31"/>
        </w:numPr>
      </w:pPr>
      <w:r w:rsidRPr="006B1618">
        <w:rPr>
          <w:b/>
          <w:bCs/>
        </w:rPr>
        <w:t>Groundwater Management</w:t>
      </w:r>
      <w:r w:rsidRPr="006B1618">
        <w:t>: Implement tailored dewatering systems to manage groundwater strikes and maintain site safety.</w:t>
      </w:r>
    </w:p>
    <w:p w14:paraId="573D3BEA" w14:textId="740A1C1D" w:rsidR="00C20D41" w:rsidRPr="00294969" w:rsidRDefault="006B1618" w:rsidP="00C20D41">
      <w:pPr>
        <w:numPr>
          <w:ilvl w:val="0"/>
          <w:numId w:val="31"/>
        </w:numPr>
      </w:pPr>
      <w:r w:rsidRPr="006B1618">
        <w:t>These recommendations align with site-specific conditions, project sustainability goals, and best practices observed in similar case studies.</w:t>
      </w:r>
    </w:p>
    <w:p w14:paraId="0A2F67CB" w14:textId="063834A4" w:rsidR="00294969" w:rsidRDefault="00294969" w:rsidP="00294969">
      <w:pPr>
        <w:pStyle w:val="Heading2"/>
        <w:numPr>
          <w:ilvl w:val="1"/>
          <w:numId w:val="7"/>
        </w:numPr>
      </w:pPr>
      <w:bookmarkStart w:id="12" w:name="_Toc187504958"/>
      <w:r>
        <w:t>Visual Summary</w:t>
      </w:r>
      <w:bookmarkEnd w:id="12"/>
    </w:p>
    <w:p w14:paraId="305F3128" w14:textId="77777777" w:rsidR="005C201B" w:rsidRDefault="005C201B" w:rsidP="005C201B">
      <w:pPr>
        <w:rPr>
          <w:b/>
          <w:bCs/>
        </w:rPr>
      </w:pPr>
      <w:r w:rsidRPr="005C201B">
        <w:rPr>
          <w:b/>
          <w:bCs/>
        </w:rPr>
        <w:t>Table 1: Borehole Summary and Key Findings</w:t>
      </w:r>
    </w:p>
    <w:tbl>
      <w:tblPr>
        <w:tblStyle w:val="TableGrid"/>
        <w:tblW w:w="0" w:type="auto"/>
        <w:tblLook w:val="04A0" w:firstRow="1" w:lastRow="0" w:firstColumn="1" w:lastColumn="0" w:noHBand="0" w:noVBand="1"/>
      </w:tblPr>
      <w:tblGrid>
        <w:gridCol w:w="2254"/>
        <w:gridCol w:w="2254"/>
        <w:gridCol w:w="2254"/>
        <w:gridCol w:w="2254"/>
      </w:tblGrid>
      <w:tr w:rsidR="00844DAC" w14:paraId="4DA8DEA6" w14:textId="77777777" w:rsidTr="00844DAC">
        <w:tc>
          <w:tcPr>
            <w:tcW w:w="2254" w:type="dxa"/>
          </w:tcPr>
          <w:p w14:paraId="0881806D" w14:textId="7DE87E89" w:rsidR="00844DAC" w:rsidRDefault="00844DAC" w:rsidP="00844DAC">
            <w:r w:rsidRPr="00844DAC">
              <w:t>Borehole ID</w:t>
            </w:r>
          </w:p>
        </w:tc>
        <w:tc>
          <w:tcPr>
            <w:tcW w:w="2254" w:type="dxa"/>
          </w:tcPr>
          <w:p w14:paraId="6B287C7C" w14:textId="5C15F282" w:rsidR="00844DAC" w:rsidRDefault="00844DAC" w:rsidP="005C201B">
            <w:r w:rsidRPr="00844DAC">
              <w:t>Depth Range (m)</w:t>
            </w:r>
          </w:p>
        </w:tc>
        <w:tc>
          <w:tcPr>
            <w:tcW w:w="2254" w:type="dxa"/>
          </w:tcPr>
          <w:p w14:paraId="0B3C854E" w14:textId="78B6C6D5" w:rsidR="00844DAC" w:rsidRDefault="00844DAC" w:rsidP="005C201B">
            <w:r w:rsidRPr="00844DAC">
              <w:t>Strata Description</w:t>
            </w:r>
          </w:p>
        </w:tc>
        <w:tc>
          <w:tcPr>
            <w:tcW w:w="2254" w:type="dxa"/>
          </w:tcPr>
          <w:p w14:paraId="2BD2B650" w14:textId="06FF717C" w:rsidR="00844DAC" w:rsidRDefault="00844DAC" w:rsidP="005C201B">
            <w:r w:rsidRPr="00844DAC">
              <w:t>Implications</w:t>
            </w:r>
          </w:p>
        </w:tc>
      </w:tr>
      <w:tr w:rsidR="00844DAC" w14:paraId="73FEB3A5" w14:textId="77777777" w:rsidTr="00844DAC">
        <w:tc>
          <w:tcPr>
            <w:tcW w:w="2254" w:type="dxa"/>
          </w:tcPr>
          <w:p w14:paraId="627259FF" w14:textId="7AECEFDB" w:rsidR="00844DAC" w:rsidRDefault="00844DAC" w:rsidP="005C201B">
            <w:r w:rsidRPr="00844DAC">
              <w:t>370487</w:t>
            </w:r>
          </w:p>
        </w:tc>
        <w:tc>
          <w:tcPr>
            <w:tcW w:w="2254" w:type="dxa"/>
          </w:tcPr>
          <w:p w14:paraId="57F387B8" w14:textId="6551D2A8" w:rsidR="00844DAC" w:rsidRDefault="00844DAC" w:rsidP="005C201B">
            <w:r>
              <w:t>0-3.0</w:t>
            </w:r>
          </w:p>
        </w:tc>
        <w:tc>
          <w:tcPr>
            <w:tcW w:w="2254" w:type="dxa"/>
          </w:tcPr>
          <w:p w14:paraId="34AA6FE4" w14:textId="56F4403A" w:rsidR="00844DAC" w:rsidRDefault="00844DAC" w:rsidP="005C201B">
            <w:r w:rsidRPr="00844DAC">
              <w:t>Made Ground (rubble, silty clay, organic debris)</w:t>
            </w:r>
          </w:p>
        </w:tc>
        <w:tc>
          <w:tcPr>
            <w:tcW w:w="2254" w:type="dxa"/>
          </w:tcPr>
          <w:p w14:paraId="099353B3" w14:textId="17C89C3B" w:rsidR="00844DAC" w:rsidRDefault="00844DAC" w:rsidP="005C201B">
            <w:r w:rsidRPr="00844DAC">
              <w:t>Highly variable, weak; removal or replacement recommended to avoid settlement.</w:t>
            </w:r>
          </w:p>
        </w:tc>
      </w:tr>
      <w:tr w:rsidR="00844DAC" w14:paraId="26FCBFC3" w14:textId="77777777" w:rsidTr="00844DAC">
        <w:tc>
          <w:tcPr>
            <w:tcW w:w="2254" w:type="dxa"/>
          </w:tcPr>
          <w:p w14:paraId="0D3EB4EF" w14:textId="77777777" w:rsidR="00844DAC" w:rsidRDefault="00844DAC" w:rsidP="005C201B"/>
        </w:tc>
        <w:tc>
          <w:tcPr>
            <w:tcW w:w="2254" w:type="dxa"/>
          </w:tcPr>
          <w:p w14:paraId="39AFEF32" w14:textId="43B56057" w:rsidR="00844DAC" w:rsidRDefault="00844DAC" w:rsidP="005C201B">
            <w:r>
              <w:t>3.0-5.0</w:t>
            </w:r>
          </w:p>
        </w:tc>
        <w:tc>
          <w:tcPr>
            <w:tcW w:w="2254" w:type="dxa"/>
          </w:tcPr>
          <w:p w14:paraId="2D7817BF" w14:textId="2B594E1E" w:rsidR="00844DAC" w:rsidRDefault="00844DAC" w:rsidP="005C201B">
            <w:r w:rsidRPr="00844DAC">
              <w:t>Peat and sandy silt (Alluvium)</w:t>
            </w:r>
          </w:p>
        </w:tc>
        <w:tc>
          <w:tcPr>
            <w:tcW w:w="2254" w:type="dxa"/>
          </w:tcPr>
          <w:p w14:paraId="7333D845" w14:textId="40871DC6" w:rsidR="00844DAC" w:rsidRDefault="00844DAC" w:rsidP="005C201B">
            <w:r w:rsidRPr="00844DAC">
              <w:t>Compressible and prone to subsidence; unsuitable for foundations.</w:t>
            </w:r>
          </w:p>
        </w:tc>
      </w:tr>
      <w:tr w:rsidR="00844DAC" w14:paraId="4A353DC1" w14:textId="77777777" w:rsidTr="00844DAC">
        <w:tc>
          <w:tcPr>
            <w:tcW w:w="2254" w:type="dxa"/>
          </w:tcPr>
          <w:p w14:paraId="37690015" w14:textId="77777777" w:rsidR="00844DAC" w:rsidRDefault="00844DAC" w:rsidP="005C201B"/>
        </w:tc>
        <w:tc>
          <w:tcPr>
            <w:tcW w:w="2254" w:type="dxa"/>
          </w:tcPr>
          <w:p w14:paraId="5234EF82" w14:textId="7F755A77" w:rsidR="00844DAC" w:rsidRDefault="00844DAC" w:rsidP="005C201B">
            <w:r>
              <w:t>&gt;6.0</w:t>
            </w:r>
          </w:p>
        </w:tc>
        <w:tc>
          <w:tcPr>
            <w:tcW w:w="2254" w:type="dxa"/>
          </w:tcPr>
          <w:p w14:paraId="53D52BD0" w14:textId="276BFA19" w:rsidR="00844DAC" w:rsidRDefault="00844DAC" w:rsidP="005C201B">
            <w:r w:rsidRPr="00844DAC">
              <w:t>Dense gravel/sandstone</w:t>
            </w:r>
          </w:p>
        </w:tc>
        <w:tc>
          <w:tcPr>
            <w:tcW w:w="2254" w:type="dxa"/>
          </w:tcPr>
          <w:p w14:paraId="33FE9F62" w14:textId="747D1464" w:rsidR="00844DAC" w:rsidRDefault="00844DAC" w:rsidP="005C201B">
            <w:r w:rsidRPr="00844DAC">
              <w:t>Stable and capable of supporting deep pile foundations.</w:t>
            </w:r>
          </w:p>
        </w:tc>
      </w:tr>
      <w:tr w:rsidR="00844DAC" w14:paraId="5A9FE5D8" w14:textId="77777777" w:rsidTr="00844DAC">
        <w:tc>
          <w:tcPr>
            <w:tcW w:w="2254" w:type="dxa"/>
          </w:tcPr>
          <w:p w14:paraId="778EF611" w14:textId="4C021013" w:rsidR="00844DAC" w:rsidRDefault="00844DAC" w:rsidP="00844DAC">
            <w:r w:rsidRPr="00844DAC">
              <w:t>370488</w:t>
            </w:r>
          </w:p>
        </w:tc>
        <w:tc>
          <w:tcPr>
            <w:tcW w:w="2254" w:type="dxa"/>
          </w:tcPr>
          <w:p w14:paraId="4282EC07" w14:textId="263328F4" w:rsidR="00844DAC" w:rsidRDefault="00844DAC" w:rsidP="00844DAC">
            <w:r>
              <w:t>0-3.0</w:t>
            </w:r>
          </w:p>
        </w:tc>
        <w:tc>
          <w:tcPr>
            <w:tcW w:w="2254" w:type="dxa"/>
          </w:tcPr>
          <w:p w14:paraId="33A59A24" w14:textId="3618ABD3" w:rsidR="00844DAC" w:rsidRDefault="00844DAC" w:rsidP="00844DAC">
            <w:r w:rsidRPr="00844DAC">
              <w:t>Made Ground (rubble, silty clay, brick fragments)</w:t>
            </w:r>
          </w:p>
        </w:tc>
        <w:tc>
          <w:tcPr>
            <w:tcW w:w="2254" w:type="dxa"/>
          </w:tcPr>
          <w:p w14:paraId="7317297F" w14:textId="12048379" w:rsidR="00844DAC" w:rsidRDefault="00844DAC" w:rsidP="00844DAC">
            <w:r w:rsidRPr="00844DAC">
              <w:t>Similar composition to Borehole 370487; requires removal or replacement.</w:t>
            </w:r>
          </w:p>
        </w:tc>
      </w:tr>
      <w:tr w:rsidR="00844DAC" w14:paraId="5C874745" w14:textId="77777777" w:rsidTr="00844DAC">
        <w:tc>
          <w:tcPr>
            <w:tcW w:w="2254" w:type="dxa"/>
          </w:tcPr>
          <w:p w14:paraId="43418149" w14:textId="77777777" w:rsidR="00844DAC" w:rsidRDefault="00844DAC" w:rsidP="00844DAC"/>
        </w:tc>
        <w:tc>
          <w:tcPr>
            <w:tcW w:w="2254" w:type="dxa"/>
          </w:tcPr>
          <w:p w14:paraId="4309A3FD" w14:textId="13B6D88F" w:rsidR="00844DAC" w:rsidRDefault="00844DAC" w:rsidP="00844DAC">
            <w:r>
              <w:t>3.0-5.0</w:t>
            </w:r>
          </w:p>
        </w:tc>
        <w:tc>
          <w:tcPr>
            <w:tcW w:w="2254" w:type="dxa"/>
          </w:tcPr>
          <w:p w14:paraId="63E4EBE9" w14:textId="7F28AB17" w:rsidR="00844DAC" w:rsidRDefault="00844DAC" w:rsidP="00844DAC">
            <w:r w:rsidRPr="00844DAC">
              <w:t>Peat and fibrous organic material (Alluvium)</w:t>
            </w:r>
          </w:p>
        </w:tc>
        <w:tc>
          <w:tcPr>
            <w:tcW w:w="2254" w:type="dxa"/>
          </w:tcPr>
          <w:p w14:paraId="603B4307" w14:textId="681F314D" w:rsidR="00844DAC" w:rsidRDefault="00844DAC" w:rsidP="00844DAC">
            <w:r w:rsidRPr="00844DAC">
              <w:t>Compressible and unsuitable for structural loads.</w:t>
            </w:r>
          </w:p>
        </w:tc>
      </w:tr>
      <w:tr w:rsidR="00844DAC" w14:paraId="4FB1B422" w14:textId="77777777" w:rsidTr="00844DAC">
        <w:tc>
          <w:tcPr>
            <w:tcW w:w="2254" w:type="dxa"/>
          </w:tcPr>
          <w:p w14:paraId="2A47B380" w14:textId="77777777" w:rsidR="00844DAC" w:rsidRPr="00844DAC" w:rsidRDefault="00844DAC" w:rsidP="00844DAC"/>
        </w:tc>
        <w:tc>
          <w:tcPr>
            <w:tcW w:w="2254" w:type="dxa"/>
          </w:tcPr>
          <w:p w14:paraId="1BBE0AD9" w14:textId="689E971A" w:rsidR="00844DAC" w:rsidRDefault="00844DAC" w:rsidP="00844DAC">
            <w:r>
              <w:t>&gt;6.0</w:t>
            </w:r>
          </w:p>
        </w:tc>
        <w:tc>
          <w:tcPr>
            <w:tcW w:w="2254" w:type="dxa"/>
          </w:tcPr>
          <w:p w14:paraId="64B2D609" w14:textId="01948387" w:rsidR="00844DAC" w:rsidRDefault="00844DAC" w:rsidP="00844DAC">
            <w:r w:rsidRPr="00844DAC">
              <w:t>Dense gravel/sandstone</w:t>
            </w:r>
          </w:p>
        </w:tc>
        <w:tc>
          <w:tcPr>
            <w:tcW w:w="2254" w:type="dxa"/>
          </w:tcPr>
          <w:p w14:paraId="3BCA01BE" w14:textId="3A6CBBCD" w:rsidR="00844DAC" w:rsidRDefault="00844DAC" w:rsidP="00844DAC">
            <w:r w:rsidRPr="00844DAC">
              <w:t>Provides stable conditions for anchoring deep piles.</w:t>
            </w:r>
          </w:p>
        </w:tc>
      </w:tr>
      <w:tr w:rsidR="00844DAC" w14:paraId="46FA4062" w14:textId="77777777" w:rsidTr="00844DAC">
        <w:tc>
          <w:tcPr>
            <w:tcW w:w="2254" w:type="dxa"/>
          </w:tcPr>
          <w:p w14:paraId="4CC61934" w14:textId="63B4FEFA" w:rsidR="00844DAC" w:rsidRDefault="00844DAC" w:rsidP="00844DAC">
            <w:r w:rsidRPr="00844DAC">
              <w:t>370489</w:t>
            </w:r>
          </w:p>
        </w:tc>
        <w:tc>
          <w:tcPr>
            <w:tcW w:w="2254" w:type="dxa"/>
          </w:tcPr>
          <w:p w14:paraId="66C1B262" w14:textId="6A164F1A" w:rsidR="00844DAC" w:rsidRDefault="00844DAC" w:rsidP="00844DAC">
            <w:r>
              <w:t>0-3.0</w:t>
            </w:r>
          </w:p>
        </w:tc>
        <w:tc>
          <w:tcPr>
            <w:tcW w:w="2254" w:type="dxa"/>
          </w:tcPr>
          <w:p w14:paraId="2FE55948" w14:textId="2604B468" w:rsidR="00844DAC" w:rsidRDefault="00844DAC" w:rsidP="00844DAC">
            <w:r w:rsidRPr="00844DAC">
              <w:t>Made Ground (cobbles, silty clay, gravelly sand)</w:t>
            </w:r>
          </w:p>
        </w:tc>
        <w:tc>
          <w:tcPr>
            <w:tcW w:w="2254" w:type="dxa"/>
          </w:tcPr>
          <w:p w14:paraId="0C9EE66B" w14:textId="01922287" w:rsidR="00844DAC" w:rsidRDefault="00844DAC" w:rsidP="00844DAC">
            <w:r w:rsidRPr="00844DAC">
              <w:t>Variable composition; poses settlement risks; removal advised.</w:t>
            </w:r>
          </w:p>
        </w:tc>
      </w:tr>
      <w:tr w:rsidR="00844DAC" w14:paraId="660962FE" w14:textId="77777777" w:rsidTr="00844DAC">
        <w:tc>
          <w:tcPr>
            <w:tcW w:w="2254" w:type="dxa"/>
          </w:tcPr>
          <w:p w14:paraId="0984BB35" w14:textId="77777777" w:rsidR="00844DAC" w:rsidRDefault="00844DAC" w:rsidP="00844DAC"/>
        </w:tc>
        <w:tc>
          <w:tcPr>
            <w:tcW w:w="2254" w:type="dxa"/>
          </w:tcPr>
          <w:p w14:paraId="440E9E4B" w14:textId="74E575BA" w:rsidR="00844DAC" w:rsidRDefault="00844DAC" w:rsidP="00844DAC">
            <w:r>
              <w:t>3.0-5.0</w:t>
            </w:r>
          </w:p>
        </w:tc>
        <w:tc>
          <w:tcPr>
            <w:tcW w:w="2254" w:type="dxa"/>
          </w:tcPr>
          <w:p w14:paraId="6A57F3FB" w14:textId="6C25E183" w:rsidR="00844DAC" w:rsidRPr="00844DAC" w:rsidRDefault="00844DAC" w:rsidP="00844DAC">
            <w:pPr>
              <w:rPr>
                <w:vanish/>
              </w:rPr>
            </w:pPr>
            <w:r w:rsidRPr="00844DAC">
              <w:t>Peaty clay and silty alluvium</w:t>
            </w:r>
          </w:p>
          <w:p w14:paraId="7FDB8C5E" w14:textId="77777777" w:rsidR="00844DAC" w:rsidRDefault="00844DAC" w:rsidP="00844DAC"/>
        </w:tc>
        <w:tc>
          <w:tcPr>
            <w:tcW w:w="2254" w:type="dxa"/>
          </w:tcPr>
          <w:p w14:paraId="7F3839D8" w14:textId="77777777" w:rsidR="00844DAC" w:rsidRPr="00844DAC" w:rsidRDefault="00844DAC" w:rsidP="00844DAC">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44DAC" w:rsidRPr="00844DAC" w14:paraId="2464CCEC" w14:textId="77777777" w:rsidTr="00844DAC">
              <w:trPr>
                <w:tblCellSpacing w:w="15" w:type="dxa"/>
              </w:trPr>
              <w:tc>
                <w:tcPr>
                  <w:tcW w:w="0" w:type="auto"/>
                  <w:vAlign w:val="center"/>
                  <w:hideMark/>
                </w:tcPr>
                <w:p w14:paraId="2B101E3D" w14:textId="77777777" w:rsidR="00844DAC" w:rsidRPr="00844DAC" w:rsidRDefault="00844DAC" w:rsidP="00844DAC">
                  <w:pPr>
                    <w:spacing w:after="0" w:line="240" w:lineRule="auto"/>
                  </w:pPr>
                </w:p>
              </w:tc>
            </w:tr>
          </w:tbl>
          <w:p w14:paraId="24A4EC49" w14:textId="73429333" w:rsidR="00844DAC" w:rsidRDefault="00844DAC" w:rsidP="00844DAC">
            <w:r w:rsidRPr="00844DAC">
              <w:t>Compressible; unsuitable for shallow foundations.</w:t>
            </w:r>
          </w:p>
        </w:tc>
      </w:tr>
      <w:tr w:rsidR="00844DAC" w14:paraId="04D58C57" w14:textId="77777777" w:rsidTr="00844DAC">
        <w:tc>
          <w:tcPr>
            <w:tcW w:w="2254" w:type="dxa"/>
          </w:tcPr>
          <w:p w14:paraId="11278624" w14:textId="77777777" w:rsidR="00844DAC" w:rsidRDefault="00844DAC" w:rsidP="00844DAC"/>
        </w:tc>
        <w:tc>
          <w:tcPr>
            <w:tcW w:w="2254" w:type="dxa"/>
          </w:tcPr>
          <w:p w14:paraId="3451BAB7" w14:textId="21E2663F" w:rsidR="00844DAC" w:rsidRDefault="00844DAC" w:rsidP="00844DAC">
            <w:r>
              <w:t>&gt;6.0</w:t>
            </w:r>
          </w:p>
        </w:tc>
        <w:tc>
          <w:tcPr>
            <w:tcW w:w="2254" w:type="dxa"/>
          </w:tcPr>
          <w:p w14:paraId="3E74DBB1" w14:textId="7F5F4A64" w:rsidR="00844DAC" w:rsidRDefault="00844DAC" w:rsidP="00844DAC">
            <w:r w:rsidRPr="00844DAC">
              <w:t>Dense gravel</w:t>
            </w:r>
          </w:p>
        </w:tc>
        <w:tc>
          <w:tcPr>
            <w:tcW w:w="2254" w:type="dxa"/>
          </w:tcPr>
          <w:p w14:paraId="241CEDA5" w14:textId="32EF389D" w:rsidR="00844DAC" w:rsidRDefault="00844DAC" w:rsidP="00844DAC">
            <w:r w:rsidRPr="00844DAC">
              <w:t>Stable for foundation piling; low risk of settlement.</w:t>
            </w:r>
          </w:p>
        </w:tc>
      </w:tr>
    </w:tbl>
    <w:p w14:paraId="3C6310A9" w14:textId="1BFD8094" w:rsidR="00844DAC" w:rsidRDefault="005C201B" w:rsidP="00844DAC">
      <w:pPr>
        <w:spacing w:before="100" w:beforeAutospacing="1" w:after="100" w:afterAutospacing="1" w:line="240" w:lineRule="auto"/>
        <w:rPr>
          <w:i/>
          <w:iCs/>
        </w:rPr>
      </w:pPr>
      <w:r w:rsidRPr="005C201B">
        <w:rPr>
          <w:b/>
          <w:bCs/>
        </w:rPr>
        <w:t>Figure 1: Borehole Locations and Groundwater Strikes</w:t>
      </w:r>
      <w:r w:rsidRPr="005C201B">
        <w:t xml:space="preserve"> (To be added based on site layout.)</w:t>
      </w:r>
      <w:r w:rsidR="00844DAC">
        <w:br/>
      </w:r>
      <w:r w:rsidR="00844DAC" w:rsidRPr="00E405D9">
        <w:rPr>
          <w:rFonts w:eastAsia="Times New Roman" w:cs="Times New Roman"/>
          <w:i/>
          <w:iCs/>
          <w:lang w:eastAsia="en-GB"/>
        </w:rPr>
        <w:t xml:space="preserve">(Source: </w:t>
      </w:r>
      <w:r w:rsidR="00844DAC" w:rsidRPr="00844DAC">
        <w:rPr>
          <w:i/>
          <w:iCs/>
        </w:rPr>
        <w:t>British Geological Survey (n.d.)</w:t>
      </w:r>
    </w:p>
    <w:p w14:paraId="75D4EF1C" w14:textId="3468FA19" w:rsidR="005C201B" w:rsidRPr="00D84393" w:rsidRDefault="00844DAC" w:rsidP="00D84393">
      <w:pPr>
        <w:spacing w:before="100" w:beforeAutospacing="1" w:after="100" w:afterAutospacing="1" w:line="240" w:lineRule="auto"/>
        <w:rPr>
          <w:rFonts w:eastAsia="Times New Roman" w:cs="Times New Roman"/>
          <w:lang w:eastAsia="en-GB"/>
        </w:rPr>
      </w:pPr>
      <w:r w:rsidRPr="00844DAC">
        <w:rPr>
          <w:rFonts w:eastAsia="Times New Roman" w:cs="Times New Roman"/>
          <w:lang w:eastAsia="en-GB"/>
        </w:rPr>
        <w:drawing>
          <wp:inline distT="0" distB="0" distL="0" distR="0" wp14:anchorId="5F26B309" wp14:editId="3EB1AB53">
            <wp:extent cx="3986764" cy="5640922"/>
            <wp:effectExtent l="0" t="0" r="0" b="0"/>
            <wp:docPr id="658352863" name="Picture 5"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52863" name="Picture 5" descr="A map of a city&#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2312" cy="5648772"/>
                    </a:xfrm>
                    <a:prstGeom prst="rect">
                      <a:avLst/>
                    </a:prstGeom>
                    <a:noFill/>
                    <a:ln>
                      <a:noFill/>
                    </a:ln>
                  </pic:spPr>
                </pic:pic>
              </a:graphicData>
            </a:graphic>
          </wp:inline>
        </w:drawing>
      </w:r>
    </w:p>
    <w:p w14:paraId="72C7DA25" w14:textId="335F2B05" w:rsidR="00055F12" w:rsidRPr="00055F12" w:rsidRDefault="00055F12">
      <w:pPr>
        <w:pStyle w:val="Heading1"/>
        <w:rPr>
          <w:rFonts w:asciiTheme="minorHAnsi" w:hAnsiTheme="minorHAnsi"/>
          <w:sz w:val="28"/>
          <w:szCs w:val="36"/>
        </w:rPr>
      </w:pPr>
      <w:bookmarkStart w:id="13" w:name="_Toc187504959"/>
      <w:r w:rsidRPr="00055F12">
        <w:rPr>
          <w:rStyle w:val="Strong"/>
          <w:rFonts w:asciiTheme="minorHAnsi" w:hAnsiTheme="minorHAnsi"/>
          <w:b w:val="0"/>
          <w:bCs w:val="0"/>
          <w:sz w:val="28"/>
          <w:szCs w:val="36"/>
        </w:rPr>
        <w:lastRenderedPageBreak/>
        <w:t>Conclusion and Recommendations</w:t>
      </w:r>
    </w:p>
    <w:p w14:paraId="05DB261E" w14:textId="77777777" w:rsidR="00BA132F" w:rsidRPr="00BA132F" w:rsidRDefault="00BA132F" w:rsidP="00BA132F">
      <w:pPr>
        <w:pStyle w:val="ListParagraph"/>
        <w:keepNext/>
        <w:keepLines/>
        <w:numPr>
          <w:ilvl w:val="0"/>
          <w:numId w:val="7"/>
        </w:numPr>
        <w:spacing w:before="160" w:after="80"/>
        <w:contextualSpacing w:val="0"/>
        <w:outlineLvl w:val="1"/>
        <w:rPr>
          <w:rFonts w:ascii="Arial" w:eastAsiaTheme="majorEastAsia" w:hAnsi="Arial" w:cstheme="majorBidi"/>
          <w:vanish/>
          <w:sz w:val="28"/>
          <w:szCs w:val="32"/>
        </w:rPr>
      </w:pPr>
    </w:p>
    <w:p w14:paraId="01EC0E22" w14:textId="35046D20" w:rsidR="00BA132F" w:rsidRDefault="00BA132F" w:rsidP="00BA132F">
      <w:pPr>
        <w:pStyle w:val="Heading2"/>
        <w:numPr>
          <w:ilvl w:val="1"/>
          <w:numId w:val="7"/>
        </w:numPr>
      </w:pPr>
      <w:r>
        <w:t>Conclusion</w:t>
      </w:r>
    </w:p>
    <w:p w14:paraId="0684072C" w14:textId="77777777" w:rsidR="00055F12" w:rsidRPr="00055F12" w:rsidRDefault="00055F12" w:rsidP="00BA132F">
      <w:pPr>
        <w:pStyle w:val="NormalWeb"/>
        <w:rPr>
          <w:rFonts w:asciiTheme="minorHAnsi" w:hAnsiTheme="minorHAnsi"/>
          <w:sz w:val="22"/>
          <w:szCs w:val="22"/>
        </w:rPr>
      </w:pPr>
      <w:r w:rsidRPr="00055F12">
        <w:rPr>
          <w:rFonts w:asciiTheme="minorHAnsi" w:hAnsiTheme="minorHAnsi"/>
          <w:sz w:val="22"/>
          <w:szCs w:val="22"/>
        </w:rPr>
        <w:t>The Swansea Mumbles Road site presents a unique blend of challenges due to its historical industrial use, urban setting, and complex geotechnical profile. This report has outlined key findings from the site investigation, including the unsuitability of shallow foundations and the critical need for deep pile foundations to ensure stability. By anchoring piles into dense gravel or bedrock layers at depths exceeding 6m, the proposed design mitigates settlement risks and ensures long-term structural integrity. Furthermore, groundwater management strategies and adherence to industry standards provide a robust framework for addressing environmental and construction challenges.</w:t>
      </w:r>
    </w:p>
    <w:p w14:paraId="1213CA53" w14:textId="77777777" w:rsidR="00055F12" w:rsidRPr="00055F12" w:rsidRDefault="00055F12" w:rsidP="00BA132F">
      <w:pPr>
        <w:pStyle w:val="NormalWeb"/>
        <w:rPr>
          <w:rFonts w:asciiTheme="minorHAnsi" w:hAnsiTheme="minorHAnsi"/>
          <w:sz w:val="22"/>
          <w:szCs w:val="22"/>
        </w:rPr>
      </w:pPr>
      <w:r w:rsidRPr="00055F12">
        <w:rPr>
          <w:rFonts w:asciiTheme="minorHAnsi" w:hAnsiTheme="minorHAnsi"/>
          <w:sz w:val="22"/>
          <w:szCs w:val="22"/>
        </w:rPr>
        <w:t>The combination of borehole data, case study insights, and compliance with British Standards ensures that the recommendations align with both project-specific requirements and broader industry best practices. Ultimately, the proposed measures create a safe, sustainable, and efficient foundation system for the Swansea Mumbles Road development.</w:t>
      </w:r>
    </w:p>
    <w:p w14:paraId="1C45937E" w14:textId="77777777" w:rsidR="00055F12" w:rsidRPr="00055F12" w:rsidRDefault="00055F12" w:rsidP="00BA132F">
      <w:pPr>
        <w:rPr>
          <w:sz w:val="20"/>
          <w:szCs w:val="20"/>
        </w:rPr>
      </w:pPr>
      <w:r w:rsidRPr="00055F12">
        <w:rPr>
          <w:sz w:val="20"/>
          <w:szCs w:val="20"/>
        </w:rPr>
        <w:pict w14:anchorId="3F5C5E1B">
          <v:rect id="_x0000_i1117" style="width:0;height:1.5pt" o:hralign="center" o:hrstd="t" o:hr="t" fillcolor="#a0a0a0" stroked="f"/>
        </w:pict>
      </w:r>
    </w:p>
    <w:p w14:paraId="48C1CB7E" w14:textId="2BDBE26A" w:rsidR="00BA132F" w:rsidRDefault="00BA132F" w:rsidP="00BA132F">
      <w:pPr>
        <w:pStyle w:val="Heading2"/>
        <w:numPr>
          <w:ilvl w:val="1"/>
          <w:numId w:val="7"/>
        </w:numPr>
      </w:pPr>
      <w:r>
        <w:t>Recommendations</w:t>
      </w:r>
    </w:p>
    <w:p w14:paraId="6513DB0E" w14:textId="77777777" w:rsidR="00055F12" w:rsidRPr="00055F12" w:rsidRDefault="00055F12" w:rsidP="00055F12">
      <w:pPr>
        <w:pStyle w:val="NormalWeb"/>
        <w:rPr>
          <w:rFonts w:asciiTheme="minorHAnsi" w:hAnsiTheme="minorHAnsi"/>
          <w:sz w:val="22"/>
          <w:szCs w:val="22"/>
        </w:rPr>
      </w:pPr>
      <w:r w:rsidRPr="00055F12">
        <w:rPr>
          <w:rFonts w:asciiTheme="minorHAnsi" w:hAnsiTheme="minorHAnsi"/>
          <w:sz w:val="22"/>
          <w:szCs w:val="22"/>
        </w:rPr>
        <w:t>Based on the findings and analysis in this report, the following recommendations are provided for the successful implementation of the project:</w:t>
      </w:r>
    </w:p>
    <w:p w14:paraId="45C79542" w14:textId="77777777" w:rsidR="00055F12" w:rsidRPr="00055F12" w:rsidRDefault="00055F12" w:rsidP="00055F12">
      <w:pPr>
        <w:pStyle w:val="NormalWeb"/>
        <w:numPr>
          <w:ilvl w:val="0"/>
          <w:numId w:val="39"/>
        </w:numPr>
        <w:spacing w:before="100" w:beforeAutospacing="1" w:after="100" w:afterAutospacing="1" w:line="240" w:lineRule="auto"/>
        <w:rPr>
          <w:rFonts w:asciiTheme="minorHAnsi" w:hAnsiTheme="minorHAnsi"/>
        </w:rPr>
      </w:pPr>
      <w:r w:rsidRPr="00055F12">
        <w:rPr>
          <w:rStyle w:val="Strong"/>
          <w:rFonts w:asciiTheme="minorHAnsi" w:hAnsiTheme="minorHAnsi"/>
        </w:rPr>
        <w:t>Foundation Design</w:t>
      </w:r>
      <w:r w:rsidRPr="00055F12">
        <w:rPr>
          <w:rFonts w:asciiTheme="minorHAnsi" w:hAnsiTheme="minorHAnsi"/>
        </w:rPr>
        <w:t>:</w:t>
      </w:r>
    </w:p>
    <w:p w14:paraId="14B5D168" w14:textId="77777777" w:rsidR="00055F12" w:rsidRPr="00055F12" w:rsidRDefault="00055F12" w:rsidP="00055F12">
      <w:pPr>
        <w:numPr>
          <w:ilvl w:val="1"/>
          <w:numId w:val="39"/>
        </w:numPr>
        <w:spacing w:before="100" w:beforeAutospacing="1" w:after="100" w:afterAutospacing="1" w:line="240" w:lineRule="auto"/>
      </w:pPr>
      <w:r w:rsidRPr="00055F12">
        <w:t>Adopt deep bored piles, designed to anchor securely into stable strata beyond 6m, to bypass compressible upper layers.</w:t>
      </w:r>
    </w:p>
    <w:p w14:paraId="1E2F40C0" w14:textId="77777777" w:rsidR="00055F12" w:rsidRPr="00055F12" w:rsidRDefault="00055F12" w:rsidP="00055F12">
      <w:pPr>
        <w:numPr>
          <w:ilvl w:val="1"/>
          <w:numId w:val="39"/>
        </w:numPr>
        <w:spacing w:before="100" w:beforeAutospacing="1" w:after="100" w:afterAutospacing="1" w:line="240" w:lineRule="auto"/>
      </w:pPr>
      <w:r w:rsidRPr="00055F12">
        <w:t xml:space="preserve">Ensure design compliance with </w:t>
      </w:r>
      <w:r w:rsidRPr="00055F12">
        <w:rPr>
          <w:rStyle w:val="Strong"/>
        </w:rPr>
        <w:t>BS 8004:2015</w:t>
      </w:r>
      <w:r w:rsidRPr="00055F12">
        <w:t>, addressing site-specific load and lateral force requirements.</w:t>
      </w:r>
    </w:p>
    <w:p w14:paraId="15D3C18C" w14:textId="77777777" w:rsidR="00055F12" w:rsidRPr="00055F12" w:rsidRDefault="00055F12" w:rsidP="00055F12">
      <w:pPr>
        <w:pStyle w:val="NormalWeb"/>
        <w:numPr>
          <w:ilvl w:val="0"/>
          <w:numId w:val="39"/>
        </w:numPr>
        <w:spacing w:before="100" w:beforeAutospacing="1" w:after="100" w:afterAutospacing="1" w:line="240" w:lineRule="auto"/>
        <w:rPr>
          <w:rFonts w:asciiTheme="minorHAnsi" w:hAnsiTheme="minorHAnsi"/>
        </w:rPr>
      </w:pPr>
      <w:r w:rsidRPr="00055F12">
        <w:rPr>
          <w:rStyle w:val="Strong"/>
          <w:rFonts w:asciiTheme="minorHAnsi" w:hAnsiTheme="minorHAnsi"/>
        </w:rPr>
        <w:t>Groundwater Management</w:t>
      </w:r>
      <w:r w:rsidRPr="00055F12">
        <w:rPr>
          <w:rFonts w:asciiTheme="minorHAnsi" w:hAnsiTheme="minorHAnsi"/>
        </w:rPr>
        <w:t>:</w:t>
      </w:r>
    </w:p>
    <w:p w14:paraId="77B4C962" w14:textId="77777777" w:rsidR="00055F12" w:rsidRPr="00055F12" w:rsidRDefault="00055F12" w:rsidP="00055F12">
      <w:pPr>
        <w:numPr>
          <w:ilvl w:val="1"/>
          <w:numId w:val="39"/>
        </w:numPr>
        <w:spacing w:before="100" w:beforeAutospacing="1" w:after="100" w:afterAutospacing="1" w:line="240" w:lineRule="auto"/>
      </w:pPr>
      <w:r w:rsidRPr="00055F12">
        <w:t>Implement dewatering systems during excavation, using sump pumps or wellpoint systems to manage groundwater strikes at depths of 1.5–2m.</w:t>
      </w:r>
    </w:p>
    <w:p w14:paraId="6D9EB746" w14:textId="77777777" w:rsidR="00055F12" w:rsidRPr="00055F12" w:rsidRDefault="00055F12" w:rsidP="00055F12">
      <w:pPr>
        <w:numPr>
          <w:ilvl w:val="1"/>
          <w:numId w:val="39"/>
        </w:numPr>
        <w:spacing w:before="100" w:beforeAutospacing="1" w:after="100" w:afterAutospacing="1" w:line="240" w:lineRule="auto"/>
      </w:pPr>
      <w:r w:rsidRPr="00055F12">
        <w:t>Monitor groundwater levels continuously to avoid destabilizing adjacent areas.</w:t>
      </w:r>
    </w:p>
    <w:p w14:paraId="7CE9F03D" w14:textId="77777777" w:rsidR="00055F12" w:rsidRPr="00055F12" w:rsidRDefault="00055F12" w:rsidP="00055F12">
      <w:pPr>
        <w:pStyle w:val="NormalWeb"/>
        <w:numPr>
          <w:ilvl w:val="0"/>
          <w:numId w:val="39"/>
        </w:numPr>
        <w:spacing w:before="100" w:beforeAutospacing="1" w:after="100" w:afterAutospacing="1" w:line="240" w:lineRule="auto"/>
        <w:rPr>
          <w:rFonts w:asciiTheme="minorHAnsi" w:hAnsiTheme="minorHAnsi"/>
        </w:rPr>
      </w:pPr>
      <w:r w:rsidRPr="00055F12">
        <w:rPr>
          <w:rStyle w:val="Strong"/>
          <w:rFonts w:asciiTheme="minorHAnsi" w:hAnsiTheme="minorHAnsi"/>
        </w:rPr>
        <w:t>Environmental and Social Mitigation</w:t>
      </w:r>
      <w:r w:rsidRPr="00055F12">
        <w:rPr>
          <w:rFonts w:asciiTheme="minorHAnsi" w:hAnsiTheme="minorHAnsi"/>
        </w:rPr>
        <w:t>:</w:t>
      </w:r>
    </w:p>
    <w:p w14:paraId="35B23F15" w14:textId="77777777" w:rsidR="00055F12" w:rsidRPr="00055F12" w:rsidRDefault="00055F12" w:rsidP="00055F12">
      <w:pPr>
        <w:numPr>
          <w:ilvl w:val="1"/>
          <w:numId w:val="39"/>
        </w:numPr>
        <w:spacing w:before="100" w:beforeAutospacing="1" w:after="100" w:afterAutospacing="1" w:line="240" w:lineRule="auto"/>
      </w:pPr>
      <w:r w:rsidRPr="00055F12">
        <w:t xml:space="preserve">Minimize construction impacts on the surrounding community by following </w:t>
      </w:r>
      <w:r w:rsidRPr="00055F12">
        <w:rPr>
          <w:rStyle w:val="Strong"/>
        </w:rPr>
        <w:t>Considerate Constructors Scheme</w:t>
      </w:r>
      <w:r w:rsidRPr="00055F12">
        <w:t xml:space="preserve"> guidelines.</w:t>
      </w:r>
    </w:p>
    <w:p w14:paraId="122AEA43" w14:textId="77777777" w:rsidR="00055F12" w:rsidRPr="00055F12" w:rsidRDefault="00055F12" w:rsidP="00055F12">
      <w:pPr>
        <w:numPr>
          <w:ilvl w:val="1"/>
          <w:numId w:val="39"/>
        </w:numPr>
        <w:spacing w:before="100" w:beforeAutospacing="1" w:after="100" w:afterAutospacing="1" w:line="240" w:lineRule="auto"/>
      </w:pPr>
      <w:r w:rsidRPr="00055F12">
        <w:t>Install sustainable drainage systems (</w:t>
      </w:r>
      <w:proofErr w:type="spellStart"/>
      <w:r w:rsidRPr="00055F12">
        <w:t>SuDS</w:t>
      </w:r>
      <w:proofErr w:type="spellEnd"/>
      <w:r w:rsidRPr="00055F12">
        <w:t>) to manage surface water runoff and prevent contamination of nearby watercourses.</w:t>
      </w:r>
    </w:p>
    <w:p w14:paraId="1369D9D2" w14:textId="77777777" w:rsidR="00055F12" w:rsidRPr="00055F12" w:rsidRDefault="00055F12" w:rsidP="00055F12">
      <w:pPr>
        <w:pStyle w:val="NormalWeb"/>
        <w:numPr>
          <w:ilvl w:val="0"/>
          <w:numId w:val="39"/>
        </w:numPr>
        <w:spacing w:before="100" w:beforeAutospacing="1" w:after="100" w:afterAutospacing="1" w:line="240" w:lineRule="auto"/>
        <w:rPr>
          <w:rFonts w:asciiTheme="minorHAnsi" w:hAnsiTheme="minorHAnsi"/>
        </w:rPr>
      </w:pPr>
      <w:r w:rsidRPr="00055F12">
        <w:rPr>
          <w:rStyle w:val="Strong"/>
          <w:rFonts w:asciiTheme="minorHAnsi" w:hAnsiTheme="minorHAnsi"/>
        </w:rPr>
        <w:t>Post-Construction Monitoring</w:t>
      </w:r>
      <w:r w:rsidRPr="00055F12">
        <w:rPr>
          <w:rFonts w:asciiTheme="minorHAnsi" w:hAnsiTheme="minorHAnsi"/>
        </w:rPr>
        <w:t>:</w:t>
      </w:r>
    </w:p>
    <w:p w14:paraId="5ED5F9B8" w14:textId="77777777" w:rsidR="00055F12" w:rsidRPr="00055F12" w:rsidRDefault="00055F12" w:rsidP="00055F12">
      <w:pPr>
        <w:numPr>
          <w:ilvl w:val="1"/>
          <w:numId w:val="39"/>
        </w:numPr>
        <w:spacing w:before="100" w:beforeAutospacing="1" w:after="100" w:afterAutospacing="1" w:line="240" w:lineRule="auto"/>
      </w:pPr>
      <w:r w:rsidRPr="00055F12">
        <w:t>Conduct dynamic load testing and instrumentation monitoring to validate foundation performance during and after construction.</w:t>
      </w:r>
    </w:p>
    <w:p w14:paraId="51D9FD08" w14:textId="77777777" w:rsidR="00055F12" w:rsidRPr="00055F12" w:rsidRDefault="00055F12" w:rsidP="00055F12">
      <w:pPr>
        <w:numPr>
          <w:ilvl w:val="1"/>
          <w:numId w:val="39"/>
        </w:numPr>
        <w:spacing w:before="100" w:beforeAutospacing="1" w:after="100" w:afterAutospacing="1" w:line="240" w:lineRule="auto"/>
      </w:pPr>
      <w:r w:rsidRPr="00055F12">
        <w:t>Regularly inspect and maintain drainage and groundwater control systems.</w:t>
      </w:r>
    </w:p>
    <w:p w14:paraId="32CCF90B" w14:textId="77777777" w:rsidR="00055F12" w:rsidRPr="00055F12" w:rsidRDefault="00055F12" w:rsidP="00055F12">
      <w:pPr>
        <w:pStyle w:val="NormalWeb"/>
        <w:numPr>
          <w:ilvl w:val="0"/>
          <w:numId w:val="39"/>
        </w:numPr>
        <w:spacing w:before="100" w:beforeAutospacing="1" w:after="100" w:afterAutospacing="1" w:line="240" w:lineRule="auto"/>
        <w:rPr>
          <w:rFonts w:asciiTheme="minorHAnsi" w:hAnsiTheme="minorHAnsi"/>
        </w:rPr>
      </w:pPr>
      <w:r w:rsidRPr="00055F12">
        <w:rPr>
          <w:rStyle w:val="Strong"/>
          <w:rFonts w:asciiTheme="minorHAnsi" w:hAnsiTheme="minorHAnsi"/>
        </w:rPr>
        <w:t>Further Studies</w:t>
      </w:r>
      <w:r w:rsidRPr="00055F12">
        <w:rPr>
          <w:rFonts w:asciiTheme="minorHAnsi" w:hAnsiTheme="minorHAnsi"/>
        </w:rPr>
        <w:t>:</w:t>
      </w:r>
    </w:p>
    <w:p w14:paraId="7C7AEC5D" w14:textId="77777777" w:rsidR="00055F12" w:rsidRPr="00055F12" w:rsidRDefault="00055F12" w:rsidP="00055F12">
      <w:pPr>
        <w:numPr>
          <w:ilvl w:val="1"/>
          <w:numId w:val="39"/>
        </w:numPr>
        <w:spacing w:before="100" w:beforeAutospacing="1" w:after="100" w:afterAutospacing="1" w:line="240" w:lineRule="auto"/>
      </w:pPr>
      <w:r w:rsidRPr="00055F12">
        <w:t>Undertake additional contamination testing to assess risks associated with historical industrial activity and mitigate potential environmental hazards.</w:t>
      </w:r>
    </w:p>
    <w:p w14:paraId="12CAB608" w14:textId="77777777" w:rsidR="00055F12" w:rsidRPr="00055F12" w:rsidRDefault="00055F12" w:rsidP="00055F12">
      <w:pPr>
        <w:numPr>
          <w:ilvl w:val="1"/>
          <w:numId w:val="39"/>
        </w:numPr>
        <w:spacing w:before="100" w:beforeAutospacing="1" w:after="100" w:afterAutospacing="1" w:line="240" w:lineRule="auto"/>
      </w:pPr>
      <w:r w:rsidRPr="00055F12">
        <w:t>Conduct utility surveys to identify and address any existing underground services.</w:t>
      </w:r>
    </w:p>
    <w:p w14:paraId="54988BFA" w14:textId="625F4356" w:rsidR="00A419BB" w:rsidRDefault="00E43F4F" w:rsidP="00E43F4F">
      <w:pPr>
        <w:pStyle w:val="Heading1"/>
      </w:pPr>
      <w:r>
        <w:lastRenderedPageBreak/>
        <w:t>Reference List</w:t>
      </w:r>
      <w:bookmarkEnd w:id="13"/>
    </w:p>
    <w:p w14:paraId="07E9929A" w14:textId="77777777" w:rsidR="00D42BD8" w:rsidRDefault="00D42BD8" w:rsidP="00E43F4F">
      <w:pPr>
        <w:pStyle w:val="ListParagraph"/>
        <w:numPr>
          <w:ilvl w:val="6"/>
          <w:numId w:val="4"/>
        </w:numPr>
      </w:pPr>
      <w:r w:rsidRPr="00D42BD8">
        <w:t xml:space="preserve">Swansea Museum (n.d.) </w:t>
      </w:r>
      <w:r w:rsidRPr="00D42BD8">
        <w:rPr>
          <w:i/>
          <w:iCs/>
        </w:rPr>
        <w:t>Mumbles Train</w:t>
      </w:r>
      <w:r w:rsidRPr="00D42BD8">
        <w:t xml:space="preserve">. Available at: </w:t>
      </w:r>
      <w:hyperlink r:id="rId12" w:tgtFrame="_new" w:history="1">
        <w:r w:rsidRPr="00D42BD8">
          <w:rPr>
            <w:rStyle w:val="Hyperlink"/>
          </w:rPr>
          <w:t>https://www.swanseamuseum.co.uk/swansea-a-brief-history/mumbles-train</w:t>
        </w:r>
      </w:hyperlink>
      <w:r w:rsidRPr="00D42BD8">
        <w:t xml:space="preserve"> (Accessed: 10 January 2025).</w:t>
      </w:r>
    </w:p>
    <w:p w14:paraId="7D670961" w14:textId="24F5E1F1" w:rsidR="00E43F4F" w:rsidRDefault="009E2307" w:rsidP="00E43F4F">
      <w:pPr>
        <w:pStyle w:val="ListParagraph"/>
        <w:numPr>
          <w:ilvl w:val="6"/>
          <w:numId w:val="4"/>
        </w:numPr>
      </w:pPr>
      <w:proofErr w:type="spellStart"/>
      <w:r w:rsidRPr="009E2307">
        <w:t>Coflein</w:t>
      </w:r>
      <w:proofErr w:type="spellEnd"/>
      <w:r w:rsidRPr="009E2307">
        <w:t xml:space="preserve"> (n.d.) </w:t>
      </w:r>
      <w:r w:rsidRPr="009E2307">
        <w:rPr>
          <w:i/>
          <w:iCs/>
        </w:rPr>
        <w:t>Swansea Gas Works, Oystermouth Road, Swansea</w:t>
      </w:r>
      <w:r w:rsidRPr="009E2307">
        <w:t xml:space="preserve">. Available at: </w:t>
      </w:r>
      <w:hyperlink r:id="rId13" w:tgtFrame="_new" w:history="1">
        <w:r w:rsidRPr="009E2307">
          <w:rPr>
            <w:rStyle w:val="Hyperlink"/>
          </w:rPr>
          <w:t>https://coflein.gov.uk/en/site/85432/</w:t>
        </w:r>
      </w:hyperlink>
      <w:r w:rsidRPr="009E2307">
        <w:t xml:space="preserve"> (Accessed: 10 January 2025).</w:t>
      </w:r>
    </w:p>
    <w:p w14:paraId="11DD67E8" w14:textId="316EA425" w:rsidR="009E2307" w:rsidRDefault="009E2307" w:rsidP="00E43F4F">
      <w:pPr>
        <w:pStyle w:val="ListParagraph"/>
        <w:numPr>
          <w:ilvl w:val="6"/>
          <w:numId w:val="4"/>
        </w:numPr>
      </w:pPr>
      <w:r w:rsidRPr="009E2307">
        <w:t xml:space="preserve">Archives Hub (n.d.) </w:t>
      </w:r>
      <w:r w:rsidRPr="009E2307">
        <w:rPr>
          <w:i/>
          <w:iCs/>
        </w:rPr>
        <w:t>Photographs of preliminary building work on the former gas works site, Oystermouth Road, Swansea, in preparation for the construction of a Tesco supermarket</w:t>
      </w:r>
      <w:r w:rsidRPr="009E2307">
        <w:t xml:space="preserve">. Available at: </w:t>
      </w:r>
      <w:hyperlink r:id="rId14" w:history="1">
        <w:r w:rsidRPr="009E2307">
          <w:rPr>
            <w:rStyle w:val="Hyperlink"/>
          </w:rPr>
          <w:t>https://archiveshub.jisc.ac.uk/data/gb21</w:t>
        </w:r>
        <w:r w:rsidRPr="009E2307">
          <w:rPr>
            <w:rStyle w:val="Hyperlink"/>
          </w:rPr>
          <w:t>6</w:t>
        </w:r>
        <w:r w:rsidRPr="009E2307">
          <w:rPr>
            <w:rStyle w:val="Hyperlink"/>
          </w:rPr>
          <w:t>-d/dpp/d/dpp/49/1</w:t>
        </w:r>
      </w:hyperlink>
      <w:r w:rsidRPr="009E2307">
        <w:t xml:space="preserve"> (Accessed: 10 January 2025).</w:t>
      </w:r>
    </w:p>
    <w:p w14:paraId="38D2672A" w14:textId="3AEB5813" w:rsidR="009B1463" w:rsidRDefault="009B1463" w:rsidP="00E43F4F">
      <w:pPr>
        <w:pStyle w:val="ListParagraph"/>
        <w:numPr>
          <w:ilvl w:val="6"/>
          <w:numId w:val="4"/>
        </w:numPr>
      </w:pPr>
      <w:r w:rsidRPr="009B1463">
        <w:t xml:space="preserve">British Geological Survey, n.d. </w:t>
      </w:r>
      <w:r w:rsidRPr="009B1463">
        <w:rPr>
          <w:i/>
          <w:iCs/>
        </w:rPr>
        <w:t>BGS Geology Viewer</w:t>
      </w:r>
      <w:r w:rsidRPr="009B1463">
        <w:t xml:space="preserve">. Available at: </w:t>
      </w:r>
      <w:hyperlink r:id="rId15" w:tgtFrame="_new" w:history="1">
        <w:r w:rsidRPr="009B1463">
          <w:rPr>
            <w:rStyle w:val="Hyperlink"/>
          </w:rPr>
          <w:t>https://www.bgs.ac.uk/map-viewers/bgs-geology-viewer/</w:t>
        </w:r>
      </w:hyperlink>
      <w:r w:rsidRPr="009B1463">
        <w:t xml:space="preserve"> [Accessed 10 January 2025].</w:t>
      </w:r>
    </w:p>
    <w:p w14:paraId="494E1576" w14:textId="534CDA0F" w:rsidR="001A39E6" w:rsidRDefault="001A39E6" w:rsidP="00E43F4F">
      <w:pPr>
        <w:pStyle w:val="ListParagraph"/>
        <w:numPr>
          <w:ilvl w:val="6"/>
          <w:numId w:val="4"/>
        </w:numPr>
      </w:pPr>
      <w:r w:rsidRPr="001A39E6">
        <w:t xml:space="preserve">British Geological Survey, n.d. </w:t>
      </w:r>
      <w:proofErr w:type="spellStart"/>
      <w:r w:rsidRPr="001A39E6">
        <w:rPr>
          <w:i/>
          <w:iCs/>
        </w:rPr>
        <w:t>GeoIndex</w:t>
      </w:r>
      <w:proofErr w:type="spellEnd"/>
      <w:r w:rsidRPr="001A39E6">
        <w:rPr>
          <w:i/>
          <w:iCs/>
        </w:rPr>
        <w:t xml:space="preserve"> Onshore: Borehole Records</w:t>
      </w:r>
      <w:r w:rsidRPr="001A39E6">
        <w:t xml:space="preserve">. Available at: </w:t>
      </w:r>
      <w:hyperlink r:id="rId16" w:history="1">
        <w:r w:rsidRPr="001A39E6">
          <w:rPr>
            <w:rStyle w:val="Hyperlink"/>
          </w:rPr>
          <w:t>https://mapapps2.bgs.ac.uk/geoindex/hom</w:t>
        </w:r>
        <w:r w:rsidRPr="001A39E6">
          <w:rPr>
            <w:rStyle w:val="Hyperlink"/>
          </w:rPr>
          <w:t>e</w:t>
        </w:r>
        <w:r w:rsidRPr="001A39E6">
          <w:rPr>
            <w:rStyle w:val="Hyperlink"/>
          </w:rPr>
          <w:t>.</w:t>
        </w:r>
        <w:r w:rsidRPr="001A39E6">
          <w:rPr>
            <w:rStyle w:val="Hyperlink"/>
          </w:rPr>
          <w:t>html</w:t>
        </w:r>
      </w:hyperlink>
      <w:r w:rsidRPr="001A39E6">
        <w:t xml:space="preserve"> [Accessed 10 January 2025].</w:t>
      </w:r>
    </w:p>
    <w:p w14:paraId="20B146B9" w14:textId="3141E1D7" w:rsidR="00E43F4F" w:rsidRDefault="001A39E6" w:rsidP="00E43F4F">
      <w:pPr>
        <w:pStyle w:val="ListParagraph"/>
        <w:numPr>
          <w:ilvl w:val="6"/>
          <w:numId w:val="4"/>
        </w:numPr>
      </w:pPr>
      <w:r w:rsidRPr="001A39E6">
        <w:t xml:space="preserve">British Standards Institution, 2020. </w:t>
      </w:r>
      <w:r w:rsidRPr="001A39E6">
        <w:rPr>
          <w:i/>
          <w:iCs/>
        </w:rPr>
        <w:t>BS 5930:2015+A1:2020 Code of Practice for Ground Investigations</w:t>
      </w:r>
      <w:r w:rsidRPr="001A39E6">
        <w:t>. London: BSI Standards Limited.</w:t>
      </w:r>
    </w:p>
    <w:p w14:paraId="5202FF6F" w14:textId="1714D79E" w:rsidR="007F36DF" w:rsidRDefault="007F36DF" w:rsidP="00E43F4F">
      <w:pPr>
        <w:pStyle w:val="ListParagraph"/>
        <w:numPr>
          <w:ilvl w:val="6"/>
          <w:numId w:val="4"/>
        </w:numPr>
      </w:pPr>
      <w:r w:rsidRPr="007F36DF">
        <w:t xml:space="preserve">British Standards Institution, 2013. </w:t>
      </w:r>
      <w:r w:rsidRPr="007F36DF">
        <w:rPr>
          <w:i/>
          <w:iCs/>
        </w:rPr>
        <w:t>BS 10175:2011+A2:2017 Investigation of Potentially Contaminated Sites</w:t>
      </w:r>
      <w:r w:rsidRPr="007F36DF">
        <w:t>. London: BSI Standards Limited.</w:t>
      </w:r>
    </w:p>
    <w:p w14:paraId="4E184DF4" w14:textId="3F9212C2" w:rsidR="007F36DF" w:rsidRDefault="007F36DF" w:rsidP="00E43F4F">
      <w:pPr>
        <w:pStyle w:val="ListParagraph"/>
        <w:numPr>
          <w:ilvl w:val="6"/>
          <w:numId w:val="4"/>
        </w:numPr>
      </w:pPr>
      <w:r w:rsidRPr="007F36DF">
        <w:t xml:space="preserve">Natural Resources Wales, n.d. </w:t>
      </w:r>
      <w:r w:rsidRPr="007F36DF">
        <w:rPr>
          <w:i/>
          <w:iCs/>
        </w:rPr>
        <w:t>Phase 1 Vegetation Habitat Map</w:t>
      </w:r>
      <w:r w:rsidRPr="007F36DF">
        <w:t xml:space="preserve">. Available at: </w:t>
      </w:r>
      <w:hyperlink r:id="rId17" w:tgtFrame="_new" w:history="1">
        <w:r w:rsidRPr="007F36DF">
          <w:rPr>
            <w:rStyle w:val="Hyperlink"/>
          </w:rPr>
          <w:t>https://naturalresources.wales</w:t>
        </w:r>
      </w:hyperlink>
      <w:r w:rsidRPr="007F36DF">
        <w:t xml:space="preserve"> [Accessed 10 January 2025].</w:t>
      </w:r>
    </w:p>
    <w:p w14:paraId="05964F3F" w14:textId="6F2496BA" w:rsidR="00A81F16" w:rsidRDefault="00A81F16" w:rsidP="00E43F4F">
      <w:pPr>
        <w:pStyle w:val="ListParagraph"/>
        <w:numPr>
          <w:ilvl w:val="6"/>
          <w:numId w:val="4"/>
        </w:numPr>
      </w:pPr>
      <w:r w:rsidRPr="00A81F16">
        <w:t xml:space="preserve">Construction Industry Research and Information Association, 2015. </w:t>
      </w:r>
      <w:r w:rsidRPr="00A81F16">
        <w:rPr>
          <w:i/>
          <w:iCs/>
        </w:rPr>
        <w:t xml:space="preserve">The </w:t>
      </w:r>
      <w:proofErr w:type="spellStart"/>
      <w:r w:rsidRPr="00A81F16">
        <w:rPr>
          <w:i/>
          <w:iCs/>
        </w:rPr>
        <w:t>SuDS</w:t>
      </w:r>
      <w:proofErr w:type="spellEnd"/>
      <w:r w:rsidRPr="00A81F16">
        <w:rPr>
          <w:i/>
          <w:iCs/>
        </w:rPr>
        <w:t xml:space="preserve"> Manual (C753)</w:t>
      </w:r>
      <w:r w:rsidRPr="00A81F16">
        <w:t xml:space="preserve">. London: CIRIA. Available at: </w:t>
      </w:r>
      <w:hyperlink r:id="rId18" w:tgtFrame="_new" w:history="1">
        <w:r w:rsidRPr="00A81F16">
          <w:rPr>
            <w:rStyle w:val="Hyperlink"/>
          </w:rPr>
          <w:t>https://www.ciria.org</w:t>
        </w:r>
      </w:hyperlink>
      <w:r w:rsidRPr="00A81F16">
        <w:t xml:space="preserve"> [Accessed 10 January 2025].</w:t>
      </w:r>
    </w:p>
    <w:p w14:paraId="37E48D13" w14:textId="32E09507" w:rsidR="00E405D9" w:rsidRDefault="00E405D9" w:rsidP="00E43F4F">
      <w:pPr>
        <w:pStyle w:val="ListParagraph"/>
        <w:numPr>
          <w:ilvl w:val="6"/>
          <w:numId w:val="4"/>
        </w:numPr>
      </w:pPr>
      <w:r w:rsidRPr="00E405D9">
        <w:t xml:space="preserve">Natural Resources Wales, n.d. </w:t>
      </w:r>
      <w:r w:rsidRPr="00E405D9">
        <w:rPr>
          <w:i/>
          <w:iCs/>
        </w:rPr>
        <w:t>Flood Risk Map for Planning</w:t>
      </w:r>
      <w:r w:rsidRPr="00E405D9">
        <w:t xml:space="preserve">. Available at: </w:t>
      </w:r>
      <w:hyperlink r:id="rId19" w:tgtFrame="_new" w:history="1">
        <w:r w:rsidRPr="00E405D9">
          <w:rPr>
            <w:rStyle w:val="Hyperlink"/>
          </w:rPr>
          <w:t>https://flood-risk-maps.naturalresources.wales/?locale=en</w:t>
        </w:r>
      </w:hyperlink>
      <w:r w:rsidRPr="00E405D9">
        <w:t xml:space="preserve"> [Accessed 10 January 2025].</w:t>
      </w:r>
    </w:p>
    <w:p w14:paraId="7351A781" w14:textId="643D1F50" w:rsidR="00E405D9" w:rsidRDefault="00E405D9" w:rsidP="00E43F4F">
      <w:pPr>
        <w:pStyle w:val="ListParagraph"/>
        <w:numPr>
          <w:ilvl w:val="6"/>
          <w:numId w:val="4"/>
        </w:numPr>
      </w:pPr>
      <w:r w:rsidRPr="00E405D9">
        <w:t xml:space="preserve">Natural Resources Wales, n.d. </w:t>
      </w:r>
      <w:r w:rsidRPr="00E405D9">
        <w:rPr>
          <w:i/>
          <w:iCs/>
        </w:rPr>
        <w:t>Flood Map for Planning</w:t>
      </w:r>
      <w:r w:rsidRPr="00E405D9">
        <w:t xml:space="preserve">. Available at: </w:t>
      </w:r>
      <w:hyperlink r:id="rId20" w:tgtFrame="_new" w:history="1">
        <w:r w:rsidRPr="00E405D9">
          <w:rPr>
            <w:rStyle w:val="Hyperlink"/>
          </w:rPr>
          <w:t>https://flood-map-for-planning.naturalresources.wales/</w:t>
        </w:r>
      </w:hyperlink>
      <w:r w:rsidRPr="00E405D9">
        <w:t xml:space="preserve"> [Accessed 10 January 2025].</w:t>
      </w:r>
    </w:p>
    <w:p w14:paraId="73218143" w14:textId="1A4EFEDE" w:rsidR="00E405D9" w:rsidRDefault="00E405D9" w:rsidP="00E43F4F">
      <w:pPr>
        <w:pStyle w:val="ListParagraph"/>
        <w:numPr>
          <w:ilvl w:val="6"/>
          <w:numId w:val="4"/>
        </w:numPr>
      </w:pPr>
      <w:r w:rsidRPr="00E405D9">
        <w:t xml:space="preserve">Considerate Constructors Scheme, n.d. </w:t>
      </w:r>
      <w:r w:rsidRPr="00E405D9">
        <w:rPr>
          <w:i/>
          <w:iCs/>
        </w:rPr>
        <w:t>Code of Considerate Practice</w:t>
      </w:r>
      <w:r w:rsidRPr="00E405D9">
        <w:t xml:space="preserve">. Available at: </w:t>
      </w:r>
      <w:hyperlink r:id="rId21" w:tgtFrame="_new" w:history="1">
        <w:r w:rsidRPr="00E405D9">
          <w:rPr>
            <w:rStyle w:val="Hyperlink"/>
          </w:rPr>
          <w:t>https://www.ccscheme.org.uk</w:t>
        </w:r>
      </w:hyperlink>
      <w:r w:rsidRPr="00E405D9">
        <w:t xml:space="preserve"> [Accessed 10 January 2025].</w:t>
      </w:r>
    </w:p>
    <w:p w14:paraId="073B6F65" w14:textId="33B9BA5A" w:rsidR="00294969" w:rsidRDefault="00294969" w:rsidP="00E43F4F">
      <w:pPr>
        <w:pStyle w:val="ListParagraph"/>
        <w:numPr>
          <w:ilvl w:val="6"/>
          <w:numId w:val="4"/>
        </w:numPr>
      </w:pPr>
      <w:r w:rsidRPr="00294969">
        <w:t xml:space="preserve">British Geological Survey, 2025a. </w:t>
      </w:r>
      <w:r w:rsidRPr="00294969">
        <w:rPr>
          <w:i/>
          <w:iCs/>
        </w:rPr>
        <w:t>Borehole Log 370487 (SS69SE586)</w:t>
      </w:r>
      <w:r w:rsidRPr="00294969">
        <w:t>. Unpublished borehole record. British Geological Survey Records. [Accessed 10 January 2025].</w:t>
      </w:r>
    </w:p>
    <w:p w14:paraId="5A2D319B" w14:textId="16E3FE1A" w:rsidR="00294969" w:rsidRDefault="00294969" w:rsidP="00E43F4F">
      <w:pPr>
        <w:pStyle w:val="ListParagraph"/>
        <w:numPr>
          <w:ilvl w:val="6"/>
          <w:numId w:val="4"/>
        </w:numPr>
      </w:pPr>
      <w:r w:rsidRPr="00294969">
        <w:t xml:space="preserve">British Geological Survey, 2025b. </w:t>
      </w:r>
      <w:r w:rsidRPr="00294969">
        <w:rPr>
          <w:i/>
          <w:iCs/>
        </w:rPr>
        <w:t>Borehole Log 370488 (SS69SE587)</w:t>
      </w:r>
      <w:r w:rsidRPr="00294969">
        <w:t>. Unpublished borehole record. British Geological Survey Records. [Accessed 10 January 2025].</w:t>
      </w:r>
    </w:p>
    <w:p w14:paraId="63C5713B" w14:textId="7945A33D" w:rsidR="006B1618" w:rsidRDefault="00294969" w:rsidP="0064058F">
      <w:pPr>
        <w:pStyle w:val="ListParagraph"/>
        <w:numPr>
          <w:ilvl w:val="6"/>
          <w:numId w:val="4"/>
        </w:numPr>
      </w:pPr>
      <w:r w:rsidRPr="00294969">
        <w:t xml:space="preserve">British Geological Survey, 2025c. </w:t>
      </w:r>
      <w:r w:rsidRPr="0053071E">
        <w:rPr>
          <w:i/>
          <w:iCs/>
        </w:rPr>
        <w:t>Borehole Log 370489 (SS69SE588)</w:t>
      </w:r>
      <w:r w:rsidRPr="00294969">
        <w:t>. Unpublished borehole record. British Geological Survey Records. [Accessed 10 January 2025].</w:t>
      </w:r>
    </w:p>
    <w:p w14:paraId="7C3190A2" w14:textId="3559A130" w:rsidR="0053071E" w:rsidRDefault="0053071E" w:rsidP="0064058F">
      <w:pPr>
        <w:pStyle w:val="ListParagraph"/>
        <w:numPr>
          <w:ilvl w:val="6"/>
          <w:numId w:val="4"/>
        </w:numPr>
      </w:pPr>
      <w:r w:rsidRPr="0053071E">
        <w:t xml:space="preserve">Case Studies in Structural Engineering (2014) ‘Optimum design methodologies for pile foundations in London’. Case Studies in Structural Engineering, 1(1). Available at: </w:t>
      </w:r>
      <w:hyperlink r:id="rId22" w:history="1">
        <w:r w:rsidR="00A25E31" w:rsidRPr="00A25E31">
          <w:rPr>
            <w:rStyle w:val="Hyperlink"/>
          </w:rPr>
          <w:t>https://www.sciencedirect.com/science/article/pii/S2214399814000113?ref=pdf_download&amp;fr=RR-2&amp;rr=900621a398a093e7</w:t>
        </w:r>
      </w:hyperlink>
      <w:r w:rsidR="00A25E31">
        <w:t xml:space="preserve"> </w:t>
      </w:r>
      <w:r>
        <w:t>[</w:t>
      </w:r>
      <w:r w:rsidRPr="0053071E">
        <w:t>Accessed: [</w:t>
      </w:r>
      <w:r w:rsidRPr="00294969">
        <w:t>10 January 2025</w:t>
      </w:r>
      <w:r w:rsidRPr="0053071E">
        <w:t>].</w:t>
      </w:r>
    </w:p>
    <w:p w14:paraId="0F68797F" w14:textId="18ACB99E" w:rsidR="0053071E" w:rsidRDefault="0053071E" w:rsidP="0064058F">
      <w:pPr>
        <w:pStyle w:val="ListParagraph"/>
        <w:numPr>
          <w:ilvl w:val="6"/>
          <w:numId w:val="4"/>
        </w:numPr>
      </w:pPr>
      <w:r w:rsidRPr="0053071E">
        <w:t xml:space="preserve">ScienceDirect (2013) ‘Case study of a driven pile foundation in diatomaceous soil. II: Pile installation, dynamic analysis, and pore pressure generation’. ScienceDirect, 4(3). Available at: </w:t>
      </w:r>
      <w:hyperlink r:id="rId23" w:history="1">
        <w:r w:rsidRPr="0053071E">
          <w:rPr>
            <w:rStyle w:val="Hyperlink"/>
          </w:rPr>
          <w:t>https://www.sciencedirect.com/s</w:t>
        </w:r>
        <w:r w:rsidRPr="0053071E">
          <w:rPr>
            <w:rStyle w:val="Hyperlink"/>
          </w:rPr>
          <w:t>c</w:t>
        </w:r>
        <w:r w:rsidRPr="0053071E">
          <w:rPr>
            <w:rStyle w:val="Hyperlink"/>
          </w:rPr>
          <w:t>ience/article/pii/S1674775521000032</w:t>
        </w:r>
      </w:hyperlink>
      <w:r>
        <w:t xml:space="preserve"> [</w:t>
      </w:r>
      <w:r w:rsidRPr="0053071E">
        <w:t>Accessed: [</w:t>
      </w:r>
      <w:r w:rsidRPr="00294969">
        <w:t>10 January 2025</w:t>
      </w:r>
      <w:r w:rsidRPr="0053071E">
        <w:t>].</w:t>
      </w:r>
    </w:p>
    <w:p w14:paraId="08320C3F" w14:textId="7E9C78A8" w:rsidR="0053071E" w:rsidRDefault="0053071E" w:rsidP="0064058F">
      <w:pPr>
        <w:pStyle w:val="ListParagraph"/>
        <w:numPr>
          <w:ilvl w:val="6"/>
          <w:numId w:val="4"/>
        </w:numPr>
      </w:pPr>
      <w:r w:rsidRPr="0053071E">
        <w:t xml:space="preserve">ISFOG (2015) ‘Improving the lateral resistance of offshore pile foundations for deepwater application’. Proceedings of ISFOG. Available at: </w:t>
      </w:r>
      <w:hyperlink r:id="rId24" w:history="1">
        <w:r w:rsidRPr="0053071E">
          <w:rPr>
            <w:rStyle w:val="Hyperlink"/>
          </w:rPr>
          <w:t>https://www.researchgate.net/profile/Harry-Arshi/publication/281294010_Improving_the_lateral_resistance_of_offshore_pile_foundations_for_deepwater_application/links/55e0953408aede0b572eaa03/Improving-the-lateral-</w:t>
        </w:r>
        <w:r w:rsidRPr="0053071E">
          <w:rPr>
            <w:rStyle w:val="Hyperlink"/>
          </w:rPr>
          <w:lastRenderedPageBreak/>
          <w:t>resistance-of-offshore-pile-foundations-for-deepwater-application.pdf</w:t>
        </w:r>
      </w:hyperlink>
      <w:r w:rsidRPr="0053071E">
        <w:t xml:space="preserve"> </w:t>
      </w:r>
      <w:r>
        <w:t>[</w:t>
      </w:r>
      <w:r w:rsidRPr="0053071E">
        <w:t>Accessed: [</w:t>
      </w:r>
      <w:r w:rsidRPr="00294969">
        <w:t>10 January 2025</w:t>
      </w:r>
      <w:r w:rsidRPr="0053071E">
        <w:t>].</w:t>
      </w:r>
    </w:p>
    <w:p w14:paraId="3FE83CC0" w14:textId="31AAC035" w:rsidR="0053071E" w:rsidRDefault="0053071E" w:rsidP="0064058F">
      <w:pPr>
        <w:pStyle w:val="ListParagraph"/>
        <w:numPr>
          <w:ilvl w:val="6"/>
          <w:numId w:val="4"/>
        </w:numPr>
      </w:pPr>
      <w:r w:rsidRPr="0053071E">
        <w:t>DFI Journal (2009) ‘A case study of passive piles failure in open excavation’. DFI Journal, 3(2). Available at:</w:t>
      </w:r>
      <w:r>
        <w:t xml:space="preserve"> </w:t>
      </w:r>
      <w:hyperlink r:id="rId25" w:history="1">
        <w:r w:rsidRPr="0053071E">
          <w:rPr>
            <w:rStyle w:val="Hyperlink"/>
          </w:rPr>
          <w:t>https://www.researchgate.net/publication/272252035_A_Case_Study_of_Passive_Piles_Failure_in_Open_Excava</w:t>
        </w:r>
        <w:r w:rsidRPr="0053071E">
          <w:rPr>
            <w:rStyle w:val="Hyperlink"/>
          </w:rPr>
          <w:t>t</w:t>
        </w:r>
        <w:r w:rsidRPr="0053071E">
          <w:rPr>
            <w:rStyle w:val="Hyperlink"/>
          </w:rPr>
          <w:t>ion</w:t>
        </w:r>
      </w:hyperlink>
      <w:r w:rsidRPr="0053071E">
        <w:t xml:space="preserve"> </w:t>
      </w:r>
      <w:r w:rsidR="00A25E31">
        <w:t>[</w:t>
      </w:r>
      <w:r w:rsidR="00A25E31" w:rsidRPr="0053071E">
        <w:t>Accessed: [</w:t>
      </w:r>
      <w:r w:rsidR="00A25E31" w:rsidRPr="00294969">
        <w:t>10 January 2025</w:t>
      </w:r>
      <w:r w:rsidR="00A25E31" w:rsidRPr="0053071E">
        <w:t>].</w:t>
      </w:r>
    </w:p>
    <w:p w14:paraId="74EE17D5" w14:textId="051BDCD1" w:rsidR="00A25E31" w:rsidRDefault="00A25E31" w:rsidP="0064058F">
      <w:pPr>
        <w:pStyle w:val="ListParagraph"/>
        <w:numPr>
          <w:ilvl w:val="6"/>
          <w:numId w:val="4"/>
        </w:numPr>
      </w:pPr>
      <w:r w:rsidRPr="00A25E31">
        <w:t>British Standards Institution (BSI) (2015a) BS 5930: Code of Practice for Site Investigations. London: BSI.</w:t>
      </w:r>
    </w:p>
    <w:p w14:paraId="6932BB6E" w14:textId="77162666" w:rsidR="00A25E31" w:rsidRPr="00A419BB" w:rsidRDefault="00A25E31" w:rsidP="0064058F">
      <w:pPr>
        <w:pStyle w:val="ListParagraph"/>
        <w:numPr>
          <w:ilvl w:val="6"/>
          <w:numId w:val="4"/>
        </w:numPr>
      </w:pPr>
      <w:r w:rsidRPr="00A25E31">
        <w:t>British Standards Institution (BSI) (2015b) BS 8004: Code of Practice for Foundations. London: BSI.</w:t>
      </w:r>
    </w:p>
    <w:sectPr w:rsidR="00A25E31" w:rsidRPr="00A419BB" w:rsidSect="005C5FD3">
      <w:footerReference w:type="default" r:id="rId26"/>
      <w:pgSz w:w="11906" w:h="16838"/>
      <w:pgMar w:top="1440" w:right="1440" w:bottom="1440" w:left="1440"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3A08D" w14:textId="77777777" w:rsidR="004746B0" w:rsidRDefault="004746B0" w:rsidP="005C5FD3">
      <w:pPr>
        <w:spacing w:after="0" w:line="240" w:lineRule="auto"/>
      </w:pPr>
      <w:r>
        <w:separator/>
      </w:r>
    </w:p>
  </w:endnote>
  <w:endnote w:type="continuationSeparator" w:id="0">
    <w:p w14:paraId="2F52AE60" w14:textId="77777777" w:rsidR="004746B0" w:rsidRDefault="004746B0" w:rsidP="005C5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436109"/>
      <w:docPartObj>
        <w:docPartGallery w:val="Page Numbers (Bottom of Page)"/>
        <w:docPartUnique/>
      </w:docPartObj>
    </w:sdtPr>
    <w:sdtContent>
      <w:p w14:paraId="5DE001E6" w14:textId="58C1A9E7" w:rsidR="005C5FD3" w:rsidRDefault="005C5FD3">
        <w:pPr>
          <w:pStyle w:val="Footer"/>
          <w:jc w:val="center"/>
        </w:pPr>
        <w:r>
          <w:fldChar w:fldCharType="begin"/>
        </w:r>
        <w:r>
          <w:instrText>PAGE   \* MERGEFORMAT</w:instrText>
        </w:r>
        <w:r>
          <w:fldChar w:fldCharType="separate"/>
        </w:r>
        <w:r>
          <w:t>2</w:t>
        </w:r>
        <w:r>
          <w:fldChar w:fldCharType="end"/>
        </w:r>
      </w:p>
    </w:sdtContent>
  </w:sdt>
  <w:p w14:paraId="3A49675D" w14:textId="77777777" w:rsidR="005C5FD3" w:rsidRDefault="005C5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17265" w14:textId="77777777" w:rsidR="004746B0" w:rsidRDefault="004746B0" w:rsidP="005C5FD3">
      <w:pPr>
        <w:spacing w:after="0" w:line="240" w:lineRule="auto"/>
      </w:pPr>
      <w:r>
        <w:separator/>
      </w:r>
    </w:p>
  </w:footnote>
  <w:footnote w:type="continuationSeparator" w:id="0">
    <w:p w14:paraId="75E3BA2E" w14:textId="77777777" w:rsidR="004746B0" w:rsidRDefault="004746B0" w:rsidP="005C5F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634"/>
    <w:multiLevelType w:val="hybridMultilevel"/>
    <w:tmpl w:val="186414FC"/>
    <w:lvl w:ilvl="0" w:tplc="36466D5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959BF"/>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0119F"/>
    <w:multiLevelType w:val="multilevel"/>
    <w:tmpl w:val="2EF85A40"/>
    <w:lvl w:ilvl="0">
      <w:start w:val="1"/>
      <w:numFmt w:val="decimal"/>
      <w:pStyle w:val="Heading1"/>
      <w:lvlText w:val="%1."/>
      <w:lvlJc w:val="left"/>
      <w:pPr>
        <w:ind w:left="360" w:hanging="360"/>
      </w:pPr>
      <w:rPr>
        <w:rFonts w:hint="default"/>
      </w:rPr>
    </w:lvl>
    <w:lvl w:ilvl="1">
      <w:start w:val="1"/>
      <w:numFmt w:val="none"/>
      <w:pStyle w:val="Heading2"/>
      <w:lvlText w:val="1.%1"/>
      <w:lvlJc w:val="left"/>
      <w:pPr>
        <w:ind w:left="567" w:hanging="567"/>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F7E7A37"/>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E3F24"/>
    <w:multiLevelType w:val="multilevel"/>
    <w:tmpl w:val="286282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D7C74"/>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600DC"/>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C0E03"/>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A14D71"/>
    <w:multiLevelType w:val="multilevel"/>
    <w:tmpl w:val="65284226"/>
    <w:lvl w:ilvl="0">
      <w:start w:val="1"/>
      <w:numFmt w:val="bullet"/>
      <w:lvlText w:val="o"/>
      <w:lvlJc w:val="left"/>
      <w:pPr>
        <w:tabs>
          <w:tab w:val="num" w:pos="1800"/>
        </w:tabs>
        <w:ind w:left="1800" w:hanging="360"/>
      </w:pPr>
      <w:rPr>
        <w:rFonts w:ascii="Courier New" w:hAnsi="Courier New" w:cs="Courier New"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22DC0F53"/>
    <w:multiLevelType w:val="multilevel"/>
    <w:tmpl w:val="D7DA769A"/>
    <w:lvl w:ilvl="0">
      <w:start w:val="1"/>
      <w:numFmt w:val="decimal"/>
      <w:lvlText w:val="%1."/>
      <w:lvlJc w:val="left"/>
      <w:pPr>
        <w:ind w:left="360" w:hanging="360"/>
      </w:pPr>
      <w:rPr>
        <w:rFonts w:hint="default"/>
      </w:rPr>
    </w:lvl>
    <w:lvl w:ilvl="1">
      <w:start w:val="1"/>
      <w:numFmt w:val="none"/>
      <w:lvlText w:val="1.%1"/>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379069C"/>
    <w:multiLevelType w:val="multilevel"/>
    <w:tmpl w:val="62AE3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8F584E"/>
    <w:multiLevelType w:val="multilevel"/>
    <w:tmpl w:val="D35E7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B217AF"/>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803CC4"/>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81EB5"/>
    <w:multiLevelType w:val="multilevel"/>
    <w:tmpl w:val="773A6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221DC"/>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CE06ED"/>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285C07"/>
    <w:multiLevelType w:val="multilevel"/>
    <w:tmpl w:val="84009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7E3754"/>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81FD7"/>
    <w:multiLevelType w:val="multilevel"/>
    <w:tmpl w:val="773A6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4E2288"/>
    <w:multiLevelType w:val="multilevel"/>
    <w:tmpl w:val="773A6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320A18"/>
    <w:multiLevelType w:val="multilevel"/>
    <w:tmpl w:val="D4DA4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524ABD"/>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7A2DBC"/>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D90292"/>
    <w:multiLevelType w:val="multilevel"/>
    <w:tmpl w:val="8A8EE5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1B3ADA"/>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423483"/>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F8520A"/>
    <w:multiLevelType w:val="multilevel"/>
    <w:tmpl w:val="053AFCF0"/>
    <w:lvl w:ilvl="0">
      <w:start w:val="1"/>
      <w:numFmt w:val="decimal"/>
      <w:lvlText w:val="%1."/>
      <w:lvlJc w:val="left"/>
      <w:pPr>
        <w:ind w:left="360" w:hanging="360"/>
      </w:pPr>
      <w:rPr>
        <w:rFonts w:hint="default"/>
      </w:rPr>
    </w:lvl>
    <w:lvl w:ilvl="1">
      <w:start w:val="1"/>
      <w:numFmt w:val="none"/>
      <w:lvlText w:val="1.%1"/>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98E32F0"/>
    <w:multiLevelType w:val="multilevel"/>
    <w:tmpl w:val="773A6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D3565B"/>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00744A"/>
    <w:multiLevelType w:val="multilevel"/>
    <w:tmpl w:val="06D8C6B4"/>
    <w:lvl w:ilvl="0">
      <w:start w:val="1"/>
      <w:numFmt w:val="bullet"/>
      <w:lvlText w:val="o"/>
      <w:lvlJc w:val="left"/>
      <w:pPr>
        <w:tabs>
          <w:tab w:val="num" w:pos="1440"/>
        </w:tabs>
        <w:ind w:left="1440" w:hanging="360"/>
      </w:pPr>
      <w:rPr>
        <w:rFonts w:ascii="Courier New" w:hAnsi="Courier New" w:cs="Courier New"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1" w15:restartNumberingAfterBreak="0">
    <w:nsid w:val="6EF86C80"/>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2C1147"/>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8167FC"/>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B60590"/>
    <w:multiLevelType w:val="hybridMultilevel"/>
    <w:tmpl w:val="A3545154"/>
    <w:lvl w:ilvl="0" w:tplc="6A2484D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EB0997"/>
    <w:multiLevelType w:val="multilevel"/>
    <w:tmpl w:val="3862940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A155B40"/>
    <w:multiLevelType w:val="multilevel"/>
    <w:tmpl w:val="3862940C"/>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C7F61A5"/>
    <w:multiLevelType w:val="multilevel"/>
    <w:tmpl w:val="9EA25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0A2ACA"/>
    <w:multiLevelType w:val="multilevel"/>
    <w:tmpl w:val="616A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4270952">
    <w:abstractNumId w:val="0"/>
  </w:num>
  <w:num w:numId="2" w16cid:durableId="696858079">
    <w:abstractNumId w:val="34"/>
  </w:num>
  <w:num w:numId="3" w16cid:durableId="975841985">
    <w:abstractNumId w:val="27"/>
  </w:num>
  <w:num w:numId="4" w16cid:durableId="1032339403">
    <w:abstractNumId w:val="2"/>
  </w:num>
  <w:num w:numId="5" w16cid:durableId="93982388">
    <w:abstractNumId w:val="9"/>
  </w:num>
  <w:num w:numId="6" w16cid:durableId="220865817">
    <w:abstractNumId w:val="35"/>
  </w:num>
  <w:num w:numId="7" w16cid:durableId="2021930370">
    <w:abstractNumId w:val="36"/>
  </w:num>
  <w:num w:numId="8" w16cid:durableId="1589584229">
    <w:abstractNumId w:val="21"/>
  </w:num>
  <w:num w:numId="9" w16cid:durableId="1450012331">
    <w:abstractNumId w:val="17"/>
  </w:num>
  <w:num w:numId="10" w16cid:durableId="851604291">
    <w:abstractNumId w:val="10"/>
  </w:num>
  <w:num w:numId="11" w16cid:durableId="1133712109">
    <w:abstractNumId w:val="11"/>
  </w:num>
  <w:num w:numId="12" w16cid:durableId="1739553906">
    <w:abstractNumId w:val="38"/>
  </w:num>
  <w:num w:numId="13" w16cid:durableId="850223287">
    <w:abstractNumId w:val="14"/>
  </w:num>
  <w:num w:numId="14" w16cid:durableId="1784567015">
    <w:abstractNumId w:val="12"/>
  </w:num>
  <w:num w:numId="15" w16cid:durableId="918516195">
    <w:abstractNumId w:val="4"/>
  </w:num>
  <w:num w:numId="16" w16cid:durableId="1274091801">
    <w:abstractNumId w:val="28"/>
  </w:num>
  <w:num w:numId="17" w16cid:durableId="1712261434">
    <w:abstractNumId w:val="20"/>
  </w:num>
  <w:num w:numId="18" w16cid:durableId="1006175135">
    <w:abstractNumId w:val="19"/>
  </w:num>
  <w:num w:numId="19" w16cid:durableId="1453281312">
    <w:abstractNumId w:val="26"/>
  </w:num>
  <w:num w:numId="20" w16cid:durableId="1735735707">
    <w:abstractNumId w:val="16"/>
  </w:num>
  <w:num w:numId="21" w16cid:durableId="1500733362">
    <w:abstractNumId w:val="13"/>
  </w:num>
  <w:num w:numId="22" w16cid:durableId="692615195">
    <w:abstractNumId w:val="29"/>
  </w:num>
  <w:num w:numId="23" w16cid:durableId="2005620710">
    <w:abstractNumId w:val="33"/>
  </w:num>
  <w:num w:numId="24" w16cid:durableId="820736866">
    <w:abstractNumId w:val="7"/>
  </w:num>
  <w:num w:numId="25" w16cid:durableId="1329596585">
    <w:abstractNumId w:val="23"/>
  </w:num>
  <w:num w:numId="26" w16cid:durableId="1574312525">
    <w:abstractNumId w:val="15"/>
  </w:num>
  <w:num w:numId="27" w16cid:durableId="2110005192">
    <w:abstractNumId w:val="30"/>
  </w:num>
  <w:num w:numId="28" w16cid:durableId="537163041">
    <w:abstractNumId w:val="8"/>
  </w:num>
  <w:num w:numId="29" w16cid:durableId="1749765500">
    <w:abstractNumId w:val="22"/>
  </w:num>
  <w:num w:numId="30" w16cid:durableId="510681860">
    <w:abstractNumId w:val="31"/>
  </w:num>
  <w:num w:numId="31" w16cid:durableId="1059086414">
    <w:abstractNumId w:val="1"/>
  </w:num>
  <w:num w:numId="32" w16cid:durableId="844393884">
    <w:abstractNumId w:val="5"/>
  </w:num>
  <w:num w:numId="33" w16cid:durableId="2128891614">
    <w:abstractNumId w:val="25"/>
  </w:num>
  <w:num w:numId="34" w16cid:durableId="1828011512">
    <w:abstractNumId w:val="3"/>
  </w:num>
  <w:num w:numId="35" w16cid:durableId="447042246">
    <w:abstractNumId w:val="6"/>
  </w:num>
  <w:num w:numId="36" w16cid:durableId="1655063559">
    <w:abstractNumId w:val="18"/>
  </w:num>
  <w:num w:numId="37" w16cid:durableId="806508692">
    <w:abstractNumId w:val="37"/>
  </w:num>
  <w:num w:numId="38" w16cid:durableId="331838790">
    <w:abstractNumId w:val="32"/>
  </w:num>
  <w:num w:numId="39" w16cid:durableId="42214441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9E0"/>
    <w:rsid w:val="00032E2B"/>
    <w:rsid w:val="0004227E"/>
    <w:rsid w:val="00055F12"/>
    <w:rsid w:val="00066CEC"/>
    <w:rsid w:val="00092323"/>
    <w:rsid w:val="0014789A"/>
    <w:rsid w:val="001A39E6"/>
    <w:rsid w:val="001F7C53"/>
    <w:rsid w:val="002468A2"/>
    <w:rsid w:val="00265D9F"/>
    <w:rsid w:val="00285B0A"/>
    <w:rsid w:val="00294969"/>
    <w:rsid w:val="0033550C"/>
    <w:rsid w:val="00345626"/>
    <w:rsid w:val="003D68B4"/>
    <w:rsid w:val="004746B0"/>
    <w:rsid w:val="0047602F"/>
    <w:rsid w:val="004817A2"/>
    <w:rsid w:val="00495130"/>
    <w:rsid w:val="004B32CA"/>
    <w:rsid w:val="0053071E"/>
    <w:rsid w:val="005534AF"/>
    <w:rsid w:val="005A6D40"/>
    <w:rsid w:val="005C201B"/>
    <w:rsid w:val="005C5FD3"/>
    <w:rsid w:val="005C620C"/>
    <w:rsid w:val="005D7A07"/>
    <w:rsid w:val="005F07CA"/>
    <w:rsid w:val="00600453"/>
    <w:rsid w:val="0061502F"/>
    <w:rsid w:val="006B1618"/>
    <w:rsid w:val="006D5A6C"/>
    <w:rsid w:val="006F17F0"/>
    <w:rsid w:val="00743B58"/>
    <w:rsid w:val="00786986"/>
    <w:rsid w:val="007F36DF"/>
    <w:rsid w:val="008152C3"/>
    <w:rsid w:val="00844DAC"/>
    <w:rsid w:val="00850BCB"/>
    <w:rsid w:val="008842F3"/>
    <w:rsid w:val="008A010A"/>
    <w:rsid w:val="008B74AD"/>
    <w:rsid w:val="0092508B"/>
    <w:rsid w:val="009B1463"/>
    <w:rsid w:val="009B7F63"/>
    <w:rsid w:val="009E2307"/>
    <w:rsid w:val="00A25E31"/>
    <w:rsid w:val="00A419BB"/>
    <w:rsid w:val="00A65AD2"/>
    <w:rsid w:val="00A81F16"/>
    <w:rsid w:val="00AC033D"/>
    <w:rsid w:val="00BA132F"/>
    <w:rsid w:val="00BA2BF6"/>
    <w:rsid w:val="00C039C7"/>
    <w:rsid w:val="00C20D41"/>
    <w:rsid w:val="00C32CA3"/>
    <w:rsid w:val="00C52452"/>
    <w:rsid w:val="00C572EB"/>
    <w:rsid w:val="00C629E0"/>
    <w:rsid w:val="00C75F75"/>
    <w:rsid w:val="00CA74FC"/>
    <w:rsid w:val="00D42BD8"/>
    <w:rsid w:val="00D84393"/>
    <w:rsid w:val="00DE20D0"/>
    <w:rsid w:val="00E405D9"/>
    <w:rsid w:val="00E43F4F"/>
    <w:rsid w:val="00E55806"/>
    <w:rsid w:val="00E837A7"/>
    <w:rsid w:val="00E83C7C"/>
    <w:rsid w:val="00F060AF"/>
    <w:rsid w:val="00F15111"/>
    <w:rsid w:val="00F77D67"/>
    <w:rsid w:val="00FA6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152FC3"/>
  <w15:chartTrackingRefBased/>
  <w15:docId w15:val="{2A632B9D-A7D4-45A6-9BB9-A6CAD700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20C"/>
    <w:pPr>
      <w:keepNext/>
      <w:keepLines/>
      <w:numPr>
        <w:numId w:val="4"/>
      </w:numPr>
      <w:spacing w:before="360" w:after="80"/>
      <w:outlineLvl w:val="0"/>
    </w:pPr>
    <w:rPr>
      <w:rFonts w:ascii="Arial" w:eastAsiaTheme="majorEastAsia" w:hAnsi="Arial" w:cstheme="majorBidi"/>
      <w:sz w:val="32"/>
      <w:szCs w:val="40"/>
    </w:rPr>
  </w:style>
  <w:style w:type="paragraph" w:styleId="Heading2">
    <w:name w:val="heading 2"/>
    <w:basedOn w:val="Normal"/>
    <w:next w:val="Normal"/>
    <w:link w:val="Heading2Char"/>
    <w:uiPriority w:val="9"/>
    <w:unhideWhenUsed/>
    <w:qFormat/>
    <w:rsid w:val="005C620C"/>
    <w:pPr>
      <w:keepNext/>
      <w:keepLines/>
      <w:numPr>
        <w:ilvl w:val="1"/>
        <w:numId w:val="4"/>
      </w:numPr>
      <w:spacing w:before="160" w:after="80"/>
      <w:outlineLvl w:val="1"/>
    </w:pPr>
    <w:rPr>
      <w:rFonts w:ascii="Arial" w:eastAsiaTheme="majorEastAsia" w:hAnsi="Arial" w:cstheme="majorBidi"/>
      <w:sz w:val="28"/>
      <w:szCs w:val="32"/>
    </w:rPr>
  </w:style>
  <w:style w:type="paragraph" w:styleId="Heading3">
    <w:name w:val="heading 3"/>
    <w:basedOn w:val="Normal"/>
    <w:next w:val="Normal"/>
    <w:link w:val="Heading3Char"/>
    <w:uiPriority w:val="9"/>
    <w:unhideWhenUsed/>
    <w:qFormat/>
    <w:rsid w:val="00C629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629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9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9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9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9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9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20C"/>
    <w:rPr>
      <w:rFonts w:ascii="Arial" w:eastAsiaTheme="majorEastAsia" w:hAnsi="Arial" w:cstheme="majorBidi"/>
      <w:sz w:val="32"/>
      <w:szCs w:val="40"/>
    </w:rPr>
  </w:style>
  <w:style w:type="character" w:customStyle="1" w:styleId="Heading2Char">
    <w:name w:val="Heading 2 Char"/>
    <w:basedOn w:val="DefaultParagraphFont"/>
    <w:link w:val="Heading2"/>
    <w:uiPriority w:val="9"/>
    <w:rsid w:val="00A419BB"/>
    <w:rPr>
      <w:rFonts w:ascii="Arial" w:eastAsiaTheme="majorEastAsia" w:hAnsi="Arial" w:cstheme="majorBidi"/>
      <w:sz w:val="28"/>
      <w:szCs w:val="32"/>
    </w:rPr>
  </w:style>
  <w:style w:type="character" w:customStyle="1" w:styleId="Heading3Char">
    <w:name w:val="Heading 3 Char"/>
    <w:basedOn w:val="DefaultParagraphFont"/>
    <w:link w:val="Heading3"/>
    <w:uiPriority w:val="9"/>
    <w:rsid w:val="00C629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629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9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9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9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9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9E0"/>
    <w:rPr>
      <w:rFonts w:eastAsiaTheme="majorEastAsia" w:cstheme="majorBidi"/>
      <w:color w:val="272727" w:themeColor="text1" w:themeTint="D8"/>
    </w:rPr>
  </w:style>
  <w:style w:type="paragraph" w:styleId="Title">
    <w:name w:val="Title"/>
    <w:basedOn w:val="Normal"/>
    <w:next w:val="Normal"/>
    <w:link w:val="TitleChar"/>
    <w:uiPriority w:val="10"/>
    <w:qFormat/>
    <w:rsid w:val="00C62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9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9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9E0"/>
    <w:pPr>
      <w:spacing w:before="160"/>
      <w:jc w:val="center"/>
    </w:pPr>
    <w:rPr>
      <w:i/>
      <w:iCs/>
      <w:color w:val="404040" w:themeColor="text1" w:themeTint="BF"/>
    </w:rPr>
  </w:style>
  <w:style w:type="character" w:customStyle="1" w:styleId="QuoteChar">
    <w:name w:val="Quote Char"/>
    <w:basedOn w:val="DefaultParagraphFont"/>
    <w:link w:val="Quote"/>
    <w:uiPriority w:val="29"/>
    <w:rsid w:val="00C629E0"/>
    <w:rPr>
      <w:i/>
      <w:iCs/>
      <w:color w:val="404040" w:themeColor="text1" w:themeTint="BF"/>
    </w:rPr>
  </w:style>
  <w:style w:type="paragraph" w:styleId="ListParagraph">
    <w:name w:val="List Paragraph"/>
    <w:basedOn w:val="Normal"/>
    <w:uiPriority w:val="34"/>
    <w:qFormat/>
    <w:rsid w:val="00C629E0"/>
    <w:pPr>
      <w:ind w:left="720"/>
      <w:contextualSpacing/>
    </w:pPr>
  </w:style>
  <w:style w:type="character" w:styleId="IntenseEmphasis">
    <w:name w:val="Intense Emphasis"/>
    <w:basedOn w:val="DefaultParagraphFont"/>
    <w:uiPriority w:val="21"/>
    <w:qFormat/>
    <w:rsid w:val="00C629E0"/>
    <w:rPr>
      <w:i/>
      <w:iCs/>
      <w:color w:val="0F4761" w:themeColor="accent1" w:themeShade="BF"/>
    </w:rPr>
  </w:style>
  <w:style w:type="paragraph" w:styleId="IntenseQuote">
    <w:name w:val="Intense Quote"/>
    <w:basedOn w:val="Normal"/>
    <w:next w:val="Normal"/>
    <w:link w:val="IntenseQuoteChar"/>
    <w:uiPriority w:val="30"/>
    <w:qFormat/>
    <w:rsid w:val="00C62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9E0"/>
    <w:rPr>
      <w:i/>
      <w:iCs/>
      <w:color w:val="0F4761" w:themeColor="accent1" w:themeShade="BF"/>
    </w:rPr>
  </w:style>
  <w:style w:type="character" w:styleId="IntenseReference">
    <w:name w:val="Intense Reference"/>
    <w:basedOn w:val="DefaultParagraphFont"/>
    <w:uiPriority w:val="32"/>
    <w:qFormat/>
    <w:rsid w:val="00C629E0"/>
    <w:rPr>
      <w:b/>
      <w:bCs/>
      <w:smallCaps/>
      <w:color w:val="0F4761" w:themeColor="accent1" w:themeShade="BF"/>
      <w:spacing w:val="5"/>
    </w:rPr>
  </w:style>
  <w:style w:type="paragraph" w:styleId="Header">
    <w:name w:val="header"/>
    <w:basedOn w:val="Normal"/>
    <w:link w:val="HeaderChar"/>
    <w:uiPriority w:val="99"/>
    <w:unhideWhenUsed/>
    <w:rsid w:val="005C5F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FD3"/>
  </w:style>
  <w:style w:type="paragraph" w:styleId="Footer">
    <w:name w:val="footer"/>
    <w:basedOn w:val="Normal"/>
    <w:link w:val="FooterChar"/>
    <w:uiPriority w:val="99"/>
    <w:unhideWhenUsed/>
    <w:rsid w:val="005C5F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FD3"/>
  </w:style>
  <w:style w:type="paragraph" w:styleId="TOCHeading">
    <w:name w:val="TOC Heading"/>
    <w:basedOn w:val="Heading1"/>
    <w:next w:val="Normal"/>
    <w:uiPriority w:val="39"/>
    <w:unhideWhenUsed/>
    <w:qFormat/>
    <w:rsid w:val="005C5FD3"/>
    <w:pPr>
      <w:spacing w:before="240" w:after="0"/>
      <w:outlineLvl w:val="9"/>
    </w:pPr>
    <w:rPr>
      <w:szCs w:val="32"/>
      <w:lang w:eastAsia="en-GB"/>
    </w:rPr>
  </w:style>
  <w:style w:type="paragraph" w:styleId="TOC1">
    <w:name w:val="toc 1"/>
    <w:basedOn w:val="Normal"/>
    <w:next w:val="Normal"/>
    <w:autoRedefine/>
    <w:uiPriority w:val="39"/>
    <w:unhideWhenUsed/>
    <w:rsid w:val="00A419BB"/>
    <w:pPr>
      <w:spacing w:after="100"/>
    </w:pPr>
  </w:style>
  <w:style w:type="paragraph" w:styleId="TOC2">
    <w:name w:val="toc 2"/>
    <w:basedOn w:val="Normal"/>
    <w:next w:val="Normal"/>
    <w:autoRedefine/>
    <w:uiPriority w:val="39"/>
    <w:unhideWhenUsed/>
    <w:rsid w:val="00A419BB"/>
    <w:pPr>
      <w:spacing w:after="100"/>
      <w:ind w:left="220"/>
    </w:pPr>
  </w:style>
  <w:style w:type="character" w:styleId="Hyperlink">
    <w:name w:val="Hyperlink"/>
    <w:basedOn w:val="DefaultParagraphFont"/>
    <w:uiPriority w:val="99"/>
    <w:unhideWhenUsed/>
    <w:rsid w:val="00A419BB"/>
    <w:rPr>
      <w:color w:val="467886" w:themeColor="hyperlink"/>
      <w:u w:val="single"/>
    </w:rPr>
  </w:style>
  <w:style w:type="character" w:styleId="UnresolvedMention">
    <w:name w:val="Unresolved Mention"/>
    <w:basedOn w:val="DefaultParagraphFont"/>
    <w:uiPriority w:val="99"/>
    <w:semiHidden/>
    <w:unhideWhenUsed/>
    <w:rsid w:val="00E43F4F"/>
    <w:rPr>
      <w:color w:val="605E5C"/>
      <w:shd w:val="clear" w:color="auto" w:fill="E1DFDD"/>
    </w:rPr>
  </w:style>
  <w:style w:type="character" w:styleId="FollowedHyperlink">
    <w:name w:val="FollowedHyperlink"/>
    <w:basedOn w:val="DefaultParagraphFont"/>
    <w:uiPriority w:val="99"/>
    <w:semiHidden/>
    <w:unhideWhenUsed/>
    <w:rsid w:val="00E43F4F"/>
    <w:rPr>
      <w:color w:val="96607D" w:themeColor="followedHyperlink"/>
      <w:u w:val="single"/>
    </w:rPr>
  </w:style>
  <w:style w:type="paragraph" w:styleId="NormalWeb">
    <w:name w:val="Normal (Web)"/>
    <w:basedOn w:val="Normal"/>
    <w:uiPriority w:val="99"/>
    <w:semiHidden/>
    <w:unhideWhenUsed/>
    <w:rsid w:val="00E55806"/>
    <w:rPr>
      <w:rFonts w:ascii="Times New Roman" w:hAnsi="Times New Roman" w:cs="Times New Roman"/>
      <w:sz w:val="24"/>
      <w:szCs w:val="24"/>
    </w:rPr>
  </w:style>
  <w:style w:type="table" w:styleId="TableGrid">
    <w:name w:val="Table Grid"/>
    <w:basedOn w:val="TableNormal"/>
    <w:uiPriority w:val="39"/>
    <w:rsid w:val="005C2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C201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1A39E6"/>
    <w:rPr>
      <w:b/>
      <w:bCs/>
    </w:rPr>
  </w:style>
  <w:style w:type="character" w:styleId="Emphasis">
    <w:name w:val="Emphasis"/>
    <w:basedOn w:val="DefaultParagraphFont"/>
    <w:uiPriority w:val="20"/>
    <w:qFormat/>
    <w:rsid w:val="00E405D9"/>
    <w:rPr>
      <w:i/>
      <w:iCs/>
    </w:rPr>
  </w:style>
  <w:style w:type="paragraph" w:styleId="TOC3">
    <w:name w:val="toc 3"/>
    <w:basedOn w:val="Normal"/>
    <w:next w:val="Normal"/>
    <w:autoRedefine/>
    <w:uiPriority w:val="39"/>
    <w:unhideWhenUsed/>
    <w:rsid w:val="004817A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98968">
      <w:bodyDiv w:val="1"/>
      <w:marLeft w:val="0"/>
      <w:marRight w:val="0"/>
      <w:marTop w:val="0"/>
      <w:marBottom w:val="0"/>
      <w:divBdr>
        <w:top w:val="none" w:sz="0" w:space="0" w:color="auto"/>
        <w:left w:val="none" w:sz="0" w:space="0" w:color="auto"/>
        <w:bottom w:val="none" w:sz="0" w:space="0" w:color="auto"/>
        <w:right w:val="none" w:sz="0" w:space="0" w:color="auto"/>
      </w:divBdr>
    </w:div>
    <w:div w:id="109671394">
      <w:bodyDiv w:val="1"/>
      <w:marLeft w:val="0"/>
      <w:marRight w:val="0"/>
      <w:marTop w:val="0"/>
      <w:marBottom w:val="0"/>
      <w:divBdr>
        <w:top w:val="none" w:sz="0" w:space="0" w:color="auto"/>
        <w:left w:val="none" w:sz="0" w:space="0" w:color="auto"/>
        <w:bottom w:val="none" w:sz="0" w:space="0" w:color="auto"/>
        <w:right w:val="none" w:sz="0" w:space="0" w:color="auto"/>
      </w:divBdr>
    </w:div>
    <w:div w:id="109932701">
      <w:bodyDiv w:val="1"/>
      <w:marLeft w:val="0"/>
      <w:marRight w:val="0"/>
      <w:marTop w:val="0"/>
      <w:marBottom w:val="0"/>
      <w:divBdr>
        <w:top w:val="none" w:sz="0" w:space="0" w:color="auto"/>
        <w:left w:val="none" w:sz="0" w:space="0" w:color="auto"/>
        <w:bottom w:val="none" w:sz="0" w:space="0" w:color="auto"/>
        <w:right w:val="none" w:sz="0" w:space="0" w:color="auto"/>
      </w:divBdr>
    </w:div>
    <w:div w:id="142280904">
      <w:bodyDiv w:val="1"/>
      <w:marLeft w:val="0"/>
      <w:marRight w:val="0"/>
      <w:marTop w:val="0"/>
      <w:marBottom w:val="0"/>
      <w:divBdr>
        <w:top w:val="none" w:sz="0" w:space="0" w:color="auto"/>
        <w:left w:val="none" w:sz="0" w:space="0" w:color="auto"/>
        <w:bottom w:val="none" w:sz="0" w:space="0" w:color="auto"/>
        <w:right w:val="none" w:sz="0" w:space="0" w:color="auto"/>
      </w:divBdr>
    </w:div>
    <w:div w:id="162815178">
      <w:bodyDiv w:val="1"/>
      <w:marLeft w:val="0"/>
      <w:marRight w:val="0"/>
      <w:marTop w:val="0"/>
      <w:marBottom w:val="0"/>
      <w:divBdr>
        <w:top w:val="none" w:sz="0" w:space="0" w:color="auto"/>
        <w:left w:val="none" w:sz="0" w:space="0" w:color="auto"/>
        <w:bottom w:val="none" w:sz="0" w:space="0" w:color="auto"/>
        <w:right w:val="none" w:sz="0" w:space="0" w:color="auto"/>
      </w:divBdr>
    </w:div>
    <w:div w:id="164904599">
      <w:bodyDiv w:val="1"/>
      <w:marLeft w:val="0"/>
      <w:marRight w:val="0"/>
      <w:marTop w:val="0"/>
      <w:marBottom w:val="0"/>
      <w:divBdr>
        <w:top w:val="none" w:sz="0" w:space="0" w:color="auto"/>
        <w:left w:val="none" w:sz="0" w:space="0" w:color="auto"/>
        <w:bottom w:val="none" w:sz="0" w:space="0" w:color="auto"/>
        <w:right w:val="none" w:sz="0" w:space="0" w:color="auto"/>
      </w:divBdr>
    </w:div>
    <w:div w:id="177934597">
      <w:bodyDiv w:val="1"/>
      <w:marLeft w:val="0"/>
      <w:marRight w:val="0"/>
      <w:marTop w:val="0"/>
      <w:marBottom w:val="0"/>
      <w:divBdr>
        <w:top w:val="none" w:sz="0" w:space="0" w:color="auto"/>
        <w:left w:val="none" w:sz="0" w:space="0" w:color="auto"/>
        <w:bottom w:val="none" w:sz="0" w:space="0" w:color="auto"/>
        <w:right w:val="none" w:sz="0" w:space="0" w:color="auto"/>
      </w:divBdr>
    </w:div>
    <w:div w:id="281227722">
      <w:bodyDiv w:val="1"/>
      <w:marLeft w:val="0"/>
      <w:marRight w:val="0"/>
      <w:marTop w:val="0"/>
      <w:marBottom w:val="0"/>
      <w:divBdr>
        <w:top w:val="none" w:sz="0" w:space="0" w:color="auto"/>
        <w:left w:val="none" w:sz="0" w:space="0" w:color="auto"/>
        <w:bottom w:val="none" w:sz="0" w:space="0" w:color="auto"/>
        <w:right w:val="none" w:sz="0" w:space="0" w:color="auto"/>
      </w:divBdr>
    </w:div>
    <w:div w:id="283925168">
      <w:bodyDiv w:val="1"/>
      <w:marLeft w:val="0"/>
      <w:marRight w:val="0"/>
      <w:marTop w:val="0"/>
      <w:marBottom w:val="0"/>
      <w:divBdr>
        <w:top w:val="none" w:sz="0" w:space="0" w:color="auto"/>
        <w:left w:val="none" w:sz="0" w:space="0" w:color="auto"/>
        <w:bottom w:val="none" w:sz="0" w:space="0" w:color="auto"/>
        <w:right w:val="none" w:sz="0" w:space="0" w:color="auto"/>
      </w:divBdr>
    </w:div>
    <w:div w:id="290983585">
      <w:bodyDiv w:val="1"/>
      <w:marLeft w:val="0"/>
      <w:marRight w:val="0"/>
      <w:marTop w:val="0"/>
      <w:marBottom w:val="0"/>
      <w:divBdr>
        <w:top w:val="none" w:sz="0" w:space="0" w:color="auto"/>
        <w:left w:val="none" w:sz="0" w:space="0" w:color="auto"/>
        <w:bottom w:val="none" w:sz="0" w:space="0" w:color="auto"/>
        <w:right w:val="none" w:sz="0" w:space="0" w:color="auto"/>
      </w:divBdr>
    </w:div>
    <w:div w:id="294725896">
      <w:bodyDiv w:val="1"/>
      <w:marLeft w:val="0"/>
      <w:marRight w:val="0"/>
      <w:marTop w:val="0"/>
      <w:marBottom w:val="0"/>
      <w:divBdr>
        <w:top w:val="none" w:sz="0" w:space="0" w:color="auto"/>
        <w:left w:val="none" w:sz="0" w:space="0" w:color="auto"/>
        <w:bottom w:val="none" w:sz="0" w:space="0" w:color="auto"/>
        <w:right w:val="none" w:sz="0" w:space="0" w:color="auto"/>
      </w:divBdr>
    </w:div>
    <w:div w:id="297345090">
      <w:bodyDiv w:val="1"/>
      <w:marLeft w:val="0"/>
      <w:marRight w:val="0"/>
      <w:marTop w:val="0"/>
      <w:marBottom w:val="0"/>
      <w:divBdr>
        <w:top w:val="none" w:sz="0" w:space="0" w:color="auto"/>
        <w:left w:val="none" w:sz="0" w:space="0" w:color="auto"/>
        <w:bottom w:val="none" w:sz="0" w:space="0" w:color="auto"/>
        <w:right w:val="none" w:sz="0" w:space="0" w:color="auto"/>
      </w:divBdr>
    </w:div>
    <w:div w:id="399717685">
      <w:bodyDiv w:val="1"/>
      <w:marLeft w:val="0"/>
      <w:marRight w:val="0"/>
      <w:marTop w:val="0"/>
      <w:marBottom w:val="0"/>
      <w:divBdr>
        <w:top w:val="none" w:sz="0" w:space="0" w:color="auto"/>
        <w:left w:val="none" w:sz="0" w:space="0" w:color="auto"/>
        <w:bottom w:val="none" w:sz="0" w:space="0" w:color="auto"/>
        <w:right w:val="none" w:sz="0" w:space="0" w:color="auto"/>
      </w:divBdr>
    </w:div>
    <w:div w:id="436949946">
      <w:bodyDiv w:val="1"/>
      <w:marLeft w:val="0"/>
      <w:marRight w:val="0"/>
      <w:marTop w:val="0"/>
      <w:marBottom w:val="0"/>
      <w:divBdr>
        <w:top w:val="none" w:sz="0" w:space="0" w:color="auto"/>
        <w:left w:val="none" w:sz="0" w:space="0" w:color="auto"/>
        <w:bottom w:val="none" w:sz="0" w:space="0" w:color="auto"/>
        <w:right w:val="none" w:sz="0" w:space="0" w:color="auto"/>
      </w:divBdr>
    </w:div>
    <w:div w:id="445661388">
      <w:bodyDiv w:val="1"/>
      <w:marLeft w:val="0"/>
      <w:marRight w:val="0"/>
      <w:marTop w:val="0"/>
      <w:marBottom w:val="0"/>
      <w:divBdr>
        <w:top w:val="none" w:sz="0" w:space="0" w:color="auto"/>
        <w:left w:val="none" w:sz="0" w:space="0" w:color="auto"/>
        <w:bottom w:val="none" w:sz="0" w:space="0" w:color="auto"/>
        <w:right w:val="none" w:sz="0" w:space="0" w:color="auto"/>
      </w:divBdr>
    </w:div>
    <w:div w:id="455375087">
      <w:bodyDiv w:val="1"/>
      <w:marLeft w:val="0"/>
      <w:marRight w:val="0"/>
      <w:marTop w:val="0"/>
      <w:marBottom w:val="0"/>
      <w:divBdr>
        <w:top w:val="none" w:sz="0" w:space="0" w:color="auto"/>
        <w:left w:val="none" w:sz="0" w:space="0" w:color="auto"/>
        <w:bottom w:val="none" w:sz="0" w:space="0" w:color="auto"/>
        <w:right w:val="none" w:sz="0" w:space="0" w:color="auto"/>
      </w:divBdr>
    </w:div>
    <w:div w:id="478881836">
      <w:bodyDiv w:val="1"/>
      <w:marLeft w:val="0"/>
      <w:marRight w:val="0"/>
      <w:marTop w:val="0"/>
      <w:marBottom w:val="0"/>
      <w:divBdr>
        <w:top w:val="none" w:sz="0" w:space="0" w:color="auto"/>
        <w:left w:val="none" w:sz="0" w:space="0" w:color="auto"/>
        <w:bottom w:val="none" w:sz="0" w:space="0" w:color="auto"/>
        <w:right w:val="none" w:sz="0" w:space="0" w:color="auto"/>
      </w:divBdr>
    </w:div>
    <w:div w:id="562839499">
      <w:bodyDiv w:val="1"/>
      <w:marLeft w:val="0"/>
      <w:marRight w:val="0"/>
      <w:marTop w:val="0"/>
      <w:marBottom w:val="0"/>
      <w:divBdr>
        <w:top w:val="none" w:sz="0" w:space="0" w:color="auto"/>
        <w:left w:val="none" w:sz="0" w:space="0" w:color="auto"/>
        <w:bottom w:val="none" w:sz="0" w:space="0" w:color="auto"/>
        <w:right w:val="none" w:sz="0" w:space="0" w:color="auto"/>
      </w:divBdr>
    </w:div>
    <w:div w:id="638729970">
      <w:bodyDiv w:val="1"/>
      <w:marLeft w:val="0"/>
      <w:marRight w:val="0"/>
      <w:marTop w:val="0"/>
      <w:marBottom w:val="0"/>
      <w:divBdr>
        <w:top w:val="none" w:sz="0" w:space="0" w:color="auto"/>
        <w:left w:val="none" w:sz="0" w:space="0" w:color="auto"/>
        <w:bottom w:val="none" w:sz="0" w:space="0" w:color="auto"/>
        <w:right w:val="none" w:sz="0" w:space="0" w:color="auto"/>
      </w:divBdr>
    </w:div>
    <w:div w:id="709376969">
      <w:bodyDiv w:val="1"/>
      <w:marLeft w:val="0"/>
      <w:marRight w:val="0"/>
      <w:marTop w:val="0"/>
      <w:marBottom w:val="0"/>
      <w:divBdr>
        <w:top w:val="none" w:sz="0" w:space="0" w:color="auto"/>
        <w:left w:val="none" w:sz="0" w:space="0" w:color="auto"/>
        <w:bottom w:val="none" w:sz="0" w:space="0" w:color="auto"/>
        <w:right w:val="none" w:sz="0" w:space="0" w:color="auto"/>
      </w:divBdr>
    </w:div>
    <w:div w:id="798260845">
      <w:bodyDiv w:val="1"/>
      <w:marLeft w:val="0"/>
      <w:marRight w:val="0"/>
      <w:marTop w:val="0"/>
      <w:marBottom w:val="0"/>
      <w:divBdr>
        <w:top w:val="none" w:sz="0" w:space="0" w:color="auto"/>
        <w:left w:val="none" w:sz="0" w:space="0" w:color="auto"/>
        <w:bottom w:val="none" w:sz="0" w:space="0" w:color="auto"/>
        <w:right w:val="none" w:sz="0" w:space="0" w:color="auto"/>
      </w:divBdr>
    </w:div>
    <w:div w:id="830801449">
      <w:bodyDiv w:val="1"/>
      <w:marLeft w:val="0"/>
      <w:marRight w:val="0"/>
      <w:marTop w:val="0"/>
      <w:marBottom w:val="0"/>
      <w:divBdr>
        <w:top w:val="none" w:sz="0" w:space="0" w:color="auto"/>
        <w:left w:val="none" w:sz="0" w:space="0" w:color="auto"/>
        <w:bottom w:val="none" w:sz="0" w:space="0" w:color="auto"/>
        <w:right w:val="none" w:sz="0" w:space="0" w:color="auto"/>
      </w:divBdr>
    </w:div>
    <w:div w:id="848913526">
      <w:bodyDiv w:val="1"/>
      <w:marLeft w:val="0"/>
      <w:marRight w:val="0"/>
      <w:marTop w:val="0"/>
      <w:marBottom w:val="0"/>
      <w:divBdr>
        <w:top w:val="none" w:sz="0" w:space="0" w:color="auto"/>
        <w:left w:val="none" w:sz="0" w:space="0" w:color="auto"/>
        <w:bottom w:val="none" w:sz="0" w:space="0" w:color="auto"/>
        <w:right w:val="none" w:sz="0" w:space="0" w:color="auto"/>
      </w:divBdr>
    </w:div>
    <w:div w:id="906570014">
      <w:bodyDiv w:val="1"/>
      <w:marLeft w:val="0"/>
      <w:marRight w:val="0"/>
      <w:marTop w:val="0"/>
      <w:marBottom w:val="0"/>
      <w:divBdr>
        <w:top w:val="none" w:sz="0" w:space="0" w:color="auto"/>
        <w:left w:val="none" w:sz="0" w:space="0" w:color="auto"/>
        <w:bottom w:val="none" w:sz="0" w:space="0" w:color="auto"/>
        <w:right w:val="none" w:sz="0" w:space="0" w:color="auto"/>
      </w:divBdr>
    </w:div>
    <w:div w:id="933048995">
      <w:bodyDiv w:val="1"/>
      <w:marLeft w:val="0"/>
      <w:marRight w:val="0"/>
      <w:marTop w:val="0"/>
      <w:marBottom w:val="0"/>
      <w:divBdr>
        <w:top w:val="none" w:sz="0" w:space="0" w:color="auto"/>
        <w:left w:val="none" w:sz="0" w:space="0" w:color="auto"/>
        <w:bottom w:val="none" w:sz="0" w:space="0" w:color="auto"/>
        <w:right w:val="none" w:sz="0" w:space="0" w:color="auto"/>
      </w:divBdr>
    </w:div>
    <w:div w:id="964235759">
      <w:bodyDiv w:val="1"/>
      <w:marLeft w:val="0"/>
      <w:marRight w:val="0"/>
      <w:marTop w:val="0"/>
      <w:marBottom w:val="0"/>
      <w:divBdr>
        <w:top w:val="none" w:sz="0" w:space="0" w:color="auto"/>
        <w:left w:val="none" w:sz="0" w:space="0" w:color="auto"/>
        <w:bottom w:val="none" w:sz="0" w:space="0" w:color="auto"/>
        <w:right w:val="none" w:sz="0" w:space="0" w:color="auto"/>
      </w:divBdr>
    </w:div>
    <w:div w:id="1052659554">
      <w:bodyDiv w:val="1"/>
      <w:marLeft w:val="0"/>
      <w:marRight w:val="0"/>
      <w:marTop w:val="0"/>
      <w:marBottom w:val="0"/>
      <w:divBdr>
        <w:top w:val="none" w:sz="0" w:space="0" w:color="auto"/>
        <w:left w:val="none" w:sz="0" w:space="0" w:color="auto"/>
        <w:bottom w:val="none" w:sz="0" w:space="0" w:color="auto"/>
        <w:right w:val="none" w:sz="0" w:space="0" w:color="auto"/>
      </w:divBdr>
    </w:div>
    <w:div w:id="1146749871">
      <w:bodyDiv w:val="1"/>
      <w:marLeft w:val="0"/>
      <w:marRight w:val="0"/>
      <w:marTop w:val="0"/>
      <w:marBottom w:val="0"/>
      <w:divBdr>
        <w:top w:val="none" w:sz="0" w:space="0" w:color="auto"/>
        <w:left w:val="none" w:sz="0" w:space="0" w:color="auto"/>
        <w:bottom w:val="none" w:sz="0" w:space="0" w:color="auto"/>
        <w:right w:val="none" w:sz="0" w:space="0" w:color="auto"/>
      </w:divBdr>
    </w:div>
    <w:div w:id="1147432714">
      <w:bodyDiv w:val="1"/>
      <w:marLeft w:val="0"/>
      <w:marRight w:val="0"/>
      <w:marTop w:val="0"/>
      <w:marBottom w:val="0"/>
      <w:divBdr>
        <w:top w:val="none" w:sz="0" w:space="0" w:color="auto"/>
        <w:left w:val="none" w:sz="0" w:space="0" w:color="auto"/>
        <w:bottom w:val="none" w:sz="0" w:space="0" w:color="auto"/>
        <w:right w:val="none" w:sz="0" w:space="0" w:color="auto"/>
      </w:divBdr>
    </w:div>
    <w:div w:id="1162696679">
      <w:bodyDiv w:val="1"/>
      <w:marLeft w:val="0"/>
      <w:marRight w:val="0"/>
      <w:marTop w:val="0"/>
      <w:marBottom w:val="0"/>
      <w:divBdr>
        <w:top w:val="none" w:sz="0" w:space="0" w:color="auto"/>
        <w:left w:val="none" w:sz="0" w:space="0" w:color="auto"/>
        <w:bottom w:val="none" w:sz="0" w:space="0" w:color="auto"/>
        <w:right w:val="none" w:sz="0" w:space="0" w:color="auto"/>
      </w:divBdr>
    </w:div>
    <w:div w:id="1172260866">
      <w:bodyDiv w:val="1"/>
      <w:marLeft w:val="0"/>
      <w:marRight w:val="0"/>
      <w:marTop w:val="0"/>
      <w:marBottom w:val="0"/>
      <w:divBdr>
        <w:top w:val="none" w:sz="0" w:space="0" w:color="auto"/>
        <w:left w:val="none" w:sz="0" w:space="0" w:color="auto"/>
        <w:bottom w:val="none" w:sz="0" w:space="0" w:color="auto"/>
        <w:right w:val="none" w:sz="0" w:space="0" w:color="auto"/>
      </w:divBdr>
    </w:div>
    <w:div w:id="1204095261">
      <w:bodyDiv w:val="1"/>
      <w:marLeft w:val="0"/>
      <w:marRight w:val="0"/>
      <w:marTop w:val="0"/>
      <w:marBottom w:val="0"/>
      <w:divBdr>
        <w:top w:val="none" w:sz="0" w:space="0" w:color="auto"/>
        <w:left w:val="none" w:sz="0" w:space="0" w:color="auto"/>
        <w:bottom w:val="none" w:sz="0" w:space="0" w:color="auto"/>
        <w:right w:val="none" w:sz="0" w:space="0" w:color="auto"/>
      </w:divBdr>
    </w:div>
    <w:div w:id="1222713503">
      <w:bodyDiv w:val="1"/>
      <w:marLeft w:val="0"/>
      <w:marRight w:val="0"/>
      <w:marTop w:val="0"/>
      <w:marBottom w:val="0"/>
      <w:divBdr>
        <w:top w:val="none" w:sz="0" w:space="0" w:color="auto"/>
        <w:left w:val="none" w:sz="0" w:space="0" w:color="auto"/>
        <w:bottom w:val="none" w:sz="0" w:space="0" w:color="auto"/>
        <w:right w:val="none" w:sz="0" w:space="0" w:color="auto"/>
      </w:divBdr>
    </w:div>
    <w:div w:id="1252815468">
      <w:bodyDiv w:val="1"/>
      <w:marLeft w:val="0"/>
      <w:marRight w:val="0"/>
      <w:marTop w:val="0"/>
      <w:marBottom w:val="0"/>
      <w:divBdr>
        <w:top w:val="none" w:sz="0" w:space="0" w:color="auto"/>
        <w:left w:val="none" w:sz="0" w:space="0" w:color="auto"/>
        <w:bottom w:val="none" w:sz="0" w:space="0" w:color="auto"/>
        <w:right w:val="none" w:sz="0" w:space="0" w:color="auto"/>
      </w:divBdr>
    </w:div>
    <w:div w:id="1263032672">
      <w:bodyDiv w:val="1"/>
      <w:marLeft w:val="0"/>
      <w:marRight w:val="0"/>
      <w:marTop w:val="0"/>
      <w:marBottom w:val="0"/>
      <w:divBdr>
        <w:top w:val="none" w:sz="0" w:space="0" w:color="auto"/>
        <w:left w:val="none" w:sz="0" w:space="0" w:color="auto"/>
        <w:bottom w:val="none" w:sz="0" w:space="0" w:color="auto"/>
        <w:right w:val="none" w:sz="0" w:space="0" w:color="auto"/>
      </w:divBdr>
    </w:div>
    <w:div w:id="1294629586">
      <w:bodyDiv w:val="1"/>
      <w:marLeft w:val="0"/>
      <w:marRight w:val="0"/>
      <w:marTop w:val="0"/>
      <w:marBottom w:val="0"/>
      <w:divBdr>
        <w:top w:val="none" w:sz="0" w:space="0" w:color="auto"/>
        <w:left w:val="none" w:sz="0" w:space="0" w:color="auto"/>
        <w:bottom w:val="none" w:sz="0" w:space="0" w:color="auto"/>
        <w:right w:val="none" w:sz="0" w:space="0" w:color="auto"/>
      </w:divBdr>
    </w:div>
    <w:div w:id="1303120552">
      <w:bodyDiv w:val="1"/>
      <w:marLeft w:val="0"/>
      <w:marRight w:val="0"/>
      <w:marTop w:val="0"/>
      <w:marBottom w:val="0"/>
      <w:divBdr>
        <w:top w:val="none" w:sz="0" w:space="0" w:color="auto"/>
        <w:left w:val="none" w:sz="0" w:space="0" w:color="auto"/>
        <w:bottom w:val="none" w:sz="0" w:space="0" w:color="auto"/>
        <w:right w:val="none" w:sz="0" w:space="0" w:color="auto"/>
      </w:divBdr>
    </w:div>
    <w:div w:id="1346593031">
      <w:bodyDiv w:val="1"/>
      <w:marLeft w:val="0"/>
      <w:marRight w:val="0"/>
      <w:marTop w:val="0"/>
      <w:marBottom w:val="0"/>
      <w:divBdr>
        <w:top w:val="none" w:sz="0" w:space="0" w:color="auto"/>
        <w:left w:val="none" w:sz="0" w:space="0" w:color="auto"/>
        <w:bottom w:val="none" w:sz="0" w:space="0" w:color="auto"/>
        <w:right w:val="none" w:sz="0" w:space="0" w:color="auto"/>
      </w:divBdr>
    </w:div>
    <w:div w:id="1386832142">
      <w:bodyDiv w:val="1"/>
      <w:marLeft w:val="0"/>
      <w:marRight w:val="0"/>
      <w:marTop w:val="0"/>
      <w:marBottom w:val="0"/>
      <w:divBdr>
        <w:top w:val="none" w:sz="0" w:space="0" w:color="auto"/>
        <w:left w:val="none" w:sz="0" w:space="0" w:color="auto"/>
        <w:bottom w:val="none" w:sz="0" w:space="0" w:color="auto"/>
        <w:right w:val="none" w:sz="0" w:space="0" w:color="auto"/>
      </w:divBdr>
    </w:div>
    <w:div w:id="1407918309">
      <w:bodyDiv w:val="1"/>
      <w:marLeft w:val="0"/>
      <w:marRight w:val="0"/>
      <w:marTop w:val="0"/>
      <w:marBottom w:val="0"/>
      <w:divBdr>
        <w:top w:val="none" w:sz="0" w:space="0" w:color="auto"/>
        <w:left w:val="none" w:sz="0" w:space="0" w:color="auto"/>
        <w:bottom w:val="none" w:sz="0" w:space="0" w:color="auto"/>
        <w:right w:val="none" w:sz="0" w:space="0" w:color="auto"/>
      </w:divBdr>
    </w:div>
    <w:div w:id="1479615785">
      <w:bodyDiv w:val="1"/>
      <w:marLeft w:val="0"/>
      <w:marRight w:val="0"/>
      <w:marTop w:val="0"/>
      <w:marBottom w:val="0"/>
      <w:divBdr>
        <w:top w:val="none" w:sz="0" w:space="0" w:color="auto"/>
        <w:left w:val="none" w:sz="0" w:space="0" w:color="auto"/>
        <w:bottom w:val="none" w:sz="0" w:space="0" w:color="auto"/>
        <w:right w:val="none" w:sz="0" w:space="0" w:color="auto"/>
      </w:divBdr>
    </w:div>
    <w:div w:id="1515147435">
      <w:bodyDiv w:val="1"/>
      <w:marLeft w:val="0"/>
      <w:marRight w:val="0"/>
      <w:marTop w:val="0"/>
      <w:marBottom w:val="0"/>
      <w:divBdr>
        <w:top w:val="none" w:sz="0" w:space="0" w:color="auto"/>
        <w:left w:val="none" w:sz="0" w:space="0" w:color="auto"/>
        <w:bottom w:val="none" w:sz="0" w:space="0" w:color="auto"/>
        <w:right w:val="none" w:sz="0" w:space="0" w:color="auto"/>
      </w:divBdr>
    </w:div>
    <w:div w:id="1522476704">
      <w:bodyDiv w:val="1"/>
      <w:marLeft w:val="0"/>
      <w:marRight w:val="0"/>
      <w:marTop w:val="0"/>
      <w:marBottom w:val="0"/>
      <w:divBdr>
        <w:top w:val="none" w:sz="0" w:space="0" w:color="auto"/>
        <w:left w:val="none" w:sz="0" w:space="0" w:color="auto"/>
        <w:bottom w:val="none" w:sz="0" w:space="0" w:color="auto"/>
        <w:right w:val="none" w:sz="0" w:space="0" w:color="auto"/>
      </w:divBdr>
    </w:div>
    <w:div w:id="1573662875">
      <w:bodyDiv w:val="1"/>
      <w:marLeft w:val="0"/>
      <w:marRight w:val="0"/>
      <w:marTop w:val="0"/>
      <w:marBottom w:val="0"/>
      <w:divBdr>
        <w:top w:val="none" w:sz="0" w:space="0" w:color="auto"/>
        <w:left w:val="none" w:sz="0" w:space="0" w:color="auto"/>
        <w:bottom w:val="none" w:sz="0" w:space="0" w:color="auto"/>
        <w:right w:val="none" w:sz="0" w:space="0" w:color="auto"/>
      </w:divBdr>
    </w:div>
    <w:div w:id="1592157271">
      <w:bodyDiv w:val="1"/>
      <w:marLeft w:val="0"/>
      <w:marRight w:val="0"/>
      <w:marTop w:val="0"/>
      <w:marBottom w:val="0"/>
      <w:divBdr>
        <w:top w:val="none" w:sz="0" w:space="0" w:color="auto"/>
        <w:left w:val="none" w:sz="0" w:space="0" w:color="auto"/>
        <w:bottom w:val="none" w:sz="0" w:space="0" w:color="auto"/>
        <w:right w:val="none" w:sz="0" w:space="0" w:color="auto"/>
      </w:divBdr>
    </w:div>
    <w:div w:id="1618639211">
      <w:bodyDiv w:val="1"/>
      <w:marLeft w:val="0"/>
      <w:marRight w:val="0"/>
      <w:marTop w:val="0"/>
      <w:marBottom w:val="0"/>
      <w:divBdr>
        <w:top w:val="none" w:sz="0" w:space="0" w:color="auto"/>
        <w:left w:val="none" w:sz="0" w:space="0" w:color="auto"/>
        <w:bottom w:val="none" w:sz="0" w:space="0" w:color="auto"/>
        <w:right w:val="none" w:sz="0" w:space="0" w:color="auto"/>
      </w:divBdr>
    </w:div>
    <w:div w:id="1660383906">
      <w:bodyDiv w:val="1"/>
      <w:marLeft w:val="0"/>
      <w:marRight w:val="0"/>
      <w:marTop w:val="0"/>
      <w:marBottom w:val="0"/>
      <w:divBdr>
        <w:top w:val="none" w:sz="0" w:space="0" w:color="auto"/>
        <w:left w:val="none" w:sz="0" w:space="0" w:color="auto"/>
        <w:bottom w:val="none" w:sz="0" w:space="0" w:color="auto"/>
        <w:right w:val="none" w:sz="0" w:space="0" w:color="auto"/>
      </w:divBdr>
    </w:div>
    <w:div w:id="1674723209">
      <w:bodyDiv w:val="1"/>
      <w:marLeft w:val="0"/>
      <w:marRight w:val="0"/>
      <w:marTop w:val="0"/>
      <w:marBottom w:val="0"/>
      <w:divBdr>
        <w:top w:val="none" w:sz="0" w:space="0" w:color="auto"/>
        <w:left w:val="none" w:sz="0" w:space="0" w:color="auto"/>
        <w:bottom w:val="none" w:sz="0" w:space="0" w:color="auto"/>
        <w:right w:val="none" w:sz="0" w:space="0" w:color="auto"/>
      </w:divBdr>
    </w:div>
    <w:div w:id="1742368748">
      <w:bodyDiv w:val="1"/>
      <w:marLeft w:val="0"/>
      <w:marRight w:val="0"/>
      <w:marTop w:val="0"/>
      <w:marBottom w:val="0"/>
      <w:divBdr>
        <w:top w:val="none" w:sz="0" w:space="0" w:color="auto"/>
        <w:left w:val="none" w:sz="0" w:space="0" w:color="auto"/>
        <w:bottom w:val="none" w:sz="0" w:space="0" w:color="auto"/>
        <w:right w:val="none" w:sz="0" w:space="0" w:color="auto"/>
      </w:divBdr>
    </w:div>
    <w:div w:id="1757749014">
      <w:bodyDiv w:val="1"/>
      <w:marLeft w:val="0"/>
      <w:marRight w:val="0"/>
      <w:marTop w:val="0"/>
      <w:marBottom w:val="0"/>
      <w:divBdr>
        <w:top w:val="none" w:sz="0" w:space="0" w:color="auto"/>
        <w:left w:val="none" w:sz="0" w:space="0" w:color="auto"/>
        <w:bottom w:val="none" w:sz="0" w:space="0" w:color="auto"/>
        <w:right w:val="none" w:sz="0" w:space="0" w:color="auto"/>
      </w:divBdr>
    </w:div>
    <w:div w:id="1792672507">
      <w:bodyDiv w:val="1"/>
      <w:marLeft w:val="0"/>
      <w:marRight w:val="0"/>
      <w:marTop w:val="0"/>
      <w:marBottom w:val="0"/>
      <w:divBdr>
        <w:top w:val="none" w:sz="0" w:space="0" w:color="auto"/>
        <w:left w:val="none" w:sz="0" w:space="0" w:color="auto"/>
        <w:bottom w:val="none" w:sz="0" w:space="0" w:color="auto"/>
        <w:right w:val="none" w:sz="0" w:space="0" w:color="auto"/>
      </w:divBdr>
      <w:divsChild>
        <w:div w:id="1860240600">
          <w:marLeft w:val="0"/>
          <w:marRight w:val="0"/>
          <w:marTop w:val="0"/>
          <w:marBottom w:val="0"/>
          <w:divBdr>
            <w:top w:val="none" w:sz="0" w:space="0" w:color="auto"/>
            <w:left w:val="none" w:sz="0" w:space="0" w:color="auto"/>
            <w:bottom w:val="none" w:sz="0" w:space="0" w:color="auto"/>
            <w:right w:val="none" w:sz="0" w:space="0" w:color="auto"/>
          </w:divBdr>
        </w:div>
      </w:divsChild>
    </w:div>
    <w:div w:id="1835488237">
      <w:bodyDiv w:val="1"/>
      <w:marLeft w:val="0"/>
      <w:marRight w:val="0"/>
      <w:marTop w:val="0"/>
      <w:marBottom w:val="0"/>
      <w:divBdr>
        <w:top w:val="none" w:sz="0" w:space="0" w:color="auto"/>
        <w:left w:val="none" w:sz="0" w:space="0" w:color="auto"/>
        <w:bottom w:val="none" w:sz="0" w:space="0" w:color="auto"/>
        <w:right w:val="none" w:sz="0" w:space="0" w:color="auto"/>
      </w:divBdr>
    </w:div>
    <w:div w:id="1850025159">
      <w:bodyDiv w:val="1"/>
      <w:marLeft w:val="0"/>
      <w:marRight w:val="0"/>
      <w:marTop w:val="0"/>
      <w:marBottom w:val="0"/>
      <w:divBdr>
        <w:top w:val="none" w:sz="0" w:space="0" w:color="auto"/>
        <w:left w:val="none" w:sz="0" w:space="0" w:color="auto"/>
        <w:bottom w:val="none" w:sz="0" w:space="0" w:color="auto"/>
        <w:right w:val="none" w:sz="0" w:space="0" w:color="auto"/>
      </w:divBdr>
    </w:div>
    <w:div w:id="1855725846">
      <w:bodyDiv w:val="1"/>
      <w:marLeft w:val="0"/>
      <w:marRight w:val="0"/>
      <w:marTop w:val="0"/>
      <w:marBottom w:val="0"/>
      <w:divBdr>
        <w:top w:val="none" w:sz="0" w:space="0" w:color="auto"/>
        <w:left w:val="none" w:sz="0" w:space="0" w:color="auto"/>
        <w:bottom w:val="none" w:sz="0" w:space="0" w:color="auto"/>
        <w:right w:val="none" w:sz="0" w:space="0" w:color="auto"/>
      </w:divBdr>
    </w:div>
    <w:div w:id="1871990521">
      <w:bodyDiv w:val="1"/>
      <w:marLeft w:val="0"/>
      <w:marRight w:val="0"/>
      <w:marTop w:val="0"/>
      <w:marBottom w:val="0"/>
      <w:divBdr>
        <w:top w:val="none" w:sz="0" w:space="0" w:color="auto"/>
        <w:left w:val="none" w:sz="0" w:space="0" w:color="auto"/>
        <w:bottom w:val="none" w:sz="0" w:space="0" w:color="auto"/>
        <w:right w:val="none" w:sz="0" w:space="0" w:color="auto"/>
      </w:divBdr>
    </w:div>
    <w:div w:id="1963412775">
      <w:bodyDiv w:val="1"/>
      <w:marLeft w:val="0"/>
      <w:marRight w:val="0"/>
      <w:marTop w:val="0"/>
      <w:marBottom w:val="0"/>
      <w:divBdr>
        <w:top w:val="none" w:sz="0" w:space="0" w:color="auto"/>
        <w:left w:val="none" w:sz="0" w:space="0" w:color="auto"/>
        <w:bottom w:val="none" w:sz="0" w:space="0" w:color="auto"/>
        <w:right w:val="none" w:sz="0" w:space="0" w:color="auto"/>
      </w:divBdr>
    </w:div>
    <w:div w:id="2065639917">
      <w:bodyDiv w:val="1"/>
      <w:marLeft w:val="0"/>
      <w:marRight w:val="0"/>
      <w:marTop w:val="0"/>
      <w:marBottom w:val="0"/>
      <w:divBdr>
        <w:top w:val="none" w:sz="0" w:space="0" w:color="auto"/>
        <w:left w:val="none" w:sz="0" w:space="0" w:color="auto"/>
        <w:bottom w:val="none" w:sz="0" w:space="0" w:color="auto"/>
        <w:right w:val="none" w:sz="0" w:space="0" w:color="auto"/>
      </w:divBdr>
    </w:div>
    <w:div w:id="2092660839">
      <w:bodyDiv w:val="1"/>
      <w:marLeft w:val="0"/>
      <w:marRight w:val="0"/>
      <w:marTop w:val="0"/>
      <w:marBottom w:val="0"/>
      <w:divBdr>
        <w:top w:val="none" w:sz="0" w:space="0" w:color="auto"/>
        <w:left w:val="none" w:sz="0" w:space="0" w:color="auto"/>
        <w:bottom w:val="none" w:sz="0" w:space="0" w:color="auto"/>
        <w:right w:val="none" w:sz="0" w:space="0" w:color="auto"/>
      </w:divBdr>
    </w:div>
    <w:div w:id="2098092787">
      <w:bodyDiv w:val="1"/>
      <w:marLeft w:val="0"/>
      <w:marRight w:val="0"/>
      <w:marTop w:val="0"/>
      <w:marBottom w:val="0"/>
      <w:divBdr>
        <w:top w:val="none" w:sz="0" w:space="0" w:color="auto"/>
        <w:left w:val="none" w:sz="0" w:space="0" w:color="auto"/>
        <w:bottom w:val="none" w:sz="0" w:space="0" w:color="auto"/>
        <w:right w:val="none" w:sz="0" w:space="0" w:color="auto"/>
      </w:divBdr>
      <w:divsChild>
        <w:div w:id="1041711675">
          <w:marLeft w:val="0"/>
          <w:marRight w:val="0"/>
          <w:marTop w:val="0"/>
          <w:marBottom w:val="0"/>
          <w:divBdr>
            <w:top w:val="none" w:sz="0" w:space="0" w:color="auto"/>
            <w:left w:val="none" w:sz="0" w:space="0" w:color="auto"/>
            <w:bottom w:val="none" w:sz="0" w:space="0" w:color="auto"/>
            <w:right w:val="none" w:sz="0" w:space="0" w:color="auto"/>
          </w:divBdr>
        </w:div>
      </w:divsChild>
    </w:div>
    <w:div w:id="210865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flein.gov.uk/en/site/85432/" TargetMode="External"/><Relationship Id="rId18" Type="http://schemas.openxmlformats.org/officeDocument/2006/relationships/hyperlink" Target="https://www.ciria.org"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ccscheme.org.uk" TargetMode="External"/><Relationship Id="rId7" Type="http://schemas.openxmlformats.org/officeDocument/2006/relationships/image" Target="media/image1.jpeg"/><Relationship Id="rId12" Type="http://schemas.openxmlformats.org/officeDocument/2006/relationships/hyperlink" Target="https://www.swanseamuseum.co.uk/swansea-a-brief-history/mumbles-train" TargetMode="External"/><Relationship Id="rId17" Type="http://schemas.openxmlformats.org/officeDocument/2006/relationships/hyperlink" Target="https://naturalresources.wales" TargetMode="External"/><Relationship Id="rId25" Type="http://schemas.openxmlformats.org/officeDocument/2006/relationships/hyperlink" Target="https://www.researchgate.net/publication/272252035_A_Case_Study_of_Passive_Piles_Failure_in_Open_Excavation%20" TargetMode="External"/><Relationship Id="rId2" Type="http://schemas.openxmlformats.org/officeDocument/2006/relationships/styles" Target="styles.xml"/><Relationship Id="rId16" Type="http://schemas.openxmlformats.org/officeDocument/2006/relationships/hyperlink" Target="https://mapapps2.bgs.ac.uk/geoindex/home.html%20" TargetMode="External"/><Relationship Id="rId20" Type="http://schemas.openxmlformats.org/officeDocument/2006/relationships/hyperlink" Target="https://flood-map-for-planning.naturalresources.wa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searchgate.net/profile/Harry-Arshi/publication/281294010_Improving_the_lateral_resistance_of_offshore_pile_foundations_for_deepwater_application/links/55e0953408aede0b572eaa03/Improving-the-lateral-resistance-of-offshore-pile-foundations-for-deepwater-application.pdf%20" TargetMode="External"/><Relationship Id="rId5" Type="http://schemas.openxmlformats.org/officeDocument/2006/relationships/footnotes" Target="footnotes.xml"/><Relationship Id="rId15" Type="http://schemas.openxmlformats.org/officeDocument/2006/relationships/hyperlink" Target="https://www.bgs.ac.uk/map-viewers/bgs-geology-viewer/" TargetMode="External"/><Relationship Id="rId23" Type="http://schemas.openxmlformats.org/officeDocument/2006/relationships/hyperlink" Target="https://www.sciencedirect.com/science/article/pii/S1674775521000032%20"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flood-risk-maps.naturalresources.wales/?locale=e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rchiveshub.jisc.ac.uk/data/gb216-d/dpp/d/dpp/49/1%20" TargetMode="External"/><Relationship Id="rId22" Type="http://schemas.openxmlformats.org/officeDocument/2006/relationships/hyperlink" Target="https://www.sciencedirect.com/science/article/pii/S2214399814000113?ref=pdf_download&amp;fr=RR-2&amp;rr=900621a398a093e7%2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3100</Words>
  <Characters>20487</Characters>
  <Application>Microsoft Office Word</Application>
  <DocSecurity>0</DocSecurity>
  <Lines>499</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Scourfield</dc:creator>
  <cp:keywords/>
  <dc:description/>
  <cp:lastModifiedBy>Mike Scourfield</cp:lastModifiedBy>
  <cp:revision>31</cp:revision>
  <dcterms:created xsi:type="dcterms:W3CDTF">2024-11-07T14:48:00Z</dcterms:created>
  <dcterms:modified xsi:type="dcterms:W3CDTF">2025-01-11T17:02:00Z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defae6cc3679eb719dfc963e712355c568587856bd33185158aa6a612f2af83b</vt:lpwstr>
  </property>
</Properties>
</file>