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3A2C93" w14:textId="77777777" w:rsidR="00C77134" w:rsidRPr="00F80C5A" w:rsidRDefault="00C77134" w:rsidP="00A07320">
      <w:pPr>
        <w:bidi/>
        <w:rPr>
          <w:rFonts w:hint="cs"/>
          <w:rtl/>
          <w:lang w:val="en-GB"/>
        </w:rPr>
      </w:pPr>
    </w:p>
    <w:p w14:paraId="5FCCEA81" w14:textId="77777777" w:rsidR="00C77134" w:rsidRDefault="00C77134"/>
    <w:p w14:paraId="534D2E4E" w14:textId="77777777" w:rsidR="00C77134" w:rsidRDefault="00C77134"/>
    <w:p w14:paraId="52F63F33" w14:textId="77777777" w:rsidR="00C77134" w:rsidRDefault="00C77134"/>
    <w:p w14:paraId="4BE371B3" w14:textId="2A57E64E" w:rsidR="00C77134" w:rsidRDefault="00000000">
      <w:pPr>
        <w:spacing w:before="120" w:after="120"/>
        <w:jc w:val="center"/>
      </w:pPr>
      <w:r>
        <w:rPr>
          <w:b/>
          <w:bCs/>
          <w:sz w:val="32"/>
          <w:szCs w:val="32"/>
        </w:rPr>
        <w:t>CINEMA AND WAR</w:t>
      </w:r>
    </w:p>
    <w:p w14:paraId="6F8DC8A0" w14:textId="77777777" w:rsidR="00C77134" w:rsidRDefault="00C77134"/>
    <w:p w14:paraId="2D5691D8" w14:textId="77777777" w:rsidR="00C77134" w:rsidRDefault="00000000">
      <w:pPr>
        <w:spacing w:before="120" w:after="120"/>
        <w:jc w:val="center"/>
      </w:pPr>
      <w:r>
        <w:rPr>
          <w:b/>
          <w:bCs/>
          <w:sz w:val="28"/>
          <w:szCs w:val="28"/>
        </w:rPr>
        <w:t>Assessment Component 1: Critical Analysis</w:t>
      </w:r>
    </w:p>
    <w:p w14:paraId="6D25DEB6" w14:textId="77777777" w:rsidR="00C77134" w:rsidRDefault="00C77134"/>
    <w:p w14:paraId="60DDE4C0" w14:textId="77777777" w:rsidR="00C77134" w:rsidRDefault="00C77134"/>
    <w:p w14:paraId="3B9D84AC" w14:textId="77777777" w:rsidR="00C77134" w:rsidRDefault="00000000">
      <w:pPr>
        <w:spacing w:before="120" w:after="120"/>
        <w:jc w:val="center"/>
      </w:pPr>
      <w:r>
        <w:rPr>
          <w:sz w:val="26"/>
          <w:szCs w:val="26"/>
        </w:rPr>
        <w:t>Problems and Potentialities: Film as Historical Evidence</w:t>
      </w:r>
    </w:p>
    <w:p w14:paraId="24F79C0B" w14:textId="77777777" w:rsidR="00C77134" w:rsidRDefault="00000000">
      <w:pPr>
        <w:spacing w:before="120" w:after="120"/>
        <w:jc w:val="center"/>
      </w:pPr>
      <w:r>
        <w:rPr>
          <w:sz w:val="26"/>
          <w:szCs w:val="26"/>
        </w:rPr>
        <w:t>A Critical Analysis of Battleship Potemkin (Eisenstein, 1925)</w:t>
      </w:r>
    </w:p>
    <w:p w14:paraId="4A2A1881" w14:textId="77777777" w:rsidR="00C77134" w:rsidRDefault="00C77134"/>
    <w:p w14:paraId="4BFAE3C8" w14:textId="77777777" w:rsidR="00C77134" w:rsidRDefault="00C77134"/>
    <w:p w14:paraId="73013E1A" w14:textId="77777777" w:rsidR="00C77134" w:rsidRDefault="00C77134"/>
    <w:p w14:paraId="11B87278" w14:textId="77777777" w:rsidR="00C77134" w:rsidRDefault="00000000">
      <w:pPr>
        <w:spacing w:before="120" w:after="120"/>
        <w:jc w:val="center"/>
      </w:pPr>
      <w:r>
        <w:rPr>
          <w:sz w:val="22"/>
          <w:szCs w:val="22"/>
        </w:rPr>
        <w:t>Word Count: approx. 1,500 words</w:t>
      </w:r>
    </w:p>
    <w:p w14:paraId="6C0C255B" w14:textId="77777777" w:rsidR="00C77134" w:rsidRDefault="00C77134"/>
    <w:p w14:paraId="29020401" w14:textId="77777777" w:rsidR="00C77134" w:rsidRDefault="00C77134"/>
    <w:p w14:paraId="4D605C3A" w14:textId="77777777" w:rsidR="00C77134" w:rsidRDefault="00C77134"/>
    <w:p w14:paraId="04BEE9F3" w14:textId="77777777" w:rsidR="00C77134" w:rsidRDefault="00C77134"/>
    <w:p w14:paraId="2B21D0B1" w14:textId="77777777" w:rsidR="00C77134" w:rsidRDefault="00C77134">
      <w:pPr>
        <w:pageBreakBefore/>
      </w:pPr>
    </w:p>
    <w:p w14:paraId="5246E312" w14:textId="77777777" w:rsidR="00C77134" w:rsidRDefault="00000000" w:rsidP="00A07A63">
      <w:pPr>
        <w:pStyle w:val="Heading1"/>
      </w:pPr>
      <w:r>
        <w:t>Introduction</w:t>
      </w:r>
    </w:p>
    <w:p w14:paraId="1EDA6150" w14:textId="298789BE" w:rsidR="00A07A63" w:rsidRDefault="00A07A63" w:rsidP="00A07A63">
      <w:pPr>
        <w:spacing w:after="200" w:line="360" w:lineRule="auto"/>
        <w:ind w:firstLine="720"/>
        <w:jc w:val="both"/>
      </w:pPr>
      <w:r>
        <w:t xml:space="preserve">Battleship Potemkin (1925), directed by Sergei Eisenstein, is one of the greatest and most controversial films in cinematic history. It was commissioned to commemorate the twentieth anniversary of the 1905 Revolution by the Soviet government, and is a </w:t>
      </w:r>
      <w:proofErr w:type="spellStart"/>
      <w:r>
        <w:t>dramatisation</w:t>
      </w:r>
      <w:proofErr w:type="spellEnd"/>
      <w:r>
        <w:t xml:space="preserve"> of the mutiny of sailors on the imperial battleship Potemkin and the violence that ensued on the Odesa Steps. In its role as a representation of the past, it poses, in a startlingly forceful and clear way, the main questions of this module: what might be gained from film as a tool for understanding, representing and interpreting the past, and what its limitations and risks are? These questions are the focus of this critical analysis, which uses the methods of film theory and scholarly research on film and historical consciousness to evaluate the potentialities and problems of the historical film as a historical thinking tool.</w:t>
      </w:r>
    </w:p>
    <w:p w14:paraId="0DBC6FE7" w14:textId="77777777" w:rsidR="00C77134" w:rsidRDefault="00000000" w:rsidP="00A07A63">
      <w:pPr>
        <w:pStyle w:val="Heading1"/>
      </w:pPr>
      <w:r>
        <w:t>The Potentialities of Film as Historical Evidence</w:t>
      </w:r>
    </w:p>
    <w:p w14:paraId="7BCD0365" w14:textId="77777777" w:rsidR="00A07A63" w:rsidRDefault="00A07A63" w:rsidP="00A07A63">
      <w:pPr>
        <w:spacing w:after="200" w:line="360" w:lineRule="auto"/>
        <w:ind w:firstLine="720"/>
        <w:jc w:val="both"/>
      </w:pPr>
      <w:r>
        <w:t>One of the most direct potentialities of film as evidence is its ability to engage with the past in an effective manner. According to Rosenstone (2013, p. 7), the historical film brings history to life in ways that written sources cannot do just as easily by drama, movement and the expressive power of the human face. In Battleship Potemkin, this affective potentiality is realised with great force. The Odessa Steps series brings the viewer into a relation of suffering and solidarity that an academic monograph can never reach. This isn't something just for fun; emotional involvement is both legitimate and valuable, and it helps students to "feel" the humanity of the people involved in the past, and it can evoke a sense of empathy that is not available from statistics and documents. Nevertheless, the possibility is too large to be discounted a priori for its subjectivity or sentimentality.</w:t>
      </w:r>
    </w:p>
    <w:p w14:paraId="03084510" w14:textId="77777777" w:rsidR="00A07A63" w:rsidRDefault="00A07A63" w:rsidP="00A07A63">
      <w:pPr>
        <w:spacing w:after="200" w:line="360" w:lineRule="auto"/>
        <w:ind w:firstLine="720"/>
        <w:jc w:val="both"/>
      </w:pPr>
      <w:r>
        <w:t xml:space="preserve">The second possibility is in the film's ability to capture and pass on the visual culture of a specific period in time. For </w:t>
      </w:r>
      <w:proofErr w:type="spellStart"/>
      <w:r>
        <w:t>Virilio</w:t>
      </w:r>
      <w:proofErr w:type="spellEnd"/>
      <w:r>
        <w:t xml:space="preserve"> (2000, p. 26), cinema and war have always been linked, in terms of vision, surveillance and the management of the spectacle. In a meaningful sense, primary sources are films created during or shortly after the period they portray, providing a documentation of material culture, social practice and physical environment that written sources do not capture with such specificity. Made in 1925, Battleship Potemkin is a document of Soviet visual culture at the time of its creation – the costumes, settings and crowd scenes capture the evidence of a social world that could not </w:t>
      </w:r>
      <w:r>
        <w:lastRenderedPageBreak/>
        <w:t>otherwise be described in written or photographic detail. As a work of fiction and propaganda, it provides a historian with a glimpse of the visual and material reality of early Soviet Russia.</w:t>
      </w:r>
    </w:p>
    <w:p w14:paraId="51881526" w14:textId="031EF9D9" w:rsidR="00A07A63" w:rsidRDefault="00A07A63" w:rsidP="00A07A63">
      <w:pPr>
        <w:spacing w:after="200" w:line="360" w:lineRule="auto"/>
        <w:ind w:firstLine="720"/>
        <w:jc w:val="both"/>
      </w:pPr>
      <w:r>
        <w:t xml:space="preserve">Film's third potentiality, less known, is film's ability to engage in "historical argument," as </w:t>
      </w:r>
      <w:proofErr w:type="spellStart"/>
      <w:r>
        <w:t>Rosenstone</w:t>
      </w:r>
      <w:proofErr w:type="spellEnd"/>
      <w:r>
        <w:t xml:space="preserve"> and </w:t>
      </w:r>
      <w:proofErr w:type="spellStart"/>
      <w:r>
        <w:t>Parvulescu</w:t>
      </w:r>
      <w:proofErr w:type="spellEnd"/>
      <w:r>
        <w:t xml:space="preserve"> (2013, p. 11) put it. Historical film is not simply about the past it portrays; it forms a causal narrative, and it gives moral substance and situates the viewer in relation to what it portrays. Battleship Potemkin is an argument, dialectical, going through the logic of Eisenstein's montage: oppression creates resistance; resistance creates solidarity; solidarity creates revolutionary consciousness. The argumentative structure is a potentiality instead of a liability in that it makes visible the interpretive act that is already happening, albeit not so visibly, in all historical representations. WHEREAS, the conventions of classical Hollywood cinema usually veil their own ideological investments with a thin layer of transparency; Eisenstein's self-consciously didactic montage, on the other hand, makes its argument clearly visible, presenting the viewer as an acting subject, a subject to be critiqued, not merely passively absorbed.</w:t>
      </w:r>
    </w:p>
    <w:p w14:paraId="52310E33" w14:textId="77777777" w:rsidR="00C77134" w:rsidRDefault="00000000" w:rsidP="00A07A63">
      <w:pPr>
        <w:pStyle w:val="Heading1"/>
      </w:pPr>
      <w:r>
        <w:t>The Problems of Film as Historical Evidence</w:t>
      </w:r>
    </w:p>
    <w:p w14:paraId="46BABB5E" w14:textId="77777777" w:rsidR="00A07A63" w:rsidRDefault="00A07A63" w:rsidP="00A07A63">
      <w:pPr>
        <w:spacing w:after="200" w:line="360" w:lineRule="auto"/>
        <w:ind w:firstLine="720"/>
        <w:jc w:val="both"/>
      </w:pPr>
      <w:r>
        <w:t>The first thing that springs to mind is how far Battleship Potemkin departs from history. The most famous scene of the film, the slaughter on the Odessa Steps, is purely fictional. There was no 1905 Odessa mutiny; Eisenstein created this event entirely, and the metaphor of the broad stone staircase was a visual symbol of the systematic brutality of tsarist repression (</w:t>
      </w:r>
      <w:proofErr w:type="spellStart"/>
      <w:r>
        <w:t>Kracauer</w:t>
      </w:r>
      <w:proofErr w:type="spellEnd"/>
      <w:r>
        <w:t>, 1947, p. 59). The film was not incidental to this project but its very heart: Eisenstein was not making a record of 1905 but an ideological myth of revolutionary origins that would be needed by the Soviet state in the middle of the 1920s. Who made this film, when and for what purposes? It is an absolute question, Corrigan (2007, p. 45) reminds a student of historical film to ask. When asked "Who is Potemkin?" the answer to these questions is at once clear: Potemkin is a state production; it is a film made "under the direction of and in the service of the Bolshevik government.</w:t>
      </w:r>
    </w:p>
    <w:p w14:paraId="04B2E5E3" w14:textId="77777777" w:rsidR="00A07A63" w:rsidRDefault="00A07A63" w:rsidP="00A07A63">
      <w:pPr>
        <w:spacing w:after="200" w:line="360" w:lineRule="auto"/>
        <w:ind w:firstLine="720"/>
        <w:jc w:val="both"/>
      </w:pPr>
      <w:r>
        <w:t xml:space="preserve">The fact that </w:t>
      </w:r>
      <w:proofErr w:type="spellStart"/>
      <w:r>
        <w:t>Kracauer</w:t>
      </w:r>
      <w:proofErr w:type="spellEnd"/>
      <w:r>
        <w:t xml:space="preserve"> (1947, p. 5) saw the ability to make the illusion of reality as one of cinema's qualities is a further ideological dimension. The camera's images, rather than building up an image, seem to be evidence of what was actually there, not the result </w:t>
      </w:r>
      <w:r>
        <w:lastRenderedPageBreak/>
        <w:t>of a director's imagination. Cinema's greatest and most epistemically unsettling quality is to make that happen — to make the document feel like it's here now. The "historical" novel is a form that creates a critical distance from the narrative, whereas the historical film is more readily enticing to accept a "transparent" record of the past. In Battleship Potemkin, Eisenstein deliberately plays the game with the illusion of authentic documentary spontaneity: the backdrop of location shooting, the employment of non-professional actors, and the handheld camera techniques all contribute to this effect.</w:t>
      </w:r>
    </w:p>
    <w:p w14:paraId="66018C32" w14:textId="52900534" w:rsidR="00A07A63" w:rsidRDefault="00A07A63" w:rsidP="00A07A63">
      <w:pPr>
        <w:spacing w:after="200" w:line="360" w:lineRule="auto"/>
        <w:ind w:firstLine="720"/>
        <w:jc w:val="both"/>
      </w:pPr>
      <w:r>
        <w:t xml:space="preserve">Another issue is that of “selective emphasis” (Nelmes 2012, 311) and the “narrative imperative of historical cinema” (Richards 2009, 83). Every film makes choices about what to include, what to leave out, and what to simplify in the historical record, because of the limitations of storytelling and dramatic construction; to tell a story, to lie within its dramatic limits, to resolve the ambiguities, to simplify the history, and to bind the moral stakes are all necessary constraints. In Battleship Potemkin, this is taken to the extreme. All the sailors are heroes, all the officers are brutal; all the people of Odessa are on board with the mutiny; the revolution is always a good one, and its victory is always certain. The true nature of the Revolution of 1905 in Russia, its social </w:t>
      </w:r>
      <w:proofErr w:type="spellStart"/>
      <w:r>
        <w:t>polarisation</w:t>
      </w:r>
      <w:proofErr w:type="spellEnd"/>
      <w:r>
        <w:t>, its conflicting political interpretations, and its eventual failure are completely overlooked for the sake of the film's teleological message. This erasure isn't just a matter of aesthetics, but ahistorical, a falsification of popular memory in the ways that continue to be in effect long after the particular details of the film's falsifications have been exposed.</w:t>
      </w:r>
    </w:p>
    <w:p w14:paraId="3155A413" w14:textId="77777777" w:rsidR="00C77134" w:rsidRDefault="00000000" w:rsidP="00A07A63">
      <w:pPr>
        <w:pStyle w:val="Heading1"/>
      </w:pPr>
      <w:r>
        <w:t>Film as Symptom: Reading Potemkin Against the Grain</w:t>
      </w:r>
    </w:p>
    <w:p w14:paraId="66DBD50A" w14:textId="77777777" w:rsidR="00A07A63" w:rsidRDefault="00A07A63" w:rsidP="00A07A63">
      <w:pPr>
        <w:spacing w:after="200" w:line="360" w:lineRule="auto"/>
        <w:ind w:firstLine="720"/>
        <w:jc w:val="both"/>
      </w:pPr>
      <w:r>
        <w:t>Issues of the value of film as historical evidence do not end here. The very delusions and ideological investments in films are historical facts, as Richards (2009, p. 81) puts it, “read against the grain”. The invented Odessa Steps massacre is not only a historical falsification, but also a part of the process of building revolutionary myth, cinema as a means of mass political education and aesthetic modernism and the Bolshevik ideology in the 1920s. The film doesn't so much tell us what happened on the Potemkin in June 1905 as it does tell us how the Soviet Union in 1925 wanted to tell its revolutionary history: heroically, teleologically, without mixing in the ambiguity.</w:t>
      </w:r>
    </w:p>
    <w:p w14:paraId="251CB95B" w14:textId="791F862C" w:rsidR="00A07A63" w:rsidRDefault="00A07A63" w:rsidP="00A07A63">
      <w:pPr>
        <w:spacing w:after="200" w:line="360" w:lineRule="auto"/>
        <w:ind w:firstLine="720"/>
        <w:jc w:val="both"/>
      </w:pPr>
      <w:r>
        <w:t xml:space="preserve">This insight is further explored by De Groot (2016, p. 195), who introduces the notion of the ‘memory site' as a cultural artefact that not only embodies the past, but also </w:t>
      </w:r>
      <w:r>
        <w:lastRenderedPageBreak/>
        <w:t>creates a past in the consciousness of future generations. Battleship Potemkin has been a place in Soviet and Western culture, as it were. It has become a part of the visual jargon of political cinema across the globe, referenced and parodied by directors such as Woody Allen and even Brian De Palma, and the Odessa Steps scene is now a global emblem of the state massacre of civilians. The afterlife of this culture is also of historical significance: the study of Potemkin is not only a study of the events of 1905, but a study of a century of cultural memory-making, ideological contestation, and aesthetic influence. The attention to the uses and misuses of the site of historical imagination does not detract from but enriches the film's historical significance.</w:t>
      </w:r>
    </w:p>
    <w:p w14:paraId="27BBA76F" w14:textId="77777777" w:rsidR="00C77134" w:rsidRDefault="00000000" w:rsidP="00A07A63">
      <w:pPr>
        <w:pStyle w:val="Heading1"/>
      </w:pPr>
      <w:r>
        <w:t>Conclusion</w:t>
      </w:r>
    </w:p>
    <w:p w14:paraId="6513231D" w14:textId="29414AA3" w:rsidR="00C77134" w:rsidRDefault="00A07A63" w:rsidP="00A07A63">
      <w:pPr>
        <w:spacing w:after="200" w:line="360" w:lineRule="auto"/>
        <w:ind w:firstLine="720"/>
        <w:jc w:val="both"/>
      </w:pPr>
      <w:r>
        <w:t xml:space="preserve">Battleship Potemkin is a movie that illustrates more than any other, albeit in an unusual way, the possibilities and difficulties of using film to document events. It has effective potentialities, formal innovation, and is one of the most important documents of Soviet visual and ideological cultures, all of which stand as potentialities for historical understanding. The systematic falsification of the historical record, the use of the documentary deceptive power of cinema and the reduction of historical complexity to political rhetoric are all valid issues. The resolution of this tension is not to prioritise one of these evaluations over the other; it is to hold both in tension simultaneously: to take to the historical film the same critical </w:t>
      </w:r>
      <w:proofErr w:type="spellStart"/>
      <w:r>
        <w:t>rigour</w:t>
      </w:r>
      <w:proofErr w:type="spellEnd"/>
      <w:r>
        <w:t xml:space="preserve"> that the historian brings to any other source, namely, that of asking at all times about its conditions of production, its ideological investments, and the interests it serves. Critical literacy in relation to film as historical evidence is not only a scholarly skill but a political and intellectual requirement for anyone who aims to comprehend the ways in which the past has been constructed and reconstructed with the moving image, as Corrigan (2007, p. 48) continually argues.</w:t>
      </w:r>
    </w:p>
    <w:p w14:paraId="2A370EEA" w14:textId="2B8162AA" w:rsidR="00C77134" w:rsidRDefault="00A07A63" w:rsidP="00A07A63">
      <w:pPr>
        <w:pStyle w:val="Heading1"/>
      </w:pPr>
      <w:r>
        <w:br w:type="column"/>
      </w:r>
      <w:r>
        <w:lastRenderedPageBreak/>
        <w:t>References</w:t>
      </w:r>
    </w:p>
    <w:p w14:paraId="1D43F8C2" w14:textId="77777777" w:rsidR="00C77134" w:rsidRDefault="00000000">
      <w:pPr>
        <w:spacing w:after="200" w:line="360" w:lineRule="auto"/>
        <w:ind w:left="720" w:hanging="720"/>
        <w:jc w:val="both"/>
      </w:pPr>
      <w:r>
        <w:t>Corrigan, T. (2007) A Short Guide to Writing about Film. London: Pearson Longman.</w:t>
      </w:r>
    </w:p>
    <w:p w14:paraId="53AAE478" w14:textId="77777777" w:rsidR="00C77134" w:rsidRDefault="00000000">
      <w:pPr>
        <w:spacing w:after="200" w:line="360" w:lineRule="auto"/>
        <w:ind w:left="720" w:hanging="720"/>
        <w:jc w:val="both"/>
      </w:pPr>
      <w:r>
        <w:t>De Groot, J. (2016) Consuming History: Historians and Heritage in Contemporary Popular Culture. 2nd edn. London: Routledge.</w:t>
      </w:r>
    </w:p>
    <w:p w14:paraId="5E0BC00F" w14:textId="77777777" w:rsidR="00C77134" w:rsidRDefault="00000000">
      <w:pPr>
        <w:spacing w:after="200" w:line="360" w:lineRule="auto"/>
        <w:ind w:left="720" w:hanging="720"/>
        <w:jc w:val="both"/>
      </w:pPr>
      <w:r>
        <w:t>Kracauer, S. (1947) From Caligari to Hitler: A Psychological History of the German Film. Princeton: Princeton University Press.</w:t>
      </w:r>
    </w:p>
    <w:p w14:paraId="03D3F1F2" w14:textId="77777777" w:rsidR="00C77134" w:rsidRDefault="00000000">
      <w:pPr>
        <w:spacing w:after="200" w:line="360" w:lineRule="auto"/>
        <w:ind w:left="720" w:hanging="720"/>
        <w:jc w:val="both"/>
      </w:pPr>
      <w:r>
        <w:t>Nelmes, J. (2012) Introduction to Film Studies. London: Routledge.</w:t>
      </w:r>
    </w:p>
    <w:p w14:paraId="74F57301" w14:textId="77777777" w:rsidR="00C77134" w:rsidRDefault="00000000">
      <w:pPr>
        <w:spacing w:after="200" w:line="360" w:lineRule="auto"/>
        <w:ind w:left="720" w:hanging="720"/>
        <w:jc w:val="both"/>
      </w:pPr>
      <w:r>
        <w:t>Richards, J. (2009) 'Film and Television: The Moving Image', in S. Barber and C.M. Peniston-Bird (eds.) History Beyond the Text: A Student's Guide to Approaching Alternative Sources. Abingdon: Routledge, pp. 76-93.</w:t>
      </w:r>
    </w:p>
    <w:p w14:paraId="0749E002" w14:textId="77777777" w:rsidR="00C77134" w:rsidRDefault="00000000">
      <w:pPr>
        <w:spacing w:after="200" w:line="360" w:lineRule="auto"/>
        <w:ind w:left="720" w:hanging="720"/>
        <w:jc w:val="both"/>
      </w:pPr>
      <w:r>
        <w:t>Rosenstone, R.A. (2013) History on Film / Film on History. 2nd edn. Abingdon: Routledge.</w:t>
      </w:r>
    </w:p>
    <w:p w14:paraId="38235CE8" w14:textId="77777777" w:rsidR="00C77134" w:rsidRDefault="00000000">
      <w:pPr>
        <w:spacing w:after="200" w:line="360" w:lineRule="auto"/>
        <w:ind w:left="720" w:hanging="720"/>
        <w:jc w:val="both"/>
      </w:pPr>
      <w:r>
        <w:t xml:space="preserve">Rosenstone, R.A. and </w:t>
      </w:r>
      <w:proofErr w:type="spellStart"/>
      <w:r>
        <w:t>Parvulescu</w:t>
      </w:r>
      <w:proofErr w:type="spellEnd"/>
      <w:r>
        <w:t>, C. (eds.) (2013) A Companion to the Historical Film. Oxford: Wiley-Blackwell.</w:t>
      </w:r>
    </w:p>
    <w:p w14:paraId="3FB00241" w14:textId="77777777" w:rsidR="00C77134" w:rsidRDefault="00000000">
      <w:pPr>
        <w:spacing w:after="200" w:line="360" w:lineRule="auto"/>
        <w:ind w:left="720" w:hanging="720"/>
        <w:jc w:val="both"/>
      </w:pPr>
      <w:proofErr w:type="spellStart"/>
      <w:r>
        <w:t>Virilio</w:t>
      </w:r>
      <w:proofErr w:type="spellEnd"/>
      <w:r>
        <w:t>, P. (2000 [1984]) War and Cinema: The Logistics of Perception. London: Verso.</w:t>
      </w:r>
    </w:p>
    <w:sectPr w:rsidR="00C77134">
      <w:pgSz w:w="11906" w:h="16838"/>
      <w:pgMar w:top="1440" w:right="1440" w:bottom="1440" w:left="18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3D8017" w14:textId="77777777" w:rsidR="00FE2A2A" w:rsidRDefault="00FE2A2A">
      <w:r>
        <w:separator/>
      </w:r>
    </w:p>
  </w:endnote>
  <w:endnote w:type="continuationSeparator" w:id="0">
    <w:p w14:paraId="0E185C27" w14:textId="77777777" w:rsidR="00FE2A2A" w:rsidRDefault="00FE2A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924500" w14:textId="77777777" w:rsidR="00FE2A2A" w:rsidRDefault="00FE2A2A">
      <w:r>
        <w:separator/>
      </w:r>
    </w:p>
  </w:footnote>
  <w:footnote w:type="continuationSeparator" w:id="0">
    <w:p w14:paraId="5D3027C4" w14:textId="77777777" w:rsidR="00FE2A2A" w:rsidRDefault="00FE2A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B8227D6"/>
    <w:multiLevelType w:val="hybridMultilevel"/>
    <w:tmpl w:val="E7C61CF4"/>
    <w:lvl w:ilvl="0" w:tplc="0298ECF2">
      <w:start w:val="1"/>
      <w:numFmt w:val="bullet"/>
      <w:lvlText w:val="●"/>
      <w:lvlJc w:val="left"/>
      <w:pPr>
        <w:ind w:left="720" w:hanging="360"/>
      </w:pPr>
    </w:lvl>
    <w:lvl w:ilvl="1" w:tplc="C4DA7878">
      <w:start w:val="1"/>
      <w:numFmt w:val="bullet"/>
      <w:lvlText w:val="○"/>
      <w:lvlJc w:val="left"/>
      <w:pPr>
        <w:ind w:left="1440" w:hanging="360"/>
      </w:pPr>
    </w:lvl>
    <w:lvl w:ilvl="2" w:tplc="2DCC73CA">
      <w:start w:val="1"/>
      <w:numFmt w:val="bullet"/>
      <w:lvlText w:val="■"/>
      <w:lvlJc w:val="left"/>
      <w:pPr>
        <w:ind w:left="2160" w:hanging="360"/>
      </w:pPr>
    </w:lvl>
    <w:lvl w:ilvl="3" w:tplc="785A8E58">
      <w:start w:val="1"/>
      <w:numFmt w:val="bullet"/>
      <w:lvlText w:val="●"/>
      <w:lvlJc w:val="left"/>
      <w:pPr>
        <w:ind w:left="2880" w:hanging="360"/>
      </w:pPr>
    </w:lvl>
    <w:lvl w:ilvl="4" w:tplc="5A7A595C">
      <w:start w:val="1"/>
      <w:numFmt w:val="bullet"/>
      <w:lvlText w:val="○"/>
      <w:lvlJc w:val="left"/>
      <w:pPr>
        <w:ind w:left="3600" w:hanging="360"/>
      </w:pPr>
    </w:lvl>
    <w:lvl w:ilvl="5" w:tplc="72685A54">
      <w:start w:val="1"/>
      <w:numFmt w:val="bullet"/>
      <w:lvlText w:val="■"/>
      <w:lvlJc w:val="left"/>
      <w:pPr>
        <w:ind w:left="4320" w:hanging="360"/>
      </w:pPr>
    </w:lvl>
    <w:lvl w:ilvl="6" w:tplc="DD6C0B50">
      <w:start w:val="1"/>
      <w:numFmt w:val="bullet"/>
      <w:lvlText w:val="●"/>
      <w:lvlJc w:val="left"/>
      <w:pPr>
        <w:ind w:left="5040" w:hanging="360"/>
      </w:pPr>
    </w:lvl>
    <w:lvl w:ilvl="7" w:tplc="6756B21E">
      <w:start w:val="1"/>
      <w:numFmt w:val="bullet"/>
      <w:lvlText w:val="●"/>
      <w:lvlJc w:val="left"/>
      <w:pPr>
        <w:ind w:left="5760" w:hanging="360"/>
      </w:pPr>
    </w:lvl>
    <w:lvl w:ilvl="8" w:tplc="BBBE0178">
      <w:start w:val="1"/>
      <w:numFmt w:val="bullet"/>
      <w:lvlText w:val="●"/>
      <w:lvlJc w:val="left"/>
      <w:pPr>
        <w:ind w:left="6480" w:hanging="360"/>
      </w:pPr>
    </w:lvl>
  </w:abstractNum>
  <w:num w:numId="1" w16cid:durableId="79691808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oNotDisplayPageBoundaries/>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7134"/>
    <w:rsid w:val="0011656B"/>
    <w:rsid w:val="004559C0"/>
    <w:rsid w:val="006000A1"/>
    <w:rsid w:val="009470CD"/>
    <w:rsid w:val="00973B35"/>
    <w:rsid w:val="00A07320"/>
    <w:rsid w:val="00A07A63"/>
    <w:rsid w:val="00A46FB4"/>
    <w:rsid w:val="00A63801"/>
    <w:rsid w:val="00B8409E"/>
    <w:rsid w:val="00C77134"/>
    <w:rsid w:val="00F46AE6"/>
    <w:rsid w:val="00F80C5A"/>
    <w:rsid w:val="00FB71FF"/>
    <w:rsid w:val="00FE2A2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219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00" w:after="160"/>
      <w:outlineLvl w:val="0"/>
    </w:pPr>
    <w:rPr>
      <w:b/>
      <w:bCs/>
      <w:color w:val="000000"/>
      <w:sz w:val="28"/>
      <w:szCs w:val="28"/>
    </w:rPr>
  </w:style>
  <w:style w:type="paragraph" w:styleId="Heading2">
    <w:name w:val="heading 2"/>
    <w:uiPriority w:val="9"/>
    <w:unhideWhenUsed/>
    <w:qFormat/>
    <w:pPr>
      <w:spacing w:before="300" w:after="100"/>
      <w:outlineLvl w:val="1"/>
    </w:pPr>
    <w:rPr>
      <w:b/>
      <w:bCs/>
      <w:color w:val="000000"/>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uiPriority w:val="10"/>
    <w:qFormat/>
    <w:rsid w:val="00A07A63"/>
    <w:pPr>
      <w:spacing w:line="360" w:lineRule="auto"/>
      <w:jc w:val="center"/>
    </w:pPr>
    <w:rPr>
      <w:b/>
      <w:bCs/>
      <w:sz w:val="28"/>
      <w:szCs w:val="28"/>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F46AE6"/>
    <w:pPr>
      <w:tabs>
        <w:tab w:val="center" w:pos="4680"/>
        <w:tab w:val="right" w:pos="9360"/>
      </w:tabs>
    </w:pPr>
  </w:style>
  <w:style w:type="character" w:customStyle="1" w:styleId="HeaderChar">
    <w:name w:val="Header Char"/>
    <w:basedOn w:val="DefaultParagraphFont"/>
    <w:link w:val="Header"/>
    <w:uiPriority w:val="99"/>
    <w:rsid w:val="00F46AE6"/>
  </w:style>
  <w:style w:type="paragraph" w:styleId="Footer">
    <w:name w:val="footer"/>
    <w:basedOn w:val="Normal"/>
    <w:link w:val="FooterChar"/>
    <w:uiPriority w:val="99"/>
    <w:unhideWhenUsed/>
    <w:rsid w:val="00F46AE6"/>
    <w:pPr>
      <w:tabs>
        <w:tab w:val="center" w:pos="4680"/>
        <w:tab w:val="right" w:pos="9360"/>
      </w:tabs>
    </w:pPr>
  </w:style>
  <w:style w:type="character" w:customStyle="1" w:styleId="FooterChar">
    <w:name w:val="Footer Char"/>
    <w:basedOn w:val="DefaultParagraphFont"/>
    <w:link w:val="Footer"/>
    <w:uiPriority w:val="99"/>
    <w:rsid w:val="00F46A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1740</Words>
  <Characters>9207</Characters>
  <Application>Microsoft Office Word</Application>
  <DocSecurity>0</DocSecurity>
  <Lines>153</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10913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2026-06-19T11:19:00Z</dcterms:created>
  <dcterms:modified xsi:type="dcterms:W3CDTF">2026-06-19T22:21:00Z</dcterms:modified>
  <cp:category/>
</cp:coreProperties>
</file>