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left"/>
        <w:rPr>
          <w:rFonts w:ascii="Georgia" w:cs="Georgia" w:eastAsia="Georgia" w:hAnsi="Georgia"/>
          <w:b w:val="0"/>
          <w:i w:val="0"/>
          <w:smallCaps w:val="0"/>
          <w:strike w:val="0"/>
          <w:color w:val="000000"/>
          <w:sz w:val="21"/>
          <w:szCs w:val="21"/>
          <w:u w:val="none"/>
          <w:shd w:fill="auto" w:val="clear"/>
          <w:vertAlign w:val="baseline"/>
        </w:rPr>
      </w:pPr>
      <w:r w:rsidDel="00000000" w:rsidR="00000000" w:rsidRPr="00000000">
        <w:rPr>
          <w:rFonts w:ascii="Georgia" w:cs="Georgia" w:eastAsia="Georgia" w:hAnsi="Georgia"/>
          <w:b w:val="0"/>
          <w:i w:val="0"/>
          <w:smallCaps w:val="0"/>
          <w:strike w:val="0"/>
          <w:color w:val="000000"/>
          <w:sz w:val="21"/>
          <w:szCs w:val="21"/>
          <w:u w:val="none"/>
          <w:shd w:fill="auto" w:val="clear"/>
          <w:vertAlign w:val="baseline"/>
        </w:rPr>
        <w:drawing>
          <wp:inline distB="0" distT="0" distL="114300" distR="114300">
            <wp:extent cx="1817370" cy="728345"/>
            <wp:effectExtent b="0" l="0" r="0" t="0"/>
            <wp:docPr id="1"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1817370" cy="72834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left"/>
        <w:rPr>
          <w:rFonts w:ascii="Georgia" w:cs="Georgia" w:eastAsia="Georgia" w:hAnsi="Georgia"/>
          <w:b w:val="0"/>
          <w:i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left"/>
        <w:rPr>
          <w:rFonts w:ascii="Georgia" w:cs="Georgia" w:eastAsia="Georgia" w:hAnsi="Georgia"/>
          <w:b w:val="0"/>
          <w:i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center"/>
        <w:rPr>
          <w:rFonts w:ascii="Arial" w:cs="Arial" w:eastAsia="Arial" w:hAnsi="Arial"/>
          <w:b w:val="0"/>
          <w:i w:val="0"/>
          <w:smallCaps w:val="0"/>
          <w:strike w:val="0"/>
          <w:color w:val="000000"/>
          <w:sz w:val="28"/>
          <w:szCs w:val="28"/>
          <w:u w:val="non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Postgraduate/Distance Learning </w:t>
      </w: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80" w:right="-334" w:firstLine="0"/>
        <w:jc w:val="center"/>
        <w:rPr>
          <w:rFonts w:ascii="Arial" w:cs="Arial" w:eastAsia="Arial" w:hAnsi="Arial"/>
          <w:b w:val="0"/>
          <w:i w:val="0"/>
          <w:smallCaps w:val="0"/>
          <w:strike w:val="0"/>
          <w:color w:val="000000"/>
          <w:sz w:val="28"/>
          <w:szCs w:val="28"/>
          <w:u w:val="non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Assignment coversheet &amp; feedback form</w:t>
      </w:r>
      <w:r w:rsidDel="00000000" w:rsidR="00000000" w:rsidRPr="00000000">
        <w:rPr>
          <w:rtl w:val="0"/>
        </w:rPr>
      </w:r>
    </w:p>
    <w:p w:rsidR="00000000" w:rsidDel="00000000" w:rsidP="00000000" w:rsidRDefault="00000000" w:rsidRPr="00000000" w14:paraId="00000006">
      <w:pPr>
        <w:rPr>
          <w:rFonts w:ascii="Arial" w:cs="Arial" w:eastAsia="Arial" w:hAnsi="Arial"/>
          <w:sz w:val="28"/>
          <w:szCs w:val="28"/>
          <w:vertAlign w:val="baseline"/>
        </w:rPr>
      </w:pPr>
      <w:r w:rsidDel="00000000" w:rsidR="00000000" w:rsidRPr="00000000">
        <w:rPr>
          <w:rtl w:val="0"/>
        </w:rPr>
      </w:r>
    </w:p>
    <w:p w:rsidR="00000000" w:rsidDel="00000000" w:rsidP="00000000" w:rsidRDefault="00000000" w:rsidRPr="00000000" w14:paraId="00000007">
      <w:pPr>
        <w:pStyle w:val="Heading3"/>
        <w:ind w:firstLine="720"/>
        <w:jc w:val="center"/>
        <w:rPr>
          <w:vertAlign w:val="baseline"/>
        </w:rPr>
      </w:pPr>
      <w:r w:rsidDel="00000000" w:rsidR="00000000" w:rsidRPr="00000000">
        <w:rPr>
          <w:b w:val="1"/>
          <w:vertAlign w:val="baseline"/>
          <w:rtl w:val="0"/>
        </w:rPr>
        <w:t xml:space="preserve">THIS SHEET MUST BE THE FIRST PAGE OF THE ASSIGNMENT YOU ARE SUBMITTING  (DO NOT SEND AS A SEPARATE FILE)</w:t>
      </w:r>
      <w:r w:rsidDel="00000000" w:rsidR="00000000" w:rsidRPr="00000000">
        <w:rPr>
          <w:rtl w:val="0"/>
        </w:rPr>
      </w:r>
    </w:p>
    <w:p w:rsidR="00000000" w:rsidDel="00000000" w:rsidP="00000000" w:rsidRDefault="00000000" w:rsidRPr="00000000" w14:paraId="00000008">
      <w:pPr>
        <w:pStyle w:val="Heading3"/>
        <w:ind w:firstLine="720"/>
        <w:jc w:val="center"/>
        <w:rPr>
          <w:rFonts w:ascii="Trebuchet MS" w:cs="Trebuchet MS" w:eastAsia="Trebuchet MS" w:hAnsi="Trebuchet MS"/>
          <w:vertAlign w:val="baseline"/>
        </w:rPr>
      </w:pPr>
      <w:r w:rsidDel="00000000" w:rsidR="00000000" w:rsidRPr="00000000">
        <w:rPr>
          <w:rtl w:val="0"/>
        </w:rPr>
      </w:r>
    </w:p>
    <w:tbl>
      <w:tblPr>
        <w:tblStyle w:val="Table1"/>
        <w:tblW w:w="8856.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788"/>
        <w:gridCol w:w="423"/>
        <w:gridCol w:w="1557"/>
        <w:gridCol w:w="286"/>
        <w:gridCol w:w="1802"/>
        <w:tblGridChange w:id="0">
          <w:tblGrid>
            <w:gridCol w:w="4788"/>
            <w:gridCol w:w="423"/>
            <w:gridCol w:w="1557"/>
            <w:gridCol w:w="286"/>
            <w:gridCol w:w="1802"/>
          </w:tblGrid>
        </w:tblGridChange>
      </w:tblGrid>
      <w:tr>
        <w:trPr>
          <w:cantSplit w:val="0"/>
          <w:trHeight w:val="614" w:hRule="atLeast"/>
          <w:tblHeader w:val="0"/>
        </w:trPr>
        <w:tc>
          <w:tcPr>
            <w:gridSpan w:val="5"/>
            <w:vAlign w:val="top"/>
          </w:tcPr>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For completion by the student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p>
        </w:tc>
      </w:tr>
      <w:tr>
        <w:trPr>
          <w:cantSplit w:val="0"/>
          <w:trHeight w:val="718" w:hRule="atLeast"/>
          <w:tblHeader w:val="0"/>
        </w:trPr>
        <w:tc>
          <w:tcPr>
            <w:gridSpan w:val="5"/>
            <w:vAlign w:val="top"/>
          </w:tcPr>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Student Name:</w:t>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India Sweeting</w:t>
            </w: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Student </w:t>
            </w:r>
            <w:r w:rsidDel="00000000" w:rsidR="00000000" w:rsidRPr="00000000">
              <w:rPr>
                <w:rFonts w:ascii="Arial" w:cs="Arial" w:eastAsia="Arial" w:hAnsi="Arial"/>
                <w:b w:val="1"/>
                <w:i w:val="0"/>
                <w:smallCaps w:val="0"/>
                <w:strike w:val="0"/>
                <w:color w:val="000000"/>
                <w:sz w:val="22"/>
                <w:szCs w:val="22"/>
                <w:u w:val="single"/>
                <w:shd w:fill="auto" w:val="clear"/>
                <w:vertAlign w:val="baseline"/>
                <w:rtl w:val="0"/>
              </w:rPr>
              <w:t xml:space="preserve">University</w:t>
            </w:r>
            <w:r w:rsidDel="00000000" w:rsidR="00000000" w:rsidRPr="00000000">
              <w:rPr>
                <w:rFonts w:ascii="Arial" w:cs="Arial" w:eastAsia="Arial" w:hAnsi="Arial"/>
                <w:b w:val="0"/>
                <w:i w:val="0"/>
                <w:smallCaps w:val="0"/>
                <w:strike w:val="0"/>
                <w:color w:val="000000"/>
                <w:sz w:val="22"/>
                <w:szCs w:val="22"/>
                <w:u w:val="singl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Email: 1803400@student.uwtsd.ac.uk</w:t>
            </w:r>
          </w:p>
        </w:tc>
      </w:tr>
      <w:tr>
        <w:trPr>
          <w:cantSplit w:val="0"/>
          <w:trHeight w:val="849" w:hRule="atLeast"/>
          <w:tblHeader w:val="0"/>
        </w:trPr>
        <w:tc>
          <w:tcPr>
            <w:vAlign w:val="top"/>
          </w:tcPr>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Module code: HPCA7031</w:t>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Module title:</w:t>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sz w:val="22"/>
                <w:szCs w:val="22"/>
                <w:rtl w:val="0"/>
              </w:rPr>
              <w:t xml:space="preserve">Astrology, History, Spirit and Soul</w:t>
            </w: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3"/>
            <w:vAlign w:val="top"/>
          </w:tcPr>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Student ID number:</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1803400</w:t>
            </w:r>
          </w:p>
        </w:tc>
        <w:tc>
          <w:tcPr>
            <w:vAlign w:val="top"/>
          </w:tcPr>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Educational support needs:</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4a86e8" w:val="clear"/>
                <w:vertAlign w:val="baseline"/>
                <w:rtl w:val="0"/>
              </w:rPr>
              <w:t xml:space="preserve">Yes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/No</w:t>
            </w:r>
          </w:p>
        </w:tc>
      </w:tr>
      <w:tr>
        <w:trPr>
          <w:cantSplit w:val="0"/>
          <w:trHeight w:val="1139" w:hRule="atLeast"/>
          <w:tblHeader w:val="0"/>
        </w:trPr>
        <w:tc>
          <w:tcPr>
            <w:gridSpan w:val="5"/>
            <w:vAlign w:val="top"/>
          </w:tcPr>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Assignment title:</w:t>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A Critical Review of three primary source documents (Assignment 1)</w:t>
            </w: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Assignment due date: 17th November 2023 / 24th with a DD</w:t>
            </w:r>
          </w:p>
        </w:tc>
      </w:tr>
      <w:tr>
        <w:trPr>
          <w:cantSplit w:val="0"/>
          <w:trHeight w:val="978" w:hRule="atLeast"/>
          <w:tblHeader w:val="0"/>
        </w:trPr>
        <w:tc>
          <w:tcPr>
            <w:gridSpan w:val="5"/>
            <w:tcBorders>
              <w:bottom w:color="000000" w:space="0" w:sz="4" w:val="single"/>
            </w:tcBorders>
            <w:vAlign w:val="top"/>
          </w:tcPr>
          <w:p w:rsidR="00000000" w:rsidDel="00000000" w:rsidP="00000000" w:rsidRDefault="00000000" w:rsidRPr="00000000" w14:paraId="00000028">
            <w:pPr>
              <w:rPr>
                <w:rFonts w:ascii="Arial" w:cs="Arial" w:eastAsia="Arial" w:hAnsi="Arial"/>
                <w:sz w:val="22"/>
                <w:szCs w:val="22"/>
                <w:vertAlign w:val="baseline"/>
              </w:rPr>
            </w:pPr>
            <w:r w:rsidDel="00000000" w:rsidR="00000000" w:rsidRPr="00000000">
              <w:rPr>
                <w:rFonts w:ascii="Arial" w:cs="Arial" w:eastAsia="Arial" w:hAnsi="Arial"/>
                <w:sz w:val="22"/>
                <w:szCs w:val="22"/>
                <w:vertAlign w:val="baseline"/>
                <w:rtl w:val="0"/>
              </w:rPr>
              <w:t xml:space="preserve">This assignment is for the       1</w:t>
            </w:r>
            <w:r w:rsidDel="00000000" w:rsidR="00000000" w:rsidRPr="00000000">
              <w:rPr>
                <w:rFonts w:ascii="Arial" w:cs="Arial" w:eastAsia="Arial" w:hAnsi="Arial"/>
                <w:sz w:val="22"/>
                <w:szCs w:val="22"/>
                <w:vertAlign w:val="superscript"/>
                <w:rtl w:val="0"/>
              </w:rPr>
              <w:t xml:space="preserve">st </w:t>
            </w:r>
            <w:bookmarkStart w:colFirst="0" w:colLast="0" w:name="gjdgxs" w:id="0"/>
            <w:bookmarkEnd w:id="0"/>
            <w:r w:rsidDel="00000000" w:rsidR="00000000" w:rsidRPr="00000000">
              <w:rPr>
                <w:rFonts w:ascii="Arial" w:cs="Arial" w:eastAsia="Arial" w:hAnsi="Arial"/>
                <w:sz w:val="22"/>
                <w:szCs w:val="22"/>
                <w:vertAlign w:val="baseline"/>
                <w:rtl w:val="0"/>
              </w:rPr>
              <w:t xml:space="preserve">☐    2</w:t>
            </w:r>
            <w:r w:rsidDel="00000000" w:rsidR="00000000" w:rsidRPr="00000000">
              <w:rPr>
                <w:rFonts w:ascii="Arial" w:cs="Arial" w:eastAsia="Arial" w:hAnsi="Arial"/>
                <w:sz w:val="22"/>
                <w:szCs w:val="22"/>
                <w:vertAlign w:val="superscript"/>
                <w:rtl w:val="0"/>
              </w:rPr>
              <w:t xml:space="preserve">nd</w:t>
            </w:r>
            <w:r w:rsidDel="00000000" w:rsidR="00000000" w:rsidRPr="00000000">
              <w:rPr>
                <w:rFonts w:ascii="Arial" w:cs="Arial" w:eastAsia="Arial" w:hAnsi="Arial"/>
                <w:sz w:val="22"/>
                <w:szCs w:val="22"/>
                <w:vertAlign w:val="baseline"/>
                <w:rtl w:val="0"/>
              </w:rPr>
              <w:t xml:space="preserve">  </w:t>
            </w:r>
            <w:bookmarkStart w:colFirst="0" w:colLast="0" w:name="30j0zll" w:id="1"/>
            <w:bookmarkEnd w:id="1"/>
            <w:r w:rsidDel="00000000" w:rsidR="00000000" w:rsidRPr="00000000">
              <w:rPr>
                <w:rFonts w:ascii="Arial" w:cs="Arial" w:eastAsia="Arial" w:hAnsi="Arial"/>
                <w:sz w:val="22"/>
                <w:szCs w:val="22"/>
                <w:vertAlign w:val="baseline"/>
                <w:rtl w:val="0"/>
              </w:rPr>
              <w:t xml:space="preserve">☐     3</w:t>
            </w:r>
            <w:r w:rsidDel="00000000" w:rsidR="00000000" w:rsidRPr="00000000">
              <w:rPr>
                <w:rFonts w:ascii="Arial" w:cs="Arial" w:eastAsia="Arial" w:hAnsi="Arial"/>
                <w:sz w:val="22"/>
                <w:szCs w:val="22"/>
                <w:vertAlign w:val="superscript"/>
                <w:rtl w:val="0"/>
              </w:rPr>
              <w:t xml:space="preserve">rd</w:t>
            </w:r>
            <w:r w:rsidDel="00000000" w:rsidR="00000000" w:rsidRPr="00000000">
              <w:rPr>
                <w:rFonts w:ascii="Arial" w:cs="Arial" w:eastAsia="Arial" w:hAnsi="Arial"/>
                <w:sz w:val="22"/>
                <w:szCs w:val="22"/>
                <w:vertAlign w:val="baseline"/>
                <w:rtl w:val="0"/>
              </w:rPr>
              <w:t xml:space="preserve">  </w:t>
            </w:r>
            <w:bookmarkStart w:colFirst="0" w:colLast="0" w:name="1fob9te" w:id="2"/>
            <w:bookmarkEnd w:id="2"/>
            <w:r w:rsidDel="00000000" w:rsidR="00000000" w:rsidRPr="00000000">
              <w:rPr>
                <w:rFonts w:ascii="Arial" w:cs="Arial" w:eastAsia="Arial" w:hAnsi="Arial"/>
                <w:sz w:val="22"/>
                <w:szCs w:val="22"/>
                <w:vertAlign w:val="baseline"/>
                <w:rtl w:val="0"/>
              </w:rPr>
              <w:t xml:space="preserve">☐      </w:t>
            </w:r>
            <w:r w:rsidDel="00000000" w:rsidR="00000000" w:rsidRPr="00000000">
              <w:rPr>
                <w:rFonts w:ascii="Arial" w:cs="Arial" w:eastAsia="Arial" w:hAnsi="Arial"/>
                <w:sz w:val="22"/>
                <w:szCs w:val="22"/>
                <w:highlight w:val="yellow"/>
                <w:vertAlign w:val="baseline"/>
                <w:rtl w:val="0"/>
              </w:rPr>
              <w:t xml:space="preserve">4</w:t>
            </w:r>
            <w:r w:rsidDel="00000000" w:rsidR="00000000" w:rsidRPr="00000000">
              <w:rPr>
                <w:rFonts w:ascii="Arial" w:cs="Arial" w:eastAsia="Arial" w:hAnsi="Arial"/>
                <w:sz w:val="22"/>
                <w:szCs w:val="22"/>
                <w:highlight w:val="yellow"/>
                <w:vertAlign w:val="superscript"/>
                <w:rtl w:val="0"/>
              </w:rPr>
              <w:t xml:space="preserve">th</w:t>
            </w:r>
            <w:r w:rsidDel="00000000" w:rsidR="00000000" w:rsidRPr="00000000">
              <w:rPr>
                <w:rFonts w:ascii="Arial" w:cs="Arial" w:eastAsia="Arial" w:hAnsi="Arial"/>
                <w:sz w:val="22"/>
                <w:szCs w:val="22"/>
                <w:highlight w:val="yellow"/>
                <w:vertAlign w:val="baseline"/>
                <w:rtl w:val="0"/>
              </w:rPr>
              <w:t xml:space="preserve"> </w:t>
            </w:r>
            <w:bookmarkStart w:colFirst="0" w:colLast="0" w:name="3znysh7" w:id="3"/>
            <w:bookmarkEnd w:id="3"/>
            <w:r w:rsidDel="00000000" w:rsidR="00000000" w:rsidRPr="00000000">
              <w:rPr>
                <w:rFonts w:ascii="Arial" w:cs="Arial" w:eastAsia="Arial" w:hAnsi="Arial"/>
                <w:sz w:val="22"/>
                <w:szCs w:val="22"/>
                <w:highlight w:val="yellow"/>
                <w:vertAlign w:val="baseline"/>
                <w:rtl w:val="0"/>
              </w:rPr>
              <w:t xml:space="preserve">☐   </w:t>
            </w:r>
            <w:r w:rsidDel="00000000" w:rsidR="00000000" w:rsidRPr="00000000">
              <w:rPr>
                <w:rFonts w:ascii="Arial" w:cs="Arial" w:eastAsia="Arial" w:hAnsi="Arial"/>
                <w:sz w:val="22"/>
                <w:szCs w:val="22"/>
                <w:vertAlign w:val="baseline"/>
                <w:rtl w:val="0"/>
              </w:rPr>
              <w:t xml:space="preserve">   5</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vertAlign w:val="baseline"/>
                <w:rtl w:val="0"/>
              </w:rPr>
              <w:t xml:space="preserve"> </w:t>
            </w:r>
            <w:bookmarkStart w:colFirst="0" w:colLast="0" w:name="2et92p0" w:id="4"/>
            <w:bookmarkEnd w:id="4"/>
            <w:r w:rsidDel="00000000" w:rsidR="00000000" w:rsidRPr="00000000">
              <w:rPr>
                <w:rFonts w:ascii="Arial" w:cs="Arial" w:eastAsia="Arial" w:hAnsi="Arial"/>
                <w:sz w:val="22"/>
                <w:szCs w:val="22"/>
                <w:vertAlign w:val="baseline"/>
                <w:rtl w:val="0"/>
              </w:rPr>
              <w:t xml:space="preserve">☐      6</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vertAlign w:val="baseline"/>
                <w:rtl w:val="0"/>
              </w:rPr>
              <w:t xml:space="preserve"> </w:t>
            </w:r>
            <w:bookmarkStart w:colFirst="0" w:colLast="0" w:name="tyjcwt" w:id="5"/>
            <w:bookmarkEnd w:id="5"/>
            <w:r w:rsidDel="00000000" w:rsidR="00000000" w:rsidRPr="00000000">
              <w:rPr>
                <w:rFonts w:ascii="Arial" w:cs="Arial" w:eastAsia="Arial" w:hAnsi="Arial"/>
                <w:sz w:val="22"/>
                <w:szCs w:val="22"/>
                <w:vertAlign w:val="baseline"/>
                <w:rtl w:val="0"/>
              </w:rPr>
              <w:t xml:space="preserve">☐</w:t>
            </w:r>
            <w:r w:rsidDel="00000000" w:rsidR="00000000" w:rsidRPr="00000000">
              <w:rPr>
                <w:rFonts w:ascii="Arial" w:cs="Arial" w:eastAsia="Arial" w:hAnsi="Arial"/>
                <w:b w:val="1"/>
                <w:sz w:val="22"/>
                <w:szCs w:val="22"/>
                <w:vertAlign w:val="baseline"/>
                <w:rtl w:val="0"/>
              </w:rPr>
              <w:t xml:space="preserve">   </w:t>
            </w:r>
            <w:r w:rsidDel="00000000" w:rsidR="00000000" w:rsidRPr="00000000">
              <w:rPr>
                <w:rFonts w:ascii="Arial" w:cs="Arial" w:eastAsia="Arial" w:hAnsi="Arial"/>
                <w:sz w:val="22"/>
                <w:szCs w:val="22"/>
                <w:vertAlign w:val="baseline"/>
                <w:rtl w:val="0"/>
              </w:rPr>
              <w:t xml:space="preserve">module of the degree</w:t>
            </w:r>
          </w:p>
        </w:tc>
      </w:tr>
      <w:tr>
        <w:trPr>
          <w:cantSplit w:val="0"/>
          <w:trHeight w:val="978" w:hRule="atLeast"/>
          <w:tblHeader w:val="0"/>
        </w:trPr>
        <w:tc>
          <w:tcPr>
            <w:gridSpan w:val="5"/>
            <w:shd w:fill="d9d9d9" w:val="clear"/>
            <w:vAlign w:val="top"/>
          </w:tcPr>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confirm that this is my original work and that I have adhered to the University policy on plagiarism.</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Signed ……India Sweeting………………………………………………………</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Calibri" w:cs="Calibri" w:eastAsia="Calibri" w:hAnsi="Calibri"/>
                <w:b w:val="0"/>
                <w:i w:val="0"/>
                <w:smallCaps w:val="0"/>
                <w:strike w:val="0"/>
                <w:color w:val="000000"/>
                <w:sz w:val="44"/>
                <w:szCs w:val="4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Email submission:if you are submitting this form via email, please tick this box </w:t>
            </w:r>
            <w:r w:rsidDel="00000000" w:rsidR="00000000" w:rsidRPr="00000000">
              <w:rPr>
                <w:rFonts w:ascii="Calibri" w:cs="Calibri" w:eastAsia="Calibri" w:hAnsi="Calibri"/>
                <w:b w:val="1"/>
                <w:i w:val="0"/>
                <w:smallCaps w:val="0"/>
                <w:strike w:val="0"/>
                <w:color w:val="000000"/>
                <w:sz w:val="44"/>
                <w:szCs w:val="44"/>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(as a substitute for your signature) to confirm that you agree to the above declaration.</w:t>
            </w:r>
            <w:r w:rsidDel="00000000" w:rsidR="00000000" w:rsidRPr="00000000">
              <w:rPr>
                <w:rtl w:val="0"/>
              </w:rPr>
            </w:r>
          </w:p>
        </w:tc>
      </w:tr>
      <w:tr>
        <w:trPr>
          <w:cantSplit w:val="0"/>
          <w:trHeight w:val="3972" w:hRule="atLeast"/>
          <w:tblHeader w:val="0"/>
        </w:trPr>
        <w:tc>
          <w:tcPr>
            <w:gridSpan w:val="5"/>
            <w:vAlign w:val="top"/>
          </w:tcPr>
          <w:p w:rsidR="00000000" w:rsidDel="00000000" w:rsidP="00000000" w:rsidRDefault="00000000" w:rsidRPr="00000000" w14:paraId="00000035">
            <w:pPr>
              <w:rPr>
                <w:rFonts w:ascii="Arial" w:cs="Arial" w:eastAsia="Arial" w:hAnsi="Arial"/>
                <w:b w:val="0"/>
                <w:vertAlign w:val="baseline"/>
              </w:rPr>
            </w:pPr>
            <w:r w:rsidDel="00000000" w:rsidR="00000000" w:rsidRPr="00000000">
              <w:rPr>
                <w:rtl w:val="0"/>
              </w:rPr>
            </w:r>
          </w:p>
          <w:p w:rsidR="00000000" w:rsidDel="00000000" w:rsidP="00000000" w:rsidRDefault="00000000" w:rsidRPr="00000000" w14:paraId="00000036">
            <w:pPr>
              <w:rPr>
                <w:rFonts w:ascii="Arial" w:cs="Arial" w:eastAsia="Arial" w:hAnsi="Arial"/>
                <w:vertAlign w:val="baseline"/>
              </w:rPr>
            </w:pPr>
            <w:r w:rsidDel="00000000" w:rsidR="00000000" w:rsidRPr="00000000">
              <w:rPr>
                <w:rFonts w:ascii="Arial" w:cs="Arial" w:eastAsia="Arial" w:hAnsi="Arial"/>
                <w:b w:val="1"/>
                <w:vertAlign w:val="baseline"/>
                <w:rtl w:val="0"/>
              </w:rPr>
              <w:t xml:space="preserve">Assignment Mark</w:t>
            </w:r>
            <w:r w:rsidDel="00000000" w:rsidR="00000000" w:rsidRPr="00000000">
              <w:rPr>
                <w:rtl w:val="0"/>
              </w:rPr>
            </w:r>
          </w:p>
          <w:tbl>
            <w:tblPr>
              <w:tblStyle w:val="Table2"/>
              <w:tblW w:w="86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970"/>
              <w:gridCol w:w="1660"/>
              <w:tblGridChange w:id="0">
                <w:tblGrid>
                  <w:gridCol w:w="6970"/>
                  <w:gridCol w:w="1660"/>
                </w:tblGrid>
              </w:tblGridChange>
            </w:tblGrid>
            <w:tr>
              <w:trPr>
                <w:cantSplit w:val="0"/>
                <w:tblHeader w:val="0"/>
              </w:trPr>
              <w:tc>
                <w:tcPr>
                  <w:vAlign w:val="top"/>
                </w:tcPr>
                <w:p w:rsidR="00000000" w:rsidDel="00000000" w:rsidP="00000000" w:rsidRDefault="00000000" w:rsidRPr="00000000" w14:paraId="00000037">
                  <w:pPr>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38">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1</w:t>
                  </w:r>
                  <w:r w:rsidDel="00000000" w:rsidR="00000000" w:rsidRPr="00000000">
                    <w:rPr>
                      <w:rFonts w:ascii="Arial" w:cs="Arial" w:eastAsia="Arial" w:hAnsi="Arial"/>
                      <w:sz w:val="20"/>
                      <w:szCs w:val="20"/>
                      <w:vertAlign w:val="superscript"/>
                      <w:rtl w:val="0"/>
                    </w:rPr>
                    <w:t xml:space="preserve">st</w:t>
                  </w:r>
                  <w:r w:rsidDel="00000000" w:rsidR="00000000" w:rsidRPr="00000000">
                    <w:rPr>
                      <w:rFonts w:ascii="Arial" w:cs="Arial" w:eastAsia="Arial" w:hAnsi="Arial"/>
                      <w:sz w:val="20"/>
                      <w:szCs w:val="20"/>
                      <w:vertAlign w:val="baseline"/>
                      <w:rtl w:val="0"/>
                    </w:rPr>
                    <w:t xml:space="preserve"> Marker’s Provisional mark</w:t>
                  </w:r>
                </w:p>
              </w:tc>
              <w:tc>
                <w:tcPr>
                  <w:vAlign w:val="top"/>
                </w:tcPr>
                <w:p w:rsidR="00000000" w:rsidDel="00000000" w:rsidP="00000000" w:rsidRDefault="00000000" w:rsidRPr="00000000" w14:paraId="00000039">
                  <w:pPr>
                    <w:rPr>
                      <w:rFonts w:ascii="Arial" w:cs="Arial" w:eastAsia="Arial" w:hAnsi="Arial"/>
                      <w:sz w:val="20"/>
                      <w:szCs w:val="20"/>
                      <w:vertAlign w:val="baseline"/>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A">
                  <w:pPr>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3B">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2</w:t>
                  </w:r>
                  <w:r w:rsidDel="00000000" w:rsidR="00000000" w:rsidRPr="00000000">
                    <w:rPr>
                      <w:rFonts w:ascii="Arial" w:cs="Arial" w:eastAsia="Arial" w:hAnsi="Arial"/>
                      <w:sz w:val="20"/>
                      <w:szCs w:val="20"/>
                      <w:vertAlign w:val="superscript"/>
                      <w:rtl w:val="0"/>
                    </w:rPr>
                    <w:t xml:space="preserve">nd</w:t>
                  </w:r>
                  <w:r w:rsidDel="00000000" w:rsidR="00000000" w:rsidRPr="00000000">
                    <w:rPr>
                      <w:rFonts w:ascii="Arial" w:cs="Arial" w:eastAsia="Arial" w:hAnsi="Arial"/>
                      <w:sz w:val="20"/>
                      <w:szCs w:val="20"/>
                      <w:vertAlign w:val="baseline"/>
                      <w:rtl w:val="0"/>
                    </w:rPr>
                    <w:t xml:space="preserve"> Marker’s/Moderator’s provisional mark</w:t>
                  </w:r>
                </w:p>
              </w:tc>
              <w:tc>
                <w:tcPr>
                  <w:vAlign w:val="top"/>
                </w:tcPr>
                <w:p w:rsidR="00000000" w:rsidDel="00000000" w:rsidP="00000000" w:rsidRDefault="00000000" w:rsidRPr="00000000" w14:paraId="0000003C">
                  <w:pPr>
                    <w:rPr>
                      <w:rFonts w:ascii="Arial" w:cs="Arial" w:eastAsia="Arial" w:hAnsi="Arial"/>
                      <w:sz w:val="20"/>
                      <w:szCs w:val="20"/>
                      <w:vertAlign w:val="baseline"/>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D">
                  <w:pPr>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3E">
                  <w:pPr>
                    <w:rPr>
                      <w:rFonts w:ascii="Arial" w:cs="Arial" w:eastAsia="Arial" w:hAnsi="Arial"/>
                      <w:sz w:val="20"/>
                      <w:szCs w:val="20"/>
                      <w:vertAlign w:val="baseline"/>
                    </w:rPr>
                  </w:pPr>
                  <w:r w:rsidDel="00000000" w:rsidR="00000000" w:rsidRPr="00000000">
                    <w:rPr>
                      <w:rFonts w:ascii="Arial" w:cs="Arial" w:eastAsia="Arial" w:hAnsi="Arial"/>
                      <w:sz w:val="20"/>
                      <w:szCs w:val="20"/>
                      <w:vertAlign w:val="baseline"/>
                      <w:rtl w:val="0"/>
                    </w:rPr>
                    <w:t xml:space="preserve">External Examiner’s mark (if relevant)</w:t>
                  </w:r>
                </w:p>
              </w:tc>
              <w:tc>
                <w:tcPr>
                  <w:vAlign w:val="top"/>
                </w:tcPr>
                <w:p w:rsidR="00000000" w:rsidDel="00000000" w:rsidP="00000000" w:rsidRDefault="00000000" w:rsidRPr="00000000" w14:paraId="0000003F">
                  <w:pPr>
                    <w:rPr>
                      <w:rFonts w:ascii="Arial" w:cs="Arial" w:eastAsia="Arial" w:hAnsi="Arial"/>
                      <w:sz w:val="20"/>
                      <w:szCs w:val="20"/>
                      <w:vertAlign w:val="baseline"/>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40">
                  <w:pPr>
                    <w:rPr>
                      <w:rFonts w:ascii="Arial" w:cs="Arial" w:eastAsia="Arial" w:hAnsi="Arial"/>
                      <w:sz w:val="20"/>
                      <w:szCs w:val="20"/>
                      <w:vertAlign w:val="baseline"/>
                    </w:rPr>
                  </w:pPr>
                  <w:r w:rsidDel="00000000" w:rsidR="00000000" w:rsidRPr="00000000">
                    <w:rPr>
                      <w:rtl w:val="0"/>
                    </w:rPr>
                  </w:r>
                </w:p>
                <w:p w:rsidR="00000000" w:rsidDel="00000000" w:rsidP="00000000" w:rsidRDefault="00000000" w:rsidRPr="00000000" w14:paraId="00000041">
                  <w:pPr>
                    <w:rPr>
                      <w:rFonts w:ascii="Arial" w:cs="Arial" w:eastAsia="Arial" w:hAnsi="Arial"/>
                      <w:b w:val="0"/>
                      <w:sz w:val="20"/>
                      <w:szCs w:val="20"/>
                      <w:vertAlign w:val="baseline"/>
                    </w:rPr>
                  </w:pPr>
                  <w:r w:rsidDel="00000000" w:rsidR="00000000" w:rsidRPr="00000000">
                    <w:rPr>
                      <w:rFonts w:ascii="Arial" w:cs="Arial" w:eastAsia="Arial" w:hAnsi="Arial"/>
                      <w:b w:val="1"/>
                      <w:sz w:val="20"/>
                      <w:szCs w:val="20"/>
                      <w:vertAlign w:val="baseline"/>
                      <w:rtl w:val="0"/>
                    </w:rPr>
                    <w:t xml:space="preserve">Final Mark</w:t>
                  </w:r>
                  <w:r w:rsidDel="00000000" w:rsidR="00000000" w:rsidRPr="00000000">
                    <w:rPr>
                      <w:rtl w:val="0"/>
                    </w:rPr>
                  </w:r>
                </w:p>
                <w:p w:rsidR="00000000" w:rsidDel="00000000" w:rsidP="00000000" w:rsidRDefault="00000000" w:rsidRPr="00000000" w14:paraId="00000042">
                  <w:pPr>
                    <w:rPr>
                      <w:rFonts w:ascii="Arial" w:cs="Arial" w:eastAsia="Arial" w:hAnsi="Arial"/>
                      <w:sz w:val="20"/>
                      <w:szCs w:val="20"/>
                      <w:vertAlign w:val="baseline"/>
                    </w:rPr>
                  </w:pPr>
                  <w:r w:rsidDel="00000000" w:rsidR="00000000" w:rsidRPr="00000000">
                    <w:rPr>
                      <w:rtl w:val="0"/>
                    </w:rPr>
                  </w:r>
                </w:p>
              </w:tc>
              <w:tc>
                <w:tcPr>
                  <w:vAlign w:val="top"/>
                </w:tcPr>
                <w:p w:rsidR="00000000" w:rsidDel="00000000" w:rsidP="00000000" w:rsidRDefault="00000000" w:rsidRPr="00000000" w14:paraId="00000043">
                  <w:pPr>
                    <w:rPr>
                      <w:rFonts w:ascii="Arial" w:cs="Arial" w:eastAsia="Arial" w:hAnsi="Arial"/>
                      <w:sz w:val="20"/>
                      <w:szCs w:val="20"/>
                      <w:vertAlign w:val="baseline"/>
                    </w:rPr>
                  </w:pPr>
                  <w:r w:rsidDel="00000000" w:rsidR="00000000" w:rsidRPr="00000000">
                    <w:rPr>
                      <w:rtl w:val="0"/>
                    </w:rPr>
                  </w:r>
                </w:p>
              </w:tc>
            </w:tr>
          </w:tbl>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42"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42"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NB.</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All marks are provisional until confirmed by the Final Examination Board.</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For completion by Marker 1 :</w:t>
            </w:r>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Comments:</w:t>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8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492" w:hRule="atLeast"/>
          <w:tblHeader w:val="0"/>
        </w:trPr>
        <w:tc>
          <w:tcPr>
            <w:gridSpan w:val="3"/>
            <w:vAlign w:val="top"/>
          </w:tcPr>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42"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Marker’s signature:</w:t>
            </w:r>
          </w:p>
        </w:tc>
        <w:tc>
          <w:tcPr>
            <w:gridSpan w:val="2"/>
            <w:vAlign w:val="top"/>
          </w:tcPr>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42" w:right="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Date:</w:t>
            </w:r>
          </w:p>
        </w:tc>
      </w:tr>
      <w:tr>
        <w:trPr>
          <w:cantSplit w:val="0"/>
          <w:tblHeader w:val="0"/>
        </w:trPr>
        <w:tc>
          <w:tcPr>
            <w:gridSpan w:val="5"/>
            <w:vAlign w:val="top"/>
          </w:tcPr>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For completion by Marker 2/Moderator:</w:t>
            </w:r>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Comments:</w:t>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Marker’s Signature:</w:t>
            </w:r>
          </w:p>
        </w:tc>
        <w:tc>
          <w:tcPr>
            <w:gridSpan w:val="3"/>
            <w:vAlign w:val="top"/>
          </w:tcPr>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Date:</w:t>
            </w:r>
          </w:p>
        </w:tc>
      </w:tr>
      <w:tr>
        <w:trPr>
          <w:cantSplit w:val="0"/>
          <w:trHeight w:val="720" w:hRule="atLeast"/>
          <w:tblHeader w:val="0"/>
        </w:trPr>
        <w:tc>
          <w:tcPr>
            <w:gridSpan w:val="5"/>
            <w:vAlign w:val="top"/>
          </w:tcPr>
          <w:p w:rsidR="00000000" w:rsidDel="00000000" w:rsidP="00000000" w:rsidRDefault="00000000" w:rsidRPr="00000000" w14:paraId="00000070">
            <w:pPr>
              <w:rPr>
                <w:rFonts w:ascii="Arial" w:cs="Arial" w:eastAsia="Arial" w:hAnsi="Arial"/>
                <w:b w:val="0"/>
                <w:sz w:val="22"/>
                <w:szCs w:val="22"/>
                <w:vertAlign w:val="baseline"/>
              </w:rPr>
            </w:pPr>
            <w:r w:rsidDel="00000000" w:rsidR="00000000" w:rsidRPr="00000000">
              <w:rPr>
                <w:rFonts w:ascii="Arial" w:cs="Arial" w:eastAsia="Arial" w:hAnsi="Arial"/>
                <w:b w:val="1"/>
                <w:sz w:val="22"/>
                <w:szCs w:val="22"/>
                <w:vertAlign w:val="baseline"/>
                <w:rtl w:val="0"/>
              </w:rPr>
              <w:t xml:space="preserve">External Examiner’s comments (if relevant)</w:t>
            </w:r>
            <w:r w:rsidDel="00000000" w:rsidR="00000000" w:rsidRPr="00000000">
              <w:rPr>
                <w:rtl w:val="0"/>
              </w:rPr>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80">
            <w:pPr>
              <w:rPr>
                <w:rFonts w:ascii="Arial" w:cs="Arial" w:eastAsia="Arial" w:hAnsi="Arial"/>
                <w:sz w:val="22"/>
                <w:szCs w:val="22"/>
                <w:vertAlign w:val="baseline"/>
              </w:rPr>
            </w:pPr>
            <w:r w:rsidDel="00000000" w:rsidR="00000000" w:rsidRPr="00000000">
              <w:rPr>
                <w:rFonts w:ascii="Arial" w:cs="Arial" w:eastAsia="Arial" w:hAnsi="Arial"/>
                <w:sz w:val="22"/>
                <w:szCs w:val="22"/>
                <w:vertAlign w:val="baseline"/>
                <w:rtl w:val="0"/>
              </w:rPr>
              <w:t xml:space="preserve">External Examiner’s Signature:</w:t>
            </w:r>
          </w:p>
        </w:tc>
        <w:tc>
          <w:tcPr>
            <w:gridSpan w:val="3"/>
            <w:vAlign w:val="top"/>
          </w:tcPr>
          <w:p w:rsidR="00000000" w:rsidDel="00000000" w:rsidP="00000000" w:rsidRDefault="00000000" w:rsidRPr="00000000" w14:paraId="00000082">
            <w:pPr>
              <w:rPr>
                <w:rFonts w:ascii="Arial" w:cs="Arial" w:eastAsia="Arial" w:hAnsi="Arial"/>
                <w:sz w:val="22"/>
                <w:szCs w:val="22"/>
                <w:vertAlign w:val="baseline"/>
              </w:rPr>
            </w:pPr>
            <w:r w:rsidDel="00000000" w:rsidR="00000000" w:rsidRPr="00000000">
              <w:rPr>
                <w:rFonts w:ascii="Arial" w:cs="Arial" w:eastAsia="Arial" w:hAnsi="Arial"/>
                <w:sz w:val="22"/>
                <w:szCs w:val="22"/>
                <w:vertAlign w:val="baseline"/>
                <w:rtl w:val="0"/>
              </w:rPr>
              <w:t xml:space="preserve">Date:</w:t>
            </w:r>
          </w:p>
        </w:tc>
      </w:tr>
    </w:tbl>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sectPr>
          <w:headerReference r:id="rId8" w:type="default"/>
          <w:headerReference r:id="rId9" w:type="first"/>
          <w:footerReference r:id="rId10" w:type="default"/>
          <w:footerReference r:id="rId11" w:type="first"/>
          <w:pgSz w:h="15840" w:w="12240" w:orient="portrait"/>
          <w:pgMar w:bottom="567" w:top="567" w:left="1797" w:right="1797" w:header="567" w:footer="720"/>
          <w:pgNumType w:start="1"/>
        </w:sectPr>
      </w:pPr>
      <w:r w:rsidDel="00000000" w:rsidR="00000000" w:rsidRPr="00000000">
        <w:rPr>
          <w:rtl w:val="0"/>
        </w:rPr>
      </w:r>
    </w:p>
    <w:p w:rsidR="00000000" w:rsidDel="00000000" w:rsidP="00000000" w:rsidRDefault="00000000" w:rsidRPr="00000000" w14:paraId="00000086">
      <w:pPr>
        <w:spacing w:line="276" w:lineRule="auto"/>
        <w:rPr>
          <w:rFonts w:ascii="Arial" w:cs="Arial" w:eastAsia="Arial" w:hAnsi="Arial"/>
          <w:sz w:val="22"/>
          <w:szCs w:val="22"/>
        </w:rPr>
        <w:sectPr>
          <w:headerReference r:id="rId12" w:type="first"/>
          <w:type w:val="nextPage"/>
          <w:pgSz w:h="15840" w:w="12240" w:orient="portrait"/>
          <w:pgMar w:bottom="567" w:top="567" w:left="1797" w:right="1797" w:header="567" w:footer="720"/>
          <w:titlePg w:val="1"/>
        </w:sectPr>
      </w:pPr>
      <w:r w:rsidDel="00000000" w:rsidR="00000000" w:rsidRPr="00000000">
        <w:rPr>
          <w:rtl w:val="0"/>
        </w:rPr>
      </w:r>
    </w:p>
    <w:p w:rsidR="00000000" w:rsidDel="00000000" w:rsidP="00000000" w:rsidRDefault="00000000" w:rsidRPr="00000000" w14:paraId="00000087">
      <w:pPr>
        <w:spacing w:line="276" w:lineRule="auto"/>
        <w:rPr>
          <w:rFonts w:ascii="Arial" w:cs="Arial" w:eastAsia="Arial" w:hAnsi="Arial"/>
          <w:sz w:val="22"/>
          <w:szCs w:val="22"/>
        </w:rPr>
        <w:sectPr>
          <w:type w:val="continuous"/>
          <w:pgSz w:h="15840" w:w="12240" w:orient="portrait"/>
          <w:pgMar w:bottom="567" w:top="567" w:left="1797" w:right="1797" w:header="567" w:footer="720"/>
        </w:sectPr>
      </w:pPr>
      <w:r w:rsidDel="00000000" w:rsidR="00000000" w:rsidRPr="00000000">
        <w:rPr>
          <w:rtl w:val="0"/>
        </w:rPr>
      </w:r>
    </w:p>
    <w:p w:rsidR="00000000" w:rsidDel="00000000" w:rsidP="00000000" w:rsidRDefault="00000000" w:rsidRPr="00000000" w14:paraId="00000088">
      <w:pPr>
        <w:spacing w:line="276" w:lineRule="auto"/>
        <w:jc w:val="cente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89">
      <w:pPr>
        <w:spacing w:line="276" w:lineRule="auto"/>
        <w:jc w:val="cente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8A">
      <w:pPr>
        <w:spacing w:line="276" w:lineRule="auto"/>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A Critical Comparison of The Moon in three primary source documents.</w:t>
      </w:r>
    </w:p>
    <w:p w:rsidR="00000000" w:rsidDel="00000000" w:rsidP="00000000" w:rsidRDefault="00000000" w:rsidRPr="00000000" w14:paraId="0000008B">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C">
      <w:pPr>
        <w:spacing w:line="276" w:lineRule="auto"/>
        <w:ind w:firstLine="720"/>
        <w:rPr>
          <w:rFonts w:ascii="Arial" w:cs="Arial" w:eastAsia="Arial" w:hAnsi="Arial"/>
          <w:sz w:val="22"/>
          <w:szCs w:val="22"/>
        </w:rPr>
      </w:pPr>
      <w:r w:rsidDel="00000000" w:rsidR="00000000" w:rsidRPr="00000000">
        <w:rPr>
          <w:rFonts w:ascii="Arial" w:cs="Arial" w:eastAsia="Arial" w:hAnsi="Arial"/>
          <w:sz w:val="22"/>
          <w:szCs w:val="22"/>
          <w:rtl w:val="0"/>
        </w:rPr>
        <w:t xml:space="preserve">This essay delves into three astrological texts—</w:t>
      </w:r>
      <w:r w:rsidDel="00000000" w:rsidR="00000000" w:rsidRPr="00000000">
        <w:rPr>
          <w:rFonts w:ascii="Arial" w:cs="Arial" w:eastAsia="Arial" w:hAnsi="Arial"/>
          <w:i w:val="1"/>
          <w:sz w:val="22"/>
          <w:szCs w:val="22"/>
          <w:rtl w:val="0"/>
        </w:rPr>
        <w:t xml:space="preserve">The Complete Picatrix</w:t>
      </w:r>
      <w:r w:rsidDel="00000000" w:rsidR="00000000" w:rsidRPr="00000000">
        <w:rPr>
          <w:rFonts w:ascii="Arial" w:cs="Arial" w:eastAsia="Arial" w:hAnsi="Arial"/>
          <w:i w:val="1"/>
          <w:sz w:val="22"/>
          <w:szCs w:val="22"/>
          <w:vertAlign w:val="superscript"/>
        </w:rPr>
        <w:footnoteReference w:customMarkFollows="0" w:id="0"/>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The Three Books of Occult Philosophy: Book II</w:t>
      </w:r>
      <w:r w:rsidDel="00000000" w:rsidR="00000000" w:rsidRPr="00000000">
        <w:rPr>
          <w:rFonts w:ascii="Arial" w:cs="Arial" w:eastAsia="Arial" w:hAnsi="Arial"/>
          <w:i w:val="1"/>
          <w:sz w:val="22"/>
          <w:szCs w:val="22"/>
          <w:vertAlign w:val="superscript"/>
        </w:rPr>
        <w:footnoteReference w:customMarkFollows="0" w:id="1"/>
      </w:r>
      <w:r w:rsidDel="00000000" w:rsidR="00000000" w:rsidRPr="00000000">
        <w:rPr>
          <w:rFonts w:ascii="Arial" w:cs="Arial" w:eastAsia="Arial" w:hAnsi="Arial"/>
          <w:sz w:val="22"/>
          <w:szCs w:val="22"/>
          <w:rtl w:val="0"/>
        </w:rPr>
        <w:t xml:space="preserve"> by Cornelius Agrippa, and </w:t>
      </w:r>
      <w:r w:rsidDel="00000000" w:rsidR="00000000" w:rsidRPr="00000000">
        <w:rPr>
          <w:rFonts w:ascii="Arial" w:cs="Arial" w:eastAsia="Arial" w:hAnsi="Arial"/>
          <w:i w:val="1"/>
          <w:sz w:val="22"/>
          <w:szCs w:val="22"/>
          <w:rtl w:val="0"/>
        </w:rPr>
        <w:t xml:space="preserve">The Combination of Stellar Influences</w:t>
      </w:r>
      <w:r w:rsidDel="00000000" w:rsidR="00000000" w:rsidRPr="00000000">
        <w:rPr>
          <w:rFonts w:ascii="Arial" w:cs="Arial" w:eastAsia="Arial" w:hAnsi="Arial"/>
          <w:i w:val="1"/>
          <w:sz w:val="22"/>
          <w:szCs w:val="22"/>
          <w:vertAlign w:val="superscript"/>
        </w:rPr>
        <w:footnoteReference w:customMarkFollows="0" w:id="2"/>
      </w:r>
      <w:r w:rsidDel="00000000" w:rsidR="00000000" w:rsidRPr="00000000">
        <w:rPr>
          <w:rFonts w:ascii="Arial" w:cs="Arial" w:eastAsia="Arial" w:hAnsi="Arial"/>
          <w:sz w:val="22"/>
          <w:szCs w:val="22"/>
          <w:rtl w:val="0"/>
        </w:rPr>
        <w:t xml:space="preserve"> by Reinhold Ebertin. Each of these works, originating from different periods and cultural backgrounds, reflects unique perspectives on astrology, incorporating elements of Neoplatonic theurgy, Christian influences, and modern astrology into their practice. This essay aims to analyse how the Moon is utilised within these texts, considering the underlying philosophical frameworks that inform their astrological insights. </w:t>
        <w:tab/>
      </w:r>
    </w:p>
    <w:p w:rsidR="00000000" w:rsidDel="00000000" w:rsidP="00000000" w:rsidRDefault="00000000" w:rsidRPr="00000000" w14:paraId="0000008D">
      <w:pPr>
        <w:spacing w:line="276" w:lineRule="auto"/>
        <w:ind w:firstLine="720"/>
        <w:rPr>
          <w:rFonts w:ascii="Arial" w:cs="Arial" w:eastAsia="Arial" w:hAnsi="Arial"/>
          <w:sz w:val="22"/>
          <w:szCs w:val="22"/>
        </w:rPr>
      </w:pPr>
      <w:r w:rsidDel="00000000" w:rsidR="00000000" w:rsidRPr="00000000">
        <w:rPr>
          <w:rFonts w:ascii="Arial" w:cs="Arial" w:eastAsia="Arial" w:hAnsi="Arial"/>
          <w:i w:val="1"/>
          <w:sz w:val="22"/>
          <w:szCs w:val="22"/>
          <w:rtl w:val="0"/>
        </w:rPr>
        <w:t xml:space="preserve">The Complete Picatrix, </w:t>
      </w:r>
      <w:r w:rsidDel="00000000" w:rsidR="00000000" w:rsidRPr="00000000">
        <w:rPr>
          <w:rFonts w:ascii="Arial" w:cs="Arial" w:eastAsia="Arial" w:hAnsi="Arial"/>
          <w:sz w:val="22"/>
          <w:szCs w:val="22"/>
          <w:rtl w:val="0"/>
        </w:rPr>
        <w:t xml:space="preserve">also known by its original Arabic name, </w:t>
      </w:r>
      <w:r w:rsidDel="00000000" w:rsidR="00000000" w:rsidRPr="00000000">
        <w:rPr>
          <w:rFonts w:ascii="Arial" w:cs="Arial" w:eastAsia="Arial" w:hAnsi="Arial"/>
          <w:i w:val="1"/>
          <w:sz w:val="22"/>
          <w:szCs w:val="22"/>
          <w:rtl w:val="0"/>
        </w:rPr>
        <w:t xml:space="preserve">Ghayat al-Hakim</w:t>
      </w:r>
      <w:r w:rsidDel="00000000" w:rsidR="00000000" w:rsidRPr="00000000">
        <w:rPr>
          <w:rFonts w:ascii="Arial" w:cs="Arial" w:eastAsia="Arial" w:hAnsi="Arial"/>
          <w:sz w:val="22"/>
          <w:szCs w:val="22"/>
          <w:rtl w:val="0"/>
        </w:rPr>
        <w:t xml:space="preserve">, “The Goal of the Sage", is an Arabic grimoire composed “sometime in the ninth Century by an anonymous Arab wizard in North Africa or Spain”</w:t>
      </w:r>
      <w:r w:rsidDel="00000000" w:rsidR="00000000" w:rsidRPr="00000000">
        <w:rPr>
          <w:rFonts w:ascii="Arial" w:cs="Arial" w:eastAsia="Arial" w:hAnsi="Arial"/>
          <w:sz w:val="22"/>
          <w:szCs w:val="22"/>
          <w:vertAlign w:val="superscript"/>
        </w:rPr>
        <w:footnoteReference w:customMarkFollows="0" w:id="3"/>
      </w:r>
      <w:r w:rsidDel="00000000" w:rsidR="00000000" w:rsidRPr="00000000">
        <w:rPr>
          <w:rFonts w:ascii="Arial" w:cs="Arial" w:eastAsia="Arial" w:hAnsi="Arial"/>
          <w:sz w:val="22"/>
          <w:szCs w:val="22"/>
          <w:rtl w:val="0"/>
        </w:rPr>
        <w:t xml:space="preserve">. John Michael Greer and Christopher Warnock iterate that ”its central focus is philosophical”.</w:t>
      </w:r>
      <w:r w:rsidDel="00000000" w:rsidR="00000000" w:rsidRPr="00000000">
        <w:rPr>
          <w:rFonts w:ascii="Arial" w:cs="Arial" w:eastAsia="Arial" w:hAnsi="Arial"/>
          <w:sz w:val="22"/>
          <w:szCs w:val="22"/>
          <w:vertAlign w:val="superscript"/>
        </w:rPr>
        <w:footnoteReference w:customMarkFollows="0" w:id="4"/>
      </w:r>
      <w:r w:rsidDel="00000000" w:rsidR="00000000" w:rsidRPr="00000000">
        <w:rPr>
          <w:rFonts w:ascii="Arial" w:cs="Arial" w:eastAsia="Arial" w:hAnsi="Arial"/>
          <w:sz w:val="22"/>
          <w:szCs w:val="22"/>
          <w:rtl w:val="0"/>
        </w:rPr>
        <w:t xml:space="preserve"> They also provided that “ it contained an immense body of practical occult lore that had been gathered up among Arab occultists over the two centuries or so before its Anonymous author put pen to paper.  The practice of </w:t>
      </w:r>
      <w:r w:rsidDel="00000000" w:rsidR="00000000" w:rsidRPr="00000000">
        <w:rPr>
          <w:rFonts w:ascii="Arial" w:cs="Arial" w:eastAsia="Arial" w:hAnsi="Arial"/>
          <w:sz w:val="22"/>
          <w:szCs w:val="22"/>
          <w:rtl w:val="0"/>
        </w:rPr>
        <w:t xml:space="preserve">Neoplatonist</w:t>
      </w:r>
      <w:r w:rsidDel="00000000" w:rsidR="00000000" w:rsidRPr="00000000">
        <w:rPr>
          <w:rFonts w:ascii="Arial" w:cs="Arial" w:eastAsia="Arial" w:hAnsi="Arial"/>
          <w:sz w:val="22"/>
          <w:szCs w:val="22"/>
          <w:rtl w:val="0"/>
        </w:rPr>
        <w:t xml:space="preserve"> theurgy contributed a great deal to the collection, and so did the astral magic of Mesopotamia;  there are also workings in Picatrix that show close affinities with the magic practice in ancient Egypt, and others that are clearly borrowed from Hindu tradition.”</w:t>
      </w:r>
      <w:r w:rsidDel="00000000" w:rsidR="00000000" w:rsidRPr="00000000">
        <w:rPr>
          <w:rFonts w:ascii="Arial" w:cs="Arial" w:eastAsia="Arial" w:hAnsi="Arial"/>
          <w:sz w:val="22"/>
          <w:szCs w:val="22"/>
          <w:vertAlign w:val="superscript"/>
        </w:rPr>
        <w:footnoteReference w:customMarkFollows="0" w:id="5"/>
      </w:r>
      <w:r w:rsidDel="00000000" w:rsidR="00000000" w:rsidRPr="00000000">
        <w:rPr>
          <w:rFonts w:ascii="Arial" w:cs="Arial" w:eastAsia="Arial" w:hAnsi="Arial"/>
          <w:sz w:val="22"/>
          <w:szCs w:val="22"/>
          <w:rtl w:val="0"/>
        </w:rPr>
        <w:t xml:space="preserve"> In addition, Peter J. Forshaw mentions that the text also draws from “the influence of Mesopotamian, Egyptian, Greek, Roman, Persian, Zoroastrian, Sabian, Nabataean, and Indian sources”.</w:t>
      </w:r>
      <w:r w:rsidDel="00000000" w:rsidR="00000000" w:rsidRPr="00000000">
        <w:rPr>
          <w:rFonts w:ascii="Arial" w:cs="Arial" w:eastAsia="Arial" w:hAnsi="Arial"/>
          <w:sz w:val="22"/>
          <w:szCs w:val="22"/>
          <w:vertAlign w:val="superscript"/>
        </w:rPr>
        <w:footnoteReference w:customMarkFollows="0" w:id="6"/>
      </w:r>
      <w:r w:rsidDel="00000000" w:rsidR="00000000" w:rsidRPr="00000000">
        <w:rPr>
          <w:rFonts w:ascii="Arial" w:cs="Arial" w:eastAsia="Arial" w:hAnsi="Arial"/>
          <w:sz w:val="22"/>
          <w:szCs w:val="22"/>
          <w:rtl w:val="0"/>
        </w:rPr>
        <w:t xml:space="preserve">  From this, we can conclude that this text is a compilation of earlier astral magic from different cultures, mixed in with the magical philosophy that reiterates ideas of Neoplatonic theurgy. Willy Hartner wrote that this text is commonly attributed to “mathematician and astronomer Abū ‘l-Qāsim Maslama b. Ahmad al-Madjrītī” </w:t>
      </w:r>
      <w:r w:rsidDel="00000000" w:rsidR="00000000" w:rsidRPr="00000000">
        <w:rPr>
          <w:rFonts w:ascii="Arial" w:cs="Arial" w:eastAsia="Arial" w:hAnsi="Arial"/>
          <w:sz w:val="22"/>
          <w:szCs w:val="22"/>
          <w:vertAlign w:val="superscript"/>
        </w:rPr>
        <w:footnoteReference w:customMarkFollows="0" w:id="7"/>
      </w:r>
      <w:r w:rsidDel="00000000" w:rsidR="00000000" w:rsidRPr="00000000">
        <w:rPr>
          <w:rFonts w:ascii="Arial" w:cs="Arial" w:eastAsia="Arial" w:hAnsi="Arial"/>
          <w:sz w:val="22"/>
          <w:szCs w:val="22"/>
          <w:rtl w:val="0"/>
        </w:rPr>
        <w:t xml:space="preserve"> though this credit is historically inaccurate. Liana Saif provided that “Maribel Fierro convincingly identifies the author as the traditionalist and occultist Maslama l-Qurṭubī”. </w:t>
      </w:r>
      <w:r w:rsidDel="00000000" w:rsidR="00000000" w:rsidRPr="00000000">
        <w:rPr>
          <w:rFonts w:ascii="Arial" w:cs="Arial" w:eastAsia="Arial" w:hAnsi="Arial"/>
          <w:sz w:val="22"/>
          <w:szCs w:val="22"/>
          <w:vertAlign w:val="superscript"/>
        </w:rPr>
        <w:footnoteReference w:customMarkFollows="0" w:id="8"/>
      </w:r>
      <w:r w:rsidDel="00000000" w:rsidR="00000000" w:rsidRPr="00000000">
        <w:rPr>
          <w:rFonts w:ascii="Arial" w:cs="Arial" w:eastAsia="Arial" w:hAnsi="Arial"/>
          <w:sz w:val="22"/>
          <w:szCs w:val="22"/>
          <w:rtl w:val="0"/>
        </w:rPr>
        <w:t xml:space="preserve">Despite multiple hypotheses, the author of the Picatrix remains a mystery.  However, the period this text was composed in gives us the idea that the text was motivated by the “Islamic Golden Age '' in which Persian rulers sparked a Renaissance of ancient thought through patronage of schools. In particular, “Harun al-Rashid (786-809), signalled a respect for pagan learning by ordering a collection of original Greek manuscripts; and al-Mamun (813-33), who set up the Bait al-Hikma (House of Wisdom) in Baghdad, as a deliberate attempt to bring scholars together to translate Greek, Syriac, Persian, and Sanskrit works into Arabic and, among other areas, to exchange ideas about the nature of the cosmos.”</w:t>
      </w:r>
      <w:r w:rsidDel="00000000" w:rsidR="00000000" w:rsidRPr="00000000">
        <w:rPr>
          <w:rFonts w:ascii="Arial" w:cs="Arial" w:eastAsia="Arial" w:hAnsi="Arial"/>
          <w:sz w:val="22"/>
          <w:szCs w:val="22"/>
          <w:vertAlign w:val="superscript"/>
        </w:rPr>
        <w:footnoteReference w:customMarkFollows="0" w:id="9"/>
      </w:r>
      <w:r w:rsidDel="00000000" w:rsidR="00000000" w:rsidRPr="00000000">
        <w:rPr>
          <w:rFonts w:ascii="Arial" w:cs="Arial" w:eastAsia="Arial" w:hAnsi="Arial"/>
          <w:sz w:val="22"/>
          <w:szCs w:val="22"/>
          <w:rtl w:val="0"/>
        </w:rPr>
        <w:t xml:space="preserve"> Through this, it can be concluded that the creation of the Picatrix was a signal of the relevance of astrological knowledge and astral magic practice in Persia at the time. This manuscript was written with a particular audience in mind. Greer and Warnock outline that “its anonymous author states repeatedly that it is solely intended for the use of members of a particular profession of his time.. Sapiens or “sage”  but there is another English word perhaps even better suited to the connotations the author had in mind:  “wizard”. </w:t>
      </w:r>
      <w:r w:rsidDel="00000000" w:rsidR="00000000" w:rsidRPr="00000000">
        <w:rPr>
          <w:rFonts w:ascii="Arial" w:cs="Arial" w:eastAsia="Arial" w:hAnsi="Arial"/>
          <w:sz w:val="22"/>
          <w:szCs w:val="22"/>
          <w:vertAlign w:val="superscript"/>
        </w:rPr>
        <w:footnoteReference w:customMarkFollows="0" w:id="10"/>
      </w:r>
      <w:r w:rsidDel="00000000" w:rsidR="00000000" w:rsidRPr="00000000">
        <w:rPr>
          <w:rFonts w:ascii="Arial" w:cs="Arial" w:eastAsia="Arial" w:hAnsi="Arial"/>
          <w:sz w:val="22"/>
          <w:szCs w:val="22"/>
          <w:rtl w:val="0"/>
        </w:rPr>
        <w:t xml:space="preserve">To summarise, the text was intended for wizards of the author's time.  For this paper, Book 1 of this text will be analysed. Forshaw noted that “Book 1 concerns the heavens and their effect on account of the images (</w:t>
      </w:r>
      <w:r w:rsidDel="00000000" w:rsidR="00000000" w:rsidRPr="00000000">
        <w:rPr>
          <w:rFonts w:ascii="Arial" w:cs="Arial" w:eastAsia="Arial" w:hAnsi="Arial"/>
          <w:sz w:val="22"/>
          <w:szCs w:val="22"/>
          <w:rtl w:val="0"/>
        </w:rPr>
        <w:t xml:space="preserve">ymagines</w:t>
      </w:r>
      <w:r w:rsidDel="00000000" w:rsidR="00000000" w:rsidRPr="00000000">
        <w:rPr>
          <w:rFonts w:ascii="Arial" w:cs="Arial" w:eastAsia="Arial" w:hAnsi="Arial"/>
          <w:sz w:val="22"/>
          <w:szCs w:val="22"/>
          <w:rtl w:val="0"/>
        </w:rPr>
        <w:t xml:space="preserve">) in them”.</w:t>
      </w:r>
      <w:r w:rsidDel="00000000" w:rsidR="00000000" w:rsidRPr="00000000">
        <w:rPr>
          <w:rFonts w:ascii="Arial" w:cs="Arial" w:eastAsia="Arial" w:hAnsi="Arial"/>
          <w:sz w:val="22"/>
          <w:szCs w:val="22"/>
          <w:vertAlign w:val="superscript"/>
        </w:rPr>
        <w:footnoteReference w:customMarkFollows="0" w:id="11"/>
      </w:r>
      <w:r w:rsidDel="00000000" w:rsidR="00000000" w:rsidRPr="00000000">
        <w:rPr>
          <w:rFonts w:ascii="Arial" w:cs="Arial" w:eastAsia="Arial" w:hAnsi="Arial"/>
          <w:sz w:val="22"/>
          <w:szCs w:val="22"/>
          <w:rtl w:val="0"/>
        </w:rPr>
        <w:t xml:space="preserve"> In conclusion, The</w:t>
      </w:r>
      <w:r w:rsidDel="00000000" w:rsidR="00000000" w:rsidRPr="00000000">
        <w:rPr>
          <w:rFonts w:ascii="Arial" w:cs="Arial" w:eastAsia="Arial" w:hAnsi="Arial"/>
          <w:i w:val="1"/>
          <w:sz w:val="22"/>
          <w:szCs w:val="22"/>
          <w:rtl w:val="0"/>
        </w:rPr>
        <w:t xml:space="preserve"> Picatrix</w:t>
      </w:r>
      <w:r w:rsidDel="00000000" w:rsidR="00000000" w:rsidRPr="00000000">
        <w:rPr>
          <w:rFonts w:ascii="Arial" w:cs="Arial" w:eastAsia="Arial" w:hAnsi="Arial"/>
          <w:i w:val="1"/>
          <w:sz w:val="22"/>
          <w:szCs w:val="22"/>
          <w:vertAlign w:val="superscript"/>
        </w:rPr>
        <w:footnoteReference w:customMarkFollows="0" w:id="12"/>
      </w:r>
      <w:r w:rsidDel="00000000" w:rsidR="00000000" w:rsidRPr="00000000">
        <w:rPr>
          <w:rFonts w:ascii="Arial" w:cs="Arial" w:eastAsia="Arial" w:hAnsi="Arial"/>
          <w:i w:val="1"/>
          <w:sz w:val="22"/>
          <w:szCs w:val="22"/>
          <w:rtl w:val="0"/>
        </w:rPr>
        <w:t xml:space="preserve"> </w:t>
      </w:r>
      <w:r w:rsidDel="00000000" w:rsidR="00000000" w:rsidRPr="00000000">
        <w:rPr>
          <w:rFonts w:ascii="Arial" w:cs="Arial" w:eastAsia="Arial" w:hAnsi="Arial"/>
          <w:sz w:val="22"/>
          <w:szCs w:val="22"/>
          <w:rtl w:val="0"/>
        </w:rPr>
        <w:t xml:space="preserve">is an astrological grimoire from the ‘Islamic Golden Age’ that not only provides occult lore and astral magic from a range of pre-existing cultural backgrounds but also outlines the philosophy behind this magic from a Neoplatonic perspective. </w:t>
      </w:r>
    </w:p>
    <w:p w:rsidR="00000000" w:rsidDel="00000000" w:rsidP="00000000" w:rsidRDefault="00000000" w:rsidRPr="00000000" w14:paraId="0000008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ab/>
      </w:r>
      <w:r w:rsidDel="00000000" w:rsidR="00000000" w:rsidRPr="00000000">
        <w:rPr>
          <w:rFonts w:ascii="Arial" w:cs="Arial" w:eastAsia="Arial" w:hAnsi="Arial"/>
          <w:i w:val="1"/>
          <w:sz w:val="22"/>
          <w:szCs w:val="22"/>
          <w:rtl w:val="0"/>
        </w:rPr>
        <w:t xml:space="preserve">The Three Books of Occult Philosophy</w:t>
      </w:r>
      <w:r w:rsidDel="00000000" w:rsidR="00000000" w:rsidRPr="00000000">
        <w:rPr>
          <w:rFonts w:ascii="Arial" w:cs="Arial" w:eastAsia="Arial" w:hAnsi="Arial"/>
          <w:sz w:val="22"/>
          <w:szCs w:val="22"/>
          <w:rtl w:val="0"/>
        </w:rPr>
        <w:t xml:space="preserve"> by Cornelius Agrippa is also an astrological magic grimoire, also known by its Latin name, </w:t>
      </w:r>
      <w:r w:rsidDel="00000000" w:rsidR="00000000" w:rsidRPr="00000000">
        <w:rPr>
          <w:rFonts w:ascii="Arial" w:cs="Arial" w:eastAsia="Arial" w:hAnsi="Arial"/>
          <w:i w:val="1"/>
          <w:sz w:val="22"/>
          <w:szCs w:val="22"/>
          <w:rtl w:val="0"/>
        </w:rPr>
        <w:t xml:space="preserve">De occulta philosophia</w:t>
      </w:r>
      <w:r w:rsidDel="00000000" w:rsidR="00000000" w:rsidRPr="00000000">
        <w:rPr>
          <w:rFonts w:ascii="Arial" w:cs="Arial" w:eastAsia="Arial" w:hAnsi="Arial"/>
          <w:sz w:val="22"/>
          <w:szCs w:val="22"/>
          <w:rtl w:val="0"/>
        </w:rPr>
        <w:t xml:space="preserve">. According to Eric Purdue, “The vast majority of </w:t>
      </w:r>
      <w:r w:rsidDel="00000000" w:rsidR="00000000" w:rsidRPr="00000000">
        <w:rPr>
          <w:rFonts w:ascii="Arial" w:cs="Arial" w:eastAsia="Arial" w:hAnsi="Arial"/>
          <w:i w:val="1"/>
          <w:sz w:val="22"/>
          <w:szCs w:val="22"/>
          <w:rtl w:val="0"/>
        </w:rPr>
        <w:t xml:space="preserve">Three Books of Occult Philosophy</w:t>
      </w:r>
      <w:r w:rsidDel="00000000" w:rsidR="00000000" w:rsidRPr="00000000">
        <w:rPr>
          <w:rFonts w:ascii="Arial" w:cs="Arial" w:eastAsia="Arial" w:hAnsi="Arial"/>
          <w:sz w:val="22"/>
          <w:szCs w:val="22"/>
          <w:rtl w:val="0"/>
        </w:rPr>
        <w:t xml:space="preserve"> is pieced together from either word for word citations from other books, or in some cases paraphrases which can be directly cited.” </w:t>
      </w:r>
      <w:r w:rsidDel="00000000" w:rsidR="00000000" w:rsidRPr="00000000">
        <w:rPr>
          <w:rFonts w:ascii="Arial" w:cs="Arial" w:eastAsia="Arial" w:hAnsi="Arial"/>
          <w:sz w:val="22"/>
          <w:szCs w:val="22"/>
          <w:vertAlign w:val="superscript"/>
        </w:rPr>
        <w:footnoteReference w:customMarkFollows="0" w:id="13"/>
      </w:r>
      <w:r w:rsidDel="00000000" w:rsidR="00000000" w:rsidRPr="00000000">
        <w:rPr>
          <w:rFonts w:ascii="Arial" w:cs="Arial" w:eastAsia="Arial" w:hAnsi="Arial"/>
          <w:sz w:val="22"/>
          <w:szCs w:val="22"/>
          <w:rtl w:val="0"/>
        </w:rPr>
        <w:t xml:space="preserve"> This displays a very similar approach to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 in the compiling of a number of external sources to create on manuscript. However, Purdue argues that “Agrippa wasn't just a compiler, since in book one alone Agrippa mentions his personal experiences four times ”.</w:t>
      </w:r>
      <w:r w:rsidDel="00000000" w:rsidR="00000000" w:rsidRPr="00000000">
        <w:rPr>
          <w:rFonts w:ascii="Arial" w:cs="Arial" w:eastAsia="Arial" w:hAnsi="Arial"/>
          <w:sz w:val="22"/>
          <w:szCs w:val="22"/>
          <w:vertAlign w:val="superscript"/>
        </w:rPr>
        <w:footnoteReference w:customMarkFollows="0" w:id="14"/>
      </w:r>
      <w:r w:rsidDel="00000000" w:rsidR="00000000" w:rsidRPr="00000000">
        <w:rPr>
          <w:rFonts w:ascii="Arial" w:cs="Arial" w:eastAsia="Arial" w:hAnsi="Arial"/>
          <w:sz w:val="22"/>
          <w:szCs w:val="22"/>
          <w:rtl w:val="0"/>
        </w:rPr>
        <w:t xml:space="preserve"> Agrippa (1486-1535)</w:t>
      </w:r>
      <w:r w:rsidDel="00000000" w:rsidR="00000000" w:rsidRPr="00000000">
        <w:rPr>
          <w:rFonts w:ascii="Arial" w:cs="Arial" w:eastAsia="Arial" w:hAnsi="Arial"/>
          <w:sz w:val="22"/>
          <w:szCs w:val="22"/>
          <w:vertAlign w:val="superscript"/>
        </w:rPr>
        <w:footnoteReference w:customMarkFollows="0" w:id="15"/>
      </w:r>
      <w:r w:rsidDel="00000000" w:rsidR="00000000" w:rsidRPr="00000000">
        <w:rPr>
          <w:rFonts w:ascii="Arial" w:cs="Arial" w:eastAsia="Arial" w:hAnsi="Arial"/>
          <w:sz w:val="22"/>
          <w:szCs w:val="22"/>
          <w:rtl w:val="0"/>
        </w:rPr>
        <w:t xml:space="preserve"> was a German Scholar and writer. He composed a number of books on the occult and taught as a philosophy lecturer.</w:t>
      </w:r>
      <w:r w:rsidDel="00000000" w:rsidR="00000000" w:rsidRPr="00000000">
        <w:rPr>
          <w:rFonts w:ascii="Arial" w:cs="Arial" w:eastAsia="Arial" w:hAnsi="Arial"/>
          <w:sz w:val="22"/>
          <w:szCs w:val="22"/>
          <w:vertAlign w:val="superscript"/>
        </w:rPr>
        <w:footnoteReference w:customMarkFollows="0" w:id="16"/>
      </w:r>
      <w:r w:rsidDel="00000000" w:rsidR="00000000" w:rsidRPr="00000000">
        <w:rPr>
          <w:rFonts w:ascii="Arial" w:cs="Arial" w:eastAsia="Arial" w:hAnsi="Arial"/>
          <w:sz w:val="22"/>
          <w:szCs w:val="22"/>
          <w:rtl w:val="0"/>
        </w:rPr>
        <w:t xml:space="preserve"> He was merely twenty-three when he composed his first draft of </w:t>
      </w:r>
      <w:r w:rsidDel="00000000" w:rsidR="00000000" w:rsidRPr="00000000">
        <w:rPr>
          <w:rFonts w:ascii="Arial" w:cs="Arial" w:eastAsia="Arial" w:hAnsi="Arial"/>
          <w:i w:val="1"/>
          <w:sz w:val="22"/>
          <w:szCs w:val="22"/>
          <w:rtl w:val="0"/>
        </w:rPr>
        <w:t xml:space="preserve">The Three Books</w:t>
      </w:r>
      <w:r w:rsidDel="00000000" w:rsidR="00000000" w:rsidRPr="00000000">
        <w:rPr>
          <w:rFonts w:ascii="Arial" w:cs="Arial" w:eastAsia="Arial" w:hAnsi="Arial"/>
          <w:i w:val="1"/>
          <w:sz w:val="22"/>
          <w:szCs w:val="22"/>
          <w:vertAlign w:val="superscript"/>
        </w:rPr>
        <w:footnoteReference w:customMarkFollows="0" w:id="17"/>
      </w:r>
      <w:r w:rsidDel="00000000" w:rsidR="00000000" w:rsidRPr="00000000">
        <w:rPr>
          <w:rFonts w:ascii="Arial" w:cs="Arial" w:eastAsia="Arial" w:hAnsi="Arial"/>
          <w:sz w:val="22"/>
          <w:szCs w:val="22"/>
          <w:rtl w:val="0"/>
        </w:rPr>
        <w:t xml:space="preserve"> in 1510.</w:t>
      </w:r>
      <w:r w:rsidDel="00000000" w:rsidR="00000000" w:rsidRPr="00000000">
        <w:rPr>
          <w:rFonts w:ascii="Arial" w:cs="Arial" w:eastAsia="Arial" w:hAnsi="Arial"/>
          <w:sz w:val="22"/>
          <w:szCs w:val="22"/>
          <w:vertAlign w:val="superscript"/>
        </w:rPr>
        <w:footnoteReference w:customMarkFollows="0" w:id="18"/>
      </w:r>
      <w:r w:rsidDel="00000000" w:rsidR="00000000" w:rsidRPr="00000000">
        <w:rPr>
          <w:rFonts w:ascii="Arial" w:cs="Arial" w:eastAsia="Arial" w:hAnsi="Arial"/>
          <w:sz w:val="22"/>
          <w:szCs w:val="22"/>
          <w:rtl w:val="0"/>
        </w:rPr>
        <w:t xml:space="preserve"> Most of this first draft was drawn from “Marsilio Ficino’s </w:t>
      </w:r>
      <w:r w:rsidDel="00000000" w:rsidR="00000000" w:rsidRPr="00000000">
        <w:rPr>
          <w:rFonts w:ascii="Arial" w:cs="Arial" w:eastAsia="Arial" w:hAnsi="Arial"/>
          <w:i w:val="1"/>
          <w:sz w:val="22"/>
          <w:szCs w:val="22"/>
          <w:rtl w:val="0"/>
        </w:rPr>
        <w:t xml:space="preserve">De vita (On Life)</w:t>
      </w:r>
      <w:r w:rsidDel="00000000" w:rsidR="00000000" w:rsidRPr="00000000">
        <w:rPr>
          <w:rFonts w:ascii="Arial" w:cs="Arial" w:eastAsia="Arial" w:hAnsi="Arial"/>
          <w:sz w:val="22"/>
          <w:szCs w:val="22"/>
          <w:rtl w:val="0"/>
        </w:rPr>
        <w:t xml:space="preserve">, Giovanni Pico della Mirandola’s </w:t>
      </w:r>
      <w:r w:rsidDel="00000000" w:rsidR="00000000" w:rsidRPr="00000000">
        <w:rPr>
          <w:rFonts w:ascii="Arial" w:cs="Arial" w:eastAsia="Arial" w:hAnsi="Arial"/>
          <w:i w:val="1"/>
          <w:sz w:val="22"/>
          <w:szCs w:val="22"/>
          <w:rtl w:val="0"/>
        </w:rPr>
        <w:t xml:space="preserve">Oratio (de dignitate hominis, Oration [on the Dignity of Humankind]),</w:t>
      </w:r>
      <w:r w:rsidDel="00000000" w:rsidR="00000000" w:rsidRPr="00000000">
        <w:rPr>
          <w:rFonts w:ascii="Arial" w:cs="Arial" w:eastAsia="Arial" w:hAnsi="Arial"/>
          <w:sz w:val="22"/>
          <w:szCs w:val="22"/>
          <w:rtl w:val="0"/>
        </w:rPr>
        <w:t xml:space="preserve"> and Johannes Reuchlin De</w:t>
      </w:r>
      <w:r w:rsidDel="00000000" w:rsidR="00000000" w:rsidRPr="00000000">
        <w:rPr>
          <w:rFonts w:ascii="Arial" w:cs="Arial" w:eastAsia="Arial" w:hAnsi="Arial"/>
          <w:i w:val="1"/>
          <w:sz w:val="22"/>
          <w:szCs w:val="22"/>
          <w:rtl w:val="0"/>
        </w:rPr>
        <w:t xml:space="preserve"> verbo mirifico</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sz w:val="22"/>
          <w:szCs w:val="22"/>
          <w:vertAlign w:val="superscript"/>
        </w:rPr>
        <w:footnoteReference w:customMarkFollows="0" w:id="19"/>
      </w:r>
      <w:r w:rsidDel="00000000" w:rsidR="00000000" w:rsidRPr="00000000">
        <w:rPr>
          <w:rFonts w:ascii="Arial" w:cs="Arial" w:eastAsia="Arial" w:hAnsi="Arial"/>
          <w:sz w:val="22"/>
          <w:szCs w:val="22"/>
          <w:rtl w:val="0"/>
        </w:rPr>
        <w:t xml:space="preserve">. The second and final draft was produced in 1533 in Cologne.</w:t>
      </w:r>
      <w:r w:rsidDel="00000000" w:rsidR="00000000" w:rsidRPr="00000000">
        <w:rPr>
          <w:rFonts w:ascii="Arial" w:cs="Arial" w:eastAsia="Arial" w:hAnsi="Arial"/>
          <w:sz w:val="22"/>
          <w:szCs w:val="22"/>
          <w:vertAlign w:val="superscript"/>
        </w:rPr>
        <w:footnoteReference w:customMarkFollows="0" w:id="20"/>
      </w:r>
      <w:r w:rsidDel="00000000" w:rsidR="00000000" w:rsidRPr="00000000">
        <w:rPr>
          <w:rFonts w:ascii="Arial" w:cs="Arial" w:eastAsia="Arial" w:hAnsi="Arial"/>
          <w:sz w:val="22"/>
          <w:szCs w:val="22"/>
          <w:rtl w:val="0"/>
        </w:rPr>
        <w:t xml:space="preserve"> During this 23 year stretch, Agrippa gained further knowledge through his extensive travels</w:t>
      </w:r>
      <w:r w:rsidDel="00000000" w:rsidR="00000000" w:rsidRPr="00000000">
        <w:rPr>
          <w:rFonts w:ascii="Arial" w:cs="Arial" w:eastAsia="Arial" w:hAnsi="Arial"/>
          <w:sz w:val="22"/>
          <w:szCs w:val="22"/>
          <w:vertAlign w:val="superscript"/>
        </w:rPr>
        <w:footnoteReference w:customMarkFollows="0" w:id="21"/>
      </w:r>
      <w:r w:rsidDel="00000000" w:rsidR="00000000" w:rsidRPr="00000000">
        <w:rPr>
          <w:rFonts w:ascii="Arial" w:cs="Arial" w:eastAsia="Arial" w:hAnsi="Arial"/>
          <w:sz w:val="22"/>
          <w:szCs w:val="22"/>
          <w:rtl w:val="0"/>
        </w:rPr>
        <w:t xml:space="preserve"> and perhaps introductions to new texts that helped to expand his work, such as “Ficino’s commentaries on Plato and Plotinus”</w:t>
      </w:r>
      <w:r w:rsidDel="00000000" w:rsidR="00000000" w:rsidRPr="00000000">
        <w:rPr>
          <w:rFonts w:ascii="Arial" w:cs="Arial" w:eastAsia="Arial" w:hAnsi="Arial"/>
          <w:sz w:val="22"/>
          <w:szCs w:val="22"/>
          <w:vertAlign w:val="superscript"/>
        </w:rPr>
        <w:footnoteReference w:customMarkFollows="0" w:id="22"/>
      </w:r>
      <w:r w:rsidDel="00000000" w:rsidR="00000000" w:rsidRPr="00000000">
        <w:rPr>
          <w:rFonts w:ascii="Arial" w:cs="Arial" w:eastAsia="Arial" w:hAnsi="Arial"/>
          <w:sz w:val="22"/>
          <w:szCs w:val="22"/>
          <w:rtl w:val="0"/>
        </w:rPr>
        <w:t xml:space="preserve"> among other texts. Within this stretch between versions, Agrippa spent much time in Italy where he spent a lot of time studying among fellow scholars of “esoteric religious traditions, chiefly the Cabala and the Hermetic writings, and also with certain Christian writings, such as those of the pseudo-Dionysius, which by their large Neoplatonic content had strong affinities with the esoteric works”</w:t>
      </w:r>
      <w:r w:rsidDel="00000000" w:rsidR="00000000" w:rsidRPr="00000000">
        <w:rPr>
          <w:rFonts w:ascii="Arial" w:cs="Arial" w:eastAsia="Arial" w:hAnsi="Arial"/>
          <w:sz w:val="22"/>
          <w:szCs w:val="22"/>
          <w:vertAlign w:val="superscript"/>
        </w:rPr>
        <w:footnoteReference w:customMarkFollows="0" w:id="23"/>
      </w:r>
      <w:r w:rsidDel="00000000" w:rsidR="00000000" w:rsidRPr="00000000">
        <w:rPr>
          <w:rFonts w:ascii="Arial" w:cs="Arial" w:eastAsia="Arial" w:hAnsi="Arial"/>
          <w:sz w:val="22"/>
          <w:szCs w:val="22"/>
          <w:rtl w:val="0"/>
        </w:rPr>
        <w:t xml:space="preserve"> It is evident that his time in Italy was vital to the content of his work as the echoes of this Neoplatonic framework as well as Chrisitan writings are at the forefront of </w:t>
      </w:r>
      <w:r w:rsidDel="00000000" w:rsidR="00000000" w:rsidRPr="00000000">
        <w:rPr>
          <w:rFonts w:ascii="Arial" w:cs="Arial" w:eastAsia="Arial" w:hAnsi="Arial"/>
          <w:i w:val="1"/>
          <w:sz w:val="22"/>
          <w:szCs w:val="22"/>
          <w:rtl w:val="0"/>
        </w:rPr>
        <w:t xml:space="preserve">The Three Books</w:t>
      </w:r>
      <w:r w:rsidDel="00000000" w:rsidR="00000000" w:rsidRPr="00000000">
        <w:rPr>
          <w:rFonts w:ascii="Arial" w:cs="Arial" w:eastAsia="Arial" w:hAnsi="Arial"/>
          <w:sz w:val="22"/>
          <w:szCs w:val="22"/>
          <w:rtl w:val="0"/>
        </w:rPr>
        <w:t xml:space="preserve">. Though his motivation for writing this manuscript is scrutinised by modern scholars as potential “charlatanry</w:t>
      </w:r>
      <w:r w:rsidDel="00000000" w:rsidR="00000000" w:rsidRPr="00000000">
        <w:rPr>
          <w:rFonts w:ascii="Arial" w:cs="Arial" w:eastAsia="Arial" w:hAnsi="Arial"/>
          <w:sz w:val="22"/>
          <w:szCs w:val="22"/>
          <w:vertAlign w:val="superscript"/>
        </w:rPr>
        <w:footnoteReference w:customMarkFollows="0" w:id="24"/>
      </w:r>
      <w:r w:rsidDel="00000000" w:rsidR="00000000" w:rsidRPr="00000000">
        <w:rPr>
          <w:rFonts w:ascii="Arial" w:cs="Arial" w:eastAsia="Arial" w:hAnsi="Arial"/>
          <w:sz w:val="22"/>
          <w:szCs w:val="22"/>
          <w:rtl w:val="0"/>
        </w:rPr>
        <w:t xml:space="preserve">, Charles G. Nauert, Jr believes that “Agrippa’s underlying intention, although he does not adhere to it consistently, is to rediscover the truths known to the past, truths which, insofar as they concern ultimate matters are the product not of human reason but of divine revelation to man’.</w:t>
      </w:r>
      <w:r w:rsidDel="00000000" w:rsidR="00000000" w:rsidRPr="00000000">
        <w:rPr>
          <w:rFonts w:ascii="Arial" w:cs="Arial" w:eastAsia="Arial" w:hAnsi="Arial"/>
          <w:sz w:val="22"/>
          <w:szCs w:val="22"/>
          <w:vertAlign w:val="superscript"/>
        </w:rPr>
        <w:footnoteReference w:customMarkFollows="0" w:id="25"/>
      </w:r>
      <w:r w:rsidDel="00000000" w:rsidR="00000000" w:rsidRPr="00000000">
        <w:rPr>
          <w:rFonts w:ascii="Arial" w:cs="Arial" w:eastAsia="Arial" w:hAnsi="Arial"/>
          <w:sz w:val="22"/>
          <w:szCs w:val="22"/>
          <w:rtl w:val="0"/>
        </w:rPr>
        <w:t xml:space="preserve"> Agrippa is not as rigid as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s author when it comes to the intended audience of his text. In Book I, he wrote, “However those of you who come to read [our book] with a level mind, and with great prudence and discretion like bees gathering honey, come and read safely”. He continues by saying “If they (magical cures etc) avert evil events, destroy black magic, cure disease, banish spirits, preserve life, and give honour and fortune without offence to God or injury to religion, aren't these things useful and necessary to men? '' Through this we can tell that Agrippa thought that the natural philosophy contained in his text could benefit all men as long as they can approach the subject with discretion and an open mind. For the purpose of this essay, Book II, relating to the “Celestial/Imaginal''</w:t>
      </w:r>
      <w:r w:rsidDel="00000000" w:rsidR="00000000" w:rsidRPr="00000000">
        <w:rPr>
          <w:rFonts w:ascii="Arial" w:cs="Arial" w:eastAsia="Arial" w:hAnsi="Arial"/>
          <w:sz w:val="22"/>
          <w:szCs w:val="22"/>
          <w:vertAlign w:val="superscript"/>
        </w:rPr>
        <w:footnoteReference w:customMarkFollows="0" w:id="26"/>
      </w:r>
      <w:r w:rsidDel="00000000" w:rsidR="00000000" w:rsidRPr="00000000">
        <w:rPr>
          <w:rFonts w:ascii="Arial" w:cs="Arial" w:eastAsia="Arial" w:hAnsi="Arial"/>
          <w:sz w:val="22"/>
          <w:szCs w:val="22"/>
          <w:rtl w:val="0"/>
        </w:rPr>
        <w:t xml:space="preserve"> world, will be focused on for analysis of how Agrippa uses the Moon in practice. In conclusion, </w:t>
      </w:r>
      <w:r w:rsidDel="00000000" w:rsidR="00000000" w:rsidRPr="00000000">
        <w:rPr>
          <w:rFonts w:ascii="Arial" w:cs="Arial" w:eastAsia="Arial" w:hAnsi="Arial"/>
          <w:i w:val="1"/>
          <w:sz w:val="22"/>
          <w:szCs w:val="22"/>
          <w:rtl w:val="0"/>
        </w:rPr>
        <w:t xml:space="preserve">The Three Books</w:t>
      </w:r>
      <w:r w:rsidDel="00000000" w:rsidR="00000000" w:rsidRPr="00000000">
        <w:rPr>
          <w:rFonts w:ascii="Arial" w:cs="Arial" w:eastAsia="Arial" w:hAnsi="Arial"/>
          <w:sz w:val="22"/>
          <w:szCs w:val="22"/>
          <w:rtl w:val="0"/>
        </w:rPr>
        <w:t xml:space="preserve"> are collections of astrological magic collected from various sources in 16th century Europe. These texts were composed by Cornelius Agrippa, a German occult writer and philosophy professor. </w:t>
      </w:r>
    </w:p>
    <w:p w:rsidR="00000000" w:rsidDel="00000000" w:rsidP="00000000" w:rsidRDefault="00000000" w:rsidRPr="00000000" w14:paraId="0000008F">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ab/>
      </w:r>
      <w:r w:rsidDel="00000000" w:rsidR="00000000" w:rsidRPr="00000000">
        <w:rPr>
          <w:rFonts w:ascii="Arial" w:cs="Arial" w:eastAsia="Arial" w:hAnsi="Arial"/>
          <w:i w:val="1"/>
          <w:sz w:val="22"/>
          <w:szCs w:val="22"/>
          <w:rtl w:val="0"/>
        </w:rPr>
        <w:t xml:space="preserve">The Combination of Stellar Influences</w:t>
      </w:r>
      <w:r w:rsidDel="00000000" w:rsidR="00000000" w:rsidRPr="00000000">
        <w:rPr>
          <w:rFonts w:ascii="Arial" w:cs="Arial" w:eastAsia="Arial" w:hAnsi="Arial"/>
          <w:sz w:val="22"/>
          <w:szCs w:val="22"/>
          <w:rtl w:val="0"/>
        </w:rPr>
        <w:t xml:space="preserve"> by Reinhold Ebertin is a modern astrological text. Ebertin was a German astrologer and cosmobiologist. Its focus, according to the author “the field of cosmobiology, the interpretation of the stellar bodies and other astronomical points in the individual's natal chart. The emphasis lies in the </w:t>
      </w:r>
      <w:r w:rsidDel="00000000" w:rsidR="00000000" w:rsidRPr="00000000">
        <w:rPr>
          <w:rFonts w:ascii="Arial" w:cs="Arial" w:eastAsia="Arial" w:hAnsi="Arial"/>
          <w:sz w:val="22"/>
          <w:szCs w:val="22"/>
          <w:rtl w:val="0"/>
        </w:rPr>
        <w:t xml:space="preserve">cosmobiological</w:t>
      </w:r>
      <w:r w:rsidDel="00000000" w:rsidR="00000000" w:rsidRPr="00000000">
        <w:rPr>
          <w:rFonts w:ascii="Arial" w:cs="Arial" w:eastAsia="Arial" w:hAnsi="Arial"/>
          <w:sz w:val="22"/>
          <w:szCs w:val="22"/>
          <w:rtl w:val="0"/>
        </w:rPr>
        <w:t xml:space="preserve"> characterology and the shaping of destiny.”. Ebertin also notes that the text has “established itself as a standard reference work for the reliable and conscientious interpretation of cosmograms and planetary configurations”. </w:t>
      </w:r>
      <w:r w:rsidDel="00000000" w:rsidR="00000000" w:rsidRPr="00000000">
        <w:rPr>
          <w:rFonts w:ascii="Arial" w:cs="Arial" w:eastAsia="Arial" w:hAnsi="Arial"/>
          <w:sz w:val="22"/>
          <w:szCs w:val="22"/>
          <w:vertAlign w:val="superscript"/>
        </w:rPr>
        <w:footnoteReference w:customMarkFollows="0" w:id="27"/>
      </w:r>
      <w:r w:rsidDel="00000000" w:rsidR="00000000" w:rsidRPr="00000000">
        <w:rPr>
          <w:rFonts w:ascii="Arial" w:cs="Arial" w:eastAsia="Arial" w:hAnsi="Arial"/>
          <w:sz w:val="22"/>
          <w:szCs w:val="22"/>
          <w:rtl w:val="0"/>
        </w:rPr>
        <w:t xml:space="preserve"> This text was originally published in 1940 and inspired by other German Astrologer’s and notably the Hamburg School of Astrology, of which Ebertin was a student. According to Charles Harvey, “Ebertin soon broke away from the Hamburg School and concentrated his energies on clarifying and expanding the Interpretation of mid-points and certain kinds of planetary pictures. ”</w:t>
      </w:r>
      <w:r w:rsidDel="00000000" w:rsidR="00000000" w:rsidRPr="00000000">
        <w:rPr>
          <w:rFonts w:ascii="Arial" w:cs="Arial" w:eastAsia="Arial" w:hAnsi="Arial"/>
          <w:sz w:val="22"/>
          <w:szCs w:val="22"/>
          <w:vertAlign w:val="superscript"/>
        </w:rPr>
        <w:footnoteReference w:customMarkFollows="0" w:id="28"/>
      </w:r>
      <w:r w:rsidDel="00000000" w:rsidR="00000000" w:rsidRPr="00000000">
        <w:rPr>
          <w:rFonts w:ascii="Arial" w:cs="Arial" w:eastAsia="Arial" w:hAnsi="Arial"/>
          <w:sz w:val="22"/>
          <w:szCs w:val="22"/>
          <w:rtl w:val="0"/>
        </w:rPr>
        <w:t xml:space="preserve"> His work on planetary pictures shapes the framework for the </w:t>
      </w:r>
      <w:r w:rsidDel="00000000" w:rsidR="00000000" w:rsidRPr="00000000">
        <w:rPr>
          <w:rFonts w:ascii="Arial" w:cs="Arial" w:eastAsia="Arial" w:hAnsi="Arial"/>
          <w:i w:val="1"/>
          <w:sz w:val="22"/>
          <w:szCs w:val="22"/>
          <w:rtl w:val="0"/>
        </w:rPr>
        <w:t xml:space="preserve">Stellar Influences.</w:t>
      </w:r>
      <w:r w:rsidDel="00000000" w:rsidR="00000000" w:rsidRPr="00000000">
        <w:rPr>
          <w:rFonts w:ascii="Arial" w:cs="Arial" w:eastAsia="Arial" w:hAnsi="Arial"/>
          <w:sz w:val="22"/>
          <w:szCs w:val="22"/>
          <w:vertAlign w:val="superscript"/>
        </w:rPr>
        <w:footnoteReference w:customMarkFollows="0" w:id="29"/>
      </w:r>
      <w:r w:rsidDel="00000000" w:rsidR="00000000" w:rsidRPr="00000000">
        <w:rPr>
          <w:rFonts w:ascii="Arial" w:cs="Arial" w:eastAsia="Arial" w:hAnsi="Arial"/>
          <w:sz w:val="22"/>
          <w:szCs w:val="22"/>
          <w:rtl w:val="0"/>
        </w:rPr>
        <w:t xml:space="preserve"> The intended audience of this piece seems to be those being introduced to comobiology, as he spends a lot of time explaining how it works before providing the interpretative content. </w:t>
      </w:r>
    </w:p>
    <w:p w:rsidR="00000000" w:rsidDel="00000000" w:rsidP="00000000" w:rsidRDefault="00000000" w:rsidRPr="00000000" w14:paraId="00000090">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1">
      <w:pPr>
        <w:spacing w:line="276" w:lineRule="auto"/>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The Moon as informed by cosmology and philosophy</w:t>
      </w:r>
    </w:p>
    <w:p w:rsidR="00000000" w:rsidDel="00000000" w:rsidP="00000000" w:rsidRDefault="00000000" w:rsidRPr="00000000" w14:paraId="00000092">
      <w:pPr>
        <w:spacing w:line="276" w:lineRule="auto"/>
        <w:jc w:val="center"/>
        <w:rPr>
          <w:rFonts w:ascii="Arial" w:cs="Arial" w:eastAsia="Arial" w:hAnsi="Arial"/>
          <w:b w:val="1"/>
          <w:sz w:val="22"/>
          <w:szCs w:val="22"/>
          <w:u w:val="single"/>
        </w:rPr>
      </w:pPr>
      <w:r w:rsidDel="00000000" w:rsidR="00000000" w:rsidRPr="00000000">
        <w:rPr>
          <w:rtl w:val="0"/>
        </w:rPr>
      </w:r>
    </w:p>
    <w:p w:rsidR="00000000" w:rsidDel="00000000" w:rsidP="00000000" w:rsidRDefault="00000000" w:rsidRPr="00000000" w14:paraId="00000093">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ab/>
      </w:r>
      <w:r w:rsidDel="00000000" w:rsidR="00000000" w:rsidRPr="00000000">
        <w:rPr>
          <w:rFonts w:ascii="Arial" w:cs="Arial" w:eastAsia="Arial" w:hAnsi="Arial"/>
          <w:i w:val="1"/>
          <w:sz w:val="22"/>
          <w:szCs w:val="22"/>
          <w:rtl w:val="0"/>
        </w:rPr>
        <w:t xml:space="preserve">Picatrix, The Three Books and Stellar Influences </w:t>
      </w:r>
      <w:r w:rsidDel="00000000" w:rsidR="00000000" w:rsidRPr="00000000">
        <w:rPr>
          <w:rFonts w:ascii="Arial" w:cs="Arial" w:eastAsia="Arial" w:hAnsi="Arial"/>
          <w:sz w:val="22"/>
          <w:szCs w:val="22"/>
          <w:rtl w:val="0"/>
        </w:rPr>
        <w:t xml:space="preserve"> all draw from philosophies that ground and justify the practice of astrology and therefore inform the significance of the Moon in each text. First off,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 has many connections to Neoplatonism in belief. Though Nicholas Campion cites the Koran as ”the most important of all primary sources and contains the foundations of Islamic cosmology”,</w:t>
      </w:r>
      <w:r w:rsidDel="00000000" w:rsidR="00000000" w:rsidRPr="00000000">
        <w:rPr>
          <w:rFonts w:ascii="Arial" w:cs="Arial" w:eastAsia="Arial" w:hAnsi="Arial"/>
          <w:sz w:val="22"/>
          <w:szCs w:val="22"/>
          <w:vertAlign w:val="superscript"/>
        </w:rPr>
        <w:footnoteReference w:customMarkFollows="0" w:id="30"/>
      </w:r>
      <w:r w:rsidDel="00000000" w:rsidR="00000000" w:rsidRPr="00000000">
        <w:rPr>
          <w:rFonts w:ascii="Arial" w:cs="Arial" w:eastAsia="Arial" w:hAnsi="Arial"/>
          <w:sz w:val="22"/>
          <w:szCs w:val="22"/>
          <w:rtl w:val="0"/>
        </w:rPr>
        <w:t xml:space="preserve"> This idea is not evident within the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 despite being an Islamic source. Saif provided that the ideas put forth in the text are “essentially non-Islamic; they rather derive from the Neoplatonic esoteric conceptions found in the</w:t>
      </w:r>
    </w:p>
    <w:p w:rsidR="00000000" w:rsidDel="00000000" w:rsidP="00000000" w:rsidRDefault="00000000" w:rsidRPr="00000000" w14:paraId="00000094">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Theology of Aristotle, (and) an Arabic adaptation of Porphyry’s edition of Plotinus’s</w:t>
      </w:r>
    </w:p>
    <w:p w:rsidR="00000000" w:rsidDel="00000000" w:rsidP="00000000" w:rsidRDefault="00000000" w:rsidRPr="00000000" w14:paraId="00000095">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Enneads IV-VI made by al-Kindī’s translation circle in Baghdad”.</w:t>
      </w:r>
      <w:r w:rsidDel="00000000" w:rsidR="00000000" w:rsidRPr="00000000">
        <w:rPr>
          <w:rFonts w:ascii="Arial" w:cs="Arial" w:eastAsia="Arial" w:hAnsi="Arial"/>
          <w:sz w:val="22"/>
          <w:szCs w:val="22"/>
          <w:vertAlign w:val="superscript"/>
        </w:rPr>
        <w:footnoteReference w:customMarkFollows="0" w:id="31"/>
      </w:r>
      <w:r w:rsidDel="00000000" w:rsidR="00000000" w:rsidRPr="00000000">
        <w:rPr>
          <w:rFonts w:ascii="Arial" w:cs="Arial" w:eastAsia="Arial" w:hAnsi="Arial"/>
          <w:sz w:val="22"/>
          <w:szCs w:val="22"/>
          <w:rtl w:val="0"/>
        </w:rPr>
        <w:t xml:space="preserve"> For example, the author wrote “All things are under it (the cosmic sphere), and receive from it truth and unity,</w:t>
      </w:r>
    </w:p>
    <w:p w:rsidR="00000000" w:rsidDel="00000000" w:rsidP="00000000" w:rsidRDefault="00000000" w:rsidRPr="00000000" w14:paraId="00000096">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generation and corruption, as it is the cause of these things”. </w:t>
      </w:r>
      <w:r w:rsidDel="00000000" w:rsidR="00000000" w:rsidRPr="00000000">
        <w:rPr>
          <w:rFonts w:ascii="Arial" w:cs="Arial" w:eastAsia="Arial" w:hAnsi="Arial"/>
          <w:sz w:val="22"/>
          <w:szCs w:val="22"/>
          <w:vertAlign w:val="superscript"/>
        </w:rPr>
        <w:footnoteReference w:customMarkFollows="0" w:id="32"/>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Picatarix</w:t>
      </w:r>
      <w:r w:rsidDel="00000000" w:rsidR="00000000" w:rsidRPr="00000000">
        <w:rPr>
          <w:rFonts w:ascii="Arial" w:cs="Arial" w:eastAsia="Arial" w:hAnsi="Arial"/>
          <w:sz w:val="22"/>
          <w:szCs w:val="22"/>
          <w:rtl w:val="0"/>
        </w:rPr>
        <w:t xml:space="preserve"> implies that the heavens are above all things on earth in a hierarchical structure, which mimics the notions put forth by Neoplatonist, Plotinus in Ennead V where he outlines how the “One” permeates down through the soul. He wrote “the power and nature of soul will become still clearer and more obvious if one considers here how it encompasses heaven and drives it by its own acts of will. For the soul has given itself to the whole magnitude of heaven”. </w:t>
      </w:r>
      <w:r w:rsidDel="00000000" w:rsidR="00000000" w:rsidRPr="00000000">
        <w:rPr>
          <w:rFonts w:ascii="Arial" w:cs="Arial" w:eastAsia="Arial" w:hAnsi="Arial"/>
          <w:sz w:val="22"/>
          <w:szCs w:val="22"/>
          <w:vertAlign w:val="superscript"/>
        </w:rPr>
        <w:footnoteReference w:customMarkFollows="0" w:id="33"/>
      </w:r>
      <w:r w:rsidDel="00000000" w:rsidR="00000000" w:rsidRPr="00000000">
        <w:rPr>
          <w:rFonts w:ascii="Arial" w:cs="Arial" w:eastAsia="Arial" w:hAnsi="Arial"/>
          <w:sz w:val="22"/>
          <w:szCs w:val="22"/>
          <w:rtl w:val="0"/>
        </w:rPr>
        <w:t xml:space="preserve"> Through this we can conclude that Plotinus believed that One soul controlled the heavens and through the heavens, the earthly plane. This helps to support Saif’s idea that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 incorporates “Neoplatonic emanationism” </w:t>
      </w:r>
      <w:r w:rsidDel="00000000" w:rsidR="00000000" w:rsidRPr="00000000">
        <w:rPr>
          <w:rFonts w:ascii="Arial" w:cs="Arial" w:eastAsia="Arial" w:hAnsi="Arial"/>
          <w:sz w:val="22"/>
          <w:szCs w:val="22"/>
          <w:vertAlign w:val="superscript"/>
        </w:rPr>
        <w:footnoteReference w:customMarkFollows="0" w:id="34"/>
      </w:r>
      <w:r w:rsidDel="00000000" w:rsidR="00000000" w:rsidRPr="00000000">
        <w:rPr>
          <w:rFonts w:ascii="Arial" w:cs="Arial" w:eastAsia="Arial" w:hAnsi="Arial"/>
          <w:sz w:val="22"/>
          <w:szCs w:val="22"/>
          <w:rtl w:val="0"/>
        </w:rPr>
        <w:t xml:space="preserve"> which displays the </w:t>
      </w:r>
      <w:r w:rsidDel="00000000" w:rsidR="00000000" w:rsidRPr="00000000">
        <w:rPr>
          <w:rFonts w:ascii="Arial" w:cs="Arial" w:eastAsia="Arial" w:hAnsi="Arial"/>
          <w:i w:val="1"/>
          <w:sz w:val="22"/>
          <w:szCs w:val="22"/>
          <w:rtl w:val="0"/>
        </w:rPr>
        <w:t xml:space="preserve">Picatrix’s</w:t>
      </w:r>
      <w:r w:rsidDel="00000000" w:rsidR="00000000" w:rsidRPr="00000000">
        <w:rPr>
          <w:rFonts w:ascii="Arial" w:cs="Arial" w:eastAsia="Arial" w:hAnsi="Arial"/>
          <w:sz w:val="22"/>
          <w:szCs w:val="22"/>
          <w:rtl w:val="0"/>
        </w:rPr>
        <w:t xml:space="preserve"> affinity for Neoplatonic philosophy. Taking the philosophy of this text into account, it is easy to draw connections to the use of the moon in </w:t>
      </w:r>
      <w:r w:rsidDel="00000000" w:rsidR="00000000" w:rsidRPr="00000000">
        <w:rPr>
          <w:rFonts w:ascii="Arial" w:cs="Arial" w:eastAsia="Arial" w:hAnsi="Arial"/>
          <w:i w:val="1"/>
          <w:sz w:val="22"/>
          <w:szCs w:val="22"/>
          <w:rtl w:val="0"/>
        </w:rPr>
        <w:t xml:space="preserve">Picatrix. </w:t>
      </w:r>
      <w:r w:rsidDel="00000000" w:rsidR="00000000" w:rsidRPr="00000000">
        <w:rPr>
          <w:rFonts w:ascii="Arial" w:cs="Arial" w:eastAsia="Arial" w:hAnsi="Arial"/>
          <w:sz w:val="22"/>
          <w:szCs w:val="22"/>
          <w:rtl w:val="0"/>
        </w:rPr>
        <w:t xml:space="preserve">Firstly,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 stated “I say to you that you should not do anything in this work unless the Moon stands in a degree convenient and appropriate for the work you intend to do, because the Moon has powers and manifest works in all things that are beneath her, and none of them are hidden from her”.</w:t>
      </w:r>
      <w:r w:rsidDel="00000000" w:rsidR="00000000" w:rsidRPr="00000000">
        <w:rPr>
          <w:rFonts w:ascii="Arial" w:cs="Arial" w:eastAsia="Arial" w:hAnsi="Arial"/>
          <w:sz w:val="22"/>
          <w:szCs w:val="22"/>
          <w:vertAlign w:val="superscript"/>
        </w:rPr>
        <w:footnoteReference w:customMarkFollows="0" w:id="35"/>
      </w:r>
      <w:r w:rsidDel="00000000" w:rsidR="00000000" w:rsidRPr="00000000">
        <w:rPr>
          <w:rFonts w:ascii="Arial" w:cs="Arial" w:eastAsia="Arial" w:hAnsi="Arial"/>
          <w:sz w:val="22"/>
          <w:szCs w:val="22"/>
          <w:rtl w:val="0"/>
        </w:rPr>
        <w:t xml:space="preserve">This idea shows a close connection to Plotinus and the hierarchal structure of the universe he subscribes to. With this connection, one can conclude that the Moon in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 is treated in such high regard due to it being the closest to Earth in the universal hierarchy. In addition, the position of the moon as this overarching force in the cosmos as it pertains to human affairs also reintroduces the idea of Neoplatonic emanationism.  Through this philosophy,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 wrote about using the Moon as one of the main symbols for selecting times appropriate with theurgy for creating desired outcomes through working with the cosmos. For example,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 notes that in theurgic works for good, one must make sure “the Moon is safe from Saturn and Mars and their aspects and from the combustion of the Sun, and is joined to the fortunes"' by good aspects that is, the trine and sextile aspects”. The author also notes that you can do the opposite for evil.</w:t>
      </w:r>
      <w:r w:rsidDel="00000000" w:rsidR="00000000" w:rsidRPr="00000000">
        <w:rPr>
          <w:rFonts w:ascii="Arial" w:cs="Arial" w:eastAsia="Arial" w:hAnsi="Arial"/>
          <w:sz w:val="22"/>
          <w:szCs w:val="22"/>
          <w:vertAlign w:val="superscript"/>
        </w:rPr>
        <w:footnoteReference w:customMarkFollows="0" w:id="36"/>
      </w:r>
      <w:r w:rsidDel="00000000" w:rsidR="00000000" w:rsidRPr="00000000">
        <w:rPr>
          <w:rFonts w:ascii="Arial" w:cs="Arial" w:eastAsia="Arial" w:hAnsi="Arial"/>
          <w:sz w:val="22"/>
          <w:szCs w:val="22"/>
          <w:rtl w:val="0"/>
        </w:rPr>
        <w:t xml:space="preserve"> This shows that the use of the moon in choosing a time for theurgy was integral to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 which draws from the aforementioned philosophy that backs it. Additionally, the author includes a range of different aims that can be achieved through astrological magic such as “causing love between two people”,</w:t>
      </w:r>
      <w:r w:rsidDel="00000000" w:rsidR="00000000" w:rsidRPr="00000000">
        <w:rPr>
          <w:rFonts w:ascii="Arial" w:cs="Arial" w:eastAsia="Arial" w:hAnsi="Arial"/>
          <w:sz w:val="22"/>
          <w:szCs w:val="22"/>
          <w:vertAlign w:val="superscript"/>
        </w:rPr>
        <w:footnoteReference w:customMarkFollows="0" w:id="37"/>
      </w:r>
      <w:r w:rsidDel="00000000" w:rsidR="00000000" w:rsidRPr="00000000">
        <w:rPr>
          <w:rFonts w:ascii="Arial" w:cs="Arial" w:eastAsia="Arial" w:hAnsi="Arial"/>
          <w:sz w:val="22"/>
          <w:szCs w:val="22"/>
          <w:rtl w:val="0"/>
        </w:rPr>
        <w:t xml:space="preserve"> “increasing business and trade”,</w:t>
      </w:r>
      <w:r w:rsidDel="00000000" w:rsidR="00000000" w:rsidRPr="00000000">
        <w:rPr>
          <w:rFonts w:ascii="Arial" w:cs="Arial" w:eastAsia="Arial" w:hAnsi="Arial"/>
          <w:sz w:val="22"/>
          <w:szCs w:val="22"/>
          <w:vertAlign w:val="superscript"/>
        </w:rPr>
        <w:footnoteReference w:customMarkFollows="0" w:id="38"/>
      </w:r>
      <w:r w:rsidDel="00000000" w:rsidR="00000000" w:rsidRPr="00000000">
        <w:rPr>
          <w:rFonts w:ascii="Arial" w:cs="Arial" w:eastAsia="Arial" w:hAnsi="Arial"/>
          <w:sz w:val="22"/>
          <w:szCs w:val="22"/>
          <w:rtl w:val="0"/>
        </w:rPr>
        <w:t xml:space="preserve"> or “The destruction of an enemy”.</w:t>
      </w:r>
      <w:r w:rsidDel="00000000" w:rsidR="00000000" w:rsidRPr="00000000">
        <w:rPr>
          <w:rFonts w:ascii="Arial" w:cs="Arial" w:eastAsia="Arial" w:hAnsi="Arial"/>
          <w:sz w:val="22"/>
          <w:szCs w:val="22"/>
          <w:vertAlign w:val="superscript"/>
        </w:rPr>
        <w:footnoteReference w:customMarkFollows="0" w:id="39"/>
      </w:r>
      <w:r w:rsidDel="00000000" w:rsidR="00000000" w:rsidRPr="00000000">
        <w:rPr>
          <w:rFonts w:ascii="Arial" w:cs="Arial" w:eastAsia="Arial" w:hAnsi="Arial"/>
          <w:sz w:val="22"/>
          <w:szCs w:val="22"/>
          <w:rtl w:val="0"/>
        </w:rPr>
        <w:t xml:space="preserve"> All of these works list the moon as an integral part of the process. Because of this, we can further conclude that the use of the moon in the Picatrix is inspired by Neoplatonic values and therefore the uses of the moon within the text closely follow that philosophy.</w:t>
      </w:r>
    </w:p>
    <w:p w:rsidR="00000000" w:rsidDel="00000000" w:rsidP="00000000" w:rsidRDefault="00000000" w:rsidRPr="00000000" w14:paraId="00000097">
      <w:pPr>
        <w:spacing w:line="276" w:lineRule="auto"/>
        <w:ind w:firstLine="720"/>
        <w:rPr>
          <w:rFonts w:ascii="Arial" w:cs="Arial" w:eastAsia="Arial" w:hAnsi="Arial"/>
          <w:sz w:val="22"/>
          <w:szCs w:val="22"/>
        </w:rPr>
      </w:pPr>
      <w:r w:rsidDel="00000000" w:rsidR="00000000" w:rsidRPr="00000000">
        <w:rPr>
          <w:rFonts w:ascii="Arial" w:cs="Arial" w:eastAsia="Arial" w:hAnsi="Arial"/>
          <w:sz w:val="22"/>
          <w:szCs w:val="22"/>
          <w:rtl w:val="0"/>
        </w:rPr>
        <w:t xml:space="preserve">The Similarities between </w:t>
      </w:r>
      <w:r w:rsidDel="00000000" w:rsidR="00000000" w:rsidRPr="00000000">
        <w:rPr>
          <w:rFonts w:ascii="Arial" w:cs="Arial" w:eastAsia="Arial" w:hAnsi="Arial"/>
          <w:i w:val="1"/>
          <w:sz w:val="22"/>
          <w:szCs w:val="22"/>
          <w:rtl w:val="0"/>
        </w:rPr>
        <w:t xml:space="preserve">Picatrix </w:t>
      </w:r>
      <w:r w:rsidDel="00000000" w:rsidR="00000000" w:rsidRPr="00000000">
        <w:rPr>
          <w:rFonts w:ascii="Arial" w:cs="Arial" w:eastAsia="Arial" w:hAnsi="Arial"/>
          <w:sz w:val="22"/>
          <w:szCs w:val="22"/>
          <w:rtl w:val="0"/>
        </w:rPr>
        <w:t xml:space="preserve">and </w:t>
      </w:r>
      <w:r w:rsidDel="00000000" w:rsidR="00000000" w:rsidRPr="00000000">
        <w:rPr>
          <w:rFonts w:ascii="Arial" w:cs="Arial" w:eastAsia="Arial" w:hAnsi="Arial"/>
          <w:i w:val="1"/>
          <w:sz w:val="22"/>
          <w:szCs w:val="22"/>
          <w:rtl w:val="0"/>
        </w:rPr>
        <w:t xml:space="preserve">The Three Books </w:t>
      </w:r>
      <w:r w:rsidDel="00000000" w:rsidR="00000000" w:rsidRPr="00000000">
        <w:rPr>
          <w:rFonts w:ascii="Arial" w:cs="Arial" w:eastAsia="Arial" w:hAnsi="Arial"/>
          <w:sz w:val="22"/>
          <w:szCs w:val="22"/>
          <w:rtl w:val="0"/>
        </w:rPr>
        <w:t xml:space="preserve">are not limited to their content. The two texts also share a lot of cosmological influences. Greer and Warnock noted that both </w:t>
      </w:r>
      <w:r w:rsidDel="00000000" w:rsidR="00000000" w:rsidRPr="00000000">
        <w:rPr>
          <w:rFonts w:ascii="Arial" w:cs="Arial" w:eastAsia="Arial" w:hAnsi="Arial"/>
          <w:i w:val="1"/>
          <w:sz w:val="22"/>
          <w:szCs w:val="22"/>
          <w:rtl w:val="0"/>
        </w:rPr>
        <w:t xml:space="preserve">Picatrix  and The Three Books </w:t>
      </w:r>
      <w:r w:rsidDel="00000000" w:rsidR="00000000" w:rsidRPr="00000000">
        <w:rPr>
          <w:rFonts w:ascii="Arial" w:cs="Arial" w:eastAsia="Arial" w:hAnsi="Arial"/>
          <w:sz w:val="22"/>
          <w:szCs w:val="22"/>
          <w:rtl w:val="0"/>
        </w:rPr>
        <w:t xml:space="preserve">are</w:t>
      </w:r>
      <w:r w:rsidDel="00000000" w:rsidR="00000000" w:rsidRPr="00000000">
        <w:rPr>
          <w:rFonts w:ascii="Arial" w:cs="Arial" w:eastAsia="Arial" w:hAnsi="Arial"/>
          <w:i w:val="1"/>
          <w:sz w:val="22"/>
          <w:szCs w:val="22"/>
          <w:rtl w:val="0"/>
        </w:rPr>
        <w:t xml:space="preserve"> </w:t>
      </w:r>
      <w:r w:rsidDel="00000000" w:rsidR="00000000" w:rsidRPr="00000000">
        <w:rPr>
          <w:rFonts w:ascii="Arial" w:cs="Arial" w:eastAsia="Arial" w:hAnsi="Arial"/>
          <w:sz w:val="22"/>
          <w:szCs w:val="22"/>
          <w:rtl w:val="0"/>
        </w:rPr>
        <w:t xml:space="preserve">both</w:t>
      </w:r>
      <w:r w:rsidDel="00000000" w:rsidR="00000000" w:rsidRPr="00000000">
        <w:rPr>
          <w:rFonts w:ascii="Arial" w:cs="Arial" w:eastAsia="Arial" w:hAnsi="Arial"/>
          <w:i w:val="1"/>
          <w:sz w:val="22"/>
          <w:szCs w:val="22"/>
          <w:rtl w:val="0"/>
        </w:rPr>
        <w:t xml:space="preserve"> </w:t>
      </w:r>
      <w:r w:rsidDel="00000000" w:rsidR="00000000" w:rsidRPr="00000000">
        <w:rPr>
          <w:rFonts w:ascii="Arial" w:cs="Arial" w:eastAsia="Arial" w:hAnsi="Arial"/>
          <w:sz w:val="22"/>
          <w:szCs w:val="22"/>
          <w:rtl w:val="0"/>
        </w:rPr>
        <w:t xml:space="preserve">founded in “theurgic Neoplatonism”. They continued,  “To Neoplatanists, among them the author and a great many of the readers of Picatrix, the world was a hierarchy of levels of being, down which currents of influence cascaded from the divine unity at its summit“.</w:t>
      </w:r>
      <w:r w:rsidDel="00000000" w:rsidR="00000000" w:rsidRPr="00000000">
        <w:rPr>
          <w:rFonts w:ascii="Arial" w:cs="Arial" w:eastAsia="Arial" w:hAnsi="Arial"/>
          <w:sz w:val="22"/>
          <w:szCs w:val="22"/>
          <w:vertAlign w:val="superscript"/>
        </w:rPr>
        <w:footnoteReference w:customMarkFollows="0" w:id="40"/>
      </w:r>
      <w:r w:rsidDel="00000000" w:rsidR="00000000" w:rsidRPr="00000000">
        <w:rPr>
          <w:rFonts w:ascii="Arial" w:cs="Arial" w:eastAsia="Arial" w:hAnsi="Arial"/>
          <w:sz w:val="22"/>
          <w:szCs w:val="22"/>
          <w:rtl w:val="0"/>
        </w:rPr>
        <w:t xml:space="preserve"> As already concluded,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 displays remnants of these ideals, but do </w:t>
      </w:r>
      <w:r w:rsidDel="00000000" w:rsidR="00000000" w:rsidRPr="00000000">
        <w:rPr>
          <w:rFonts w:ascii="Arial" w:cs="Arial" w:eastAsia="Arial" w:hAnsi="Arial"/>
          <w:i w:val="1"/>
          <w:sz w:val="22"/>
          <w:szCs w:val="22"/>
          <w:rtl w:val="0"/>
        </w:rPr>
        <w:t xml:space="preserve">The Three Books</w:t>
      </w:r>
      <w:r w:rsidDel="00000000" w:rsidR="00000000" w:rsidRPr="00000000">
        <w:rPr>
          <w:rFonts w:ascii="Arial" w:cs="Arial" w:eastAsia="Arial" w:hAnsi="Arial"/>
          <w:sz w:val="22"/>
          <w:szCs w:val="22"/>
          <w:rtl w:val="0"/>
        </w:rPr>
        <w:t xml:space="preserve"> in the same way? Just to give one example, Agrippa wrote there is “one most high Creator, who is over all, by all, and in us all”. </w:t>
      </w:r>
      <w:r w:rsidDel="00000000" w:rsidR="00000000" w:rsidRPr="00000000">
        <w:rPr>
          <w:rFonts w:ascii="Arial" w:cs="Arial" w:eastAsia="Arial" w:hAnsi="Arial"/>
          <w:sz w:val="22"/>
          <w:szCs w:val="22"/>
          <w:vertAlign w:val="superscript"/>
        </w:rPr>
        <w:footnoteReference w:customMarkFollows="0" w:id="41"/>
      </w:r>
      <w:r w:rsidDel="00000000" w:rsidR="00000000" w:rsidRPr="00000000">
        <w:rPr>
          <w:rFonts w:ascii="Arial" w:cs="Arial" w:eastAsia="Arial" w:hAnsi="Arial"/>
          <w:sz w:val="22"/>
          <w:szCs w:val="22"/>
          <w:rtl w:val="0"/>
        </w:rPr>
        <w:t xml:space="preserve"> Firstly, this reiterates the hierarchical structure found in Plotinus’ work and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 In addition, Agrippa points to the idea of all things containing the ‘One’ that Plotinus also writes about. He said “All things come from it: in order that being may exist, the One is not being, but the generator of being”.</w:t>
      </w:r>
      <w:r w:rsidDel="00000000" w:rsidR="00000000" w:rsidRPr="00000000">
        <w:rPr>
          <w:rFonts w:ascii="Arial" w:cs="Arial" w:eastAsia="Arial" w:hAnsi="Arial"/>
          <w:sz w:val="22"/>
          <w:szCs w:val="22"/>
          <w:vertAlign w:val="superscript"/>
        </w:rPr>
        <w:footnoteReference w:customMarkFollows="0" w:id="42"/>
      </w:r>
      <w:r w:rsidDel="00000000" w:rsidR="00000000" w:rsidRPr="00000000">
        <w:rPr>
          <w:rFonts w:ascii="Arial" w:cs="Arial" w:eastAsia="Arial" w:hAnsi="Arial"/>
          <w:sz w:val="22"/>
          <w:szCs w:val="22"/>
          <w:rtl w:val="0"/>
        </w:rPr>
        <w:t xml:space="preserve"> From this, we can see the similarities in sentiments put forth by Plotinus and Agrippa, therefore, it can be assumed that </w:t>
      </w:r>
      <w:r w:rsidDel="00000000" w:rsidR="00000000" w:rsidRPr="00000000">
        <w:rPr>
          <w:rFonts w:ascii="Arial" w:cs="Arial" w:eastAsia="Arial" w:hAnsi="Arial"/>
          <w:i w:val="1"/>
          <w:sz w:val="22"/>
          <w:szCs w:val="22"/>
          <w:rtl w:val="0"/>
        </w:rPr>
        <w:t xml:space="preserve">The Three Books</w:t>
      </w:r>
      <w:r w:rsidDel="00000000" w:rsidR="00000000" w:rsidRPr="00000000">
        <w:rPr>
          <w:rFonts w:ascii="Arial" w:cs="Arial" w:eastAsia="Arial" w:hAnsi="Arial"/>
          <w:sz w:val="22"/>
          <w:szCs w:val="22"/>
          <w:rtl w:val="0"/>
        </w:rPr>
        <w:t xml:space="preserve"> are inspired by Neoplatonism in a similar way to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 If this is the case, then it could also be assumed that the role of the Moon in </w:t>
      </w:r>
      <w:r w:rsidDel="00000000" w:rsidR="00000000" w:rsidRPr="00000000">
        <w:rPr>
          <w:rFonts w:ascii="Arial" w:cs="Arial" w:eastAsia="Arial" w:hAnsi="Arial"/>
          <w:i w:val="1"/>
          <w:sz w:val="22"/>
          <w:szCs w:val="22"/>
          <w:rtl w:val="0"/>
        </w:rPr>
        <w:t xml:space="preserve">The Three Books</w:t>
      </w:r>
      <w:r w:rsidDel="00000000" w:rsidR="00000000" w:rsidRPr="00000000">
        <w:rPr>
          <w:rFonts w:ascii="Arial" w:cs="Arial" w:eastAsia="Arial" w:hAnsi="Arial"/>
          <w:sz w:val="22"/>
          <w:szCs w:val="22"/>
          <w:rtl w:val="0"/>
        </w:rPr>
        <w:t xml:space="preserve"> would be similar to that of the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 Agrippa wrote “thou shalt do nothing without the assistance of the Moon”.</w:t>
      </w:r>
      <w:r w:rsidDel="00000000" w:rsidR="00000000" w:rsidRPr="00000000">
        <w:rPr>
          <w:rFonts w:ascii="Arial" w:cs="Arial" w:eastAsia="Arial" w:hAnsi="Arial"/>
          <w:sz w:val="22"/>
          <w:szCs w:val="22"/>
          <w:vertAlign w:val="superscript"/>
        </w:rPr>
        <w:footnoteReference w:customMarkFollows="0" w:id="43"/>
      </w:r>
      <w:r w:rsidDel="00000000" w:rsidR="00000000" w:rsidRPr="00000000">
        <w:rPr>
          <w:rFonts w:ascii="Arial" w:cs="Arial" w:eastAsia="Arial" w:hAnsi="Arial"/>
          <w:sz w:val="22"/>
          <w:szCs w:val="22"/>
          <w:rtl w:val="0"/>
        </w:rPr>
        <w:t xml:space="preserve"> He also noted the Moon as “the receptacle of all the heavenly Influences”.</w:t>
      </w:r>
      <w:r w:rsidDel="00000000" w:rsidR="00000000" w:rsidRPr="00000000">
        <w:rPr>
          <w:rFonts w:ascii="Arial" w:cs="Arial" w:eastAsia="Arial" w:hAnsi="Arial"/>
          <w:sz w:val="22"/>
          <w:szCs w:val="22"/>
          <w:vertAlign w:val="superscript"/>
        </w:rPr>
        <w:footnoteReference w:customMarkFollows="0" w:id="44"/>
      </w:r>
      <w:r w:rsidDel="00000000" w:rsidR="00000000" w:rsidRPr="00000000">
        <w:rPr>
          <w:rFonts w:ascii="Arial" w:cs="Arial" w:eastAsia="Arial" w:hAnsi="Arial"/>
          <w:sz w:val="22"/>
          <w:szCs w:val="22"/>
          <w:rtl w:val="0"/>
        </w:rPr>
        <w:t xml:space="preserve"> Similar to the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 the idea of the Moon as a ruling entity in the cosmos is reiterated in </w:t>
      </w:r>
      <w:r w:rsidDel="00000000" w:rsidR="00000000" w:rsidRPr="00000000">
        <w:rPr>
          <w:rFonts w:ascii="Arial" w:cs="Arial" w:eastAsia="Arial" w:hAnsi="Arial"/>
          <w:i w:val="1"/>
          <w:sz w:val="22"/>
          <w:szCs w:val="22"/>
          <w:rtl w:val="0"/>
        </w:rPr>
        <w:t xml:space="preserve">The Three Books. </w:t>
      </w:r>
      <w:r w:rsidDel="00000000" w:rsidR="00000000" w:rsidRPr="00000000">
        <w:rPr>
          <w:rFonts w:ascii="Arial" w:cs="Arial" w:eastAsia="Arial" w:hAnsi="Arial"/>
          <w:sz w:val="22"/>
          <w:szCs w:val="22"/>
          <w:rtl w:val="0"/>
        </w:rPr>
        <w:t xml:space="preserve">However, Agrippa goes a step further to name the Moon as ‘the receptacle’ of the emanations from the other planets. Again this reflects emanationism as noted by Saif. Like </w:t>
      </w:r>
      <w:r w:rsidDel="00000000" w:rsidR="00000000" w:rsidRPr="00000000">
        <w:rPr>
          <w:rFonts w:ascii="Arial" w:cs="Arial" w:eastAsia="Arial" w:hAnsi="Arial"/>
          <w:i w:val="1"/>
          <w:sz w:val="22"/>
          <w:szCs w:val="22"/>
          <w:rtl w:val="0"/>
        </w:rPr>
        <w:t xml:space="preserve">Picatrix, </w:t>
      </w:r>
      <w:r w:rsidDel="00000000" w:rsidR="00000000" w:rsidRPr="00000000">
        <w:rPr>
          <w:rFonts w:ascii="Arial" w:cs="Arial" w:eastAsia="Arial" w:hAnsi="Arial"/>
          <w:sz w:val="22"/>
          <w:szCs w:val="22"/>
          <w:rtl w:val="0"/>
        </w:rPr>
        <w:t xml:space="preserve">Agrippa also presents the moon as a vital part of selecting times for astrological theurgic work. To provide an example of this, Agrippa listed some theurgic works that can be conducted with the integration of the moon. He wrote on making an “ Image for travellers against weariness”. Agrippa lists that it is important for this image to be created  “at the hour of the Moon, the Moon ascending in its exaltation“. The creation of an image to remedy weariness at a time dictated by the moon is a practice that we also uncovered in the </w:t>
      </w:r>
      <w:r w:rsidDel="00000000" w:rsidR="00000000" w:rsidRPr="00000000">
        <w:rPr>
          <w:rFonts w:ascii="Arial" w:cs="Arial" w:eastAsia="Arial" w:hAnsi="Arial"/>
          <w:i w:val="1"/>
          <w:sz w:val="22"/>
          <w:szCs w:val="22"/>
          <w:rtl w:val="0"/>
        </w:rPr>
        <w:t xml:space="preserve">Picatrix</w:t>
      </w:r>
      <w:r w:rsidDel="00000000" w:rsidR="00000000" w:rsidRPr="00000000">
        <w:rPr>
          <w:rFonts w:ascii="Arial" w:cs="Arial" w:eastAsia="Arial" w:hAnsi="Arial"/>
          <w:sz w:val="22"/>
          <w:szCs w:val="22"/>
          <w:rtl w:val="0"/>
        </w:rPr>
        <w:t xml:space="preserve">. Overall, this practice is one that can be likened again to the Neoplatonic tradition. Neoplatonic theory is not the only prevalent belief system in </w:t>
      </w:r>
      <w:r w:rsidDel="00000000" w:rsidR="00000000" w:rsidRPr="00000000">
        <w:rPr>
          <w:rFonts w:ascii="Arial" w:cs="Arial" w:eastAsia="Arial" w:hAnsi="Arial"/>
          <w:i w:val="1"/>
          <w:sz w:val="22"/>
          <w:szCs w:val="22"/>
          <w:rtl w:val="0"/>
        </w:rPr>
        <w:t xml:space="preserve">The Three Books,</w:t>
      </w:r>
      <w:r w:rsidDel="00000000" w:rsidR="00000000" w:rsidRPr="00000000">
        <w:rPr>
          <w:rFonts w:ascii="Arial" w:cs="Arial" w:eastAsia="Arial" w:hAnsi="Arial"/>
          <w:sz w:val="22"/>
          <w:szCs w:val="22"/>
          <w:rtl w:val="0"/>
        </w:rPr>
        <w:t xml:space="preserve"> however. As mentioned, Agrippa was also inspired by Christian texts which is also reflected in some of his associations with the Moon.  For example, In chapter vii, Agrippa associates The Moon (along with the fixed Stars) with “Innocents, Martyrs, confessors, the angel Uriel, The apostles; Thaddeus, Andrew and Thomas, the Evangelist Luke”, among others. </w:t>
      </w:r>
      <w:r w:rsidDel="00000000" w:rsidR="00000000" w:rsidRPr="00000000">
        <w:rPr>
          <w:rFonts w:ascii="Arial" w:cs="Arial" w:eastAsia="Arial" w:hAnsi="Arial"/>
          <w:sz w:val="22"/>
          <w:szCs w:val="22"/>
          <w:vertAlign w:val="superscript"/>
        </w:rPr>
        <w:footnoteReference w:customMarkFollows="0" w:id="45"/>
      </w:r>
      <w:r w:rsidDel="00000000" w:rsidR="00000000" w:rsidRPr="00000000">
        <w:rPr>
          <w:rFonts w:ascii="Arial" w:cs="Arial" w:eastAsia="Arial" w:hAnsi="Arial"/>
          <w:sz w:val="22"/>
          <w:szCs w:val="22"/>
          <w:rtl w:val="0"/>
        </w:rPr>
        <w:t xml:space="preserve"> Through this example, we can see that Agrippa’s Christian influences permeated through his work as it seems evident that he attempted to unite occult and Christian lore. To conclude, </w:t>
      </w:r>
      <w:r w:rsidDel="00000000" w:rsidR="00000000" w:rsidRPr="00000000">
        <w:rPr>
          <w:rFonts w:ascii="Arial" w:cs="Arial" w:eastAsia="Arial" w:hAnsi="Arial"/>
          <w:i w:val="1"/>
          <w:sz w:val="22"/>
          <w:szCs w:val="22"/>
          <w:rtl w:val="0"/>
        </w:rPr>
        <w:t xml:space="preserve">The Three Books </w:t>
      </w:r>
      <w:r w:rsidDel="00000000" w:rsidR="00000000" w:rsidRPr="00000000">
        <w:rPr>
          <w:rFonts w:ascii="Arial" w:cs="Arial" w:eastAsia="Arial" w:hAnsi="Arial"/>
          <w:sz w:val="22"/>
          <w:szCs w:val="22"/>
          <w:rtl w:val="0"/>
        </w:rPr>
        <w:t xml:space="preserve">are influenced by Neoplatonism and Christian thought and this is evident in the way Agrippa writes about and utilises the moon in his text. </w:t>
      </w:r>
    </w:p>
    <w:p w:rsidR="00000000" w:rsidDel="00000000" w:rsidP="00000000" w:rsidRDefault="00000000" w:rsidRPr="00000000" w14:paraId="00000098">
      <w:pPr>
        <w:spacing w:line="276" w:lineRule="auto"/>
        <w:ind w:firstLine="720"/>
        <w:rPr>
          <w:rFonts w:ascii="Arial" w:cs="Arial" w:eastAsia="Arial" w:hAnsi="Arial"/>
          <w:sz w:val="22"/>
          <w:szCs w:val="22"/>
        </w:rPr>
      </w:pPr>
      <w:r w:rsidDel="00000000" w:rsidR="00000000" w:rsidRPr="00000000">
        <w:rPr>
          <w:rFonts w:ascii="Arial" w:cs="Arial" w:eastAsia="Arial" w:hAnsi="Arial"/>
          <w:i w:val="1"/>
          <w:sz w:val="22"/>
          <w:szCs w:val="22"/>
          <w:rtl w:val="0"/>
        </w:rPr>
        <w:t xml:space="preserve">Stellar Influences</w:t>
      </w:r>
      <w:r w:rsidDel="00000000" w:rsidR="00000000" w:rsidRPr="00000000">
        <w:rPr>
          <w:rFonts w:ascii="Arial" w:cs="Arial" w:eastAsia="Arial" w:hAnsi="Arial"/>
          <w:sz w:val="22"/>
          <w:szCs w:val="22"/>
          <w:rtl w:val="0"/>
        </w:rPr>
        <w:t xml:space="preserve"> takes a very different approach to astrology than the other two texts. First of all, Ebertin considers himself a ‘cosmobiologist’. He is open about his scepticism of the astrological causation that fuels the previous two texts. He wrote in an alternative text “One may find in the constellations, relationships or parallels, but never the causes of earthly happenings”.</w:t>
      </w:r>
      <w:r w:rsidDel="00000000" w:rsidR="00000000" w:rsidRPr="00000000">
        <w:rPr>
          <w:rFonts w:ascii="Arial" w:cs="Arial" w:eastAsia="Arial" w:hAnsi="Arial"/>
          <w:sz w:val="22"/>
          <w:szCs w:val="22"/>
          <w:vertAlign w:val="superscript"/>
        </w:rPr>
        <w:footnoteReference w:customMarkFollows="0" w:id="46"/>
      </w:r>
      <w:r w:rsidDel="00000000" w:rsidR="00000000" w:rsidRPr="00000000">
        <w:rPr>
          <w:rFonts w:ascii="Arial" w:cs="Arial" w:eastAsia="Arial" w:hAnsi="Arial"/>
          <w:sz w:val="22"/>
          <w:szCs w:val="22"/>
          <w:rtl w:val="0"/>
        </w:rPr>
        <w:t xml:space="preserve"> In addition, the philosophy behind cosmobiology heavily leans on modern science. Ebertin wrote: “Cosmobiology does not believe in the stars, but looks for a cosmic pattern and then confirms this with the help of other disciplines”.</w:t>
      </w:r>
      <w:r w:rsidDel="00000000" w:rsidR="00000000" w:rsidRPr="00000000">
        <w:rPr>
          <w:rFonts w:ascii="Arial" w:cs="Arial" w:eastAsia="Arial" w:hAnsi="Arial"/>
          <w:sz w:val="22"/>
          <w:szCs w:val="22"/>
          <w:vertAlign w:val="superscript"/>
        </w:rPr>
        <w:footnoteReference w:customMarkFollows="0" w:id="47"/>
      </w:r>
      <w:r w:rsidDel="00000000" w:rsidR="00000000" w:rsidRPr="00000000">
        <w:rPr>
          <w:rFonts w:ascii="Arial" w:cs="Arial" w:eastAsia="Arial" w:hAnsi="Arial"/>
          <w:sz w:val="22"/>
          <w:szCs w:val="22"/>
          <w:rtl w:val="0"/>
        </w:rPr>
        <w:t xml:space="preserve"> From this we can expect that Ebertin’s approach will be devoid of causative theory as well as linked with modern science. This is displayed in Ebertin’s interpretation of the Moon. Firstly, he lists the “Psychological”, “Biological” and “Sociological Correspondences'' of the Moon which include “Motherliness'', “Fertility”, and “The mother, the spouse, the wife”.</w:t>
      </w:r>
      <w:r w:rsidDel="00000000" w:rsidR="00000000" w:rsidRPr="00000000">
        <w:rPr>
          <w:rFonts w:ascii="Arial" w:cs="Arial" w:eastAsia="Arial" w:hAnsi="Arial"/>
          <w:sz w:val="22"/>
          <w:szCs w:val="22"/>
          <w:vertAlign w:val="superscript"/>
        </w:rPr>
        <w:footnoteReference w:customMarkFollows="0" w:id="48"/>
      </w:r>
      <w:r w:rsidDel="00000000" w:rsidR="00000000" w:rsidRPr="00000000">
        <w:rPr>
          <w:rFonts w:ascii="Arial" w:cs="Arial" w:eastAsia="Arial" w:hAnsi="Arial"/>
          <w:sz w:val="22"/>
          <w:szCs w:val="22"/>
          <w:rtl w:val="0"/>
        </w:rPr>
        <w:t xml:space="preserve"> From this example, we can see that Ebertin drew from classical notions of the moon but placed them in the framework of modern-day sciences. Additionally, he notes these as correspondences, rather than caused by the Moon. This displays a difference in approach to the other two texts. Secondly, Ebertin is noted as a student of the Hamburg School of Astrology</w:t>
      </w:r>
      <w:r w:rsidDel="00000000" w:rsidR="00000000" w:rsidRPr="00000000">
        <w:rPr>
          <w:rFonts w:ascii="Arial" w:cs="Arial" w:eastAsia="Arial" w:hAnsi="Arial"/>
          <w:sz w:val="22"/>
          <w:szCs w:val="22"/>
          <w:vertAlign w:val="superscript"/>
        </w:rPr>
        <w:footnoteReference w:customMarkFollows="0" w:id="49"/>
      </w:r>
      <w:r w:rsidDel="00000000" w:rsidR="00000000" w:rsidRPr="00000000">
        <w:rPr>
          <w:rFonts w:ascii="Arial" w:cs="Arial" w:eastAsia="Arial" w:hAnsi="Arial"/>
          <w:sz w:val="22"/>
          <w:szCs w:val="22"/>
          <w:rtl w:val="0"/>
        </w:rPr>
        <w:t xml:space="preserve">, and he incorporates their technique of midpoints into his work. Because of this, the Moon is combined with other planets for interpretation rather than as a stand-alone entity. For example, “Moon/ Saturn” is associated with “discipline”</w:t>
      </w:r>
      <w:r w:rsidDel="00000000" w:rsidR="00000000" w:rsidRPr="00000000">
        <w:rPr>
          <w:rFonts w:ascii="Arial" w:cs="Arial" w:eastAsia="Arial" w:hAnsi="Arial"/>
          <w:sz w:val="22"/>
          <w:szCs w:val="22"/>
          <w:vertAlign w:val="superscript"/>
        </w:rPr>
        <w:footnoteReference w:customMarkFollows="0" w:id="50"/>
      </w:r>
      <w:r w:rsidDel="00000000" w:rsidR="00000000" w:rsidRPr="00000000">
        <w:rPr>
          <w:rFonts w:ascii="Arial" w:cs="Arial" w:eastAsia="Arial" w:hAnsi="Arial"/>
          <w:sz w:val="22"/>
          <w:szCs w:val="22"/>
          <w:rtl w:val="0"/>
        </w:rPr>
        <w:t xml:space="preserve"> whereas “ Moon/ Neptune” has the principle of “subconscious phenomena” .</w:t>
      </w:r>
      <w:r w:rsidDel="00000000" w:rsidR="00000000" w:rsidRPr="00000000">
        <w:rPr>
          <w:rFonts w:ascii="Arial" w:cs="Arial" w:eastAsia="Arial" w:hAnsi="Arial"/>
          <w:sz w:val="22"/>
          <w:szCs w:val="22"/>
          <w:vertAlign w:val="superscript"/>
        </w:rPr>
        <w:footnoteReference w:customMarkFollows="0" w:id="51"/>
      </w:r>
      <w:r w:rsidDel="00000000" w:rsidR="00000000" w:rsidRPr="00000000">
        <w:rPr>
          <w:rFonts w:ascii="Arial" w:cs="Arial" w:eastAsia="Arial" w:hAnsi="Arial"/>
          <w:sz w:val="22"/>
          <w:szCs w:val="22"/>
          <w:rtl w:val="0"/>
        </w:rPr>
        <w:t xml:space="preserve"> In addition, Ebertin lists the other planets as an added layer of the interpretation which makes the image more complex than the moon itself. Through this, we can again see how Ebertin’s view of astrology informs his work. He uses psychological and behavioural phenomena to associate with the moon. Thirdly, the aim of </w:t>
      </w:r>
      <w:r w:rsidDel="00000000" w:rsidR="00000000" w:rsidRPr="00000000">
        <w:rPr>
          <w:rFonts w:ascii="Arial" w:cs="Arial" w:eastAsia="Arial" w:hAnsi="Arial"/>
          <w:i w:val="1"/>
          <w:sz w:val="22"/>
          <w:szCs w:val="22"/>
          <w:rtl w:val="0"/>
        </w:rPr>
        <w:t xml:space="preserve">Stellar Influences</w:t>
      </w:r>
      <w:r w:rsidDel="00000000" w:rsidR="00000000" w:rsidRPr="00000000">
        <w:rPr>
          <w:rFonts w:ascii="Arial" w:cs="Arial" w:eastAsia="Arial" w:hAnsi="Arial"/>
          <w:sz w:val="22"/>
          <w:szCs w:val="22"/>
          <w:rtl w:val="0"/>
        </w:rPr>
        <w:t xml:space="preserve"> as listed by Ebertin is to assist with “the interpretation of the stellar bodies and other astronomical points in the individual’s natal chart. The emphasis lies in the cosmological characterology and the shaping of destiny”.</w:t>
      </w:r>
      <w:r w:rsidDel="00000000" w:rsidR="00000000" w:rsidRPr="00000000">
        <w:rPr>
          <w:rFonts w:ascii="Arial" w:cs="Arial" w:eastAsia="Arial" w:hAnsi="Arial"/>
          <w:sz w:val="22"/>
          <w:szCs w:val="22"/>
          <w:vertAlign w:val="superscript"/>
        </w:rPr>
        <w:footnoteReference w:customMarkFollows="0" w:id="52"/>
      </w:r>
      <w:r w:rsidDel="00000000" w:rsidR="00000000" w:rsidRPr="00000000">
        <w:rPr>
          <w:rFonts w:ascii="Arial" w:cs="Arial" w:eastAsia="Arial" w:hAnsi="Arial"/>
          <w:sz w:val="22"/>
          <w:szCs w:val="22"/>
          <w:rtl w:val="0"/>
        </w:rPr>
        <w:t xml:space="preserve"> Through this aim, we can expect an emphasis on the individual’s natal chart and character rather than the emphasis on </w:t>
      </w:r>
      <w:r w:rsidDel="00000000" w:rsidR="00000000" w:rsidRPr="00000000">
        <w:rPr>
          <w:rFonts w:ascii="Arial" w:cs="Arial" w:eastAsia="Arial" w:hAnsi="Arial"/>
          <w:sz w:val="22"/>
          <w:szCs w:val="22"/>
          <w:rtl w:val="0"/>
        </w:rPr>
        <w:t xml:space="preserve">electional</w:t>
      </w:r>
      <w:r w:rsidDel="00000000" w:rsidR="00000000" w:rsidRPr="00000000">
        <w:rPr>
          <w:rFonts w:ascii="Arial" w:cs="Arial" w:eastAsia="Arial" w:hAnsi="Arial"/>
          <w:sz w:val="22"/>
          <w:szCs w:val="22"/>
          <w:rtl w:val="0"/>
        </w:rPr>
        <w:t xml:space="preserve"> astrology for theurgy as we discovered in the </w:t>
      </w:r>
      <w:r w:rsidDel="00000000" w:rsidR="00000000" w:rsidRPr="00000000">
        <w:rPr>
          <w:rFonts w:ascii="Arial" w:cs="Arial" w:eastAsia="Arial" w:hAnsi="Arial"/>
          <w:i w:val="1"/>
          <w:sz w:val="22"/>
          <w:szCs w:val="22"/>
          <w:rtl w:val="0"/>
        </w:rPr>
        <w:t xml:space="preserve">Picatrix </w:t>
      </w:r>
      <w:r w:rsidDel="00000000" w:rsidR="00000000" w:rsidRPr="00000000">
        <w:rPr>
          <w:rFonts w:ascii="Arial" w:cs="Arial" w:eastAsia="Arial" w:hAnsi="Arial"/>
          <w:sz w:val="22"/>
          <w:szCs w:val="22"/>
          <w:rtl w:val="0"/>
        </w:rPr>
        <w:t xml:space="preserve">and</w:t>
      </w:r>
      <w:r w:rsidDel="00000000" w:rsidR="00000000" w:rsidRPr="00000000">
        <w:rPr>
          <w:rFonts w:ascii="Arial" w:cs="Arial" w:eastAsia="Arial" w:hAnsi="Arial"/>
          <w:i w:val="1"/>
          <w:sz w:val="22"/>
          <w:szCs w:val="22"/>
          <w:rtl w:val="0"/>
        </w:rPr>
        <w:t xml:space="preserve"> The Three Books. </w:t>
      </w:r>
      <w:r w:rsidDel="00000000" w:rsidR="00000000" w:rsidRPr="00000000">
        <w:rPr>
          <w:rFonts w:ascii="Arial" w:cs="Arial" w:eastAsia="Arial" w:hAnsi="Arial"/>
          <w:sz w:val="22"/>
          <w:szCs w:val="22"/>
          <w:rtl w:val="0"/>
        </w:rPr>
        <w:t xml:space="preserve">Ebertin’s work solely focuses on significations that correspond to an individual’s life rather than the multitude of uses in </w:t>
      </w:r>
      <w:r w:rsidDel="00000000" w:rsidR="00000000" w:rsidRPr="00000000">
        <w:rPr>
          <w:rFonts w:ascii="Arial" w:cs="Arial" w:eastAsia="Arial" w:hAnsi="Arial"/>
          <w:sz w:val="22"/>
          <w:szCs w:val="22"/>
          <w:rtl w:val="0"/>
        </w:rPr>
        <w:t xml:space="preserve">theurgy</w:t>
      </w:r>
      <w:r w:rsidDel="00000000" w:rsidR="00000000" w:rsidRPr="00000000">
        <w:rPr>
          <w:rFonts w:ascii="Arial" w:cs="Arial" w:eastAsia="Arial" w:hAnsi="Arial"/>
          <w:sz w:val="22"/>
          <w:szCs w:val="22"/>
          <w:rtl w:val="0"/>
        </w:rPr>
        <w:t xml:space="preserve"> found in the previous two works. To conclude, Ebertin displays a very scientific approach to his work that differs from the </w:t>
      </w:r>
      <w:r w:rsidDel="00000000" w:rsidR="00000000" w:rsidRPr="00000000">
        <w:rPr>
          <w:rFonts w:ascii="Arial" w:cs="Arial" w:eastAsia="Arial" w:hAnsi="Arial"/>
          <w:i w:val="1"/>
          <w:sz w:val="22"/>
          <w:szCs w:val="22"/>
          <w:rtl w:val="0"/>
        </w:rPr>
        <w:t xml:space="preserve">Picatrix </w:t>
      </w:r>
      <w:r w:rsidDel="00000000" w:rsidR="00000000" w:rsidRPr="00000000">
        <w:rPr>
          <w:rFonts w:ascii="Arial" w:cs="Arial" w:eastAsia="Arial" w:hAnsi="Arial"/>
          <w:sz w:val="22"/>
          <w:szCs w:val="22"/>
          <w:rtl w:val="0"/>
        </w:rPr>
        <w:t xml:space="preserve">and</w:t>
      </w:r>
      <w:r w:rsidDel="00000000" w:rsidR="00000000" w:rsidRPr="00000000">
        <w:rPr>
          <w:rFonts w:ascii="Arial" w:cs="Arial" w:eastAsia="Arial" w:hAnsi="Arial"/>
          <w:i w:val="1"/>
          <w:sz w:val="22"/>
          <w:szCs w:val="22"/>
          <w:rtl w:val="0"/>
        </w:rPr>
        <w:t xml:space="preserve"> The Three Books. </w:t>
      </w:r>
      <w:r w:rsidDel="00000000" w:rsidR="00000000" w:rsidRPr="00000000">
        <w:rPr>
          <w:rFonts w:ascii="Arial" w:cs="Arial" w:eastAsia="Arial" w:hAnsi="Arial"/>
          <w:sz w:val="22"/>
          <w:szCs w:val="22"/>
          <w:rtl w:val="0"/>
        </w:rPr>
        <w:t xml:space="preserve">This difference concretes the idea that the cosmology of the author influences the information on the planets and informs their recommended applications. </w:t>
        <w:tab/>
      </w:r>
    </w:p>
    <w:p w:rsidR="00000000" w:rsidDel="00000000" w:rsidP="00000000" w:rsidRDefault="00000000" w:rsidRPr="00000000" w14:paraId="00000099">
      <w:pPr>
        <w:spacing w:line="276" w:lineRule="auto"/>
        <w:ind w:firstLine="720"/>
        <w:rPr>
          <w:rFonts w:ascii="Arial" w:cs="Arial" w:eastAsia="Arial" w:hAnsi="Arial"/>
          <w:sz w:val="22"/>
          <w:szCs w:val="22"/>
        </w:rPr>
      </w:pPr>
      <w:r w:rsidDel="00000000" w:rsidR="00000000" w:rsidRPr="00000000">
        <w:rPr>
          <w:rFonts w:ascii="Arial" w:cs="Arial" w:eastAsia="Arial" w:hAnsi="Arial"/>
          <w:sz w:val="22"/>
          <w:szCs w:val="22"/>
          <w:rtl w:val="0"/>
        </w:rPr>
        <w:t xml:space="preserve">In conclusion, the philosophy of the authors of the texts studied gave insight into how the Moon was used in the works. Firstly, </w:t>
      </w:r>
      <w:r w:rsidDel="00000000" w:rsidR="00000000" w:rsidRPr="00000000">
        <w:rPr>
          <w:rFonts w:ascii="Arial" w:cs="Arial" w:eastAsia="Arial" w:hAnsi="Arial"/>
          <w:i w:val="1"/>
          <w:sz w:val="22"/>
          <w:szCs w:val="22"/>
          <w:rtl w:val="0"/>
        </w:rPr>
        <w:t xml:space="preserve"> Picatrix</w:t>
      </w:r>
      <w:r w:rsidDel="00000000" w:rsidR="00000000" w:rsidRPr="00000000">
        <w:rPr>
          <w:rFonts w:ascii="Arial" w:cs="Arial" w:eastAsia="Arial" w:hAnsi="Arial"/>
          <w:sz w:val="22"/>
          <w:szCs w:val="22"/>
          <w:rtl w:val="0"/>
        </w:rPr>
        <w:t xml:space="preserve"> revealed its roots in Neoplatonic theurgy, with the Moon playing a central role in the hierarchical structure of the cosmos. Similarly, </w:t>
      </w:r>
      <w:r w:rsidDel="00000000" w:rsidR="00000000" w:rsidRPr="00000000">
        <w:rPr>
          <w:rFonts w:ascii="Arial" w:cs="Arial" w:eastAsia="Arial" w:hAnsi="Arial"/>
          <w:i w:val="1"/>
          <w:sz w:val="22"/>
          <w:szCs w:val="22"/>
          <w:rtl w:val="0"/>
        </w:rPr>
        <w:t xml:space="preserve">The Three Books</w:t>
      </w:r>
      <w:r w:rsidDel="00000000" w:rsidR="00000000" w:rsidRPr="00000000">
        <w:rPr>
          <w:rFonts w:ascii="Arial" w:cs="Arial" w:eastAsia="Arial" w:hAnsi="Arial"/>
          <w:sz w:val="22"/>
          <w:szCs w:val="22"/>
          <w:rtl w:val="0"/>
        </w:rPr>
        <w:t xml:space="preserve">, inspired by both Neoplatonism and Christian traditions, portrays the Moon as a significant celestial force. Both of these texts highlighted the significance of the Moon, drawing from Platonic emanationism. On the contrary, </w:t>
      </w:r>
      <w:r w:rsidDel="00000000" w:rsidR="00000000" w:rsidRPr="00000000">
        <w:rPr>
          <w:rFonts w:ascii="Arial" w:cs="Arial" w:eastAsia="Arial" w:hAnsi="Arial"/>
          <w:i w:val="1"/>
          <w:sz w:val="22"/>
          <w:szCs w:val="22"/>
          <w:rtl w:val="0"/>
        </w:rPr>
        <w:t xml:space="preserve">Stellar Influences </w:t>
      </w:r>
      <w:r w:rsidDel="00000000" w:rsidR="00000000" w:rsidRPr="00000000">
        <w:rPr>
          <w:rFonts w:ascii="Arial" w:cs="Arial" w:eastAsia="Arial" w:hAnsi="Arial"/>
          <w:sz w:val="22"/>
          <w:szCs w:val="22"/>
          <w:rtl w:val="0"/>
        </w:rPr>
        <w:t xml:space="preserve">adopts a more scientific approach, separating itself from astrological causation and emphasising the psychological and characterological dimensions associated with the Moon. The diversity in these perspectives underscores the relationship between philosophical background and astrological application, demonstrating how different cosmological beliefs inform the understanding and use of celestial influences throughout history up to the modern day.</w:t>
      </w:r>
    </w:p>
    <w:p w:rsidR="00000000" w:rsidDel="00000000" w:rsidP="00000000" w:rsidRDefault="00000000" w:rsidRPr="00000000" w14:paraId="0000009A">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B">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C">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D">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E">
      <w:pPr>
        <w:spacing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Word count 3098. </w:t>
      </w:r>
    </w:p>
    <w:p w:rsidR="00000000" w:rsidDel="00000000" w:rsidP="00000000" w:rsidRDefault="00000000" w:rsidRPr="00000000" w14:paraId="0000009F">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0">
      <w:pPr>
        <w:spacing w:line="276" w:lineRule="auto"/>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Bibliography</w:t>
      </w:r>
    </w:p>
    <w:p w:rsidR="00000000" w:rsidDel="00000000" w:rsidP="00000000" w:rsidRDefault="00000000" w:rsidRPr="00000000" w14:paraId="000000A1">
      <w:pPr>
        <w:spacing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2">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Agrippa, Henry C., 'Book Two- Celestial Magic', in </w:t>
      </w:r>
      <w:r w:rsidDel="00000000" w:rsidR="00000000" w:rsidRPr="00000000">
        <w:rPr>
          <w:rFonts w:ascii="Arial" w:cs="Arial" w:eastAsia="Arial" w:hAnsi="Arial"/>
          <w:i w:val="1"/>
          <w:sz w:val="22"/>
          <w:szCs w:val="22"/>
          <w:rtl w:val="0"/>
        </w:rPr>
        <w:t xml:space="preserve">Three Books of Occult Philosophy</w:t>
      </w:r>
      <w:r w:rsidDel="00000000" w:rsidR="00000000" w:rsidRPr="00000000">
        <w:rPr>
          <w:rFonts w:ascii="Arial" w:cs="Arial" w:eastAsia="Arial" w:hAnsi="Arial"/>
          <w:sz w:val="22"/>
          <w:szCs w:val="22"/>
          <w:rtl w:val="0"/>
        </w:rPr>
        <w:t xml:space="preserve">, trans. by J.F, (London: R.W., 1651)</w:t>
      </w:r>
    </w:p>
    <w:p w:rsidR="00000000" w:rsidDel="00000000" w:rsidP="00000000" w:rsidRDefault="00000000" w:rsidRPr="00000000" w14:paraId="000000A3">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Campion, Nicholas, </w:t>
      </w:r>
      <w:r w:rsidDel="00000000" w:rsidR="00000000" w:rsidRPr="00000000">
        <w:rPr>
          <w:rFonts w:ascii="Arial" w:cs="Arial" w:eastAsia="Arial" w:hAnsi="Arial"/>
          <w:i w:val="1"/>
          <w:sz w:val="22"/>
          <w:szCs w:val="22"/>
          <w:rtl w:val="0"/>
        </w:rPr>
        <w:t xml:space="preserve">Astrology and Cosmology in the Worlds Religions</w:t>
      </w:r>
      <w:r w:rsidDel="00000000" w:rsidR="00000000" w:rsidRPr="00000000">
        <w:rPr>
          <w:rFonts w:ascii="Arial" w:cs="Arial" w:eastAsia="Arial" w:hAnsi="Arial"/>
          <w:sz w:val="22"/>
          <w:szCs w:val="22"/>
          <w:rtl w:val="0"/>
        </w:rPr>
        <w:t xml:space="preserve"> (NYU Press, 2012)</w:t>
      </w:r>
      <w:r w:rsidDel="00000000" w:rsidR="00000000" w:rsidRPr="00000000">
        <w:rPr>
          <w:rFonts w:ascii="Arial" w:cs="Arial" w:eastAsia="Arial" w:hAnsi="Arial"/>
          <w:i w:val="1"/>
          <w:sz w:val="22"/>
          <w:szCs w:val="22"/>
          <w:rtl w:val="0"/>
        </w:rPr>
        <w:t xml:space="preserve">, in JSTOR</w:t>
      </w:r>
      <w:r w:rsidDel="00000000" w:rsidR="00000000" w:rsidRPr="00000000">
        <w:rPr>
          <w:rFonts w:ascii="Arial" w:cs="Arial" w:eastAsia="Arial" w:hAnsi="Arial"/>
          <w:sz w:val="22"/>
          <w:szCs w:val="22"/>
          <w:rtl w:val="0"/>
        </w:rPr>
        <w:t xml:space="preserve"> &lt;http://www.jstor.org/stable/j.ctt9qg5q5&gt;</w:t>
      </w:r>
    </w:p>
    <w:p w:rsidR="00000000" w:rsidDel="00000000" w:rsidP="00000000" w:rsidRDefault="00000000" w:rsidRPr="00000000" w14:paraId="000000A4">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Compagni, Vittoria P., 'Heinrich Cornelius Agrippa Von Nettesheim', in </w:t>
      </w:r>
      <w:r w:rsidDel="00000000" w:rsidR="00000000" w:rsidRPr="00000000">
        <w:rPr>
          <w:rFonts w:ascii="Arial" w:cs="Arial" w:eastAsia="Arial" w:hAnsi="Arial"/>
          <w:i w:val="1"/>
          <w:sz w:val="22"/>
          <w:szCs w:val="22"/>
          <w:rtl w:val="0"/>
        </w:rPr>
        <w:t xml:space="preserve">Stanford Encyclopedia of Philosophy</w:t>
      </w:r>
      <w:r w:rsidDel="00000000" w:rsidR="00000000" w:rsidRPr="00000000">
        <w:rPr>
          <w:rFonts w:ascii="Arial" w:cs="Arial" w:eastAsia="Arial" w:hAnsi="Arial"/>
          <w:sz w:val="22"/>
          <w:szCs w:val="22"/>
          <w:rtl w:val="0"/>
        </w:rPr>
        <w:t xml:space="preserve">, ed. by Edward N. Zalta(Stanford University: Metaphysics Research Lab, 2021) &lt;https://plato.stanford.edu/archives/spr2021/entries/agrippa-nettesheim/&gt;</w:t>
      </w:r>
    </w:p>
    <w:p w:rsidR="00000000" w:rsidDel="00000000" w:rsidP="00000000" w:rsidRDefault="00000000" w:rsidRPr="00000000" w14:paraId="000000A5">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Ebertin, Reinhold, </w:t>
      </w:r>
      <w:r w:rsidDel="00000000" w:rsidR="00000000" w:rsidRPr="00000000">
        <w:rPr>
          <w:rFonts w:ascii="Arial" w:cs="Arial" w:eastAsia="Arial" w:hAnsi="Arial"/>
          <w:i w:val="1"/>
          <w:sz w:val="22"/>
          <w:szCs w:val="22"/>
          <w:rtl w:val="0"/>
        </w:rPr>
        <w:t xml:space="preserve">The Combination of Stellar Influences</w:t>
      </w:r>
      <w:r w:rsidDel="00000000" w:rsidR="00000000" w:rsidRPr="00000000">
        <w:rPr>
          <w:rFonts w:ascii="Arial" w:cs="Arial" w:eastAsia="Arial" w:hAnsi="Arial"/>
          <w:sz w:val="22"/>
          <w:szCs w:val="22"/>
          <w:rtl w:val="0"/>
        </w:rPr>
        <w:t xml:space="preserve"> (American Federation of Astrologers, Incorporated, 1972)</w:t>
      </w:r>
    </w:p>
    <w:p w:rsidR="00000000" w:rsidDel="00000000" w:rsidP="00000000" w:rsidRDefault="00000000" w:rsidRPr="00000000" w14:paraId="000000A6">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i w:val="1"/>
          <w:sz w:val="22"/>
          <w:szCs w:val="22"/>
          <w:rtl w:val="0"/>
        </w:rPr>
        <w:t xml:space="preserve">Rapid and Reliable Analysis</w:t>
      </w:r>
      <w:r w:rsidDel="00000000" w:rsidR="00000000" w:rsidRPr="00000000">
        <w:rPr>
          <w:rFonts w:ascii="Arial" w:cs="Arial" w:eastAsia="Arial" w:hAnsi="Arial"/>
          <w:sz w:val="22"/>
          <w:szCs w:val="22"/>
          <w:rtl w:val="0"/>
        </w:rPr>
        <w:t xml:space="preserve">, trans. by Patrick Harding (Aalen: Ebertin-Verlag, 1970)</w:t>
      </w:r>
    </w:p>
    <w:p w:rsidR="00000000" w:rsidDel="00000000" w:rsidP="00000000" w:rsidRDefault="00000000" w:rsidRPr="00000000" w14:paraId="000000A7">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Forshaw, Peter J., 'From Occult Ekphrasis to Magical Art; Transforming Text into Talismanic Image in the Scriptorium of Alfonso X', in </w:t>
      </w:r>
      <w:r w:rsidDel="00000000" w:rsidR="00000000" w:rsidRPr="00000000">
        <w:rPr>
          <w:rFonts w:ascii="Arial" w:cs="Arial" w:eastAsia="Arial" w:hAnsi="Arial"/>
          <w:i w:val="1"/>
          <w:sz w:val="22"/>
          <w:szCs w:val="22"/>
          <w:rtl w:val="0"/>
        </w:rPr>
        <w:t xml:space="preserve">Bild Und Schrift Auf 'Magischen' Artefakten</w:t>
      </w:r>
      <w:r w:rsidDel="00000000" w:rsidR="00000000" w:rsidRPr="00000000">
        <w:rPr>
          <w:rFonts w:ascii="Arial" w:cs="Arial" w:eastAsia="Arial" w:hAnsi="Arial"/>
          <w:sz w:val="22"/>
          <w:szCs w:val="22"/>
          <w:rtl w:val="0"/>
        </w:rPr>
        <w:t xml:space="preserve">, ed. by Sarah Kiyanrad, Christoffer Theis and Laura Willer, 1st edn (De Gruyter, 2018), pp. 15-48</w:t>
      </w:r>
      <w:r w:rsidDel="00000000" w:rsidR="00000000" w:rsidRPr="00000000">
        <w:rPr>
          <w:rFonts w:ascii="Arial" w:cs="Arial" w:eastAsia="Arial" w:hAnsi="Arial"/>
          <w:i w:val="1"/>
          <w:sz w:val="22"/>
          <w:szCs w:val="22"/>
          <w:rtl w:val="0"/>
        </w:rPr>
        <w:t xml:space="preserve">, in JSTOR</w:t>
      </w:r>
      <w:r w:rsidDel="00000000" w:rsidR="00000000" w:rsidRPr="00000000">
        <w:rPr>
          <w:rFonts w:ascii="Arial" w:cs="Arial" w:eastAsia="Arial" w:hAnsi="Arial"/>
          <w:sz w:val="22"/>
          <w:szCs w:val="22"/>
          <w:rtl w:val="0"/>
        </w:rPr>
        <w:t xml:space="preserve"> &lt;http://www.jstor.org.ezproxy.uwtsd.ac.uk/stable/j.ctvbkjz9n.5&gt;</w:t>
      </w:r>
    </w:p>
    <w:p w:rsidR="00000000" w:rsidDel="00000000" w:rsidP="00000000" w:rsidRDefault="00000000" w:rsidRPr="00000000" w14:paraId="000000A8">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Hartner, Willy, 'Notes on Picatrix', </w:t>
      </w:r>
      <w:r w:rsidDel="00000000" w:rsidR="00000000" w:rsidRPr="00000000">
        <w:rPr>
          <w:rFonts w:ascii="Arial" w:cs="Arial" w:eastAsia="Arial" w:hAnsi="Arial"/>
          <w:i w:val="1"/>
          <w:sz w:val="22"/>
          <w:szCs w:val="22"/>
          <w:rtl w:val="0"/>
        </w:rPr>
        <w:t xml:space="preserve">Isis, </w:t>
      </w:r>
      <w:r w:rsidDel="00000000" w:rsidR="00000000" w:rsidRPr="00000000">
        <w:rPr>
          <w:rFonts w:ascii="Arial" w:cs="Arial" w:eastAsia="Arial" w:hAnsi="Arial"/>
          <w:sz w:val="22"/>
          <w:szCs w:val="22"/>
          <w:rtl w:val="0"/>
        </w:rPr>
        <w:t xml:space="preserve">56 (1965), 438-451</w:t>
      </w:r>
      <w:r w:rsidDel="00000000" w:rsidR="00000000" w:rsidRPr="00000000">
        <w:rPr>
          <w:rFonts w:ascii="Arial" w:cs="Arial" w:eastAsia="Arial" w:hAnsi="Arial"/>
          <w:i w:val="1"/>
          <w:sz w:val="22"/>
          <w:szCs w:val="22"/>
          <w:rtl w:val="0"/>
        </w:rPr>
        <w:t xml:space="preserve">, in JSTOR</w:t>
      </w:r>
      <w:r w:rsidDel="00000000" w:rsidR="00000000" w:rsidRPr="00000000">
        <w:rPr>
          <w:rFonts w:ascii="Arial" w:cs="Arial" w:eastAsia="Arial" w:hAnsi="Arial"/>
          <w:sz w:val="22"/>
          <w:szCs w:val="22"/>
          <w:rtl w:val="0"/>
        </w:rPr>
        <w:t xml:space="preserve"> &lt;http://www.jstor.org.ezproxy.uwtsd.ac.uk/stable/228772&gt;</w:t>
      </w:r>
    </w:p>
    <w:p w:rsidR="00000000" w:rsidDel="00000000" w:rsidP="00000000" w:rsidRDefault="00000000" w:rsidRPr="00000000" w14:paraId="000000A9">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Harvey, Charles, 'Foreword', in </w:t>
      </w:r>
      <w:r w:rsidDel="00000000" w:rsidR="00000000" w:rsidRPr="00000000">
        <w:rPr>
          <w:rFonts w:ascii="Arial" w:cs="Arial" w:eastAsia="Arial" w:hAnsi="Arial"/>
          <w:i w:val="1"/>
          <w:sz w:val="22"/>
          <w:szCs w:val="22"/>
          <w:rtl w:val="0"/>
        </w:rPr>
        <w:t xml:space="preserve">The Hamburg School of Astrology</w:t>
      </w:r>
      <w:r w:rsidDel="00000000" w:rsidR="00000000" w:rsidRPr="00000000">
        <w:rPr>
          <w:rFonts w:ascii="Arial" w:cs="Arial" w:eastAsia="Arial" w:hAnsi="Arial"/>
          <w:sz w:val="22"/>
          <w:szCs w:val="22"/>
          <w:rtl w:val="0"/>
        </w:rPr>
        <w:t xml:space="preserve">(England: Astrological Association, 1973)</w:t>
      </w:r>
    </w:p>
    <w:p w:rsidR="00000000" w:rsidDel="00000000" w:rsidP="00000000" w:rsidRDefault="00000000" w:rsidRPr="00000000" w14:paraId="000000AA">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Nauert, Charles G., 'Agrippa in Renaissance Italy: The Esoteric Tradition', </w:t>
      </w:r>
      <w:r w:rsidDel="00000000" w:rsidR="00000000" w:rsidRPr="00000000">
        <w:rPr>
          <w:rFonts w:ascii="Arial" w:cs="Arial" w:eastAsia="Arial" w:hAnsi="Arial"/>
          <w:i w:val="1"/>
          <w:sz w:val="22"/>
          <w:szCs w:val="22"/>
          <w:rtl w:val="0"/>
        </w:rPr>
        <w:t xml:space="preserve">Studies in the Renaissance, </w:t>
      </w:r>
      <w:r w:rsidDel="00000000" w:rsidR="00000000" w:rsidRPr="00000000">
        <w:rPr>
          <w:rFonts w:ascii="Arial" w:cs="Arial" w:eastAsia="Arial" w:hAnsi="Arial"/>
          <w:sz w:val="22"/>
          <w:szCs w:val="22"/>
          <w:rtl w:val="0"/>
        </w:rPr>
        <w:t xml:space="preserve">6 (1959), 195-222</w:t>
      </w:r>
      <w:r w:rsidDel="00000000" w:rsidR="00000000" w:rsidRPr="00000000">
        <w:rPr>
          <w:rFonts w:ascii="Arial" w:cs="Arial" w:eastAsia="Arial" w:hAnsi="Arial"/>
          <w:i w:val="1"/>
          <w:sz w:val="22"/>
          <w:szCs w:val="22"/>
          <w:rtl w:val="0"/>
        </w:rPr>
        <w:t xml:space="preserve">, in JSTOR</w:t>
      </w:r>
      <w:r w:rsidDel="00000000" w:rsidR="00000000" w:rsidRPr="00000000">
        <w:rPr>
          <w:rFonts w:ascii="Arial" w:cs="Arial" w:eastAsia="Arial" w:hAnsi="Arial"/>
          <w:sz w:val="22"/>
          <w:szCs w:val="22"/>
          <w:rtl w:val="0"/>
        </w:rPr>
        <w:t xml:space="preserve"> &lt;http://www.jstor.org/stable/2857188&gt;</w:t>
      </w:r>
    </w:p>
    <w:p w:rsidR="00000000" w:rsidDel="00000000" w:rsidP="00000000" w:rsidRDefault="00000000" w:rsidRPr="00000000" w14:paraId="000000AB">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---'Magic and Skepticism in Agrippa's Thought', </w:t>
      </w:r>
      <w:r w:rsidDel="00000000" w:rsidR="00000000" w:rsidRPr="00000000">
        <w:rPr>
          <w:rFonts w:ascii="Arial" w:cs="Arial" w:eastAsia="Arial" w:hAnsi="Arial"/>
          <w:i w:val="1"/>
          <w:sz w:val="22"/>
          <w:szCs w:val="22"/>
          <w:rtl w:val="0"/>
        </w:rPr>
        <w:t xml:space="preserve">Journal of the History of Ideas, </w:t>
      </w:r>
      <w:r w:rsidDel="00000000" w:rsidR="00000000" w:rsidRPr="00000000">
        <w:rPr>
          <w:rFonts w:ascii="Arial" w:cs="Arial" w:eastAsia="Arial" w:hAnsi="Arial"/>
          <w:sz w:val="22"/>
          <w:szCs w:val="22"/>
          <w:rtl w:val="0"/>
        </w:rPr>
        <w:t xml:space="preserve">18 (1957), 161-182</w:t>
      </w:r>
      <w:r w:rsidDel="00000000" w:rsidR="00000000" w:rsidRPr="00000000">
        <w:rPr>
          <w:rFonts w:ascii="Arial" w:cs="Arial" w:eastAsia="Arial" w:hAnsi="Arial"/>
          <w:i w:val="1"/>
          <w:sz w:val="22"/>
          <w:szCs w:val="22"/>
          <w:rtl w:val="0"/>
        </w:rPr>
        <w:t xml:space="preserve">, in JSTOR</w:t>
      </w:r>
      <w:r w:rsidDel="00000000" w:rsidR="00000000" w:rsidRPr="00000000">
        <w:rPr>
          <w:rFonts w:ascii="Arial" w:cs="Arial" w:eastAsia="Arial" w:hAnsi="Arial"/>
          <w:sz w:val="22"/>
          <w:szCs w:val="22"/>
          <w:rtl w:val="0"/>
        </w:rPr>
        <w:t xml:space="preserve"> &lt;http://www.jstor.org.ezproxy.uwtsd.ac.uk/stable/2707622&gt;</w:t>
      </w:r>
    </w:p>
    <w:p w:rsidR="00000000" w:rsidDel="00000000" w:rsidP="00000000" w:rsidRDefault="00000000" w:rsidRPr="00000000" w14:paraId="000000AC">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Picatrix, </w:t>
      </w:r>
      <w:r w:rsidDel="00000000" w:rsidR="00000000" w:rsidRPr="00000000">
        <w:rPr>
          <w:rFonts w:ascii="Arial" w:cs="Arial" w:eastAsia="Arial" w:hAnsi="Arial"/>
          <w:i w:val="1"/>
          <w:sz w:val="22"/>
          <w:szCs w:val="22"/>
          <w:rtl w:val="0"/>
        </w:rPr>
        <w:t xml:space="preserve">The Complete Picatrix: The Occult Classic of Astrological Magic Liber Atratus Edition</w:t>
      </w:r>
      <w:r w:rsidDel="00000000" w:rsidR="00000000" w:rsidRPr="00000000">
        <w:rPr>
          <w:rFonts w:ascii="Arial" w:cs="Arial" w:eastAsia="Arial" w:hAnsi="Arial"/>
          <w:sz w:val="22"/>
          <w:szCs w:val="22"/>
          <w:rtl w:val="0"/>
        </w:rPr>
        <w:t xml:space="preserve">, trans. by John Michael Greer and Christopher Warnock (Adocentyn Press, 2011)</w:t>
      </w:r>
    </w:p>
    <w:p w:rsidR="00000000" w:rsidDel="00000000" w:rsidP="00000000" w:rsidRDefault="00000000" w:rsidRPr="00000000" w14:paraId="000000AD">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Plotinus, </w:t>
      </w:r>
      <w:r w:rsidDel="00000000" w:rsidR="00000000" w:rsidRPr="00000000">
        <w:rPr>
          <w:rFonts w:ascii="Arial" w:cs="Arial" w:eastAsia="Arial" w:hAnsi="Arial"/>
          <w:i w:val="1"/>
          <w:sz w:val="22"/>
          <w:szCs w:val="22"/>
          <w:rtl w:val="0"/>
        </w:rPr>
        <w:t xml:space="preserve">Enneads</w:t>
      </w:r>
      <w:r w:rsidDel="00000000" w:rsidR="00000000" w:rsidRPr="00000000">
        <w:rPr>
          <w:rFonts w:ascii="Arial" w:cs="Arial" w:eastAsia="Arial" w:hAnsi="Arial"/>
          <w:sz w:val="22"/>
          <w:szCs w:val="22"/>
          <w:rtl w:val="0"/>
        </w:rPr>
        <w:t xml:space="preserve"> (Loeb Classic Library, )</w:t>
      </w:r>
    </w:p>
    <w:p w:rsidR="00000000" w:rsidDel="00000000" w:rsidP="00000000" w:rsidRDefault="00000000" w:rsidRPr="00000000" w14:paraId="000000AE">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Purdue, Eric, ' Preface.', in </w:t>
      </w:r>
      <w:r w:rsidDel="00000000" w:rsidR="00000000" w:rsidRPr="00000000">
        <w:rPr>
          <w:rFonts w:ascii="Arial" w:cs="Arial" w:eastAsia="Arial" w:hAnsi="Arial"/>
          <w:i w:val="1"/>
          <w:sz w:val="22"/>
          <w:szCs w:val="22"/>
          <w:rtl w:val="0"/>
        </w:rPr>
        <w:t xml:space="preserve">Three Books of Occult Philosophy: Book One.</w:t>
      </w:r>
      <w:r w:rsidDel="00000000" w:rsidR="00000000" w:rsidRPr="00000000">
        <w:rPr>
          <w:rFonts w:ascii="Arial" w:cs="Arial" w:eastAsia="Arial" w:hAnsi="Arial"/>
          <w:sz w:val="22"/>
          <w:szCs w:val="22"/>
          <w:rtl w:val="0"/>
        </w:rPr>
        <w:t xml:space="preserve">, Academic Edition edn (Renaissance Astrology, 2012), pp. 1-10</w:t>
      </w:r>
    </w:p>
    <w:p w:rsidR="00000000" w:rsidDel="00000000" w:rsidP="00000000" w:rsidRDefault="00000000" w:rsidRPr="00000000" w14:paraId="000000AF">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Saif, Liana, 'From Ġāyat Al-Ḥakīm to Šams Al-Maʿārif; Ways of Knowing and Paths of Power in Medieval Islam', </w:t>
      </w:r>
      <w:r w:rsidDel="00000000" w:rsidR="00000000" w:rsidRPr="00000000">
        <w:rPr>
          <w:rFonts w:ascii="Arial" w:cs="Arial" w:eastAsia="Arial" w:hAnsi="Arial"/>
          <w:i w:val="1"/>
          <w:sz w:val="22"/>
          <w:szCs w:val="22"/>
          <w:rtl w:val="0"/>
        </w:rPr>
        <w:t xml:space="preserve">Arabica, </w:t>
      </w:r>
      <w:r w:rsidDel="00000000" w:rsidR="00000000" w:rsidRPr="00000000">
        <w:rPr>
          <w:rFonts w:ascii="Arial" w:cs="Arial" w:eastAsia="Arial" w:hAnsi="Arial"/>
          <w:sz w:val="22"/>
          <w:szCs w:val="22"/>
          <w:rtl w:val="0"/>
        </w:rPr>
        <w:t xml:space="preserve">64 (2017), 297-345</w:t>
      </w:r>
      <w:r w:rsidDel="00000000" w:rsidR="00000000" w:rsidRPr="00000000">
        <w:rPr>
          <w:rFonts w:ascii="Arial" w:cs="Arial" w:eastAsia="Arial" w:hAnsi="Arial"/>
          <w:i w:val="1"/>
          <w:sz w:val="22"/>
          <w:szCs w:val="22"/>
          <w:rtl w:val="0"/>
        </w:rPr>
        <w:t xml:space="preserve">, in JSTOR</w:t>
      </w:r>
      <w:r w:rsidDel="00000000" w:rsidR="00000000" w:rsidRPr="00000000">
        <w:rPr>
          <w:rFonts w:ascii="Arial" w:cs="Arial" w:eastAsia="Arial" w:hAnsi="Arial"/>
          <w:sz w:val="22"/>
          <w:szCs w:val="22"/>
          <w:rtl w:val="0"/>
        </w:rPr>
        <w:t xml:space="preserve"> &lt;https://www-jstor-org.ezproxy.uwtsd.ac.uk/stable/26569036&gt;</w:t>
      </w:r>
    </w:p>
    <w:p w:rsidR="00000000" w:rsidDel="00000000" w:rsidP="00000000" w:rsidRDefault="00000000" w:rsidRPr="00000000" w14:paraId="000000B0">
      <w:pPr>
        <w:widowControl w:val="0"/>
        <w:spacing w:line="480" w:lineRule="auto"/>
        <w:ind w:left="200"/>
        <w:rPr>
          <w:rFonts w:ascii="Arial" w:cs="Arial" w:eastAsia="Arial" w:hAnsi="Arial"/>
          <w:sz w:val="22"/>
          <w:szCs w:val="22"/>
        </w:rPr>
      </w:pPr>
      <w:r w:rsidDel="00000000" w:rsidR="00000000" w:rsidRPr="00000000">
        <w:rPr>
          <w:rFonts w:ascii="Arial" w:cs="Arial" w:eastAsia="Arial" w:hAnsi="Arial"/>
          <w:sz w:val="22"/>
          <w:szCs w:val="22"/>
          <w:rtl w:val="0"/>
        </w:rPr>
        <w:t xml:space="preserve">Zambelli, Paola, 'Magic and Radical Reformation in Agrippa of Nettesheim', </w:t>
      </w:r>
      <w:r w:rsidDel="00000000" w:rsidR="00000000" w:rsidRPr="00000000">
        <w:rPr>
          <w:rFonts w:ascii="Arial" w:cs="Arial" w:eastAsia="Arial" w:hAnsi="Arial"/>
          <w:i w:val="1"/>
          <w:sz w:val="22"/>
          <w:szCs w:val="22"/>
          <w:rtl w:val="0"/>
        </w:rPr>
        <w:t xml:space="preserve">Journal of the Warburg and Courtauld Institutes, </w:t>
      </w:r>
      <w:r w:rsidDel="00000000" w:rsidR="00000000" w:rsidRPr="00000000">
        <w:rPr>
          <w:rFonts w:ascii="Arial" w:cs="Arial" w:eastAsia="Arial" w:hAnsi="Arial"/>
          <w:sz w:val="22"/>
          <w:szCs w:val="22"/>
          <w:rtl w:val="0"/>
        </w:rPr>
        <w:t xml:space="preserve">39 (1976), 69-103</w:t>
      </w:r>
      <w:r w:rsidDel="00000000" w:rsidR="00000000" w:rsidRPr="00000000">
        <w:rPr>
          <w:rFonts w:ascii="Arial" w:cs="Arial" w:eastAsia="Arial" w:hAnsi="Arial"/>
          <w:i w:val="1"/>
          <w:sz w:val="22"/>
          <w:szCs w:val="22"/>
          <w:rtl w:val="0"/>
        </w:rPr>
        <w:t xml:space="preserve">, in JSTOR</w:t>
      </w:r>
      <w:r w:rsidDel="00000000" w:rsidR="00000000" w:rsidRPr="00000000">
        <w:rPr>
          <w:rFonts w:ascii="Arial" w:cs="Arial" w:eastAsia="Arial" w:hAnsi="Arial"/>
          <w:sz w:val="22"/>
          <w:szCs w:val="22"/>
          <w:rtl w:val="0"/>
        </w:rPr>
        <w:t xml:space="preserve"> &lt;http://www.jstor.org.ezproxy.uwtsd.ac.uk/stable/751133&gt;</w:t>
      </w:r>
    </w:p>
    <w:p w:rsidR="00000000" w:rsidDel="00000000" w:rsidP="00000000" w:rsidRDefault="00000000" w:rsidRPr="00000000" w14:paraId="000000B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sectPr>
          <w:type w:val="continuous"/>
          <w:pgSz w:h="15840" w:w="12240" w:orient="portrait"/>
          <w:pgMar w:bottom="567" w:top="567" w:left="1797" w:right="1797" w:header="567" w:footer="720"/>
        </w:sectPr>
      </w:pPr>
      <w:r w:rsidDel="00000000" w:rsidR="00000000" w:rsidRPr="00000000">
        <w:rPr>
          <w:rtl w:val="0"/>
        </w:rPr>
      </w:r>
    </w:p>
    <w:p w:rsidR="00000000" w:rsidDel="00000000" w:rsidP="00000000" w:rsidRDefault="00000000" w:rsidRPr="00000000" w14:paraId="000000B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B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sz w:val="22"/>
          <w:szCs w:val="22"/>
        </w:rPr>
        <w:sectPr>
          <w:type w:val="nextPage"/>
          <w:pgSz w:h="15840" w:w="12240" w:orient="portrait"/>
          <w:pgMar w:bottom="567" w:top="567" w:left="1797" w:right="1797" w:header="567" w:footer="720"/>
        </w:sectPr>
      </w:pPr>
      <w:r w:rsidDel="00000000" w:rsidR="00000000" w:rsidRPr="00000000">
        <w:rPr>
          <w:rtl w:val="0"/>
        </w:rPr>
      </w:r>
    </w:p>
    <w:p w:rsidR="00000000" w:rsidDel="00000000" w:rsidP="00000000" w:rsidRDefault="00000000" w:rsidRPr="00000000" w14:paraId="000000B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334" w:firstLine="0"/>
        <w:jc w:val="left"/>
        <w:rPr>
          <w:rFonts w:ascii="Trebuchet MS" w:cs="Trebuchet MS" w:eastAsia="Trebuchet MS" w:hAnsi="Trebuchet MS"/>
        </w:rPr>
      </w:pPr>
      <w:r w:rsidDel="00000000" w:rsidR="00000000" w:rsidRPr="00000000">
        <w:rPr>
          <w:rtl w:val="0"/>
        </w:rPr>
      </w:r>
    </w:p>
    <w:sectPr>
      <w:type w:val="continuous"/>
      <w:pgSz w:h="15840" w:w="12240" w:orient="portrait"/>
      <w:pgMar w:bottom="567" w:top="567" w:left="1797" w:right="1797" w:header="567"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rebuchet MS"/>
  <w:font w:name="Calibri"/>
  <w:font w:name="Tahoma">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rebuchet MS" w:cs="Trebuchet MS" w:eastAsia="Trebuchet MS" w:hAnsi="Trebuchet MS"/>
        <w:b w:val="0"/>
        <w:i w:val="0"/>
        <w:smallCaps w:val="0"/>
        <w:strike w:val="0"/>
        <w:color w:val="000000"/>
        <w:sz w:val="18"/>
        <w:szCs w:val="18"/>
        <w:u w:val="none"/>
        <w:shd w:fill="auto" w:val="clear"/>
        <w:vertAlign w:val="baseline"/>
      </w:rPr>
    </w:pPr>
    <w:r w:rsidDel="00000000" w:rsidR="00000000" w:rsidRPr="00000000">
      <w:rPr>
        <w:rFonts w:ascii="Trebuchet MS" w:cs="Trebuchet MS" w:eastAsia="Trebuchet MS" w:hAnsi="Trebuchet MS"/>
        <w:b w:val="0"/>
        <w:i w:val="0"/>
        <w:smallCaps w:val="0"/>
        <w:strike w:val="0"/>
        <w:color w:val="000000"/>
        <w:sz w:val="18"/>
        <w:szCs w:val="18"/>
        <w:u w:val="none"/>
        <w:shd w:fill="auto" w:val="clear"/>
        <w:vertAlign w:val="baseline"/>
        <w:rtl w:val="0"/>
      </w:rPr>
      <w:t xml:space="preserve"> </w:t>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E">
    <w:pPr>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B8">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The Complete Picatrix: The Occult Classic of Astrological Magic Liber Atratus Edition</w:t>
      </w:r>
      <w:r w:rsidDel="00000000" w:rsidR="00000000" w:rsidRPr="00000000">
        <w:rPr>
          <w:rFonts w:ascii="Arial" w:cs="Arial" w:eastAsia="Arial" w:hAnsi="Arial"/>
          <w:sz w:val="20"/>
          <w:szCs w:val="20"/>
          <w:rtl w:val="0"/>
        </w:rPr>
        <w:t xml:space="preserve">, trans. by John Michael Greer and Christopher Warnock (Adocentyn Press, 2011). </w:t>
      </w:r>
    </w:p>
  </w:footnote>
  <w:footnote w:id="1">
    <w:p w:rsidR="00000000" w:rsidDel="00000000" w:rsidP="00000000" w:rsidRDefault="00000000" w:rsidRPr="00000000" w14:paraId="000000B9">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Agrippa, Henry C., 'Book Two- Celestial Magic', in Three Books of Occult Philosophy, trans. by J.F, (London: R.W., 1651)</w:t>
      </w:r>
    </w:p>
  </w:footnote>
  <w:footnote w:id="2">
    <w:p w:rsidR="00000000" w:rsidDel="00000000" w:rsidP="00000000" w:rsidRDefault="00000000" w:rsidRPr="00000000" w14:paraId="000000BA">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Reinhold Ebertin,  The Combination of Stellar Influences (American Federation of Astrologers, Incorporated, 1972). </w:t>
      </w:r>
    </w:p>
  </w:footnote>
  <w:footnote w:id="3">
    <w:p w:rsidR="00000000" w:rsidDel="00000000" w:rsidP="00000000" w:rsidRDefault="00000000" w:rsidRPr="00000000" w14:paraId="000000BB">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Picatrix, Pg 11.</w:t>
      </w:r>
    </w:p>
  </w:footnote>
  <w:footnote w:id="4">
    <w:p w:rsidR="00000000" w:rsidDel="00000000" w:rsidP="00000000" w:rsidRDefault="00000000" w:rsidRPr="00000000" w14:paraId="000000BC">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Picatrix, pg 12. </w:t>
      </w:r>
    </w:p>
  </w:footnote>
  <w:footnote w:id="5">
    <w:p w:rsidR="00000000" w:rsidDel="00000000" w:rsidP="00000000" w:rsidRDefault="00000000" w:rsidRPr="00000000" w14:paraId="000000BD">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Picatrix, </w:t>
      </w:r>
      <w:r w:rsidDel="00000000" w:rsidR="00000000" w:rsidRPr="00000000">
        <w:rPr>
          <w:rFonts w:ascii="Arial" w:cs="Arial" w:eastAsia="Arial" w:hAnsi="Arial"/>
          <w:i w:val="1"/>
          <w:sz w:val="20"/>
          <w:szCs w:val="20"/>
          <w:rtl w:val="0"/>
        </w:rPr>
        <w:t xml:space="preserve">The Complete Picatrix: The Occult Classic of Astrological Magic Liber Atratus Edition</w:t>
      </w:r>
      <w:r w:rsidDel="00000000" w:rsidR="00000000" w:rsidRPr="00000000">
        <w:rPr>
          <w:rFonts w:ascii="Arial" w:cs="Arial" w:eastAsia="Arial" w:hAnsi="Arial"/>
          <w:sz w:val="20"/>
          <w:szCs w:val="20"/>
          <w:rtl w:val="0"/>
        </w:rPr>
        <w:t xml:space="preserve">, trans. by John Michael Greer and Christopher Warnock (Adocentyn Press, 2011). pg 12. </w:t>
      </w:r>
    </w:p>
  </w:footnote>
  <w:footnote w:id="6">
    <w:p w:rsidR="00000000" w:rsidDel="00000000" w:rsidP="00000000" w:rsidRDefault="00000000" w:rsidRPr="00000000" w14:paraId="000000BE">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Peter J. Forshaw, 'From Occult Ekphrasis to Magical Art; Transforming Text into Talismanic Image in the Scriptorium of Alfonso X', in </w:t>
      </w:r>
      <w:r w:rsidDel="00000000" w:rsidR="00000000" w:rsidRPr="00000000">
        <w:rPr>
          <w:rFonts w:ascii="Arial" w:cs="Arial" w:eastAsia="Arial" w:hAnsi="Arial"/>
          <w:i w:val="1"/>
          <w:sz w:val="20"/>
          <w:szCs w:val="20"/>
          <w:rtl w:val="0"/>
        </w:rPr>
        <w:t xml:space="preserve">Bild Und Schrift Auf 'Magischen' Artefakten</w:t>
      </w:r>
      <w:r w:rsidDel="00000000" w:rsidR="00000000" w:rsidRPr="00000000">
        <w:rPr>
          <w:rFonts w:ascii="Arial" w:cs="Arial" w:eastAsia="Arial" w:hAnsi="Arial"/>
          <w:sz w:val="20"/>
          <w:szCs w:val="20"/>
          <w:rtl w:val="0"/>
        </w:rPr>
        <w:t xml:space="preserve">, ed. by Sarah Kiyanrad, Christoffer Theis and Laura Willer , 1 edn (De Gruyter, 2018), pp. 15-48</w:t>
      </w:r>
      <w:r w:rsidDel="00000000" w:rsidR="00000000" w:rsidRPr="00000000">
        <w:rPr>
          <w:rFonts w:ascii="Arial" w:cs="Arial" w:eastAsia="Arial" w:hAnsi="Arial"/>
          <w:i w:val="1"/>
          <w:sz w:val="20"/>
          <w:szCs w:val="20"/>
          <w:rtl w:val="0"/>
        </w:rPr>
        <w:t xml:space="preserve">, in JSTOR</w:t>
      </w:r>
      <w:r w:rsidDel="00000000" w:rsidR="00000000" w:rsidRPr="00000000">
        <w:rPr>
          <w:rFonts w:ascii="Arial" w:cs="Arial" w:eastAsia="Arial" w:hAnsi="Arial"/>
          <w:sz w:val="20"/>
          <w:szCs w:val="20"/>
          <w:rtl w:val="0"/>
        </w:rPr>
        <w:t xml:space="preserve"> &lt;http://www.jstor.org.ezproxy.uwtsd.ac.uk/stable/j.ctvbkjz9n.5&gt;. Pg. 19. </w:t>
      </w:r>
    </w:p>
  </w:footnote>
  <w:footnote w:id="7">
    <w:p w:rsidR="00000000" w:rsidDel="00000000" w:rsidP="00000000" w:rsidRDefault="00000000" w:rsidRPr="00000000" w14:paraId="000000BF">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Willy Hartner, 'Notes on Picatrix', </w:t>
      </w:r>
      <w:r w:rsidDel="00000000" w:rsidR="00000000" w:rsidRPr="00000000">
        <w:rPr>
          <w:rFonts w:ascii="Arial" w:cs="Arial" w:eastAsia="Arial" w:hAnsi="Arial"/>
          <w:i w:val="1"/>
          <w:sz w:val="20"/>
          <w:szCs w:val="20"/>
          <w:rtl w:val="0"/>
        </w:rPr>
        <w:t xml:space="preserve">Isis, </w:t>
      </w:r>
      <w:r w:rsidDel="00000000" w:rsidR="00000000" w:rsidRPr="00000000">
        <w:rPr>
          <w:rFonts w:ascii="Arial" w:cs="Arial" w:eastAsia="Arial" w:hAnsi="Arial"/>
          <w:sz w:val="20"/>
          <w:szCs w:val="20"/>
          <w:rtl w:val="0"/>
        </w:rPr>
        <w:t xml:space="preserve">56 (1965), 438-451</w:t>
      </w:r>
      <w:r w:rsidDel="00000000" w:rsidR="00000000" w:rsidRPr="00000000">
        <w:rPr>
          <w:rFonts w:ascii="Arial" w:cs="Arial" w:eastAsia="Arial" w:hAnsi="Arial"/>
          <w:i w:val="1"/>
          <w:sz w:val="20"/>
          <w:szCs w:val="20"/>
          <w:rtl w:val="0"/>
        </w:rPr>
        <w:t xml:space="preserve">, in JSTOR</w:t>
      </w:r>
      <w:r w:rsidDel="00000000" w:rsidR="00000000" w:rsidRPr="00000000">
        <w:rPr>
          <w:rFonts w:ascii="Arial" w:cs="Arial" w:eastAsia="Arial" w:hAnsi="Arial"/>
          <w:sz w:val="20"/>
          <w:szCs w:val="20"/>
          <w:rtl w:val="0"/>
        </w:rPr>
        <w:t xml:space="preserve"> &lt;http://www.jstor.org.ezproxy.uwtsd.ac.uk/stable/228772&gt;. Pg 438.</w:t>
      </w:r>
    </w:p>
  </w:footnote>
  <w:footnote w:id="8">
    <w:p w:rsidR="00000000" w:rsidDel="00000000" w:rsidP="00000000" w:rsidRDefault="00000000" w:rsidRPr="00000000" w14:paraId="000000C0">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Liana Saif, 'From Ġāyat Al-Ḥakīm to Šams Al-Maʿārif; Ways of Knowing and Paths of Power in Medieval Islam', </w:t>
      </w:r>
      <w:r w:rsidDel="00000000" w:rsidR="00000000" w:rsidRPr="00000000">
        <w:rPr>
          <w:rFonts w:ascii="Arial" w:cs="Arial" w:eastAsia="Arial" w:hAnsi="Arial"/>
          <w:i w:val="1"/>
          <w:sz w:val="20"/>
          <w:szCs w:val="20"/>
          <w:rtl w:val="0"/>
        </w:rPr>
        <w:t xml:space="preserve">Arabica, </w:t>
      </w:r>
      <w:r w:rsidDel="00000000" w:rsidR="00000000" w:rsidRPr="00000000">
        <w:rPr>
          <w:rFonts w:ascii="Arial" w:cs="Arial" w:eastAsia="Arial" w:hAnsi="Arial"/>
          <w:sz w:val="20"/>
          <w:szCs w:val="20"/>
          <w:rtl w:val="0"/>
        </w:rPr>
        <w:t xml:space="preserve">64 (2017), 297-345</w:t>
      </w:r>
      <w:r w:rsidDel="00000000" w:rsidR="00000000" w:rsidRPr="00000000">
        <w:rPr>
          <w:rFonts w:ascii="Arial" w:cs="Arial" w:eastAsia="Arial" w:hAnsi="Arial"/>
          <w:i w:val="1"/>
          <w:sz w:val="20"/>
          <w:szCs w:val="20"/>
          <w:rtl w:val="0"/>
        </w:rPr>
        <w:t xml:space="preserve">, in JSTOR</w:t>
      </w:r>
      <w:r w:rsidDel="00000000" w:rsidR="00000000" w:rsidRPr="00000000">
        <w:rPr>
          <w:rFonts w:ascii="Arial" w:cs="Arial" w:eastAsia="Arial" w:hAnsi="Arial"/>
          <w:sz w:val="20"/>
          <w:szCs w:val="20"/>
          <w:rtl w:val="0"/>
        </w:rPr>
        <w:t xml:space="preserve"> &lt;https://www-jstor-org.ezproxy.uwtsd.ac.uk/stable/26569036&gt;. Pg 299. </w:t>
      </w:r>
    </w:p>
  </w:footnote>
  <w:footnote w:id="9">
    <w:p w:rsidR="00000000" w:rsidDel="00000000" w:rsidP="00000000" w:rsidRDefault="00000000" w:rsidRPr="00000000" w14:paraId="000000C1">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Nicholas Campion, </w:t>
      </w:r>
      <w:r w:rsidDel="00000000" w:rsidR="00000000" w:rsidRPr="00000000">
        <w:rPr>
          <w:rFonts w:ascii="Arial" w:cs="Arial" w:eastAsia="Arial" w:hAnsi="Arial"/>
          <w:i w:val="1"/>
          <w:sz w:val="20"/>
          <w:szCs w:val="20"/>
          <w:rtl w:val="0"/>
        </w:rPr>
        <w:t xml:space="preserve">Astrology and Cosmology in the Worlds Religions</w:t>
      </w:r>
      <w:r w:rsidDel="00000000" w:rsidR="00000000" w:rsidRPr="00000000">
        <w:rPr>
          <w:rFonts w:ascii="Arial" w:cs="Arial" w:eastAsia="Arial" w:hAnsi="Arial"/>
          <w:sz w:val="20"/>
          <w:szCs w:val="20"/>
          <w:rtl w:val="0"/>
        </w:rPr>
        <w:t xml:space="preserve"> (NYU Press, 2012)</w:t>
      </w:r>
      <w:r w:rsidDel="00000000" w:rsidR="00000000" w:rsidRPr="00000000">
        <w:rPr>
          <w:rFonts w:ascii="Arial" w:cs="Arial" w:eastAsia="Arial" w:hAnsi="Arial"/>
          <w:i w:val="1"/>
          <w:sz w:val="20"/>
          <w:szCs w:val="20"/>
          <w:rtl w:val="0"/>
        </w:rPr>
        <w:t xml:space="preserve">, in JSTOR</w:t>
      </w:r>
      <w:r w:rsidDel="00000000" w:rsidR="00000000" w:rsidRPr="00000000">
        <w:rPr>
          <w:rFonts w:ascii="Arial" w:cs="Arial" w:eastAsia="Arial" w:hAnsi="Arial"/>
          <w:sz w:val="20"/>
          <w:szCs w:val="20"/>
          <w:rtl w:val="0"/>
        </w:rPr>
        <w:t xml:space="preserve"> &lt;http://www.jstor.org/stable/j.ctt9qg5q5&gt;. Pg 174, 175</w:t>
      </w:r>
    </w:p>
  </w:footnote>
  <w:footnote w:id="10">
    <w:p w:rsidR="00000000" w:rsidDel="00000000" w:rsidP="00000000" w:rsidRDefault="00000000" w:rsidRPr="00000000" w14:paraId="000000C2">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Picatrix,  Introduction, pg 13. </w:t>
      </w:r>
    </w:p>
  </w:footnote>
  <w:footnote w:id="11">
    <w:p w:rsidR="00000000" w:rsidDel="00000000" w:rsidP="00000000" w:rsidRDefault="00000000" w:rsidRPr="00000000" w14:paraId="000000C3">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Peter J. Forshaw, pp. 15-48 9.</w:t>
      </w:r>
    </w:p>
  </w:footnote>
  <w:footnote w:id="12">
    <w:p w:rsidR="00000000" w:rsidDel="00000000" w:rsidP="00000000" w:rsidRDefault="00000000" w:rsidRPr="00000000" w14:paraId="000000C4">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The Complete Picatrix” </w:t>
      </w:r>
      <w:r w:rsidDel="00000000" w:rsidR="00000000" w:rsidRPr="00000000">
        <w:rPr>
          <w:rFonts w:ascii="Arial" w:cs="Arial" w:eastAsia="Arial" w:hAnsi="Arial"/>
          <w:sz w:val="20"/>
          <w:szCs w:val="20"/>
          <w:rtl w:val="0"/>
        </w:rPr>
        <w:t xml:space="preserve">will be henceforth shortened to “</w:t>
      </w:r>
      <w:r w:rsidDel="00000000" w:rsidR="00000000" w:rsidRPr="00000000">
        <w:rPr>
          <w:rFonts w:ascii="Arial" w:cs="Arial" w:eastAsia="Arial" w:hAnsi="Arial"/>
          <w:i w:val="1"/>
          <w:sz w:val="20"/>
          <w:szCs w:val="20"/>
          <w:rtl w:val="0"/>
        </w:rPr>
        <w:t xml:space="preserve">Picatrix” </w:t>
      </w:r>
      <w:r w:rsidDel="00000000" w:rsidR="00000000" w:rsidRPr="00000000">
        <w:rPr>
          <w:rFonts w:ascii="Arial" w:cs="Arial" w:eastAsia="Arial" w:hAnsi="Arial"/>
          <w:sz w:val="20"/>
          <w:szCs w:val="20"/>
          <w:rtl w:val="0"/>
        </w:rPr>
        <w:t xml:space="preserve">for the purpose of this essay. </w:t>
      </w:r>
    </w:p>
  </w:footnote>
  <w:footnote w:id="13">
    <w:p w:rsidR="00000000" w:rsidDel="00000000" w:rsidP="00000000" w:rsidRDefault="00000000" w:rsidRPr="00000000" w14:paraId="000000C5">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Eric Purdue, ' Preface.', in </w:t>
      </w:r>
      <w:r w:rsidDel="00000000" w:rsidR="00000000" w:rsidRPr="00000000">
        <w:rPr>
          <w:rFonts w:ascii="Arial" w:cs="Arial" w:eastAsia="Arial" w:hAnsi="Arial"/>
          <w:i w:val="1"/>
          <w:sz w:val="20"/>
          <w:szCs w:val="20"/>
          <w:rtl w:val="0"/>
        </w:rPr>
        <w:t xml:space="preserve">Three Books of Occult Philosophy: Book One.</w:t>
      </w:r>
      <w:r w:rsidDel="00000000" w:rsidR="00000000" w:rsidRPr="00000000">
        <w:rPr>
          <w:rFonts w:ascii="Arial" w:cs="Arial" w:eastAsia="Arial" w:hAnsi="Arial"/>
          <w:sz w:val="20"/>
          <w:szCs w:val="20"/>
          <w:rtl w:val="0"/>
        </w:rPr>
        <w:t xml:space="preserve"> , Academic Edition edn (Renaissance Astrology, 2012), pp. 1-10. Pg. 8 </w:t>
      </w:r>
    </w:p>
  </w:footnote>
  <w:footnote w:id="14">
    <w:p w:rsidR="00000000" w:rsidDel="00000000" w:rsidP="00000000" w:rsidRDefault="00000000" w:rsidRPr="00000000" w14:paraId="000000C6">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Eric Purdue, ' Preface.', in </w:t>
      </w:r>
      <w:r w:rsidDel="00000000" w:rsidR="00000000" w:rsidRPr="00000000">
        <w:rPr>
          <w:rFonts w:ascii="Arial" w:cs="Arial" w:eastAsia="Arial" w:hAnsi="Arial"/>
          <w:i w:val="1"/>
          <w:sz w:val="20"/>
          <w:szCs w:val="20"/>
          <w:rtl w:val="0"/>
        </w:rPr>
        <w:t xml:space="preserve">Three Books of Occult Philosophy: Book One.</w:t>
      </w:r>
      <w:r w:rsidDel="00000000" w:rsidR="00000000" w:rsidRPr="00000000">
        <w:rPr>
          <w:rFonts w:ascii="Arial" w:cs="Arial" w:eastAsia="Arial" w:hAnsi="Arial"/>
          <w:sz w:val="20"/>
          <w:szCs w:val="20"/>
          <w:rtl w:val="0"/>
        </w:rPr>
        <w:t xml:space="preserve"> , Academic Edition edn (Renaissance Astrology, 2012), pp. 1-10. 8.</w:t>
      </w:r>
    </w:p>
  </w:footnote>
  <w:footnote w:id="15">
    <w:p w:rsidR="00000000" w:rsidDel="00000000" w:rsidP="00000000" w:rsidRDefault="00000000" w:rsidRPr="00000000" w14:paraId="000000C7">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Paola Zambelli, 'Magic and Radical Reformation in Agrippa of Nettesheim', </w:t>
      </w:r>
      <w:r w:rsidDel="00000000" w:rsidR="00000000" w:rsidRPr="00000000">
        <w:rPr>
          <w:rFonts w:ascii="Arial" w:cs="Arial" w:eastAsia="Arial" w:hAnsi="Arial"/>
          <w:i w:val="1"/>
          <w:sz w:val="20"/>
          <w:szCs w:val="20"/>
          <w:rtl w:val="0"/>
        </w:rPr>
        <w:t xml:space="preserve">Journal of the Warburg and Courtauld Institutes, </w:t>
      </w:r>
      <w:r w:rsidDel="00000000" w:rsidR="00000000" w:rsidRPr="00000000">
        <w:rPr>
          <w:rFonts w:ascii="Arial" w:cs="Arial" w:eastAsia="Arial" w:hAnsi="Arial"/>
          <w:sz w:val="20"/>
          <w:szCs w:val="20"/>
          <w:rtl w:val="0"/>
        </w:rPr>
        <w:t xml:space="preserve">39 (1976), 69-103</w:t>
      </w:r>
      <w:r w:rsidDel="00000000" w:rsidR="00000000" w:rsidRPr="00000000">
        <w:rPr>
          <w:rFonts w:ascii="Arial" w:cs="Arial" w:eastAsia="Arial" w:hAnsi="Arial"/>
          <w:i w:val="1"/>
          <w:sz w:val="20"/>
          <w:szCs w:val="20"/>
          <w:rtl w:val="0"/>
        </w:rPr>
        <w:t xml:space="preserve">, in JSTOR</w:t>
      </w:r>
      <w:r w:rsidDel="00000000" w:rsidR="00000000" w:rsidRPr="00000000">
        <w:rPr>
          <w:rFonts w:ascii="Arial" w:cs="Arial" w:eastAsia="Arial" w:hAnsi="Arial"/>
          <w:sz w:val="20"/>
          <w:szCs w:val="20"/>
          <w:rtl w:val="0"/>
        </w:rPr>
        <w:t xml:space="preserve"> &lt;http://www.jstor.org.ezproxy.uwtsd.ac.uk/stable/751133&gt;. pg 69.</w:t>
      </w:r>
    </w:p>
  </w:footnote>
  <w:footnote w:id="16">
    <w:p w:rsidR="00000000" w:rsidDel="00000000" w:rsidP="00000000" w:rsidRDefault="00000000" w:rsidRPr="00000000" w14:paraId="000000C8">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Charles G. Nauert, 'Agrippa in Renaissance Italy: The Esoteric Tradition', Studies in the Renaissance, 6 (1959), 195-222, in JSTOR &lt;http://www.jstor.org/stable/2857188&gt;. pg 196</w:t>
      </w:r>
    </w:p>
  </w:footnote>
  <w:footnote w:id="17">
    <w:p w:rsidR="00000000" w:rsidDel="00000000" w:rsidP="00000000" w:rsidRDefault="00000000" w:rsidRPr="00000000" w14:paraId="000000C9">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The Three Books of Occult Philosophy</w:t>
      </w:r>
      <w:r w:rsidDel="00000000" w:rsidR="00000000" w:rsidRPr="00000000">
        <w:rPr>
          <w:rFonts w:ascii="Arial" w:cs="Arial" w:eastAsia="Arial" w:hAnsi="Arial"/>
          <w:sz w:val="20"/>
          <w:szCs w:val="20"/>
          <w:rtl w:val="0"/>
        </w:rPr>
        <w:t xml:space="preserve"> will henceforth be called </w:t>
      </w:r>
      <w:r w:rsidDel="00000000" w:rsidR="00000000" w:rsidRPr="00000000">
        <w:rPr>
          <w:rFonts w:ascii="Arial" w:cs="Arial" w:eastAsia="Arial" w:hAnsi="Arial"/>
          <w:i w:val="1"/>
          <w:sz w:val="20"/>
          <w:szCs w:val="20"/>
          <w:rtl w:val="0"/>
        </w:rPr>
        <w:t xml:space="preserve">The Three Books </w:t>
      </w:r>
      <w:r w:rsidDel="00000000" w:rsidR="00000000" w:rsidRPr="00000000">
        <w:rPr>
          <w:rFonts w:ascii="Arial" w:cs="Arial" w:eastAsia="Arial" w:hAnsi="Arial"/>
          <w:sz w:val="20"/>
          <w:szCs w:val="20"/>
          <w:rtl w:val="0"/>
        </w:rPr>
        <w:t xml:space="preserve">for the purpose of this essay.</w:t>
      </w:r>
    </w:p>
  </w:footnote>
  <w:footnote w:id="18">
    <w:p w:rsidR="00000000" w:rsidDel="00000000" w:rsidP="00000000" w:rsidRDefault="00000000" w:rsidRPr="00000000" w14:paraId="000000CA">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Vittoria Perrone Compagni, 'Heinrich Cornelius Agrippa Von Nettesheim', in </w:t>
      </w:r>
      <w:r w:rsidDel="00000000" w:rsidR="00000000" w:rsidRPr="00000000">
        <w:rPr>
          <w:rFonts w:ascii="Arial" w:cs="Arial" w:eastAsia="Arial" w:hAnsi="Arial"/>
          <w:i w:val="1"/>
          <w:sz w:val="20"/>
          <w:szCs w:val="20"/>
          <w:rtl w:val="0"/>
        </w:rPr>
        <w:t xml:space="preserve">Stanford Encyclopedia of Philosophy</w:t>
      </w:r>
      <w:r w:rsidDel="00000000" w:rsidR="00000000" w:rsidRPr="00000000">
        <w:rPr>
          <w:rFonts w:ascii="Arial" w:cs="Arial" w:eastAsia="Arial" w:hAnsi="Arial"/>
          <w:sz w:val="20"/>
          <w:szCs w:val="20"/>
          <w:rtl w:val="0"/>
        </w:rPr>
        <w:t xml:space="preserve">, ed. by Edward N. Zalta (Stanford University: Metaphysics Research Lab, 2021) &lt;https://plato.stanford.edu/archives/spr2021/entries/agrippa-nettesheim/&gt;. section 5 </w:t>
      </w:r>
    </w:p>
  </w:footnote>
  <w:footnote w:id="19">
    <w:p w:rsidR="00000000" w:rsidDel="00000000" w:rsidP="00000000" w:rsidRDefault="00000000" w:rsidRPr="00000000" w14:paraId="000000CB">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Vittoria Perrone Compagni, 'Heinrich Cornelius Agrippa Von Nettesheim', in </w:t>
      </w:r>
      <w:r w:rsidDel="00000000" w:rsidR="00000000" w:rsidRPr="00000000">
        <w:rPr>
          <w:rFonts w:ascii="Arial" w:cs="Arial" w:eastAsia="Arial" w:hAnsi="Arial"/>
          <w:i w:val="1"/>
          <w:sz w:val="20"/>
          <w:szCs w:val="20"/>
          <w:rtl w:val="0"/>
        </w:rPr>
        <w:t xml:space="preserve">Stanford Encyclopedia of Philosophy</w:t>
      </w:r>
      <w:r w:rsidDel="00000000" w:rsidR="00000000" w:rsidRPr="00000000">
        <w:rPr>
          <w:rFonts w:ascii="Arial" w:cs="Arial" w:eastAsia="Arial" w:hAnsi="Arial"/>
          <w:sz w:val="20"/>
          <w:szCs w:val="20"/>
          <w:rtl w:val="0"/>
        </w:rPr>
        <w:t xml:space="preserve">, ed. by Edward N. Zalta (Stanford University: Metaphysics Research Lab, 2021) &lt;https://plato.stanford.edu/archives/spr2021/entries/agrippa-nettesheim/&gt;. section 2.</w:t>
      </w:r>
    </w:p>
  </w:footnote>
  <w:footnote w:id="20">
    <w:p w:rsidR="00000000" w:rsidDel="00000000" w:rsidP="00000000" w:rsidRDefault="00000000" w:rsidRPr="00000000" w14:paraId="000000CC">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Vittoria Perrone Compagni, section 5. </w:t>
      </w:r>
    </w:p>
  </w:footnote>
  <w:footnote w:id="21">
    <w:p w:rsidR="00000000" w:rsidDel="00000000" w:rsidP="00000000" w:rsidRDefault="00000000" w:rsidRPr="00000000" w14:paraId="000000CD">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Charles G. Nauert, 'Agrippa in Renaissance Italy: The Esoteric Tradition', </w:t>
      </w:r>
      <w:r w:rsidDel="00000000" w:rsidR="00000000" w:rsidRPr="00000000">
        <w:rPr>
          <w:rFonts w:ascii="Arial" w:cs="Arial" w:eastAsia="Arial" w:hAnsi="Arial"/>
          <w:i w:val="1"/>
          <w:sz w:val="20"/>
          <w:szCs w:val="20"/>
          <w:rtl w:val="0"/>
        </w:rPr>
        <w:t xml:space="preserve">Studies in the Renaissance, </w:t>
      </w:r>
      <w:r w:rsidDel="00000000" w:rsidR="00000000" w:rsidRPr="00000000">
        <w:rPr>
          <w:rFonts w:ascii="Arial" w:cs="Arial" w:eastAsia="Arial" w:hAnsi="Arial"/>
          <w:sz w:val="20"/>
          <w:szCs w:val="20"/>
          <w:rtl w:val="0"/>
        </w:rPr>
        <w:t xml:space="preserve">6 (1959), 195-222</w:t>
      </w:r>
      <w:r w:rsidDel="00000000" w:rsidR="00000000" w:rsidRPr="00000000">
        <w:rPr>
          <w:rFonts w:ascii="Arial" w:cs="Arial" w:eastAsia="Arial" w:hAnsi="Arial"/>
          <w:i w:val="1"/>
          <w:sz w:val="20"/>
          <w:szCs w:val="20"/>
          <w:rtl w:val="0"/>
        </w:rPr>
        <w:t xml:space="preserve">, in JSTOR</w:t>
      </w:r>
      <w:r w:rsidDel="00000000" w:rsidR="00000000" w:rsidRPr="00000000">
        <w:rPr>
          <w:rFonts w:ascii="Arial" w:cs="Arial" w:eastAsia="Arial" w:hAnsi="Arial"/>
          <w:sz w:val="20"/>
          <w:szCs w:val="20"/>
          <w:rtl w:val="0"/>
        </w:rPr>
        <w:t xml:space="preserve"> &lt;http://www.jstor.org/stable/2857188&gt;. pg 196.</w:t>
      </w:r>
    </w:p>
  </w:footnote>
  <w:footnote w:id="22">
    <w:p w:rsidR="00000000" w:rsidDel="00000000" w:rsidP="00000000" w:rsidRDefault="00000000" w:rsidRPr="00000000" w14:paraId="000000CE">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Vittoria Perrone Compagni, section 5. </w:t>
      </w:r>
    </w:p>
  </w:footnote>
  <w:footnote w:id="23">
    <w:p w:rsidR="00000000" w:rsidDel="00000000" w:rsidP="00000000" w:rsidRDefault="00000000" w:rsidRPr="00000000" w14:paraId="000000CF">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Charles G. Nauert, 1959, pg.197. </w:t>
      </w:r>
    </w:p>
  </w:footnote>
  <w:footnote w:id="24">
    <w:p w:rsidR="00000000" w:rsidDel="00000000" w:rsidP="00000000" w:rsidRDefault="00000000" w:rsidRPr="00000000" w14:paraId="000000D0">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Charles G. Nauert, 'Magic and Skepticism in Agrippa's Thought', </w:t>
      </w:r>
      <w:r w:rsidDel="00000000" w:rsidR="00000000" w:rsidRPr="00000000">
        <w:rPr>
          <w:rFonts w:ascii="Arial" w:cs="Arial" w:eastAsia="Arial" w:hAnsi="Arial"/>
          <w:i w:val="1"/>
          <w:sz w:val="20"/>
          <w:szCs w:val="20"/>
          <w:rtl w:val="0"/>
        </w:rPr>
        <w:t xml:space="preserve">Journal of the History of Ideas, </w:t>
      </w:r>
      <w:r w:rsidDel="00000000" w:rsidR="00000000" w:rsidRPr="00000000">
        <w:rPr>
          <w:rFonts w:ascii="Arial" w:cs="Arial" w:eastAsia="Arial" w:hAnsi="Arial"/>
          <w:sz w:val="20"/>
          <w:szCs w:val="20"/>
          <w:rtl w:val="0"/>
        </w:rPr>
        <w:t xml:space="preserve">18 (1957), 161-182</w:t>
      </w:r>
      <w:r w:rsidDel="00000000" w:rsidR="00000000" w:rsidRPr="00000000">
        <w:rPr>
          <w:rFonts w:ascii="Arial" w:cs="Arial" w:eastAsia="Arial" w:hAnsi="Arial"/>
          <w:i w:val="1"/>
          <w:sz w:val="20"/>
          <w:szCs w:val="20"/>
          <w:rtl w:val="0"/>
        </w:rPr>
        <w:t xml:space="preserve">, in JSTOR</w:t>
      </w:r>
      <w:r w:rsidDel="00000000" w:rsidR="00000000" w:rsidRPr="00000000">
        <w:rPr>
          <w:rFonts w:ascii="Arial" w:cs="Arial" w:eastAsia="Arial" w:hAnsi="Arial"/>
          <w:sz w:val="20"/>
          <w:szCs w:val="20"/>
          <w:rtl w:val="0"/>
        </w:rPr>
        <w:t xml:space="preserve"> &lt;http://www.jstor.org.ezproxy.uwtsd.ac.uk/stable/2707622&gt;. pg. 163. </w:t>
      </w:r>
    </w:p>
  </w:footnote>
  <w:footnote w:id="25">
    <w:p w:rsidR="00000000" w:rsidDel="00000000" w:rsidP="00000000" w:rsidRDefault="00000000" w:rsidRPr="00000000" w14:paraId="000000D1">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Charles G. Nauert, 'Magic and Skepticism in Agrippa's Thought', </w:t>
      </w:r>
      <w:r w:rsidDel="00000000" w:rsidR="00000000" w:rsidRPr="00000000">
        <w:rPr>
          <w:rFonts w:ascii="Arial" w:cs="Arial" w:eastAsia="Arial" w:hAnsi="Arial"/>
          <w:i w:val="1"/>
          <w:sz w:val="20"/>
          <w:szCs w:val="20"/>
          <w:rtl w:val="0"/>
        </w:rPr>
        <w:t xml:space="preserve">Journal of the History of Ideas, </w:t>
      </w:r>
      <w:r w:rsidDel="00000000" w:rsidR="00000000" w:rsidRPr="00000000">
        <w:rPr>
          <w:rFonts w:ascii="Arial" w:cs="Arial" w:eastAsia="Arial" w:hAnsi="Arial"/>
          <w:sz w:val="20"/>
          <w:szCs w:val="20"/>
          <w:rtl w:val="0"/>
        </w:rPr>
        <w:t xml:space="preserve">18 (1957), 161-182</w:t>
      </w:r>
      <w:r w:rsidDel="00000000" w:rsidR="00000000" w:rsidRPr="00000000">
        <w:rPr>
          <w:rFonts w:ascii="Arial" w:cs="Arial" w:eastAsia="Arial" w:hAnsi="Arial"/>
          <w:i w:val="1"/>
          <w:sz w:val="20"/>
          <w:szCs w:val="20"/>
          <w:rtl w:val="0"/>
        </w:rPr>
        <w:t xml:space="preserve">, in JSTOR</w:t>
      </w:r>
      <w:r w:rsidDel="00000000" w:rsidR="00000000" w:rsidRPr="00000000">
        <w:rPr>
          <w:rFonts w:ascii="Arial" w:cs="Arial" w:eastAsia="Arial" w:hAnsi="Arial"/>
          <w:sz w:val="20"/>
          <w:szCs w:val="20"/>
          <w:rtl w:val="0"/>
        </w:rPr>
        <w:t xml:space="preserve"> &lt;http://www.jstor.org.ezproxy.uwtsd.ac.uk/stable/2707622&gt;. pg. 167. </w:t>
      </w:r>
    </w:p>
  </w:footnote>
  <w:footnote w:id="26">
    <w:p w:rsidR="00000000" w:rsidDel="00000000" w:rsidP="00000000" w:rsidRDefault="00000000" w:rsidRPr="00000000" w14:paraId="000000D2">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Eric Purdue, pp. 1-10 g 1-2.</w:t>
      </w:r>
    </w:p>
  </w:footnote>
  <w:footnote w:id="27">
    <w:p w:rsidR="00000000" w:rsidDel="00000000" w:rsidP="00000000" w:rsidRDefault="00000000" w:rsidRPr="00000000" w14:paraId="000000D3">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Reinhold Ebertin, </w:t>
      </w:r>
      <w:r w:rsidDel="00000000" w:rsidR="00000000" w:rsidRPr="00000000">
        <w:rPr>
          <w:rFonts w:ascii="Arial" w:cs="Arial" w:eastAsia="Arial" w:hAnsi="Arial"/>
          <w:i w:val="1"/>
          <w:sz w:val="20"/>
          <w:szCs w:val="20"/>
          <w:rtl w:val="0"/>
        </w:rPr>
        <w:t xml:space="preserve">The Combination of Stellar Influences</w:t>
      </w:r>
      <w:r w:rsidDel="00000000" w:rsidR="00000000" w:rsidRPr="00000000">
        <w:rPr>
          <w:rFonts w:ascii="Arial" w:cs="Arial" w:eastAsia="Arial" w:hAnsi="Arial"/>
          <w:sz w:val="20"/>
          <w:szCs w:val="20"/>
          <w:rtl w:val="0"/>
        </w:rPr>
        <w:t xml:space="preserve"> (American Federation of Astrologers, Incorporated, 1972). pg 35. </w:t>
      </w:r>
    </w:p>
  </w:footnote>
  <w:footnote w:id="28">
    <w:p w:rsidR="00000000" w:rsidDel="00000000" w:rsidP="00000000" w:rsidRDefault="00000000" w:rsidRPr="00000000" w14:paraId="000000D4">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Charles harvey forward </w:t>
      </w:r>
    </w:p>
  </w:footnote>
  <w:footnote w:id="29">
    <w:p w:rsidR="00000000" w:rsidDel="00000000" w:rsidP="00000000" w:rsidRDefault="00000000" w:rsidRPr="00000000" w14:paraId="000000D5">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i w:val="1"/>
          <w:sz w:val="20"/>
          <w:szCs w:val="20"/>
          <w:rtl w:val="0"/>
        </w:rPr>
        <w:t xml:space="preserve">The Combination of Stellar Influences</w:t>
      </w:r>
      <w:r w:rsidDel="00000000" w:rsidR="00000000" w:rsidRPr="00000000">
        <w:rPr>
          <w:rFonts w:ascii="Arial" w:cs="Arial" w:eastAsia="Arial" w:hAnsi="Arial"/>
          <w:sz w:val="20"/>
          <w:szCs w:val="20"/>
          <w:rtl w:val="0"/>
        </w:rPr>
        <w:t xml:space="preserve"> will henceforth be called </w:t>
      </w:r>
      <w:r w:rsidDel="00000000" w:rsidR="00000000" w:rsidRPr="00000000">
        <w:rPr>
          <w:rFonts w:ascii="Arial" w:cs="Arial" w:eastAsia="Arial" w:hAnsi="Arial"/>
          <w:i w:val="1"/>
          <w:sz w:val="20"/>
          <w:szCs w:val="20"/>
          <w:rtl w:val="0"/>
        </w:rPr>
        <w:t xml:space="preserve">Stellar Influences </w:t>
      </w:r>
      <w:r w:rsidDel="00000000" w:rsidR="00000000" w:rsidRPr="00000000">
        <w:rPr>
          <w:rFonts w:ascii="Arial" w:cs="Arial" w:eastAsia="Arial" w:hAnsi="Arial"/>
          <w:sz w:val="20"/>
          <w:szCs w:val="20"/>
          <w:rtl w:val="0"/>
        </w:rPr>
        <w:t xml:space="preserve">for the purpose of this essay. </w:t>
      </w:r>
    </w:p>
  </w:footnote>
  <w:footnote w:id="30">
    <w:p w:rsidR="00000000" w:rsidDel="00000000" w:rsidP="00000000" w:rsidRDefault="00000000" w:rsidRPr="00000000" w14:paraId="000000D6">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Campion, Nicholas, Astrology and Cosmology in the </w:t>
      </w:r>
      <w:r w:rsidDel="00000000" w:rsidR="00000000" w:rsidRPr="00000000">
        <w:rPr>
          <w:rFonts w:ascii="Arial" w:cs="Arial" w:eastAsia="Arial" w:hAnsi="Arial"/>
          <w:sz w:val="20"/>
          <w:szCs w:val="20"/>
          <w:rtl w:val="0"/>
        </w:rPr>
        <w:t xml:space="preserve">Worlds</w:t>
      </w:r>
      <w:r w:rsidDel="00000000" w:rsidR="00000000" w:rsidRPr="00000000">
        <w:rPr>
          <w:rFonts w:ascii="Arial" w:cs="Arial" w:eastAsia="Arial" w:hAnsi="Arial"/>
          <w:sz w:val="20"/>
          <w:szCs w:val="20"/>
          <w:rtl w:val="0"/>
        </w:rPr>
        <w:t xml:space="preserve"> Religions (NYU Press, 2012), in JSTOR &lt;http://www.jstor.org/stable/j.ctt9qg5q5&gt;pg. 175.</w:t>
      </w:r>
    </w:p>
  </w:footnote>
  <w:footnote w:id="31">
    <w:p w:rsidR="00000000" w:rsidDel="00000000" w:rsidP="00000000" w:rsidRDefault="00000000" w:rsidRPr="00000000" w14:paraId="000000D7">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Liana Saif, pg. 312.</w:t>
      </w:r>
    </w:p>
  </w:footnote>
  <w:footnote w:id="32">
    <w:p w:rsidR="00000000" w:rsidDel="00000000" w:rsidP="00000000" w:rsidRDefault="00000000" w:rsidRPr="00000000" w14:paraId="000000D8">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Picatrix,  Pg 25. </w:t>
      </w:r>
    </w:p>
  </w:footnote>
  <w:footnote w:id="33">
    <w:p w:rsidR="00000000" w:rsidDel="00000000" w:rsidP="00000000" w:rsidRDefault="00000000" w:rsidRPr="00000000" w14:paraId="000000D9">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Plotinus, </w:t>
      </w:r>
      <w:r w:rsidDel="00000000" w:rsidR="00000000" w:rsidRPr="00000000">
        <w:rPr>
          <w:rFonts w:ascii="Arial" w:cs="Arial" w:eastAsia="Arial" w:hAnsi="Arial"/>
          <w:i w:val="1"/>
          <w:sz w:val="20"/>
          <w:szCs w:val="20"/>
          <w:rtl w:val="0"/>
        </w:rPr>
        <w:t xml:space="preserve">Enneads</w:t>
      </w:r>
      <w:r w:rsidDel="00000000" w:rsidR="00000000" w:rsidRPr="00000000">
        <w:rPr>
          <w:rFonts w:ascii="Arial" w:cs="Arial" w:eastAsia="Arial" w:hAnsi="Arial"/>
          <w:sz w:val="20"/>
          <w:szCs w:val="20"/>
          <w:rtl w:val="0"/>
        </w:rPr>
        <w:t xml:space="preserve"> (Loeb Classic Library, ) V. 1.</w:t>
      </w:r>
    </w:p>
  </w:footnote>
  <w:footnote w:id="34">
    <w:p w:rsidR="00000000" w:rsidDel="00000000" w:rsidP="00000000" w:rsidRDefault="00000000" w:rsidRPr="00000000" w14:paraId="000000DA">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Liana Saif, pg.303-4.</w:t>
      </w:r>
    </w:p>
  </w:footnote>
  <w:footnote w:id="35">
    <w:p w:rsidR="00000000" w:rsidDel="00000000" w:rsidP="00000000" w:rsidRDefault="00000000" w:rsidRPr="00000000" w14:paraId="000000DB">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Picatrix, Pg 25.</w:t>
      </w:r>
    </w:p>
  </w:footnote>
  <w:footnote w:id="36">
    <w:p w:rsidR="00000000" w:rsidDel="00000000" w:rsidP="00000000" w:rsidRDefault="00000000" w:rsidRPr="00000000" w14:paraId="000000DC">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Picatrix, pg 37-8.</w:t>
      </w:r>
    </w:p>
  </w:footnote>
  <w:footnote w:id="37">
    <w:p w:rsidR="00000000" w:rsidDel="00000000" w:rsidP="00000000" w:rsidRDefault="00000000" w:rsidRPr="00000000" w14:paraId="000000DD">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Picatrix, Pg  39.</w:t>
      </w:r>
    </w:p>
  </w:footnote>
  <w:footnote w:id="38">
    <w:p w:rsidR="00000000" w:rsidDel="00000000" w:rsidP="00000000" w:rsidRDefault="00000000" w:rsidRPr="00000000" w14:paraId="000000DE">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Picatrix, Pg 42</w:t>
      </w:r>
    </w:p>
  </w:footnote>
  <w:footnote w:id="39">
    <w:p w:rsidR="00000000" w:rsidDel="00000000" w:rsidP="00000000" w:rsidRDefault="00000000" w:rsidRPr="00000000" w14:paraId="000000DF">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Picatrix, Pg 43.</w:t>
      </w:r>
    </w:p>
  </w:footnote>
  <w:footnote w:id="40">
    <w:p w:rsidR="00000000" w:rsidDel="00000000" w:rsidP="00000000" w:rsidRDefault="00000000" w:rsidRPr="00000000" w14:paraId="000000E0">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Picatrix, Pg  12. </w:t>
      </w:r>
    </w:p>
  </w:footnote>
  <w:footnote w:id="41">
    <w:p w:rsidR="00000000" w:rsidDel="00000000" w:rsidP="00000000" w:rsidRDefault="00000000" w:rsidRPr="00000000" w14:paraId="000000E1">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Henry Cornelius Agrippa, 'Book Two- Celestial Magic', in Three Books of Occult Philosophy, trans. by J.F (London: R.W., 1651).Chapter iv. </w:t>
      </w:r>
    </w:p>
  </w:footnote>
  <w:footnote w:id="42">
    <w:p w:rsidR="00000000" w:rsidDel="00000000" w:rsidP="00000000" w:rsidRDefault="00000000" w:rsidRPr="00000000" w14:paraId="000000E2">
      <w:pPr>
        <w:rPr>
          <w:rFonts w:ascii="Arial" w:cs="Arial" w:eastAsia="Arial" w:hAnsi="Arial"/>
          <w:i w:val="1"/>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Enneads </w:t>
      </w:r>
      <w:r w:rsidDel="00000000" w:rsidR="00000000" w:rsidRPr="00000000">
        <w:rPr>
          <w:rFonts w:ascii="Arial" w:cs="Arial" w:eastAsia="Arial" w:hAnsi="Arial"/>
          <w:i w:val="1"/>
          <w:sz w:val="20"/>
          <w:szCs w:val="20"/>
          <w:rtl w:val="0"/>
        </w:rPr>
        <w:t xml:space="preserve">V. 2.</w:t>
      </w:r>
    </w:p>
  </w:footnote>
  <w:footnote w:id="43">
    <w:p w:rsidR="00000000" w:rsidDel="00000000" w:rsidP="00000000" w:rsidRDefault="00000000" w:rsidRPr="00000000" w14:paraId="000000E3">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Henry Cornelius Agrippa, 'Book Two- Celestial Magic', in </w:t>
      </w:r>
      <w:r w:rsidDel="00000000" w:rsidR="00000000" w:rsidRPr="00000000">
        <w:rPr>
          <w:rFonts w:ascii="Arial" w:cs="Arial" w:eastAsia="Arial" w:hAnsi="Arial"/>
          <w:i w:val="1"/>
          <w:sz w:val="20"/>
          <w:szCs w:val="20"/>
          <w:rtl w:val="0"/>
        </w:rPr>
        <w:t xml:space="preserve">Three Books of Occult Philosophy</w:t>
      </w:r>
      <w:r w:rsidDel="00000000" w:rsidR="00000000" w:rsidRPr="00000000">
        <w:rPr>
          <w:rFonts w:ascii="Arial" w:cs="Arial" w:eastAsia="Arial" w:hAnsi="Arial"/>
          <w:sz w:val="20"/>
          <w:szCs w:val="20"/>
          <w:rtl w:val="0"/>
        </w:rPr>
        <w:t xml:space="preserve">, trans. by J.F (London: R.W., 1651). Chap. xxix.</w:t>
      </w:r>
    </w:p>
  </w:footnote>
  <w:footnote w:id="44">
    <w:p w:rsidR="00000000" w:rsidDel="00000000" w:rsidP="00000000" w:rsidRDefault="00000000" w:rsidRPr="00000000" w14:paraId="000000E4">
      <w:pPr>
        <w:rPr>
          <w:rFonts w:ascii="Arial" w:cs="Arial" w:eastAsia="Arial" w:hAnsi="Arial"/>
          <w:sz w:val="22"/>
          <w:szCs w:val="22"/>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Henry Cornelius Agrippa, Chap. xxxii.</w:t>
      </w:r>
      <w:r w:rsidDel="00000000" w:rsidR="00000000" w:rsidRPr="00000000">
        <w:rPr>
          <w:rtl w:val="0"/>
        </w:rPr>
      </w:r>
    </w:p>
  </w:footnote>
  <w:footnote w:id="45">
    <w:p w:rsidR="00000000" w:rsidDel="00000000" w:rsidP="00000000" w:rsidRDefault="00000000" w:rsidRPr="00000000" w14:paraId="000000E5">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Henry Cornelius Agrippa,Chap vii.</w:t>
      </w:r>
    </w:p>
  </w:footnote>
  <w:footnote w:id="46">
    <w:p w:rsidR="00000000" w:rsidDel="00000000" w:rsidP="00000000" w:rsidRDefault="00000000" w:rsidRPr="00000000" w14:paraId="000000E6">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Reinhold Ebertin, </w:t>
      </w:r>
      <w:r w:rsidDel="00000000" w:rsidR="00000000" w:rsidRPr="00000000">
        <w:rPr>
          <w:rFonts w:ascii="Arial" w:cs="Arial" w:eastAsia="Arial" w:hAnsi="Arial"/>
          <w:i w:val="1"/>
          <w:sz w:val="20"/>
          <w:szCs w:val="20"/>
          <w:rtl w:val="0"/>
        </w:rPr>
        <w:t xml:space="preserve">Rapid and Reliable Analysis</w:t>
      </w:r>
      <w:r w:rsidDel="00000000" w:rsidR="00000000" w:rsidRPr="00000000">
        <w:rPr>
          <w:rFonts w:ascii="Arial" w:cs="Arial" w:eastAsia="Arial" w:hAnsi="Arial"/>
          <w:sz w:val="20"/>
          <w:szCs w:val="20"/>
          <w:rtl w:val="0"/>
        </w:rPr>
        <w:t xml:space="preserve">, trans. by Patrick Harding (Aalen: Ebertin-Verlag, 1970). Pg 7.</w:t>
      </w:r>
    </w:p>
  </w:footnote>
  <w:footnote w:id="47">
    <w:p w:rsidR="00000000" w:rsidDel="00000000" w:rsidP="00000000" w:rsidRDefault="00000000" w:rsidRPr="00000000" w14:paraId="000000E7">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Reinhold Ebertin, (1970) Pg 9.</w:t>
      </w:r>
    </w:p>
  </w:footnote>
  <w:footnote w:id="48">
    <w:p w:rsidR="00000000" w:rsidDel="00000000" w:rsidP="00000000" w:rsidRDefault="00000000" w:rsidRPr="00000000" w14:paraId="000000E8">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Reinhold Ebertin,  (1972) pg 39.</w:t>
      </w:r>
    </w:p>
  </w:footnote>
  <w:footnote w:id="49">
    <w:p w:rsidR="00000000" w:rsidDel="00000000" w:rsidP="00000000" w:rsidRDefault="00000000" w:rsidRPr="00000000" w14:paraId="000000E9">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Charles Harvey, 'Foreword', in </w:t>
      </w:r>
      <w:r w:rsidDel="00000000" w:rsidR="00000000" w:rsidRPr="00000000">
        <w:rPr>
          <w:rFonts w:ascii="Arial" w:cs="Arial" w:eastAsia="Arial" w:hAnsi="Arial"/>
          <w:i w:val="1"/>
          <w:sz w:val="20"/>
          <w:szCs w:val="20"/>
          <w:rtl w:val="0"/>
        </w:rPr>
        <w:t xml:space="preserve">The Hamburg School of Astrology</w:t>
      </w:r>
      <w:r w:rsidDel="00000000" w:rsidR="00000000" w:rsidRPr="00000000">
        <w:rPr>
          <w:rFonts w:ascii="Arial" w:cs="Arial" w:eastAsia="Arial" w:hAnsi="Arial"/>
          <w:sz w:val="20"/>
          <w:szCs w:val="20"/>
          <w:rtl w:val="0"/>
        </w:rPr>
        <w:t xml:space="preserve"> (England: Astrological Association, 1973). </w:t>
      </w:r>
    </w:p>
  </w:footnote>
  <w:footnote w:id="50">
    <w:p w:rsidR="00000000" w:rsidDel="00000000" w:rsidP="00000000" w:rsidRDefault="00000000" w:rsidRPr="00000000" w14:paraId="000000EA">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Reinhold Ebertin, (1972) pg 102</w:t>
      </w:r>
    </w:p>
  </w:footnote>
  <w:footnote w:id="51">
    <w:p w:rsidR="00000000" w:rsidDel="00000000" w:rsidP="00000000" w:rsidRDefault="00000000" w:rsidRPr="00000000" w14:paraId="000000EB">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Reinhold Ebertin, (1972) pg. 106. </w:t>
      </w:r>
    </w:p>
  </w:footnote>
  <w:footnote w:id="52">
    <w:p w:rsidR="00000000" w:rsidDel="00000000" w:rsidP="00000000" w:rsidRDefault="00000000" w:rsidRPr="00000000" w14:paraId="000000EC">
      <w:pPr>
        <w:rPr>
          <w:rFonts w:ascii="Arial" w:cs="Arial" w:eastAsia="Arial" w:hAnsi="Arial"/>
          <w:sz w:val="20"/>
          <w:szCs w:val="20"/>
        </w:rPr>
      </w:pPr>
      <w:r w:rsidDel="00000000" w:rsidR="00000000" w:rsidRPr="00000000">
        <w:rPr>
          <w:rStyle w:val="FootnoteReference"/>
          <w:vertAlign w:val="superscript"/>
        </w:rPr>
        <w:footnoteRef/>
      </w:r>
      <w:r w:rsidDel="00000000" w:rsidR="00000000" w:rsidRPr="00000000">
        <w:rPr>
          <w:rFonts w:ascii="Arial" w:cs="Arial" w:eastAsia="Arial" w:hAnsi="Arial"/>
          <w:sz w:val="20"/>
          <w:szCs w:val="20"/>
          <w:rtl w:val="0"/>
        </w:rPr>
        <w:t xml:space="preserve"> Reinhold Ebertin, (1972) pg 35</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7">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D">
    <w:pPr>
      <w:rPr/>
    </w:pPr>
    <w:r w:rsidDel="00000000" w:rsidR="00000000" w:rsidRPr="00000000">
      <w:rPr>
        <w:rtl w:val="0"/>
      </w:rPr>
      <w:t xml:space="preserve">India Sweeting </w:t>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F">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Rule="auto"/>
    </w:pPr>
    <w:rPr>
      <w:rFonts w:ascii="Arial" w:cs="Arial" w:eastAsia="Arial" w:hAnsi="Arial"/>
      <w:b w:val="1"/>
      <w:sz w:val="32"/>
      <w:szCs w:val="32"/>
      <w:vertAlign w:val="baseline"/>
    </w:rPr>
  </w:style>
  <w:style w:type="paragraph" w:styleId="Heading2">
    <w:name w:val="heading 2"/>
    <w:basedOn w:val="Normal"/>
    <w:next w:val="Normal"/>
    <w:pPr>
      <w:keepNext w:val="1"/>
      <w:spacing w:after="60" w:before="240" w:lineRule="auto"/>
    </w:pPr>
    <w:rPr>
      <w:rFonts w:ascii="Arial" w:cs="Arial" w:eastAsia="Arial" w:hAnsi="Arial"/>
      <w:b w:val="1"/>
      <w:i w:val="1"/>
      <w:sz w:val="28"/>
      <w:szCs w:val="28"/>
      <w:vertAlign w:val="baseline"/>
    </w:rPr>
  </w:style>
  <w:style w:type="paragraph" w:styleId="Heading3">
    <w:name w:val="heading 3"/>
    <w:basedOn w:val="Normal"/>
    <w:next w:val="Normal"/>
    <w:pPr>
      <w:keepNext w:val="1"/>
      <w:ind w:left="720"/>
      <w:jc w:val="both"/>
    </w:pPr>
    <w:rPr>
      <w:rFonts w:ascii="Tahoma" w:cs="Tahoma" w:eastAsia="Tahoma" w:hAnsi="Tahoma"/>
      <w:b w:val="1"/>
      <w:sz w:val="20"/>
      <w:szCs w:val="20"/>
      <w:vertAlign w:val="baseline"/>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1" Type="http://schemas.openxmlformats.org/officeDocument/2006/relationships/footer" Target="footer2.xml"/><Relationship Id="rId10" Type="http://schemas.openxmlformats.org/officeDocument/2006/relationships/footer" Target="footer1.xml"/><Relationship Id="rId12" Type="http://schemas.openxmlformats.org/officeDocument/2006/relationships/header" Target="header3.xml"/><Relationship Id="rId9" Type="http://schemas.openxmlformats.org/officeDocument/2006/relationships/header" Target="header2.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jpg"/><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