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186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2992"/>
        <w:gridCol w:w="2061"/>
        <w:gridCol w:w="2061"/>
      </w:tblGrid>
      <w:tr w:rsidR="002C359B" w:rsidRPr="00A406E5" w14:paraId="53B1496F" w14:textId="77777777" w:rsidTr="002C359B">
        <w:tc>
          <w:tcPr>
            <w:tcW w:w="1055" w:type="pct"/>
            <w:shd w:val="pct15" w:color="auto" w:fill="auto"/>
          </w:tcPr>
          <w:p w14:paraId="61D418A0"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Student name:</w:t>
            </w:r>
          </w:p>
        </w:tc>
        <w:tc>
          <w:tcPr>
            <w:tcW w:w="1659" w:type="pct"/>
          </w:tcPr>
          <w:p w14:paraId="20C1A751" w14:textId="21E825D7" w:rsidR="002C359B" w:rsidRPr="00A406E5" w:rsidRDefault="00F2670A" w:rsidP="004C54B5">
            <w:pPr>
              <w:spacing w:before="120" w:after="120"/>
              <w:jc w:val="left"/>
              <w:rPr>
                <w:rFonts w:ascii="Arial" w:hAnsi="Arial" w:cs="Arial"/>
                <w:b/>
                <w:sz w:val="22"/>
                <w:szCs w:val="22"/>
              </w:rPr>
            </w:pPr>
            <w:r>
              <w:rPr>
                <w:rFonts w:ascii="Arial" w:hAnsi="Arial" w:cs="Arial"/>
                <w:b/>
                <w:sz w:val="22"/>
                <w:szCs w:val="22"/>
              </w:rPr>
              <w:t xml:space="preserve">Shamira Begum Miah </w:t>
            </w:r>
          </w:p>
        </w:tc>
        <w:tc>
          <w:tcPr>
            <w:tcW w:w="1143" w:type="pct"/>
            <w:shd w:val="clear" w:color="auto" w:fill="D9D9D9"/>
          </w:tcPr>
          <w:p w14:paraId="403C8533" w14:textId="77777777" w:rsidR="002C359B" w:rsidRPr="00A406E5" w:rsidRDefault="002C359B" w:rsidP="004C54B5">
            <w:pPr>
              <w:spacing w:before="120" w:after="120"/>
              <w:jc w:val="left"/>
              <w:rPr>
                <w:rFonts w:ascii="Arial" w:hAnsi="Arial" w:cs="Arial"/>
                <w:b/>
                <w:sz w:val="22"/>
                <w:szCs w:val="22"/>
              </w:rPr>
            </w:pPr>
            <w:r w:rsidRPr="00A406E5">
              <w:rPr>
                <w:rFonts w:ascii="Arial" w:hAnsi="Arial" w:cs="Arial"/>
                <w:b/>
                <w:sz w:val="22"/>
                <w:szCs w:val="22"/>
              </w:rPr>
              <w:t>Student ID number:</w:t>
            </w:r>
          </w:p>
        </w:tc>
        <w:tc>
          <w:tcPr>
            <w:tcW w:w="1143" w:type="pct"/>
          </w:tcPr>
          <w:p w14:paraId="6CCEC6E6" w14:textId="79035468" w:rsidR="002C359B" w:rsidRPr="00A406E5" w:rsidRDefault="00F2670A" w:rsidP="004C54B5">
            <w:pPr>
              <w:spacing w:before="120" w:after="120"/>
              <w:jc w:val="left"/>
              <w:rPr>
                <w:rFonts w:ascii="Arial" w:hAnsi="Arial" w:cs="Arial"/>
                <w:b/>
                <w:sz w:val="22"/>
                <w:szCs w:val="22"/>
              </w:rPr>
            </w:pPr>
            <w:r>
              <w:rPr>
                <w:rFonts w:ascii="Arial" w:hAnsi="Arial" w:cs="Arial"/>
                <w:b/>
                <w:sz w:val="22"/>
                <w:szCs w:val="22"/>
              </w:rPr>
              <w:t>2526810</w:t>
            </w:r>
          </w:p>
        </w:tc>
      </w:tr>
      <w:tr w:rsidR="002C359B" w:rsidRPr="00FC2075" w14:paraId="16A1C5A3" w14:textId="77777777" w:rsidTr="002C359B">
        <w:tc>
          <w:tcPr>
            <w:tcW w:w="1055" w:type="pct"/>
            <w:shd w:val="pct15" w:color="auto" w:fill="auto"/>
          </w:tcPr>
          <w:p w14:paraId="535B061C"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Programme:</w:t>
            </w:r>
          </w:p>
        </w:tc>
        <w:tc>
          <w:tcPr>
            <w:tcW w:w="3945" w:type="pct"/>
            <w:gridSpan w:val="3"/>
          </w:tcPr>
          <w:p w14:paraId="66063164" w14:textId="77777777" w:rsidR="002C359B" w:rsidRPr="00FC2075" w:rsidRDefault="002C359B" w:rsidP="004C54B5">
            <w:pPr>
              <w:spacing w:before="120" w:after="120"/>
              <w:jc w:val="left"/>
              <w:rPr>
                <w:rFonts w:ascii="Arial" w:hAnsi="Arial" w:cs="Arial"/>
                <w:b/>
                <w:sz w:val="22"/>
                <w:szCs w:val="22"/>
              </w:rPr>
            </w:pPr>
            <w:r w:rsidRPr="00FC2075">
              <w:rPr>
                <w:rFonts w:ascii="Arial" w:hAnsi="Arial" w:cs="Arial"/>
                <w:b/>
                <w:bCs/>
              </w:rPr>
              <w:t>Certificate</w:t>
            </w:r>
            <w:r w:rsidRPr="00FC2075">
              <w:rPr>
                <w:rFonts w:ascii="Arial" w:hAnsi="Arial" w:cs="Arial"/>
                <w:b/>
                <w:bCs/>
                <w:spacing w:val="-5"/>
              </w:rPr>
              <w:t xml:space="preserve"> </w:t>
            </w:r>
            <w:r w:rsidRPr="00FC2075">
              <w:rPr>
                <w:rFonts w:ascii="Arial" w:hAnsi="Arial" w:cs="Arial"/>
                <w:b/>
                <w:bCs/>
              </w:rPr>
              <w:t>of</w:t>
            </w:r>
            <w:r w:rsidRPr="00FC2075">
              <w:rPr>
                <w:rFonts w:ascii="Arial" w:hAnsi="Arial" w:cs="Arial"/>
                <w:b/>
                <w:bCs/>
                <w:spacing w:val="-8"/>
              </w:rPr>
              <w:t xml:space="preserve"> </w:t>
            </w:r>
            <w:r w:rsidRPr="00FC2075">
              <w:rPr>
                <w:rFonts w:ascii="Arial" w:hAnsi="Arial" w:cs="Arial"/>
                <w:b/>
                <w:bCs/>
              </w:rPr>
              <w:t>Higher</w:t>
            </w:r>
            <w:r w:rsidRPr="00FC2075">
              <w:rPr>
                <w:rFonts w:ascii="Arial" w:hAnsi="Arial" w:cs="Arial"/>
                <w:b/>
                <w:bCs/>
                <w:spacing w:val="-6"/>
              </w:rPr>
              <w:t xml:space="preserve"> </w:t>
            </w:r>
            <w:r w:rsidRPr="00FC2075">
              <w:rPr>
                <w:rFonts w:ascii="Arial" w:hAnsi="Arial" w:cs="Arial"/>
                <w:b/>
                <w:bCs/>
              </w:rPr>
              <w:t>Education</w:t>
            </w:r>
            <w:r w:rsidRPr="00FC2075">
              <w:rPr>
                <w:rFonts w:ascii="Arial" w:hAnsi="Arial" w:cs="Arial"/>
                <w:b/>
                <w:bCs/>
                <w:spacing w:val="-4"/>
              </w:rPr>
              <w:t xml:space="preserve"> </w:t>
            </w:r>
            <w:r w:rsidRPr="00FC2075">
              <w:rPr>
                <w:rFonts w:ascii="Arial" w:hAnsi="Arial" w:cs="Arial"/>
                <w:b/>
                <w:bCs/>
              </w:rPr>
              <w:t>Skills</w:t>
            </w:r>
            <w:r w:rsidRPr="00FC2075">
              <w:rPr>
                <w:rFonts w:ascii="Arial" w:hAnsi="Arial" w:cs="Arial"/>
                <w:b/>
                <w:bCs/>
                <w:spacing w:val="-7"/>
              </w:rPr>
              <w:t xml:space="preserve"> </w:t>
            </w:r>
            <w:r w:rsidRPr="00FC2075">
              <w:rPr>
                <w:rFonts w:ascii="Arial" w:hAnsi="Arial" w:cs="Arial"/>
                <w:b/>
                <w:bCs/>
              </w:rPr>
              <w:t>for</w:t>
            </w:r>
            <w:r w:rsidRPr="00FC2075">
              <w:rPr>
                <w:rFonts w:ascii="Arial" w:hAnsi="Arial" w:cs="Arial"/>
                <w:b/>
                <w:bCs/>
                <w:spacing w:val="-7"/>
              </w:rPr>
              <w:t xml:space="preserve"> </w:t>
            </w:r>
            <w:r w:rsidRPr="00FC2075">
              <w:rPr>
                <w:rFonts w:ascii="Arial" w:hAnsi="Arial" w:cs="Arial"/>
                <w:b/>
                <w:bCs/>
              </w:rPr>
              <w:t>the</w:t>
            </w:r>
            <w:r w:rsidRPr="00FC2075">
              <w:rPr>
                <w:rFonts w:ascii="Arial" w:hAnsi="Arial" w:cs="Arial"/>
                <w:b/>
                <w:bCs/>
                <w:spacing w:val="-9"/>
              </w:rPr>
              <w:t xml:space="preserve"> </w:t>
            </w:r>
            <w:r w:rsidRPr="00FC2075">
              <w:rPr>
                <w:rFonts w:ascii="Arial" w:hAnsi="Arial" w:cs="Arial"/>
                <w:b/>
                <w:bCs/>
              </w:rPr>
              <w:t>Workplace</w:t>
            </w:r>
            <w:r w:rsidRPr="00FC2075">
              <w:rPr>
                <w:rFonts w:ascii="Arial" w:hAnsi="Arial" w:cs="Arial"/>
                <w:b/>
                <w:bCs/>
                <w:spacing w:val="-4"/>
              </w:rPr>
              <w:t xml:space="preserve"> </w:t>
            </w:r>
            <w:r w:rsidRPr="00FC2075">
              <w:rPr>
                <w:rFonts w:ascii="Arial" w:hAnsi="Arial" w:cs="Arial"/>
                <w:b/>
                <w:bCs/>
              </w:rPr>
              <w:t>(Health</w:t>
            </w:r>
            <w:r w:rsidRPr="00FC2075">
              <w:rPr>
                <w:rFonts w:ascii="Arial" w:hAnsi="Arial" w:cs="Arial"/>
                <w:b/>
                <w:bCs/>
                <w:spacing w:val="-9"/>
              </w:rPr>
              <w:t xml:space="preserve"> </w:t>
            </w:r>
            <w:r w:rsidRPr="00FC2075">
              <w:rPr>
                <w:rFonts w:ascii="Arial" w:hAnsi="Arial" w:cs="Arial"/>
                <w:b/>
                <w:bCs/>
              </w:rPr>
              <w:t>and Social Care)</w:t>
            </w:r>
          </w:p>
        </w:tc>
      </w:tr>
      <w:tr w:rsidR="002C359B" w:rsidRPr="00A406E5" w14:paraId="7C6020B6" w14:textId="77777777" w:rsidTr="002C359B">
        <w:tc>
          <w:tcPr>
            <w:tcW w:w="1055" w:type="pct"/>
            <w:shd w:val="pct15" w:color="auto" w:fill="auto"/>
          </w:tcPr>
          <w:p w14:paraId="5727BECD"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Module:</w:t>
            </w:r>
          </w:p>
        </w:tc>
        <w:tc>
          <w:tcPr>
            <w:tcW w:w="3945" w:type="pct"/>
            <w:gridSpan w:val="3"/>
          </w:tcPr>
          <w:p w14:paraId="2ACFAE58" w14:textId="77777777" w:rsidR="002C359B" w:rsidRPr="00A406E5" w:rsidRDefault="002C359B" w:rsidP="004C54B5">
            <w:pPr>
              <w:spacing w:before="120" w:after="120"/>
              <w:jc w:val="left"/>
              <w:rPr>
                <w:rFonts w:ascii="Arial" w:hAnsi="Arial" w:cs="Arial"/>
                <w:b/>
                <w:sz w:val="22"/>
                <w:szCs w:val="22"/>
              </w:rPr>
            </w:pPr>
            <w:r>
              <w:rPr>
                <w:rFonts w:ascii="Arial" w:hAnsi="Arial" w:cs="Arial"/>
                <w:b/>
                <w:sz w:val="22"/>
                <w:szCs w:val="22"/>
              </w:rPr>
              <w:t>Introduction to Public Health</w:t>
            </w:r>
          </w:p>
        </w:tc>
      </w:tr>
      <w:tr w:rsidR="002C359B" w:rsidRPr="00A406E5" w14:paraId="4490A56A" w14:textId="77777777" w:rsidTr="002C359B">
        <w:tc>
          <w:tcPr>
            <w:tcW w:w="1055" w:type="pct"/>
            <w:shd w:val="pct15" w:color="auto" w:fill="auto"/>
          </w:tcPr>
          <w:p w14:paraId="0ED3CF8B"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Module code:</w:t>
            </w:r>
          </w:p>
        </w:tc>
        <w:tc>
          <w:tcPr>
            <w:tcW w:w="1659" w:type="pct"/>
          </w:tcPr>
          <w:p w14:paraId="6ECDD0D9" w14:textId="77777777" w:rsidR="002C359B" w:rsidRPr="00A406E5" w:rsidRDefault="002C359B" w:rsidP="004C54B5">
            <w:pPr>
              <w:spacing w:before="120" w:after="120"/>
              <w:jc w:val="left"/>
              <w:rPr>
                <w:rFonts w:ascii="Arial" w:hAnsi="Arial" w:cs="Arial"/>
                <w:b/>
                <w:sz w:val="22"/>
                <w:szCs w:val="22"/>
              </w:rPr>
            </w:pPr>
            <w:r>
              <w:rPr>
                <w:rFonts w:ascii="Arial" w:hAnsi="Arial" w:cs="Arial"/>
                <w:b/>
                <w:sz w:val="22"/>
                <w:szCs w:val="22"/>
              </w:rPr>
              <w:t>LCHS 4008</w:t>
            </w:r>
          </w:p>
        </w:tc>
        <w:tc>
          <w:tcPr>
            <w:tcW w:w="1143" w:type="pct"/>
            <w:shd w:val="clear" w:color="auto" w:fill="D9D9D9"/>
          </w:tcPr>
          <w:p w14:paraId="68D20E5D" w14:textId="77777777" w:rsidR="002C359B" w:rsidRPr="004D5E9B" w:rsidRDefault="002C359B" w:rsidP="004C54B5">
            <w:pPr>
              <w:jc w:val="left"/>
            </w:pPr>
            <w:r w:rsidRPr="002A43BD">
              <w:rPr>
                <w:rFonts w:ascii="Arial" w:hAnsi="Arial" w:cs="Arial"/>
                <w:b/>
                <w:sz w:val="22"/>
                <w:szCs w:val="22"/>
              </w:rPr>
              <w:t>Contribution to Overall Module Assessment (%):</w:t>
            </w:r>
          </w:p>
        </w:tc>
        <w:tc>
          <w:tcPr>
            <w:tcW w:w="1143" w:type="pct"/>
          </w:tcPr>
          <w:p w14:paraId="5D7DF79A" w14:textId="77777777" w:rsidR="002C359B" w:rsidRPr="00A406E5" w:rsidRDefault="002C359B" w:rsidP="004C54B5">
            <w:pPr>
              <w:spacing w:before="120" w:after="120"/>
              <w:jc w:val="left"/>
              <w:rPr>
                <w:rFonts w:ascii="Arial" w:hAnsi="Arial" w:cs="Arial"/>
                <w:b/>
                <w:sz w:val="22"/>
                <w:szCs w:val="22"/>
              </w:rPr>
            </w:pPr>
            <w:r>
              <w:rPr>
                <w:rFonts w:ascii="Arial" w:hAnsi="Arial" w:cs="Arial"/>
                <w:b/>
                <w:sz w:val="22"/>
                <w:szCs w:val="22"/>
              </w:rPr>
              <w:t>50%</w:t>
            </w:r>
          </w:p>
        </w:tc>
      </w:tr>
      <w:tr w:rsidR="002C359B" w:rsidRPr="00A406E5" w14:paraId="1AE2F02C" w14:textId="77777777" w:rsidTr="002C359B">
        <w:tc>
          <w:tcPr>
            <w:tcW w:w="1055" w:type="pct"/>
            <w:shd w:val="pct15" w:color="auto" w:fill="auto"/>
          </w:tcPr>
          <w:p w14:paraId="7C269E82"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Lecturer:</w:t>
            </w:r>
          </w:p>
        </w:tc>
        <w:tc>
          <w:tcPr>
            <w:tcW w:w="1659" w:type="pct"/>
          </w:tcPr>
          <w:p w14:paraId="709BDA9C" w14:textId="4B8057F0" w:rsidR="002C359B" w:rsidRPr="00A406E5" w:rsidRDefault="00F2670A" w:rsidP="004C54B5">
            <w:pPr>
              <w:spacing w:before="120" w:after="120"/>
              <w:jc w:val="left"/>
              <w:rPr>
                <w:rFonts w:ascii="Arial" w:hAnsi="Arial" w:cs="Arial"/>
                <w:b/>
                <w:sz w:val="22"/>
                <w:szCs w:val="22"/>
              </w:rPr>
            </w:pPr>
            <w:r>
              <w:rPr>
                <w:rFonts w:ascii="Arial" w:hAnsi="Arial" w:cs="Arial"/>
                <w:b/>
                <w:sz w:val="22"/>
                <w:szCs w:val="22"/>
              </w:rPr>
              <w:t>Aishat Bakre</w:t>
            </w:r>
          </w:p>
        </w:tc>
        <w:tc>
          <w:tcPr>
            <w:tcW w:w="1143" w:type="pct"/>
            <w:shd w:val="clear" w:color="auto" w:fill="D9D9D9"/>
          </w:tcPr>
          <w:p w14:paraId="261E7667" w14:textId="77777777" w:rsidR="002C359B" w:rsidRPr="00A406E5" w:rsidRDefault="002C359B" w:rsidP="004C54B5">
            <w:pPr>
              <w:spacing w:before="120" w:after="120"/>
              <w:jc w:val="left"/>
              <w:rPr>
                <w:rFonts w:ascii="Arial" w:hAnsi="Arial" w:cs="Arial"/>
                <w:b/>
                <w:sz w:val="22"/>
                <w:szCs w:val="22"/>
              </w:rPr>
            </w:pPr>
            <w:r w:rsidRPr="00A406E5">
              <w:rPr>
                <w:rFonts w:ascii="Arial" w:hAnsi="Arial" w:cs="Arial"/>
                <w:b/>
                <w:sz w:val="22"/>
                <w:szCs w:val="22"/>
              </w:rPr>
              <w:t>Internal Verifier:</w:t>
            </w:r>
          </w:p>
        </w:tc>
        <w:tc>
          <w:tcPr>
            <w:tcW w:w="1143" w:type="pct"/>
          </w:tcPr>
          <w:p w14:paraId="79B11E43" w14:textId="1E1A1396" w:rsidR="002C359B" w:rsidRPr="00A406E5" w:rsidRDefault="002C359B" w:rsidP="004C54B5">
            <w:pPr>
              <w:spacing w:before="120" w:after="120"/>
              <w:jc w:val="left"/>
              <w:rPr>
                <w:rFonts w:ascii="Arial" w:hAnsi="Arial" w:cs="Arial"/>
                <w:b/>
                <w:sz w:val="22"/>
                <w:szCs w:val="22"/>
              </w:rPr>
            </w:pPr>
          </w:p>
        </w:tc>
      </w:tr>
      <w:tr w:rsidR="002C359B" w:rsidRPr="00A406E5" w14:paraId="15093ADD" w14:textId="77777777" w:rsidTr="002C359B">
        <w:tc>
          <w:tcPr>
            <w:tcW w:w="1055" w:type="pct"/>
            <w:shd w:val="pct15" w:color="auto" w:fill="auto"/>
          </w:tcPr>
          <w:p w14:paraId="0F2476F8"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Assignment Title:</w:t>
            </w:r>
          </w:p>
        </w:tc>
        <w:tc>
          <w:tcPr>
            <w:tcW w:w="1659" w:type="pct"/>
          </w:tcPr>
          <w:p w14:paraId="04F4B74D" w14:textId="77777777" w:rsidR="002C359B" w:rsidRPr="00FC2075" w:rsidRDefault="002C359B" w:rsidP="004C54B5">
            <w:pPr>
              <w:pStyle w:val="TableParagraph"/>
              <w:spacing w:line="252" w:lineRule="exact"/>
              <w:ind w:left="40"/>
              <w:rPr>
                <w:b/>
                <w:bCs/>
              </w:rPr>
            </w:pPr>
            <w:r w:rsidRPr="00FC2075">
              <w:rPr>
                <w:b/>
                <w:bCs/>
              </w:rPr>
              <w:t>Assessment</w:t>
            </w:r>
            <w:r w:rsidRPr="00FC2075">
              <w:rPr>
                <w:b/>
                <w:bCs/>
                <w:spacing w:val="-9"/>
              </w:rPr>
              <w:t xml:space="preserve"> </w:t>
            </w:r>
            <w:r w:rsidRPr="00FC2075">
              <w:rPr>
                <w:b/>
                <w:bCs/>
              </w:rPr>
              <w:t>2</w:t>
            </w:r>
            <w:r w:rsidRPr="00FC2075">
              <w:rPr>
                <w:b/>
                <w:bCs/>
                <w:spacing w:val="-11"/>
              </w:rPr>
              <w:t xml:space="preserve"> </w:t>
            </w:r>
            <w:r w:rsidRPr="00FC2075">
              <w:rPr>
                <w:b/>
                <w:bCs/>
                <w:spacing w:val="-10"/>
              </w:rPr>
              <w:t>-</w:t>
            </w:r>
          </w:p>
          <w:p w14:paraId="3B28C915" w14:textId="77777777" w:rsidR="002C359B" w:rsidRPr="007A279B" w:rsidRDefault="002C359B" w:rsidP="004C54B5">
            <w:pPr>
              <w:spacing w:before="120" w:after="120"/>
              <w:jc w:val="left"/>
              <w:rPr>
                <w:rFonts w:ascii="Arial" w:hAnsi="Arial" w:cs="Arial"/>
                <w:b/>
                <w:sz w:val="22"/>
                <w:szCs w:val="22"/>
              </w:rPr>
            </w:pPr>
            <w:r w:rsidRPr="007A279B">
              <w:rPr>
                <w:rFonts w:ascii="Arial" w:hAnsi="Arial" w:cs="Arial"/>
                <w:b/>
                <w:bCs/>
                <w:spacing w:val="-2"/>
                <w:sz w:val="22"/>
                <w:szCs w:val="22"/>
              </w:rPr>
              <w:t>Report on a Health Issue</w:t>
            </w:r>
          </w:p>
        </w:tc>
        <w:tc>
          <w:tcPr>
            <w:tcW w:w="1143" w:type="pct"/>
            <w:shd w:val="pct15" w:color="auto" w:fill="auto"/>
          </w:tcPr>
          <w:p w14:paraId="26B708BE" w14:textId="77777777" w:rsidR="002C359B" w:rsidRPr="00A406E5" w:rsidRDefault="002C359B" w:rsidP="004C54B5">
            <w:pPr>
              <w:spacing w:before="120" w:after="120"/>
              <w:jc w:val="left"/>
              <w:rPr>
                <w:rFonts w:ascii="Arial" w:hAnsi="Arial" w:cs="Arial"/>
                <w:b/>
                <w:sz w:val="22"/>
                <w:szCs w:val="22"/>
              </w:rPr>
            </w:pPr>
            <w:r>
              <w:rPr>
                <w:rFonts w:ascii="Arial" w:hAnsi="Arial" w:cs="Arial"/>
                <w:b/>
                <w:sz w:val="22"/>
                <w:szCs w:val="22"/>
              </w:rPr>
              <w:t>Word count (or equivalent):</w:t>
            </w:r>
          </w:p>
        </w:tc>
        <w:tc>
          <w:tcPr>
            <w:tcW w:w="1143" w:type="pct"/>
          </w:tcPr>
          <w:p w14:paraId="56D719E5" w14:textId="77777777" w:rsidR="002C359B" w:rsidRPr="00A406E5" w:rsidRDefault="002C359B" w:rsidP="004C54B5">
            <w:pPr>
              <w:spacing w:before="120" w:after="120"/>
              <w:jc w:val="left"/>
              <w:rPr>
                <w:rFonts w:ascii="Arial" w:hAnsi="Arial" w:cs="Arial"/>
                <w:b/>
                <w:sz w:val="22"/>
                <w:szCs w:val="22"/>
              </w:rPr>
            </w:pPr>
            <w:r>
              <w:rPr>
                <w:rFonts w:ascii="Arial" w:hAnsi="Arial" w:cs="Arial"/>
                <w:b/>
                <w:sz w:val="22"/>
                <w:szCs w:val="22"/>
              </w:rPr>
              <w:t>Report 1500 words</w:t>
            </w:r>
          </w:p>
        </w:tc>
      </w:tr>
      <w:tr w:rsidR="002C359B" w:rsidRPr="00A406E5" w14:paraId="2BD213DE" w14:textId="77777777" w:rsidTr="002C359B">
        <w:tc>
          <w:tcPr>
            <w:tcW w:w="1055" w:type="pct"/>
            <w:shd w:val="pct15" w:color="auto" w:fill="auto"/>
          </w:tcPr>
          <w:p w14:paraId="1E23ED81" w14:textId="77777777" w:rsidR="002C359B" w:rsidRPr="00A406E5" w:rsidRDefault="002C359B" w:rsidP="002C359B">
            <w:pPr>
              <w:spacing w:before="120" w:after="120"/>
              <w:rPr>
                <w:rFonts w:ascii="Arial" w:hAnsi="Arial" w:cs="Arial"/>
                <w:b/>
                <w:sz w:val="22"/>
                <w:szCs w:val="22"/>
              </w:rPr>
            </w:pPr>
            <w:r w:rsidRPr="00A406E5">
              <w:rPr>
                <w:rFonts w:ascii="Arial" w:hAnsi="Arial" w:cs="Arial"/>
                <w:b/>
                <w:sz w:val="22"/>
                <w:szCs w:val="22"/>
              </w:rPr>
              <w:t>Submission deadline:</w:t>
            </w:r>
          </w:p>
        </w:tc>
        <w:tc>
          <w:tcPr>
            <w:tcW w:w="1659" w:type="pct"/>
          </w:tcPr>
          <w:p w14:paraId="635B30B3" w14:textId="63E2E58F" w:rsidR="002C359B" w:rsidRPr="00A406E5" w:rsidRDefault="00F2670A" w:rsidP="004C54B5">
            <w:pPr>
              <w:spacing w:before="120" w:after="120"/>
              <w:jc w:val="left"/>
              <w:rPr>
                <w:rFonts w:ascii="Arial" w:hAnsi="Arial" w:cs="Arial"/>
                <w:b/>
                <w:sz w:val="22"/>
                <w:szCs w:val="22"/>
              </w:rPr>
            </w:pPr>
            <w:r>
              <w:rPr>
                <w:rFonts w:ascii="Arial" w:hAnsi="Arial" w:cs="Arial"/>
                <w:b/>
                <w:sz w:val="22"/>
                <w:szCs w:val="22"/>
              </w:rPr>
              <w:t>Turnitin by Tuesday 21</w:t>
            </w:r>
            <w:r w:rsidRPr="00F2670A">
              <w:rPr>
                <w:rFonts w:ascii="Arial" w:hAnsi="Arial" w:cs="Arial"/>
                <w:b/>
                <w:sz w:val="22"/>
                <w:szCs w:val="22"/>
                <w:vertAlign w:val="superscript"/>
              </w:rPr>
              <w:t>st</w:t>
            </w:r>
            <w:r>
              <w:rPr>
                <w:rFonts w:ascii="Arial" w:hAnsi="Arial" w:cs="Arial"/>
                <w:b/>
                <w:sz w:val="22"/>
                <w:szCs w:val="22"/>
              </w:rPr>
              <w:t xml:space="preserve"> July 10am</w:t>
            </w:r>
          </w:p>
        </w:tc>
        <w:tc>
          <w:tcPr>
            <w:tcW w:w="1143" w:type="pct"/>
            <w:shd w:val="pct15" w:color="auto" w:fill="auto"/>
          </w:tcPr>
          <w:p w14:paraId="3C681DC4" w14:textId="77777777" w:rsidR="002C359B" w:rsidRPr="00A406E5" w:rsidRDefault="002C359B" w:rsidP="004C54B5">
            <w:pPr>
              <w:spacing w:before="120" w:after="120"/>
              <w:jc w:val="left"/>
              <w:rPr>
                <w:rFonts w:ascii="Arial" w:hAnsi="Arial" w:cs="Arial"/>
                <w:b/>
                <w:sz w:val="22"/>
                <w:szCs w:val="22"/>
              </w:rPr>
            </w:pPr>
            <w:r w:rsidRPr="00A406E5">
              <w:rPr>
                <w:rFonts w:ascii="Arial" w:hAnsi="Arial" w:cs="Arial"/>
                <w:b/>
                <w:sz w:val="22"/>
                <w:szCs w:val="22"/>
              </w:rPr>
              <w:t>Return date of provisional marks &amp; written feedback:</w:t>
            </w:r>
          </w:p>
        </w:tc>
        <w:tc>
          <w:tcPr>
            <w:tcW w:w="1143" w:type="pct"/>
          </w:tcPr>
          <w:p w14:paraId="014AC0C6" w14:textId="77777777" w:rsidR="002C359B" w:rsidRPr="00A406E5" w:rsidRDefault="002C359B" w:rsidP="004C54B5">
            <w:pPr>
              <w:spacing w:before="120" w:after="120"/>
              <w:jc w:val="left"/>
              <w:rPr>
                <w:rFonts w:ascii="Arial" w:hAnsi="Arial" w:cs="Arial"/>
                <w:b/>
                <w:sz w:val="22"/>
                <w:szCs w:val="22"/>
              </w:rPr>
            </w:pPr>
            <w:r>
              <w:rPr>
                <w:rFonts w:ascii="Arial" w:hAnsi="Arial" w:cs="Arial"/>
                <w:b/>
                <w:sz w:val="22"/>
                <w:szCs w:val="22"/>
              </w:rPr>
              <w:t>28</w:t>
            </w:r>
            <w:r w:rsidRPr="002E5A02">
              <w:rPr>
                <w:rFonts w:ascii="Arial" w:hAnsi="Arial" w:cs="Arial"/>
                <w:b/>
                <w:sz w:val="22"/>
                <w:szCs w:val="22"/>
                <w:vertAlign w:val="superscript"/>
              </w:rPr>
              <w:t>th</w:t>
            </w:r>
            <w:r>
              <w:rPr>
                <w:rFonts w:ascii="Arial" w:hAnsi="Arial" w:cs="Arial"/>
                <w:b/>
                <w:sz w:val="22"/>
                <w:szCs w:val="22"/>
              </w:rPr>
              <w:t xml:space="preserve"> August 2026</w:t>
            </w:r>
          </w:p>
        </w:tc>
      </w:tr>
    </w:tbl>
    <w:p w14:paraId="3550FE5F" w14:textId="77777777" w:rsidR="00BD2BC0" w:rsidRDefault="00BD2BC0" w:rsidP="002C359B">
      <w:pPr>
        <w:spacing w:before="0" w:after="160"/>
      </w:pPr>
    </w:p>
    <w:p w14:paraId="7F3B55DE" w14:textId="77777777" w:rsidR="008C0A22" w:rsidRDefault="008C0A22" w:rsidP="00BD2BC0">
      <w:pPr>
        <w:spacing w:before="0" w:after="160"/>
        <w:jc w:val="center"/>
      </w:pPr>
    </w:p>
    <w:p w14:paraId="225A158E" w14:textId="77777777" w:rsidR="008C0A22" w:rsidRDefault="008C0A22" w:rsidP="00BD2BC0">
      <w:pPr>
        <w:spacing w:before="0" w:after="160"/>
        <w:jc w:val="center"/>
      </w:pPr>
    </w:p>
    <w:p w14:paraId="74F9BA08" w14:textId="77777777" w:rsidR="00335A69" w:rsidRPr="00335A69" w:rsidRDefault="00335A69" w:rsidP="00335A69">
      <w:pPr>
        <w:rPr>
          <w:rFonts w:ascii="Arial" w:hAnsi="Arial"/>
        </w:rPr>
      </w:pPr>
    </w:p>
    <w:p w14:paraId="2B62AFC1" w14:textId="77777777" w:rsidR="00335A69" w:rsidRPr="00335A69" w:rsidRDefault="00335A69" w:rsidP="00335A69">
      <w:pPr>
        <w:rPr>
          <w:rFonts w:ascii="Arial" w:hAnsi="Arial"/>
        </w:rPr>
      </w:pPr>
    </w:p>
    <w:p w14:paraId="03FD59DB" w14:textId="77777777" w:rsidR="00335A69" w:rsidRPr="00335A69" w:rsidRDefault="00335A69" w:rsidP="00335A69">
      <w:pPr>
        <w:rPr>
          <w:rFonts w:ascii="Arial" w:hAnsi="Arial"/>
        </w:rPr>
      </w:pPr>
    </w:p>
    <w:p w14:paraId="296CD8C3" w14:textId="77777777" w:rsidR="00335A69" w:rsidRPr="00335A69" w:rsidRDefault="00335A69" w:rsidP="00335A69">
      <w:pPr>
        <w:spacing w:before="0" w:after="160"/>
        <w:rPr>
          <w:rFonts w:ascii="Arial" w:hAnsi="Arial"/>
        </w:rPr>
      </w:pPr>
    </w:p>
    <w:p w14:paraId="4FC47F24" w14:textId="77777777" w:rsidR="00BD2BC0" w:rsidRDefault="00BD2BC0" w:rsidP="00335A69">
      <w:pPr>
        <w:tabs>
          <w:tab w:val="left" w:pos="210"/>
        </w:tabs>
        <w:spacing w:before="0" w:after="160"/>
      </w:pPr>
    </w:p>
    <w:p w14:paraId="404E5ACD" w14:textId="77777777" w:rsidR="00BD2BC0" w:rsidRDefault="00BD2BC0" w:rsidP="00BD2BC0">
      <w:pPr>
        <w:spacing w:before="0" w:after="160"/>
        <w:jc w:val="center"/>
      </w:pPr>
    </w:p>
    <w:p w14:paraId="18FE3255" w14:textId="77777777" w:rsidR="008C0A22" w:rsidRDefault="008C0A22">
      <w:pPr>
        <w:spacing w:before="0" w:after="160"/>
      </w:pPr>
      <w:r>
        <w:br w:type="page"/>
      </w:r>
    </w:p>
    <w:sdt>
      <w:sdtPr>
        <w:rPr>
          <w:rFonts w:ascii="Times New Roman" w:eastAsia="Times New Roman" w:hAnsi="Times New Roman" w:cs="Times New Roman"/>
          <w:color w:val="auto"/>
          <w:sz w:val="24"/>
          <w:szCs w:val="20"/>
          <w:lang w:val="en-GB"/>
        </w:rPr>
        <w:id w:val="1578556233"/>
        <w:docPartObj>
          <w:docPartGallery w:val="Table of Contents"/>
          <w:docPartUnique/>
        </w:docPartObj>
      </w:sdtPr>
      <w:sdtEndPr>
        <w:rPr>
          <w:b/>
          <w:bCs/>
          <w:noProof/>
        </w:rPr>
      </w:sdtEndPr>
      <w:sdtContent>
        <w:p w14:paraId="6ADDA1C5" w14:textId="77777777" w:rsidR="009C6D35" w:rsidRPr="009C6D35" w:rsidRDefault="009C6D35" w:rsidP="009C6D35">
          <w:pPr>
            <w:pStyle w:val="TOCHeading"/>
            <w:jc w:val="center"/>
            <w:rPr>
              <w:rFonts w:ascii="Times New Roman" w:hAnsi="Times New Roman" w:cs="Times New Roman"/>
              <w:b/>
            </w:rPr>
          </w:pPr>
          <w:r w:rsidRPr="009C6D35">
            <w:rPr>
              <w:rFonts w:ascii="Times New Roman" w:hAnsi="Times New Roman" w:cs="Times New Roman"/>
              <w:b/>
            </w:rPr>
            <w:t>Table of Contents</w:t>
          </w:r>
        </w:p>
        <w:p w14:paraId="5393F9ED" w14:textId="77777777" w:rsidR="00C20B2A" w:rsidRDefault="009C6D35">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235487495" w:history="1">
            <w:r w:rsidR="00C20B2A" w:rsidRPr="00CC5493">
              <w:rPr>
                <w:rStyle w:val="Hyperlink"/>
                <w:noProof/>
              </w:rPr>
              <w:t>Introduction</w:t>
            </w:r>
            <w:r w:rsidR="00C20B2A">
              <w:rPr>
                <w:noProof/>
                <w:webHidden/>
              </w:rPr>
              <w:tab/>
            </w:r>
            <w:r w:rsidR="00C20B2A">
              <w:rPr>
                <w:noProof/>
                <w:webHidden/>
              </w:rPr>
              <w:fldChar w:fldCharType="begin"/>
            </w:r>
            <w:r w:rsidR="00C20B2A">
              <w:rPr>
                <w:noProof/>
                <w:webHidden/>
              </w:rPr>
              <w:instrText xml:space="preserve"> PAGEREF _Toc235487495 \h </w:instrText>
            </w:r>
            <w:r w:rsidR="00C20B2A">
              <w:rPr>
                <w:noProof/>
                <w:webHidden/>
              </w:rPr>
            </w:r>
            <w:r w:rsidR="00C20B2A">
              <w:rPr>
                <w:noProof/>
                <w:webHidden/>
              </w:rPr>
              <w:fldChar w:fldCharType="separate"/>
            </w:r>
            <w:r w:rsidR="00C20B2A">
              <w:rPr>
                <w:noProof/>
                <w:webHidden/>
              </w:rPr>
              <w:t>3</w:t>
            </w:r>
            <w:r w:rsidR="00C20B2A">
              <w:rPr>
                <w:noProof/>
                <w:webHidden/>
              </w:rPr>
              <w:fldChar w:fldCharType="end"/>
            </w:r>
          </w:hyperlink>
        </w:p>
        <w:p w14:paraId="6EE7E092" w14:textId="77777777" w:rsidR="00C20B2A" w:rsidRDefault="00C20B2A">
          <w:pPr>
            <w:pStyle w:val="TOC1"/>
            <w:tabs>
              <w:tab w:val="right" w:leader="dot" w:pos="9016"/>
            </w:tabs>
            <w:rPr>
              <w:rFonts w:asciiTheme="minorHAnsi" w:eastAsiaTheme="minorEastAsia" w:hAnsiTheme="minorHAnsi" w:cstheme="minorBidi"/>
              <w:noProof/>
              <w:sz w:val="22"/>
              <w:szCs w:val="22"/>
              <w:lang w:eastAsia="en-GB"/>
            </w:rPr>
          </w:pPr>
          <w:hyperlink w:anchor="_Toc235487496" w:history="1">
            <w:r w:rsidRPr="00CC5493">
              <w:rPr>
                <w:rStyle w:val="Hyperlink"/>
                <w:noProof/>
              </w:rPr>
              <w:t>Main Body</w:t>
            </w:r>
            <w:r>
              <w:rPr>
                <w:noProof/>
                <w:webHidden/>
              </w:rPr>
              <w:tab/>
            </w:r>
            <w:r>
              <w:rPr>
                <w:noProof/>
                <w:webHidden/>
              </w:rPr>
              <w:fldChar w:fldCharType="begin"/>
            </w:r>
            <w:r>
              <w:rPr>
                <w:noProof/>
                <w:webHidden/>
              </w:rPr>
              <w:instrText xml:space="preserve"> PAGEREF _Toc235487496 \h </w:instrText>
            </w:r>
            <w:r>
              <w:rPr>
                <w:noProof/>
                <w:webHidden/>
              </w:rPr>
            </w:r>
            <w:r>
              <w:rPr>
                <w:noProof/>
                <w:webHidden/>
              </w:rPr>
              <w:fldChar w:fldCharType="separate"/>
            </w:r>
            <w:r>
              <w:rPr>
                <w:noProof/>
                <w:webHidden/>
              </w:rPr>
              <w:t>3</w:t>
            </w:r>
            <w:r>
              <w:rPr>
                <w:noProof/>
                <w:webHidden/>
              </w:rPr>
              <w:fldChar w:fldCharType="end"/>
            </w:r>
          </w:hyperlink>
        </w:p>
        <w:p w14:paraId="509F3B52" w14:textId="77777777" w:rsidR="00C20B2A" w:rsidRDefault="00C20B2A">
          <w:pPr>
            <w:pStyle w:val="TOC2"/>
            <w:tabs>
              <w:tab w:val="right" w:leader="dot" w:pos="9016"/>
            </w:tabs>
            <w:rPr>
              <w:rFonts w:asciiTheme="minorHAnsi" w:eastAsiaTheme="minorEastAsia" w:hAnsiTheme="minorHAnsi" w:cstheme="minorBidi"/>
              <w:noProof/>
              <w:sz w:val="22"/>
              <w:szCs w:val="22"/>
              <w:lang w:eastAsia="en-GB"/>
            </w:rPr>
          </w:pPr>
          <w:hyperlink w:anchor="_Toc235487497" w:history="1">
            <w:r w:rsidRPr="00CC5493">
              <w:rPr>
                <w:rStyle w:val="Hyperlink"/>
                <w:noProof/>
              </w:rPr>
              <w:t>Disease Measurement and Monitoring</w:t>
            </w:r>
            <w:r>
              <w:rPr>
                <w:noProof/>
                <w:webHidden/>
              </w:rPr>
              <w:tab/>
            </w:r>
            <w:r>
              <w:rPr>
                <w:noProof/>
                <w:webHidden/>
              </w:rPr>
              <w:fldChar w:fldCharType="begin"/>
            </w:r>
            <w:r>
              <w:rPr>
                <w:noProof/>
                <w:webHidden/>
              </w:rPr>
              <w:instrText xml:space="preserve"> PAGEREF _Toc235487497 \h </w:instrText>
            </w:r>
            <w:r>
              <w:rPr>
                <w:noProof/>
                <w:webHidden/>
              </w:rPr>
            </w:r>
            <w:r>
              <w:rPr>
                <w:noProof/>
                <w:webHidden/>
              </w:rPr>
              <w:fldChar w:fldCharType="separate"/>
            </w:r>
            <w:r>
              <w:rPr>
                <w:noProof/>
                <w:webHidden/>
              </w:rPr>
              <w:t>3</w:t>
            </w:r>
            <w:r>
              <w:rPr>
                <w:noProof/>
                <w:webHidden/>
              </w:rPr>
              <w:fldChar w:fldCharType="end"/>
            </w:r>
          </w:hyperlink>
        </w:p>
        <w:p w14:paraId="07B3A36A" w14:textId="77777777" w:rsidR="00C20B2A" w:rsidRDefault="00C20B2A">
          <w:pPr>
            <w:pStyle w:val="TOC2"/>
            <w:tabs>
              <w:tab w:val="right" w:leader="dot" w:pos="9016"/>
            </w:tabs>
            <w:rPr>
              <w:rFonts w:asciiTheme="minorHAnsi" w:eastAsiaTheme="minorEastAsia" w:hAnsiTheme="minorHAnsi" w:cstheme="minorBidi"/>
              <w:noProof/>
              <w:sz w:val="22"/>
              <w:szCs w:val="22"/>
              <w:lang w:eastAsia="en-GB"/>
            </w:rPr>
          </w:pPr>
          <w:hyperlink w:anchor="_Toc235487498" w:history="1">
            <w:r w:rsidRPr="00CC5493">
              <w:rPr>
                <w:rStyle w:val="Hyperlink"/>
                <w:noProof/>
              </w:rPr>
              <w:t>Disease Control and Prevention</w:t>
            </w:r>
            <w:r>
              <w:rPr>
                <w:noProof/>
                <w:webHidden/>
              </w:rPr>
              <w:tab/>
            </w:r>
            <w:r>
              <w:rPr>
                <w:noProof/>
                <w:webHidden/>
              </w:rPr>
              <w:fldChar w:fldCharType="begin"/>
            </w:r>
            <w:r>
              <w:rPr>
                <w:noProof/>
                <w:webHidden/>
              </w:rPr>
              <w:instrText xml:space="preserve"> PAGEREF _Toc235487498 \h </w:instrText>
            </w:r>
            <w:r>
              <w:rPr>
                <w:noProof/>
                <w:webHidden/>
              </w:rPr>
            </w:r>
            <w:r>
              <w:rPr>
                <w:noProof/>
                <w:webHidden/>
              </w:rPr>
              <w:fldChar w:fldCharType="separate"/>
            </w:r>
            <w:r>
              <w:rPr>
                <w:noProof/>
                <w:webHidden/>
              </w:rPr>
              <w:t>4</w:t>
            </w:r>
            <w:r>
              <w:rPr>
                <w:noProof/>
                <w:webHidden/>
              </w:rPr>
              <w:fldChar w:fldCharType="end"/>
            </w:r>
          </w:hyperlink>
        </w:p>
        <w:p w14:paraId="1190DF32" w14:textId="77777777" w:rsidR="00C20B2A" w:rsidRDefault="00C20B2A">
          <w:pPr>
            <w:pStyle w:val="TOC2"/>
            <w:tabs>
              <w:tab w:val="right" w:leader="dot" w:pos="9016"/>
            </w:tabs>
            <w:rPr>
              <w:rFonts w:asciiTheme="minorHAnsi" w:eastAsiaTheme="minorEastAsia" w:hAnsiTheme="minorHAnsi" w:cstheme="minorBidi"/>
              <w:noProof/>
              <w:sz w:val="22"/>
              <w:szCs w:val="22"/>
              <w:lang w:eastAsia="en-GB"/>
            </w:rPr>
          </w:pPr>
          <w:hyperlink w:anchor="_Toc235487499" w:history="1">
            <w:r w:rsidRPr="00CC5493">
              <w:rPr>
                <w:rStyle w:val="Hyperlink"/>
                <w:noProof/>
              </w:rPr>
              <w:t>Consequences for Individuals and the Community</w:t>
            </w:r>
            <w:r>
              <w:rPr>
                <w:noProof/>
                <w:webHidden/>
              </w:rPr>
              <w:tab/>
            </w:r>
            <w:r>
              <w:rPr>
                <w:noProof/>
                <w:webHidden/>
              </w:rPr>
              <w:fldChar w:fldCharType="begin"/>
            </w:r>
            <w:r>
              <w:rPr>
                <w:noProof/>
                <w:webHidden/>
              </w:rPr>
              <w:instrText xml:space="preserve"> PAGEREF _Toc235487499 \h </w:instrText>
            </w:r>
            <w:r>
              <w:rPr>
                <w:noProof/>
                <w:webHidden/>
              </w:rPr>
            </w:r>
            <w:r>
              <w:rPr>
                <w:noProof/>
                <w:webHidden/>
              </w:rPr>
              <w:fldChar w:fldCharType="separate"/>
            </w:r>
            <w:r>
              <w:rPr>
                <w:noProof/>
                <w:webHidden/>
              </w:rPr>
              <w:t>4</w:t>
            </w:r>
            <w:r>
              <w:rPr>
                <w:noProof/>
                <w:webHidden/>
              </w:rPr>
              <w:fldChar w:fldCharType="end"/>
            </w:r>
          </w:hyperlink>
        </w:p>
        <w:p w14:paraId="7DCF31CA" w14:textId="77777777" w:rsidR="00C20B2A" w:rsidRDefault="00C20B2A">
          <w:pPr>
            <w:pStyle w:val="TOC2"/>
            <w:tabs>
              <w:tab w:val="right" w:leader="dot" w:pos="9016"/>
            </w:tabs>
            <w:rPr>
              <w:rFonts w:asciiTheme="minorHAnsi" w:eastAsiaTheme="minorEastAsia" w:hAnsiTheme="minorHAnsi" w:cstheme="minorBidi"/>
              <w:noProof/>
              <w:sz w:val="22"/>
              <w:szCs w:val="22"/>
              <w:lang w:eastAsia="en-GB"/>
            </w:rPr>
          </w:pPr>
          <w:hyperlink w:anchor="_Toc235487500" w:history="1">
            <w:r w:rsidRPr="00CC5493">
              <w:rPr>
                <w:rStyle w:val="Hyperlink"/>
                <w:noProof/>
              </w:rPr>
              <w:t>Health and Social Care Support Services</w:t>
            </w:r>
            <w:r>
              <w:rPr>
                <w:noProof/>
                <w:webHidden/>
              </w:rPr>
              <w:tab/>
            </w:r>
            <w:r>
              <w:rPr>
                <w:noProof/>
                <w:webHidden/>
              </w:rPr>
              <w:fldChar w:fldCharType="begin"/>
            </w:r>
            <w:r>
              <w:rPr>
                <w:noProof/>
                <w:webHidden/>
              </w:rPr>
              <w:instrText xml:space="preserve"> PAGEREF _Toc235487500 \h </w:instrText>
            </w:r>
            <w:r>
              <w:rPr>
                <w:noProof/>
                <w:webHidden/>
              </w:rPr>
            </w:r>
            <w:r>
              <w:rPr>
                <w:noProof/>
                <w:webHidden/>
              </w:rPr>
              <w:fldChar w:fldCharType="separate"/>
            </w:r>
            <w:r>
              <w:rPr>
                <w:noProof/>
                <w:webHidden/>
              </w:rPr>
              <w:t>5</w:t>
            </w:r>
            <w:r>
              <w:rPr>
                <w:noProof/>
                <w:webHidden/>
              </w:rPr>
              <w:fldChar w:fldCharType="end"/>
            </w:r>
          </w:hyperlink>
        </w:p>
        <w:p w14:paraId="10B60E2B" w14:textId="77777777" w:rsidR="00C20B2A" w:rsidRDefault="00C20B2A">
          <w:pPr>
            <w:pStyle w:val="TOC1"/>
            <w:tabs>
              <w:tab w:val="right" w:leader="dot" w:pos="9016"/>
            </w:tabs>
            <w:rPr>
              <w:rFonts w:asciiTheme="minorHAnsi" w:eastAsiaTheme="minorEastAsia" w:hAnsiTheme="minorHAnsi" w:cstheme="minorBidi"/>
              <w:noProof/>
              <w:sz w:val="22"/>
              <w:szCs w:val="22"/>
              <w:lang w:eastAsia="en-GB"/>
            </w:rPr>
          </w:pPr>
          <w:hyperlink w:anchor="_Toc235487501" w:history="1">
            <w:r w:rsidRPr="00CC5493">
              <w:rPr>
                <w:rStyle w:val="Hyperlink"/>
                <w:noProof/>
              </w:rPr>
              <w:t>Conclusion</w:t>
            </w:r>
            <w:r>
              <w:rPr>
                <w:noProof/>
                <w:webHidden/>
              </w:rPr>
              <w:tab/>
            </w:r>
            <w:r>
              <w:rPr>
                <w:noProof/>
                <w:webHidden/>
              </w:rPr>
              <w:fldChar w:fldCharType="begin"/>
            </w:r>
            <w:r>
              <w:rPr>
                <w:noProof/>
                <w:webHidden/>
              </w:rPr>
              <w:instrText xml:space="preserve"> PAGEREF _Toc235487501 \h </w:instrText>
            </w:r>
            <w:r>
              <w:rPr>
                <w:noProof/>
                <w:webHidden/>
              </w:rPr>
            </w:r>
            <w:r>
              <w:rPr>
                <w:noProof/>
                <w:webHidden/>
              </w:rPr>
              <w:fldChar w:fldCharType="separate"/>
            </w:r>
            <w:r>
              <w:rPr>
                <w:noProof/>
                <w:webHidden/>
              </w:rPr>
              <w:t>6</w:t>
            </w:r>
            <w:r>
              <w:rPr>
                <w:noProof/>
                <w:webHidden/>
              </w:rPr>
              <w:fldChar w:fldCharType="end"/>
            </w:r>
          </w:hyperlink>
        </w:p>
        <w:p w14:paraId="334A3DCC" w14:textId="77777777" w:rsidR="00C20B2A" w:rsidRDefault="00C20B2A">
          <w:pPr>
            <w:pStyle w:val="TOC1"/>
            <w:tabs>
              <w:tab w:val="right" w:leader="dot" w:pos="9016"/>
            </w:tabs>
            <w:rPr>
              <w:rFonts w:asciiTheme="minorHAnsi" w:eastAsiaTheme="minorEastAsia" w:hAnsiTheme="minorHAnsi" w:cstheme="minorBidi"/>
              <w:noProof/>
              <w:sz w:val="22"/>
              <w:szCs w:val="22"/>
              <w:lang w:eastAsia="en-GB"/>
            </w:rPr>
          </w:pPr>
          <w:hyperlink w:anchor="_Toc235487502" w:history="1">
            <w:r w:rsidRPr="00CC5493">
              <w:rPr>
                <w:rStyle w:val="Hyperlink"/>
                <w:noProof/>
              </w:rPr>
              <w:t>References</w:t>
            </w:r>
            <w:r>
              <w:rPr>
                <w:noProof/>
                <w:webHidden/>
              </w:rPr>
              <w:tab/>
            </w:r>
            <w:r>
              <w:rPr>
                <w:noProof/>
                <w:webHidden/>
              </w:rPr>
              <w:fldChar w:fldCharType="begin"/>
            </w:r>
            <w:r>
              <w:rPr>
                <w:noProof/>
                <w:webHidden/>
              </w:rPr>
              <w:instrText xml:space="preserve"> PAGEREF _Toc235487502 \h </w:instrText>
            </w:r>
            <w:r>
              <w:rPr>
                <w:noProof/>
                <w:webHidden/>
              </w:rPr>
            </w:r>
            <w:r>
              <w:rPr>
                <w:noProof/>
                <w:webHidden/>
              </w:rPr>
              <w:fldChar w:fldCharType="separate"/>
            </w:r>
            <w:r>
              <w:rPr>
                <w:noProof/>
                <w:webHidden/>
              </w:rPr>
              <w:t>7</w:t>
            </w:r>
            <w:r>
              <w:rPr>
                <w:noProof/>
                <w:webHidden/>
              </w:rPr>
              <w:fldChar w:fldCharType="end"/>
            </w:r>
          </w:hyperlink>
        </w:p>
        <w:p w14:paraId="42317B19" w14:textId="77777777" w:rsidR="009C6D35" w:rsidRDefault="009C6D35">
          <w:r>
            <w:rPr>
              <w:b/>
              <w:bCs/>
              <w:noProof/>
            </w:rPr>
            <w:fldChar w:fldCharType="end"/>
          </w:r>
        </w:p>
      </w:sdtContent>
    </w:sdt>
    <w:p w14:paraId="7F4C4C90" w14:textId="77777777" w:rsidR="006B54A3" w:rsidRDefault="006B54A3">
      <w:pPr>
        <w:spacing w:before="0" w:after="160"/>
        <w:rPr>
          <w:rFonts w:eastAsia="Calibri" w:cstheme="minorHAnsi"/>
          <w:b/>
          <w:color w:val="2F5496" w:themeColor="accent5" w:themeShade="BF"/>
          <w:sz w:val="28"/>
          <w:szCs w:val="28"/>
          <w:lang w:val="en-US"/>
        </w:rPr>
      </w:pPr>
      <w:r>
        <w:br w:type="page"/>
      </w:r>
    </w:p>
    <w:p w14:paraId="2D223264" w14:textId="77777777" w:rsidR="004C65F7" w:rsidRPr="004C65F7" w:rsidRDefault="004C65F7" w:rsidP="00C02360">
      <w:pPr>
        <w:pStyle w:val="Heading1"/>
      </w:pPr>
      <w:bookmarkStart w:id="0" w:name="_Toc235487495"/>
      <w:r w:rsidRPr="004C65F7">
        <w:lastRenderedPageBreak/>
        <w:t>Introduction</w:t>
      </w:r>
      <w:bookmarkEnd w:id="0"/>
      <w:r w:rsidRPr="004C65F7">
        <w:t xml:space="preserve"> </w:t>
      </w:r>
    </w:p>
    <w:p w14:paraId="13F3E665" w14:textId="77777777" w:rsidR="00C20B2A" w:rsidRDefault="00C20B2A" w:rsidP="00C20B2A">
      <w:pPr>
        <w:spacing w:before="0" w:after="160"/>
      </w:pPr>
      <w:r>
        <w:t xml:space="preserve">Type 1 diabetes is a chronic autoimmune disease in which the body's immune system mistakenly destroys the insulin producing beta cells of the pancreas, resulting in little or no insulin production. Consequently, the patients need insulin treatment all of their lives to control blood glucose levels and thereby avoid serious complications. The usual symptoms and complications are thirst, urinating, unexplained weight loss, Extreme tiredness, blurred vision and hunger. The International Diabetes Federation estimate that there were 9.15M people globally with Type 1 diabetes in 2024, with around 0.4M of those having Type 1 diabetes in the United Kingdom, resulting in a significant burden on healthcare systems and affected families (International Diabetes Federation, 2025). Given its chronicity and high risk for serious complications, type 1 diabetes poses a significant public health problem that must be monitored, treated, and supported continuously throughout a person's lifetime. </w:t>
      </w:r>
    </w:p>
    <w:p w14:paraId="0EDA6FC9" w14:textId="77777777" w:rsidR="00C20B2A" w:rsidRDefault="00C20B2A" w:rsidP="00C20B2A">
      <w:pPr>
        <w:pStyle w:val="Heading1"/>
      </w:pPr>
      <w:bookmarkStart w:id="1" w:name="_Toc235487496"/>
      <w:r>
        <w:t>Main Body</w:t>
      </w:r>
      <w:bookmarkEnd w:id="1"/>
    </w:p>
    <w:p w14:paraId="6CFF233F" w14:textId="77777777" w:rsidR="00C20B2A" w:rsidRDefault="00C20B2A" w:rsidP="00C20B2A">
      <w:pPr>
        <w:pStyle w:val="Heading2"/>
      </w:pPr>
      <w:bookmarkStart w:id="2" w:name="_Toc235487497"/>
      <w:r>
        <w:t>Disease Measurement and Monitoring</w:t>
      </w:r>
      <w:bookmarkEnd w:id="2"/>
      <w:r>
        <w:t xml:space="preserve"> </w:t>
      </w:r>
    </w:p>
    <w:p w14:paraId="12F80EB1" w14:textId="77777777" w:rsidR="00C20B2A" w:rsidRDefault="00C20B2A" w:rsidP="00C20B2A">
      <w:pPr>
        <w:spacing w:before="0" w:after="160"/>
      </w:pPr>
      <w:r>
        <w:t>Public health organisations use multiple epidemiological measures for Type 1 diabetes to gain insight into its burden and ensure adequate allocation of health services. Incidence is the number of new cases diagnosed in a given time and prevalence is the number of people with the disease at a particular point in time. Morbidity refers to health issues and complications associated with type 1 diabetes such as diabetic ketoacidosis (DKA), kidney disease, nerve damage, or vision loss (Helen, 2022). Mortality rates indicate both direct and indirect deaths from the disease, and emphasize the long-term consequences for population health. In 2024 the number of people living with Type 1 diabetes is estimated to be around 9.15 million, making Type 1 diabetes a major global public health issue, according to the International Diabetes Federation (2025).</w:t>
      </w:r>
    </w:p>
    <w:p w14:paraId="515857DE" w14:textId="77777777" w:rsidR="00C20B2A" w:rsidRDefault="00C20B2A" w:rsidP="00C20B2A">
      <w:pPr>
        <w:spacing w:before="0" w:after="160"/>
      </w:pPr>
      <w:r>
        <w:t xml:space="preserve">Monitoring systems are used to observe trends, assess the results of treatment, and enhance disease management. The National Diabetes Audit, which captures details on the quality of diabetes diagnosis, treatment, complications, and outcomes within health services, supports diabetes surveillance in the United Kingdom (National Diabetes Audit, 2024). Regular checkups consist of checking blood sugar levels, HB1AC, kidney function, screening of the retina and checking the feet for signs of complications early. In these systems clinical treatment plans can be tailored to the individual to account for ongoing disease progression (Gregory et al., 2022). Globally, the International Diabetes Federation and national diabetes registries </w:t>
      </w:r>
      <w:r>
        <w:lastRenderedPageBreak/>
        <w:t>gather epidemiological information to monitor trends, compare health outcomes across countries and assist with evidence-based public health planning at a national level. The ongoing surveillance can help shape better healthcare plans, improve resource allocation and minimize problems for people with type 1 diabetes.</w:t>
      </w:r>
    </w:p>
    <w:p w14:paraId="452FC8FF" w14:textId="77777777" w:rsidR="00C20B2A" w:rsidRDefault="00C20B2A" w:rsidP="00C20B2A">
      <w:pPr>
        <w:pStyle w:val="Heading2"/>
      </w:pPr>
      <w:bookmarkStart w:id="3" w:name="_Toc235487498"/>
      <w:r>
        <w:t>Disease Control and Prevention</w:t>
      </w:r>
      <w:bookmarkEnd w:id="3"/>
      <w:r>
        <w:t xml:space="preserve"> </w:t>
      </w:r>
    </w:p>
    <w:p w14:paraId="553EC750" w14:textId="77777777" w:rsidR="00C20B2A" w:rsidRDefault="00C20B2A" w:rsidP="00C20B2A">
      <w:pPr>
        <w:spacing w:before="0" w:after="160"/>
      </w:pPr>
      <w:r>
        <w:t>Since there is no cure for type 1 diabetes, the only way to control it is by medical management for life. Those whose diabetes cannot be controlled with food need to take insulin several times daily to get their blood glucose level into a healthy range, typically by injection or through an insulin pump. Patients and health care providers use continuous glucose monitoring devices and regular blood glucose tests via HbA1C to prevent complications and assess glucose control. Medical management also emphasizes healthy eating patterns, regular exercise, carbohydrate counting and how to recognise and manage hypoglycaemia and hyperglycaemia. Percurrent clinical reviews allow health care professionals to keep track of treatment efficacy and anticipate complications early on and while they are still manageable (National Institute for Health and Care Excellence, 2023). Insulin treatment and structured diabetes education has a convincing effect on glycaemic control and quality of life in people with type 1 diabetes.</w:t>
      </w:r>
    </w:p>
    <w:p w14:paraId="64711862" w14:textId="77777777" w:rsidR="00C20B2A" w:rsidRDefault="00C20B2A" w:rsidP="00C20B2A">
      <w:pPr>
        <w:spacing w:before="0" w:after="160"/>
      </w:pPr>
      <w:r>
        <w:t xml:space="preserve">Type 1 diabetes is currently not preventable but public health strategies do contribute to minimising the occurrence of complications and to better long-term healthcare outcomes. National awareness campaigns promote and raise awareness for early onset of symptoms and further reduce the risk of presentation as DKA (American Diabetes Association, 2025). Patients are also educated at healthcare organizations by programs focused on increasing their self-management skills and adhering to insulin therapy and healthy lifestyle behaviors. Early detection of eye disease, kidney disease, cardiovascular problems, and foot complications are provided by regular screening, which can decrease disability. There is also a focus on promoting equitable access to insulin products, glucose monitoring technologies and diabetes specialist services in order to enhance patient outcomes as part of public health policies (Holt et al., 2021). Together these approaches optimize diabetes management, minimize hospitalizations, and help people with type 1 diabetes live a healthier life. </w:t>
      </w:r>
    </w:p>
    <w:p w14:paraId="61C15D03" w14:textId="77777777" w:rsidR="00C20B2A" w:rsidRDefault="00C20B2A" w:rsidP="00C20B2A">
      <w:pPr>
        <w:pStyle w:val="Heading2"/>
      </w:pPr>
      <w:bookmarkStart w:id="4" w:name="_Toc235487499"/>
      <w:r>
        <w:t>Consequences for Individuals and the Community</w:t>
      </w:r>
      <w:bookmarkEnd w:id="4"/>
      <w:r>
        <w:t xml:space="preserve"> </w:t>
      </w:r>
    </w:p>
    <w:p w14:paraId="521A2E21" w14:textId="77777777" w:rsidR="00C20B2A" w:rsidRDefault="00C20B2A" w:rsidP="00C20B2A">
      <w:pPr>
        <w:spacing w:before="0" w:after="160"/>
      </w:pPr>
      <w:r>
        <w:t xml:space="preserve">The impact of type 1 diabetes can be physical, mental and social. Self-management is required throughout life for glucose monitoring, meal planning, and insulin therapy with multiple insulin injections or an insulin pump. Diabetic ketoacidosis, cardiovascular disease, kidney failure, </w:t>
      </w:r>
      <w:r>
        <w:lastRenderedPageBreak/>
        <w:t>nerve damage, and vision impairment are some potential severe complications of uncontrolled diabetes (Livingstone et al., 2023). Stress, anxiety and fear of hypoglycaemia are also very common and can impact mental health and quality of life (QL) (Chiang et al., 2021). It can interfere with education, work, physical activities, and social interaction, especially for children and youth who will have to deal with the condition while living their normal lives.</w:t>
      </w:r>
    </w:p>
    <w:p w14:paraId="5168935C" w14:textId="77777777" w:rsidR="00C20B2A" w:rsidRDefault="00C20B2A" w:rsidP="00C20B2A">
      <w:pPr>
        <w:spacing w:before="0" w:after="160"/>
      </w:pPr>
      <w:r>
        <w:t>Type 1 diabetes affects families and caregivers, too. Parents and relatives are frequently able to offer emotional support or help take care of insulin doses and watch children's blood sugar levels, especially for younger children (Diabetes UK, 2024). The duties can lead to additional emotional stress, financial strain and caregiver burden. Families may also face additional healthcare expenses and lifestyle adjustments to ensure effective diabetes management and reduce the risk of complications.</w:t>
      </w:r>
    </w:p>
    <w:p w14:paraId="33EA156D" w14:textId="0FCA13EB" w:rsidR="00C20B2A" w:rsidRDefault="00C20B2A" w:rsidP="00C20B2A">
      <w:pPr>
        <w:spacing w:before="0" w:after="160"/>
      </w:pPr>
      <w:r>
        <w:t xml:space="preserve">However, the increasing burden of T1D also impacts communities and healthcare services. It leads to an increased demand for general practice, specialist diabetes services, emergency services and long term monitoring programmes. Severe hypoglycaemia, DKA and chronic complications lead to hospital admissions which are a cause of pressure on health services and cost of health care (Diabetes UK, 2024). Public healthcare bodies need to keep investing in early diagnosis, patient education and access to modern diabetes technologies to make a difference in health outcomes and decrease the </w:t>
      </w:r>
      <w:proofErr w:type="gramStart"/>
      <w:r>
        <w:t>long</w:t>
      </w:r>
      <w:r w:rsidR="00F2670A">
        <w:t xml:space="preserve"> </w:t>
      </w:r>
      <w:r>
        <w:t>term</w:t>
      </w:r>
      <w:proofErr w:type="gramEnd"/>
      <w:r>
        <w:t xml:space="preserve"> costs of diabetes for the society.</w:t>
      </w:r>
    </w:p>
    <w:p w14:paraId="3644CABE" w14:textId="77777777" w:rsidR="00C20B2A" w:rsidRDefault="00C20B2A" w:rsidP="00C20B2A">
      <w:pPr>
        <w:pStyle w:val="Heading2"/>
      </w:pPr>
      <w:bookmarkStart w:id="5" w:name="_Toc235487500"/>
      <w:r>
        <w:t>Health and Social Care Support Services</w:t>
      </w:r>
      <w:bookmarkEnd w:id="5"/>
      <w:r>
        <w:t xml:space="preserve"> </w:t>
      </w:r>
    </w:p>
    <w:p w14:paraId="0822B431" w14:textId="77777777" w:rsidR="00C20B2A" w:rsidRDefault="00C20B2A" w:rsidP="00C20B2A">
      <w:pPr>
        <w:spacing w:before="0" w:after="160"/>
      </w:pPr>
      <w:r>
        <w:t>Coordinated health care services that offer continuous medical care and patient education are needed to manage type 1 diabetes effectively. General practitioners will be largely involved in the diagnosis and routine management including referrals to the specialist diabetes teams if necessary. Insulin management and insulin regime review is undertaken by endocrinologists and diabetes specialist nurses who monitor long term complications (Davies et al., 2022). The nutritious eating plans and carb counting are provided by the dietitians, and medication use, safety, and adherence are discussed by the pharmacists. Periodic check-ups, such as eye exams, blood tests, and foot evaluations help detect potential problems and help ensure your long-term health. Structured education programs, like DAFNE (Dose Adjustment for Normal Eating) also help build knowledge and confidence about managing the condition effectively.</w:t>
      </w:r>
    </w:p>
    <w:p w14:paraId="3667751F" w14:textId="77777777" w:rsidR="00C20B2A" w:rsidRDefault="00C20B2A" w:rsidP="00C20B2A">
      <w:pPr>
        <w:spacing w:before="0" w:after="160"/>
      </w:pPr>
      <w:r>
        <w:t xml:space="preserve">Social care services work alongside medical care and help with the additional physical, emotional and practical care and comfort of people with type 1 diabetes. Social workers can aid in accessing financial support and education support and community services if required </w:t>
      </w:r>
      <w:r>
        <w:lastRenderedPageBreak/>
        <w:t>(Davies et al., 2022). Diabetes UK and other charities offer information, counselling, peer support groups, and education, which helps you manage your diabetes and maintains your emotional wellbeing. Emotional support from psychologists and occupational therapists also helps people manage life's daily demands for a lifelong disease and being independent at work or school. Multidisciplinary teams, where doctors, nurses, dietitians, pharmacists, psychologists, social workers, and any other allied health professionals work together in integrated, person centred care, (NHS England, 2023). This team effort facilitates better communication and collaboration among professionals, continuity of care, treatment compliance, and better health outcomes and quality of life for the patient.</w:t>
      </w:r>
    </w:p>
    <w:p w14:paraId="3A04FE61" w14:textId="77777777" w:rsidR="00C20B2A" w:rsidRDefault="00C20B2A" w:rsidP="00C20B2A">
      <w:pPr>
        <w:pStyle w:val="Heading1"/>
      </w:pPr>
      <w:bookmarkStart w:id="6" w:name="_Toc235487501"/>
      <w:r>
        <w:t>Conclusion</w:t>
      </w:r>
      <w:bookmarkEnd w:id="6"/>
      <w:r>
        <w:t xml:space="preserve"> </w:t>
      </w:r>
    </w:p>
    <w:p w14:paraId="6C9F9A17" w14:textId="77777777" w:rsidR="00D25599" w:rsidRPr="008E0CC6" w:rsidRDefault="00C20B2A" w:rsidP="00C20B2A">
      <w:pPr>
        <w:spacing w:before="0" w:after="160"/>
      </w:pPr>
      <w:r>
        <w:t>Type 1 diabetes represents an autoimmune disorder over the lifetime of the patient and continues to impose a heavy burden on the person with the disease, their families, healthcare systems and society. By using epidemiological indicators and national surveillance systems, healthcare professionals can track disease patterns, evaluate treatment results, and anticipate and strategically prepare for necessary healthcare interventions. While there is currently no prevention for the condition, good insulin management, blood monitoring, thorough education and good public health directives decrease complications and lessen the impact on life. Physical, psychological, social and economic impacts of type 1 diabetes are also severe and comprehensive support required. Collaboration between healthcare professionals, social care providers, community organisations, and patients ensures integrated, person centred care that promotes self-management, prevents complications, and improves long term health outcomes. A strong ongoing investment in diabetes services is crucial to address future healthcare needs.</w:t>
      </w:r>
    </w:p>
    <w:p w14:paraId="41E74FCE" w14:textId="77777777" w:rsidR="008726B5" w:rsidRDefault="008726B5">
      <w:pPr>
        <w:spacing w:before="0" w:after="160"/>
      </w:pPr>
      <w:r>
        <w:br w:type="page"/>
      </w:r>
    </w:p>
    <w:p w14:paraId="61ED5798" w14:textId="77777777" w:rsidR="008726B5" w:rsidRPr="008726B5" w:rsidRDefault="008726B5" w:rsidP="00C02360">
      <w:pPr>
        <w:pStyle w:val="Heading1"/>
      </w:pPr>
      <w:bookmarkStart w:id="7" w:name="_Toc235487502"/>
      <w:r>
        <w:lastRenderedPageBreak/>
        <w:t>References</w:t>
      </w:r>
      <w:bookmarkEnd w:id="7"/>
      <w:r>
        <w:t xml:space="preserve"> </w:t>
      </w:r>
    </w:p>
    <w:p w14:paraId="6946402D" w14:textId="77777777" w:rsidR="0045008F" w:rsidRPr="0045008F" w:rsidRDefault="0045008F" w:rsidP="0045008F">
      <w:pPr>
        <w:ind w:left="720" w:hanging="720"/>
      </w:pPr>
      <w:r w:rsidRPr="0045008F">
        <w:t xml:space="preserve">American Diabetes Association Professional Practice Committee (2025) </w:t>
      </w:r>
      <w:r w:rsidRPr="0045008F">
        <w:rPr>
          <w:i/>
          <w:iCs/>
        </w:rPr>
        <w:t>Standards of care in diabetes—2025</w:t>
      </w:r>
      <w:r w:rsidRPr="0045008F">
        <w:t xml:space="preserve">. </w:t>
      </w:r>
      <w:r w:rsidRPr="0045008F">
        <w:rPr>
          <w:i/>
          <w:iCs/>
        </w:rPr>
        <w:t>Diabetes Care</w:t>
      </w:r>
      <w:r w:rsidRPr="0045008F">
        <w:t>, 48(Suppl. 1), pp. S1–S350.</w:t>
      </w:r>
    </w:p>
    <w:p w14:paraId="4718F602" w14:textId="77777777" w:rsidR="0045008F" w:rsidRPr="0045008F" w:rsidRDefault="0045008F" w:rsidP="0045008F">
      <w:pPr>
        <w:ind w:left="720" w:hanging="720"/>
      </w:pPr>
      <w:r w:rsidRPr="0045008F">
        <w:t xml:space="preserve">Chiang, J.L., Maahs, D.M., Garvey, K.C., Hood, K.K., </w:t>
      </w:r>
      <w:proofErr w:type="spellStart"/>
      <w:r w:rsidRPr="0045008F">
        <w:t>Laffel</w:t>
      </w:r>
      <w:proofErr w:type="spellEnd"/>
      <w:r w:rsidRPr="0045008F">
        <w:t xml:space="preserve">, L.M., Weinzimer, S.A., Wolfsdorf, J.I. and Schatz, D. (2021) ‘Type 1 diabetes in children and adolescents: A position statement by the American Diabetes Association’, </w:t>
      </w:r>
      <w:r w:rsidRPr="0045008F">
        <w:rPr>
          <w:i/>
          <w:iCs/>
        </w:rPr>
        <w:t>Diabetes Care</w:t>
      </w:r>
      <w:r w:rsidRPr="0045008F">
        <w:t>, 44(11), pp. 2449–2465.</w:t>
      </w:r>
    </w:p>
    <w:p w14:paraId="23A287A4" w14:textId="77777777" w:rsidR="0045008F" w:rsidRPr="0045008F" w:rsidRDefault="0045008F" w:rsidP="0045008F">
      <w:pPr>
        <w:ind w:left="720" w:hanging="720"/>
      </w:pPr>
      <w:r w:rsidRPr="0045008F">
        <w:t xml:space="preserve">Davies, M.J., </w:t>
      </w:r>
      <w:proofErr w:type="spellStart"/>
      <w:r w:rsidRPr="0045008F">
        <w:t>Aroda</w:t>
      </w:r>
      <w:proofErr w:type="spellEnd"/>
      <w:r w:rsidRPr="0045008F">
        <w:t xml:space="preserve">, V.R., Collins, B.S., Gabbay, R.A., Green, J., </w:t>
      </w:r>
      <w:proofErr w:type="spellStart"/>
      <w:r w:rsidRPr="0045008F">
        <w:t>Maruthur</w:t>
      </w:r>
      <w:proofErr w:type="spellEnd"/>
      <w:r w:rsidRPr="0045008F">
        <w:t xml:space="preserve">, N.M., Rosas, S.E. and American Diabetes Association Professional Practice Committee (2022) ‘Management of hyperglycaemia in diabetes: Standards of medical care in diabetes’, </w:t>
      </w:r>
      <w:r w:rsidRPr="0045008F">
        <w:rPr>
          <w:i/>
          <w:iCs/>
        </w:rPr>
        <w:t>Diabetes Care</w:t>
      </w:r>
      <w:r w:rsidRPr="0045008F">
        <w:t>, 45(Suppl. 1), pp. S125–S143.</w:t>
      </w:r>
    </w:p>
    <w:p w14:paraId="2D3A5B0C" w14:textId="77777777" w:rsidR="0045008F" w:rsidRPr="0045008F" w:rsidRDefault="0045008F" w:rsidP="0045008F">
      <w:pPr>
        <w:ind w:left="720" w:hanging="720"/>
      </w:pPr>
      <w:r w:rsidRPr="0045008F">
        <w:t xml:space="preserve">Diabetes UK (2024) </w:t>
      </w:r>
      <w:r w:rsidRPr="0045008F">
        <w:rPr>
          <w:i/>
          <w:iCs/>
        </w:rPr>
        <w:t>Facts and statistics about diabetes</w:t>
      </w:r>
      <w:r w:rsidRPr="0045008F">
        <w:t xml:space="preserve">. Available at: </w:t>
      </w:r>
      <w:hyperlink r:id="rId7" w:tgtFrame="_new" w:history="1">
        <w:r w:rsidRPr="0045008F">
          <w:rPr>
            <w:rStyle w:val="Hyperlink"/>
          </w:rPr>
          <w:t>https://www.diabetes.org.uk/about-us/about-the-charity/our-strategy/statistics</w:t>
        </w:r>
      </w:hyperlink>
      <w:r w:rsidRPr="0045008F">
        <w:t xml:space="preserve"> (Accessed: 21 July 2026).</w:t>
      </w:r>
    </w:p>
    <w:p w14:paraId="32C3A53D" w14:textId="77777777" w:rsidR="0045008F" w:rsidRPr="0045008F" w:rsidRDefault="0045008F" w:rsidP="0045008F">
      <w:pPr>
        <w:ind w:left="720" w:hanging="720"/>
      </w:pPr>
      <w:r w:rsidRPr="0045008F">
        <w:t xml:space="preserve">Gregory, G.A., Robinson, T.I.G., Linklater, S.E., Wang, F., </w:t>
      </w:r>
      <w:proofErr w:type="spellStart"/>
      <w:r w:rsidRPr="0045008F">
        <w:t>Colagiuri</w:t>
      </w:r>
      <w:proofErr w:type="spellEnd"/>
      <w:r w:rsidRPr="0045008F">
        <w:t xml:space="preserve">, S., de Beaufort, C., Donaghue, K.C., Magliano, D.J. and International Diabetes Federation Diabetes Atlas Type 1 Diabetes in Adults Special Interest Group (2022) ‘Global incidence, prevalence, mortality and disability-adjusted life years for type 1 diabetes in 2021: A modelling study’, </w:t>
      </w:r>
      <w:r w:rsidRPr="0045008F">
        <w:rPr>
          <w:i/>
          <w:iCs/>
        </w:rPr>
        <w:t>The Lancet Diabetes &amp; Endocrinology</w:t>
      </w:r>
      <w:r w:rsidRPr="0045008F">
        <w:t>, 10(10), pp. 741–760.</w:t>
      </w:r>
    </w:p>
    <w:p w14:paraId="16A6F2C0" w14:textId="77777777" w:rsidR="0045008F" w:rsidRPr="0045008F" w:rsidRDefault="0045008F" w:rsidP="0045008F">
      <w:pPr>
        <w:ind w:left="720" w:hanging="720"/>
      </w:pPr>
      <w:r w:rsidRPr="0045008F">
        <w:t xml:space="preserve">Holt, R.I.G., DeVries, J.H., Hess-Fischl, A., Hirsch, I.B., Kirkman, M.S., </w:t>
      </w:r>
      <w:proofErr w:type="spellStart"/>
      <w:r w:rsidRPr="0045008F">
        <w:t>Klupa</w:t>
      </w:r>
      <w:proofErr w:type="spellEnd"/>
      <w:r w:rsidRPr="0045008F">
        <w:t xml:space="preserve">, T., Ludwig, B., Nørgaard, K., Pettus, J. and Renard, E. (2021) ‘The management of type 1 diabetes in adults. A consensus report by the American Diabetes Association (ADA) and the European Association for the Study of Diabetes (EASD)’, </w:t>
      </w:r>
      <w:proofErr w:type="spellStart"/>
      <w:r w:rsidRPr="0045008F">
        <w:rPr>
          <w:i/>
          <w:iCs/>
        </w:rPr>
        <w:t>Diabetologia</w:t>
      </w:r>
      <w:proofErr w:type="spellEnd"/>
      <w:r w:rsidRPr="0045008F">
        <w:t>, 64(12), pp. 2609–2652.</w:t>
      </w:r>
    </w:p>
    <w:p w14:paraId="1DBB5E35" w14:textId="77777777" w:rsidR="0045008F" w:rsidRPr="0045008F" w:rsidRDefault="0045008F" w:rsidP="0045008F">
      <w:pPr>
        <w:ind w:left="720" w:hanging="720"/>
      </w:pPr>
      <w:r w:rsidRPr="0045008F">
        <w:t xml:space="preserve">International Diabetes Federation (2025) </w:t>
      </w:r>
      <w:r w:rsidRPr="0045008F">
        <w:rPr>
          <w:i/>
          <w:iCs/>
        </w:rPr>
        <w:t>IDF Diabetes Atlas</w:t>
      </w:r>
      <w:r w:rsidRPr="0045008F">
        <w:t xml:space="preserve">. 11th </w:t>
      </w:r>
      <w:proofErr w:type="spellStart"/>
      <w:r w:rsidRPr="0045008F">
        <w:t>edn</w:t>
      </w:r>
      <w:proofErr w:type="spellEnd"/>
      <w:r w:rsidRPr="0045008F">
        <w:t>. Brussels: International Diabetes Federation.</w:t>
      </w:r>
    </w:p>
    <w:p w14:paraId="3819E268" w14:textId="77777777" w:rsidR="0045008F" w:rsidRPr="0045008F" w:rsidRDefault="0045008F" w:rsidP="0045008F">
      <w:pPr>
        <w:ind w:left="720" w:hanging="720"/>
      </w:pPr>
      <w:r w:rsidRPr="0045008F">
        <w:t xml:space="preserve">Livingstone, S.J., Levin, D., Looker, H.C., Lindsay, R.S., Wild, S.H., Joss, N., Leese, G.P., Leslie, P., McCrimmon, R.J. and Scottish Diabetes Research Network Epidemiology Group (2023) ‘Estimated life expectancy in a Scottish cohort with type 1 diabetes, 2008–2010’, </w:t>
      </w:r>
      <w:proofErr w:type="spellStart"/>
      <w:r w:rsidRPr="0045008F">
        <w:rPr>
          <w:i/>
          <w:iCs/>
        </w:rPr>
        <w:t>Diabetologia</w:t>
      </w:r>
      <w:proofErr w:type="spellEnd"/>
      <w:r w:rsidRPr="0045008F">
        <w:t>, 66(3), pp. 441–450.</w:t>
      </w:r>
    </w:p>
    <w:p w14:paraId="540F90BD" w14:textId="77777777" w:rsidR="0045008F" w:rsidRPr="0045008F" w:rsidRDefault="0045008F" w:rsidP="0045008F">
      <w:pPr>
        <w:ind w:left="720" w:hanging="720"/>
      </w:pPr>
      <w:r w:rsidRPr="0045008F">
        <w:t xml:space="preserve">National Diabetes Audit (2024) </w:t>
      </w:r>
      <w:r w:rsidRPr="0045008F">
        <w:rPr>
          <w:i/>
          <w:iCs/>
        </w:rPr>
        <w:t>National Diabetes Audit 2023–24: Care processes and treatment targets</w:t>
      </w:r>
      <w:r w:rsidRPr="0045008F">
        <w:t>. London: NHS England.</w:t>
      </w:r>
    </w:p>
    <w:p w14:paraId="74307E25" w14:textId="77777777" w:rsidR="0045008F" w:rsidRPr="0045008F" w:rsidRDefault="0045008F" w:rsidP="0045008F">
      <w:pPr>
        <w:ind w:left="720" w:hanging="720"/>
      </w:pPr>
      <w:r w:rsidRPr="0045008F">
        <w:lastRenderedPageBreak/>
        <w:t xml:space="preserve">National Institute for Health and Care Excellence (2023) </w:t>
      </w:r>
      <w:r w:rsidRPr="0045008F">
        <w:rPr>
          <w:i/>
          <w:iCs/>
        </w:rPr>
        <w:t>Type 1 diabetes in adults: Diagnosis and management (NG17)</w:t>
      </w:r>
      <w:r w:rsidRPr="0045008F">
        <w:t xml:space="preserve">. London: NICE. Available at: </w:t>
      </w:r>
      <w:hyperlink r:id="rId8" w:tgtFrame="_new" w:history="1">
        <w:r w:rsidRPr="0045008F">
          <w:rPr>
            <w:rStyle w:val="Hyperlink"/>
          </w:rPr>
          <w:t>https://www.nice.org.uk/guidance/ng17</w:t>
        </w:r>
      </w:hyperlink>
      <w:r w:rsidRPr="0045008F">
        <w:t xml:space="preserve"> (Accessed: 21 July 2026).</w:t>
      </w:r>
    </w:p>
    <w:p w14:paraId="03644955" w14:textId="77777777" w:rsidR="0045008F" w:rsidRPr="0045008F" w:rsidRDefault="0045008F" w:rsidP="0045008F">
      <w:pPr>
        <w:ind w:left="720" w:hanging="720"/>
      </w:pPr>
      <w:r w:rsidRPr="0045008F">
        <w:t xml:space="preserve">NHS England (2023) </w:t>
      </w:r>
      <w:r w:rsidRPr="0045008F">
        <w:rPr>
          <w:i/>
          <w:iCs/>
        </w:rPr>
        <w:t>The NHS Long Term Plan: Diabetes</w:t>
      </w:r>
      <w:r w:rsidRPr="0045008F">
        <w:t xml:space="preserve">. London: NHS England. Available at: </w:t>
      </w:r>
      <w:hyperlink r:id="rId9" w:tgtFrame="_new" w:history="1">
        <w:r w:rsidRPr="0045008F">
          <w:rPr>
            <w:rStyle w:val="Hyperlink"/>
          </w:rPr>
          <w:t>https://www.england.nhs.uk/long-term-plan/</w:t>
        </w:r>
      </w:hyperlink>
      <w:r w:rsidRPr="0045008F">
        <w:t xml:space="preserve"> (Accessed: 21 July 2026).</w:t>
      </w:r>
    </w:p>
    <w:p w14:paraId="395DE6F8" w14:textId="77777777" w:rsidR="00802E4F" w:rsidRDefault="00802E4F"/>
    <w:sectPr w:rsidR="00802E4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3F341" w14:textId="77777777" w:rsidR="00994268" w:rsidRDefault="00994268" w:rsidP="009C6D35">
      <w:pPr>
        <w:spacing w:before="0" w:after="0" w:line="240" w:lineRule="auto"/>
      </w:pPr>
      <w:r>
        <w:separator/>
      </w:r>
    </w:p>
  </w:endnote>
  <w:endnote w:type="continuationSeparator" w:id="0">
    <w:p w14:paraId="253C70FB" w14:textId="77777777" w:rsidR="00994268" w:rsidRDefault="00994268" w:rsidP="009C6D3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711269"/>
      <w:docPartObj>
        <w:docPartGallery w:val="Page Numbers (Bottom of Page)"/>
        <w:docPartUnique/>
      </w:docPartObj>
    </w:sdtPr>
    <w:sdtEndPr>
      <w:rPr>
        <w:color w:val="7F7F7F" w:themeColor="background1" w:themeShade="7F"/>
        <w:spacing w:val="60"/>
      </w:rPr>
    </w:sdtEndPr>
    <w:sdtContent>
      <w:p w14:paraId="6897A3FB" w14:textId="77777777" w:rsidR="00C20B2A" w:rsidRDefault="00C20B2A">
        <w:pPr>
          <w:pStyle w:val="Footer"/>
          <w:pBdr>
            <w:top w:val="single" w:sz="4" w:space="1" w:color="D9D9D9" w:themeColor="background1" w:themeShade="D9"/>
          </w:pBdr>
          <w:jc w:val="right"/>
        </w:pPr>
        <w:r>
          <w:fldChar w:fldCharType="begin"/>
        </w:r>
        <w:r>
          <w:instrText xml:space="preserve"> PAGE   \* MERGEFORMAT </w:instrText>
        </w:r>
        <w:r>
          <w:fldChar w:fldCharType="separate"/>
        </w:r>
        <w:r w:rsidR="004C54B5">
          <w:rPr>
            <w:noProof/>
          </w:rPr>
          <w:t>8</w:t>
        </w:r>
        <w:r>
          <w:rPr>
            <w:noProof/>
          </w:rPr>
          <w:fldChar w:fldCharType="end"/>
        </w:r>
        <w:r>
          <w:t xml:space="preserve"> | </w:t>
        </w:r>
        <w:r>
          <w:rPr>
            <w:color w:val="7F7F7F" w:themeColor="background1" w:themeShade="7F"/>
            <w:spacing w:val="60"/>
          </w:rPr>
          <w:t>Page</w:t>
        </w:r>
      </w:p>
    </w:sdtContent>
  </w:sdt>
  <w:p w14:paraId="1C7AD5E3" w14:textId="77777777" w:rsidR="009C6D35" w:rsidRDefault="009C6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E34AC" w14:textId="77777777" w:rsidR="00994268" w:rsidRDefault="00994268" w:rsidP="009C6D35">
      <w:pPr>
        <w:spacing w:before="0" w:after="0" w:line="240" w:lineRule="auto"/>
      </w:pPr>
      <w:r>
        <w:separator/>
      </w:r>
    </w:p>
  </w:footnote>
  <w:footnote w:type="continuationSeparator" w:id="0">
    <w:p w14:paraId="3E5F0524" w14:textId="77777777" w:rsidR="00994268" w:rsidRDefault="00994268" w:rsidP="009C6D3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0DD"/>
    <w:rsid w:val="00005525"/>
    <w:rsid w:val="000A6524"/>
    <w:rsid w:val="000B2BB5"/>
    <w:rsid w:val="00137DE9"/>
    <w:rsid w:val="00140AAC"/>
    <w:rsid w:val="001421D2"/>
    <w:rsid w:val="002A43BD"/>
    <w:rsid w:val="002C359B"/>
    <w:rsid w:val="00335A69"/>
    <w:rsid w:val="00380076"/>
    <w:rsid w:val="003C7FEC"/>
    <w:rsid w:val="00406960"/>
    <w:rsid w:val="00416B4B"/>
    <w:rsid w:val="0045008F"/>
    <w:rsid w:val="004C54B5"/>
    <w:rsid w:val="004C65F7"/>
    <w:rsid w:val="00592C84"/>
    <w:rsid w:val="005944A3"/>
    <w:rsid w:val="005D7D7A"/>
    <w:rsid w:val="00623535"/>
    <w:rsid w:val="00654DB6"/>
    <w:rsid w:val="006A76B1"/>
    <w:rsid w:val="006B54A3"/>
    <w:rsid w:val="007A02FE"/>
    <w:rsid w:val="00802E4F"/>
    <w:rsid w:val="008121A2"/>
    <w:rsid w:val="008726B5"/>
    <w:rsid w:val="008C0A22"/>
    <w:rsid w:val="008E0CC6"/>
    <w:rsid w:val="00994268"/>
    <w:rsid w:val="009C6D35"/>
    <w:rsid w:val="009D3E11"/>
    <w:rsid w:val="00AD25BE"/>
    <w:rsid w:val="00BA4411"/>
    <w:rsid w:val="00BD2BC0"/>
    <w:rsid w:val="00C02360"/>
    <w:rsid w:val="00C20B2A"/>
    <w:rsid w:val="00CC3CD1"/>
    <w:rsid w:val="00CE736F"/>
    <w:rsid w:val="00CF3D45"/>
    <w:rsid w:val="00D25599"/>
    <w:rsid w:val="00DB23DD"/>
    <w:rsid w:val="00DD00DD"/>
    <w:rsid w:val="00E41BFF"/>
    <w:rsid w:val="00F2670A"/>
    <w:rsid w:val="00F51380"/>
    <w:rsid w:val="00F7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05B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DE9"/>
    <w:pPr>
      <w:spacing w:before="60" w:after="60"/>
    </w:pPr>
    <w:rPr>
      <w:rFonts w:ascii="Times New Roman" w:hAnsi="Times New Roman" w:cs="Times New Roman"/>
      <w:sz w:val="24"/>
      <w:szCs w:val="20"/>
    </w:rPr>
  </w:style>
  <w:style w:type="paragraph" w:styleId="Heading1">
    <w:name w:val="heading 1"/>
    <w:basedOn w:val="Heading2"/>
    <w:next w:val="Normal"/>
    <w:link w:val="Heading1Char"/>
    <w:qFormat/>
    <w:rsid w:val="008121A2"/>
    <w:pPr>
      <w:keepNext w:val="0"/>
      <w:keepLines w:val="0"/>
      <w:spacing w:before="80"/>
      <w:outlineLvl w:val="0"/>
    </w:pPr>
    <w:rPr>
      <w:rFonts w:eastAsia="Calibri" w:cstheme="minorHAnsi"/>
      <w:color w:val="2F5496" w:themeColor="accent5" w:themeShade="BF"/>
      <w:sz w:val="28"/>
      <w:szCs w:val="28"/>
      <w:lang w:val="en-US"/>
    </w:rPr>
  </w:style>
  <w:style w:type="paragraph" w:styleId="Heading2">
    <w:name w:val="heading 2"/>
    <w:basedOn w:val="Normal"/>
    <w:next w:val="Normal"/>
    <w:link w:val="Heading2Char"/>
    <w:uiPriority w:val="9"/>
    <w:unhideWhenUsed/>
    <w:qFormat/>
    <w:rsid w:val="00406960"/>
    <w:pPr>
      <w:keepNext/>
      <w:keepLines/>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autoRedefine/>
    <w:uiPriority w:val="9"/>
    <w:unhideWhenUsed/>
    <w:qFormat/>
    <w:rsid w:val="00005525"/>
    <w:pPr>
      <w:keepNext/>
      <w:keepLines/>
      <w:spacing w:before="40" w:after="0"/>
      <w:outlineLvl w:val="2"/>
    </w:pPr>
    <w:rPr>
      <w:b/>
      <w:kern w:val="2"/>
      <w:szCs w:val="24"/>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121A2"/>
    <w:rPr>
      <w:rFonts w:ascii="Times New Roman" w:eastAsia="Calibri" w:hAnsi="Times New Roman" w:cstheme="minorHAnsi"/>
      <w:b/>
      <w:color w:val="2F5496" w:themeColor="accent5" w:themeShade="BF"/>
      <w:sz w:val="28"/>
      <w:szCs w:val="28"/>
      <w:lang w:val="en-US"/>
    </w:rPr>
  </w:style>
  <w:style w:type="character" w:customStyle="1" w:styleId="Heading2Char">
    <w:name w:val="Heading 2 Char"/>
    <w:basedOn w:val="DefaultParagraphFont"/>
    <w:link w:val="Heading2"/>
    <w:uiPriority w:val="9"/>
    <w:rsid w:val="00406960"/>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005525"/>
    <w:rPr>
      <w:rFonts w:ascii="Times New Roman" w:hAnsi="Times New Roman" w:cs="Times New Roman"/>
      <w:b/>
      <w:kern w:val="2"/>
      <w:sz w:val="24"/>
      <w:szCs w:val="24"/>
      <w:lang w:eastAsia="en-GB"/>
      <w14:ligatures w14:val="standardContextual"/>
    </w:rPr>
  </w:style>
  <w:style w:type="paragraph" w:styleId="Header">
    <w:name w:val="header"/>
    <w:basedOn w:val="Normal"/>
    <w:link w:val="HeaderChar"/>
    <w:uiPriority w:val="99"/>
    <w:unhideWhenUsed/>
    <w:rsid w:val="009C6D3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C6D35"/>
    <w:rPr>
      <w:rFonts w:ascii="Times New Roman" w:hAnsi="Times New Roman" w:cs="Times New Roman"/>
      <w:sz w:val="24"/>
      <w:szCs w:val="20"/>
    </w:rPr>
  </w:style>
  <w:style w:type="paragraph" w:styleId="Footer">
    <w:name w:val="footer"/>
    <w:basedOn w:val="Normal"/>
    <w:link w:val="FooterChar"/>
    <w:uiPriority w:val="99"/>
    <w:unhideWhenUsed/>
    <w:rsid w:val="009C6D3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C6D35"/>
    <w:rPr>
      <w:rFonts w:ascii="Times New Roman" w:hAnsi="Times New Roman" w:cs="Times New Roman"/>
      <w:sz w:val="24"/>
      <w:szCs w:val="20"/>
    </w:rPr>
  </w:style>
  <w:style w:type="paragraph" w:styleId="TOCHeading">
    <w:name w:val="TOC Heading"/>
    <w:basedOn w:val="Heading1"/>
    <w:next w:val="Normal"/>
    <w:uiPriority w:val="39"/>
    <w:unhideWhenUsed/>
    <w:qFormat/>
    <w:rsid w:val="009C6D35"/>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C6D35"/>
    <w:pPr>
      <w:spacing w:after="100"/>
    </w:pPr>
  </w:style>
  <w:style w:type="paragraph" w:styleId="TOC2">
    <w:name w:val="toc 2"/>
    <w:basedOn w:val="Normal"/>
    <w:next w:val="Normal"/>
    <w:autoRedefine/>
    <w:uiPriority w:val="39"/>
    <w:unhideWhenUsed/>
    <w:rsid w:val="009C6D35"/>
    <w:pPr>
      <w:spacing w:after="100"/>
      <w:ind w:left="240"/>
    </w:pPr>
  </w:style>
  <w:style w:type="character" w:styleId="Hyperlink">
    <w:name w:val="Hyperlink"/>
    <w:basedOn w:val="DefaultParagraphFont"/>
    <w:uiPriority w:val="99"/>
    <w:unhideWhenUsed/>
    <w:rsid w:val="009C6D35"/>
    <w:rPr>
      <w:color w:val="0563C1" w:themeColor="hyperlink"/>
      <w:u w:val="single"/>
    </w:rPr>
  </w:style>
  <w:style w:type="table" w:styleId="TableGrid">
    <w:name w:val="Table Grid"/>
    <w:basedOn w:val="TableNormal"/>
    <w:uiPriority w:val="39"/>
    <w:rsid w:val="000B2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C359B"/>
    <w:pPr>
      <w:widowControl w:val="0"/>
      <w:autoSpaceDE w:val="0"/>
      <w:autoSpaceDN w:val="0"/>
      <w:spacing w:before="0" w:after="0" w:line="240" w:lineRule="auto"/>
      <w:jc w:val="left"/>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41112">
      <w:bodyDiv w:val="1"/>
      <w:marLeft w:val="0"/>
      <w:marRight w:val="0"/>
      <w:marTop w:val="0"/>
      <w:marBottom w:val="0"/>
      <w:divBdr>
        <w:top w:val="none" w:sz="0" w:space="0" w:color="auto"/>
        <w:left w:val="none" w:sz="0" w:space="0" w:color="auto"/>
        <w:bottom w:val="none" w:sz="0" w:space="0" w:color="auto"/>
        <w:right w:val="none" w:sz="0" w:space="0" w:color="auto"/>
      </w:divBdr>
    </w:div>
    <w:div w:id="304162583">
      <w:bodyDiv w:val="1"/>
      <w:marLeft w:val="0"/>
      <w:marRight w:val="0"/>
      <w:marTop w:val="0"/>
      <w:marBottom w:val="0"/>
      <w:divBdr>
        <w:top w:val="none" w:sz="0" w:space="0" w:color="auto"/>
        <w:left w:val="none" w:sz="0" w:space="0" w:color="auto"/>
        <w:bottom w:val="none" w:sz="0" w:space="0" w:color="auto"/>
        <w:right w:val="none" w:sz="0" w:space="0" w:color="auto"/>
      </w:divBdr>
    </w:div>
    <w:div w:id="426535463">
      <w:bodyDiv w:val="1"/>
      <w:marLeft w:val="0"/>
      <w:marRight w:val="0"/>
      <w:marTop w:val="0"/>
      <w:marBottom w:val="0"/>
      <w:divBdr>
        <w:top w:val="none" w:sz="0" w:space="0" w:color="auto"/>
        <w:left w:val="none" w:sz="0" w:space="0" w:color="auto"/>
        <w:bottom w:val="none" w:sz="0" w:space="0" w:color="auto"/>
        <w:right w:val="none" w:sz="0" w:space="0" w:color="auto"/>
      </w:divBdr>
    </w:div>
    <w:div w:id="463814622">
      <w:bodyDiv w:val="1"/>
      <w:marLeft w:val="0"/>
      <w:marRight w:val="0"/>
      <w:marTop w:val="0"/>
      <w:marBottom w:val="0"/>
      <w:divBdr>
        <w:top w:val="none" w:sz="0" w:space="0" w:color="auto"/>
        <w:left w:val="none" w:sz="0" w:space="0" w:color="auto"/>
        <w:bottom w:val="none" w:sz="0" w:space="0" w:color="auto"/>
        <w:right w:val="none" w:sz="0" w:space="0" w:color="auto"/>
      </w:divBdr>
      <w:divsChild>
        <w:div w:id="858932263">
          <w:marLeft w:val="0"/>
          <w:marRight w:val="0"/>
          <w:marTop w:val="0"/>
          <w:marBottom w:val="0"/>
          <w:divBdr>
            <w:top w:val="none" w:sz="0" w:space="0" w:color="auto"/>
            <w:left w:val="none" w:sz="0" w:space="0" w:color="auto"/>
            <w:bottom w:val="none" w:sz="0" w:space="0" w:color="auto"/>
            <w:right w:val="none" w:sz="0" w:space="0" w:color="auto"/>
          </w:divBdr>
          <w:divsChild>
            <w:div w:id="843058402">
              <w:marLeft w:val="0"/>
              <w:marRight w:val="0"/>
              <w:marTop w:val="0"/>
              <w:marBottom w:val="0"/>
              <w:divBdr>
                <w:top w:val="none" w:sz="0" w:space="0" w:color="auto"/>
                <w:left w:val="none" w:sz="0" w:space="0" w:color="auto"/>
                <w:bottom w:val="none" w:sz="0" w:space="0" w:color="auto"/>
                <w:right w:val="none" w:sz="0" w:space="0" w:color="auto"/>
              </w:divBdr>
              <w:divsChild>
                <w:div w:id="2000645122">
                  <w:marLeft w:val="0"/>
                  <w:marRight w:val="0"/>
                  <w:marTop w:val="0"/>
                  <w:marBottom w:val="0"/>
                  <w:divBdr>
                    <w:top w:val="none" w:sz="0" w:space="0" w:color="auto"/>
                    <w:left w:val="none" w:sz="0" w:space="0" w:color="auto"/>
                    <w:bottom w:val="none" w:sz="0" w:space="0" w:color="auto"/>
                    <w:right w:val="none" w:sz="0" w:space="0" w:color="auto"/>
                  </w:divBdr>
                  <w:divsChild>
                    <w:div w:id="1202127885">
                      <w:marLeft w:val="0"/>
                      <w:marRight w:val="0"/>
                      <w:marTop w:val="0"/>
                      <w:marBottom w:val="0"/>
                      <w:divBdr>
                        <w:top w:val="none" w:sz="0" w:space="0" w:color="auto"/>
                        <w:left w:val="none" w:sz="0" w:space="0" w:color="auto"/>
                        <w:bottom w:val="none" w:sz="0" w:space="0" w:color="auto"/>
                        <w:right w:val="none" w:sz="0" w:space="0" w:color="auto"/>
                      </w:divBdr>
                      <w:divsChild>
                        <w:div w:id="572740142">
                          <w:marLeft w:val="0"/>
                          <w:marRight w:val="0"/>
                          <w:marTop w:val="0"/>
                          <w:marBottom w:val="0"/>
                          <w:divBdr>
                            <w:top w:val="none" w:sz="0" w:space="0" w:color="auto"/>
                            <w:left w:val="none" w:sz="0" w:space="0" w:color="auto"/>
                            <w:bottom w:val="none" w:sz="0" w:space="0" w:color="auto"/>
                            <w:right w:val="none" w:sz="0" w:space="0" w:color="auto"/>
                          </w:divBdr>
                          <w:divsChild>
                            <w:div w:id="11917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106368">
      <w:bodyDiv w:val="1"/>
      <w:marLeft w:val="0"/>
      <w:marRight w:val="0"/>
      <w:marTop w:val="0"/>
      <w:marBottom w:val="0"/>
      <w:divBdr>
        <w:top w:val="none" w:sz="0" w:space="0" w:color="auto"/>
        <w:left w:val="none" w:sz="0" w:space="0" w:color="auto"/>
        <w:bottom w:val="none" w:sz="0" w:space="0" w:color="auto"/>
        <w:right w:val="none" w:sz="0" w:space="0" w:color="auto"/>
      </w:divBdr>
    </w:div>
    <w:div w:id="642737703">
      <w:bodyDiv w:val="1"/>
      <w:marLeft w:val="0"/>
      <w:marRight w:val="0"/>
      <w:marTop w:val="0"/>
      <w:marBottom w:val="0"/>
      <w:divBdr>
        <w:top w:val="none" w:sz="0" w:space="0" w:color="auto"/>
        <w:left w:val="none" w:sz="0" w:space="0" w:color="auto"/>
        <w:bottom w:val="none" w:sz="0" w:space="0" w:color="auto"/>
        <w:right w:val="none" w:sz="0" w:space="0" w:color="auto"/>
      </w:divBdr>
      <w:divsChild>
        <w:div w:id="1763182080">
          <w:marLeft w:val="0"/>
          <w:marRight w:val="0"/>
          <w:marTop w:val="0"/>
          <w:marBottom w:val="0"/>
          <w:divBdr>
            <w:top w:val="none" w:sz="0" w:space="0" w:color="auto"/>
            <w:left w:val="none" w:sz="0" w:space="0" w:color="auto"/>
            <w:bottom w:val="none" w:sz="0" w:space="0" w:color="auto"/>
            <w:right w:val="none" w:sz="0" w:space="0" w:color="auto"/>
          </w:divBdr>
          <w:divsChild>
            <w:div w:id="1209148284">
              <w:marLeft w:val="0"/>
              <w:marRight w:val="0"/>
              <w:marTop w:val="0"/>
              <w:marBottom w:val="0"/>
              <w:divBdr>
                <w:top w:val="none" w:sz="0" w:space="0" w:color="auto"/>
                <w:left w:val="none" w:sz="0" w:space="0" w:color="auto"/>
                <w:bottom w:val="none" w:sz="0" w:space="0" w:color="auto"/>
                <w:right w:val="none" w:sz="0" w:space="0" w:color="auto"/>
              </w:divBdr>
              <w:divsChild>
                <w:div w:id="958415458">
                  <w:marLeft w:val="0"/>
                  <w:marRight w:val="0"/>
                  <w:marTop w:val="0"/>
                  <w:marBottom w:val="0"/>
                  <w:divBdr>
                    <w:top w:val="none" w:sz="0" w:space="0" w:color="auto"/>
                    <w:left w:val="none" w:sz="0" w:space="0" w:color="auto"/>
                    <w:bottom w:val="none" w:sz="0" w:space="0" w:color="auto"/>
                    <w:right w:val="none" w:sz="0" w:space="0" w:color="auto"/>
                  </w:divBdr>
                  <w:divsChild>
                    <w:div w:id="2073113742">
                      <w:marLeft w:val="0"/>
                      <w:marRight w:val="0"/>
                      <w:marTop w:val="0"/>
                      <w:marBottom w:val="0"/>
                      <w:divBdr>
                        <w:top w:val="none" w:sz="0" w:space="0" w:color="auto"/>
                        <w:left w:val="none" w:sz="0" w:space="0" w:color="auto"/>
                        <w:bottom w:val="none" w:sz="0" w:space="0" w:color="auto"/>
                        <w:right w:val="none" w:sz="0" w:space="0" w:color="auto"/>
                      </w:divBdr>
                      <w:divsChild>
                        <w:div w:id="922641448">
                          <w:marLeft w:val="0"/>
                          <w:marRight w:val="0"/>
                          <w:marTop w:val="0"/>
                          <w:marBottom w:val="0"/>
                          <w:divBdr>
                            <w:top w:val="none" w:sz="0" w:space="0" w:color="auto"/>
                            <w:left w:val="none" w:sz="0" w:space="0" w:color="auto"/>
                            <w:bottom w:val="none" w:sz="0" w:space="0" w:color="auto"/>
                            <w:right w:val="none" w:sz="0" w:space="0" w:color="auto"/>
                          </w:divBdr>
                          <w:divsChild>
                            <w:div w:id="45475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087965">
      <w:bodyDiv w:val="1"/>
      <w:marLeft w:val="0"/>
      <w:marRight w:val="0"/>
      <w:marTop w:val="0"/>
      <w:marBottom w:val="0"/>
      <w:divBdr>
        <w:top w:val="none" w:sz="0" w:space="0" w:color="auto"/>
        <w:left w:val="none" w:sz="0" w:space="0" w:color="auto"/>
        <w:bottom w:val="none" w:sz="0" w:space="0" w:color="auto"/>
        <w:right w:val="none" w:sz="0" w:space="0" w:color="auto"/>
      </w:divBdr>
    </w:div>
    <w:div w:id="1499884283">
      <w:bodyDiv w:val="1"/>
      <w:marLeft w:val="0"/>
      <w:marRight w:val="0"/>
      <w:marTop w:val="0"/>
      <w:marBottom w:val="0"/>
      <w:divBdr>
        <w:top w:val="none" w:sz="0" w:space="0" w:color="auto"/>
        <w:left w:val="none" w:sz="0" w:space="0" w:color="auto"/>
        <w:bottom w:val="none" w:sz="0" w:space="0" w:color="auto"/>
        <w:right w:val="none" w:sz="0" w:space="0" w:color="auto"/>
      </w:divBdr>
      <w:divsChild>
        <w:div w:id="2034258141">
          <w:marLeft w:val="0"/>
          <w:marRight w:val="0"/>
          <w:marTop w:val="0"/>
          <w:marBottom w:val="0"/>
          <w:divBdr>
            <w:top w:val="none" w:sz="0" w:space="0" w:color="auto"/>
            <w:left w:val="none" w:sz="0" w:space="0" w:color="auto"/>
            <w:bottom w:val="none" w:sz="0" w:space="0" w:color="auto"/>
            <w:right w:val="none" w:sz="0" w:space="0" w:color="auto"/>
          </w:divBdr>
          <w:divsChild>
            <w:div w:id="1052733734">
              <w:marLeft w:val="0"/>
              <w:marRight w:val="0"/>
              <w:marTop w:val="0"/>
              <w:marBottom w:val="0"/>
              <w:divBdr>
                <w:top w:val="none" w:sz="0" w:space="0" w:color="auto"/>
                <w:left w:val="none" w:sz="0" w:space="0" w:color="auto"/>
                <w:bottom w:val="none" w:sz="0" w:space="0" w:color="auto"/>
                <w:right w:val="none" w:sz="0" w:space="0" w:color="auto"/>
              </w:divBdr>
              <w:divsChild>
                <w:div w:id="188416262">
                  <w:marLeft w:val="0"/>
                  <w:marRight w:val="0"/>
                  <w:marTop w:val="0"/>
                  <w:marBottom w:val="0"/>
                  <w:divBdr>
                    <w:top w:val="none" w:sz="0" w:space="0" w:color="auto"/>
                    <w:left w:val="none" w:sz="0" w:space="0" w:color="auto"/>
                    <w:bottom w:val="none" w:sz="0" w:space="0" w:color="auto"/>
                    <w:right w:val="none" w:sz="0" w:space="0" w:color="auto"/>
                  </w:divBdr>
                  <w:divsChild>
                    <w:div w:id="603534016">
                      <w:marLeft w:val="0"/>
                      <w:marRight w:val="0"/>
                      <w:marTop w:val="0"/>
                      <w:marBottom w:val="0"/>
                      <w:divBdr>
                        <w:top w:val="none" w:sz="0" w:space="0" w:color="auto"/>
                        <w:left w:val="none" w:sz="0" w:space="0" w:color="auto"/>
                        <w:bottom w:val="none" w:sz="0" w:space="0" w:color="auto"/>
                        <w:right w:val="none" w:sz="0" w:space="0" w:color="auto"/>
                      </w:divBdr>
                      <w:divsChild>
                        <w:div w:id="901871348">
                          <w:marLeft w:val="0"/>
                          <w:marRight w:val="0"/>
                          <w:marTop w:val="0"/>
                          <w:marBottom w:val="0"/>
                          <w:divBdr>
                            <w:top w:val="none" w:sz="0" w:space="0" w:color="auto"/>
                            <w:left w:val="none" w:sz="0" w:space="0" w:color="auto"/>
                            <w:bottom w:val="none" w:sz="0" w:space="0" w:color="auto"/>
                            <w:right w:val="none" w:sz="0" w:space="0" w:color="auto"/>
                          </w:divBdr>
                          <w:divsChild>
                            <w:div w:id="267780871">
                              <w:marLeft w:val="0"/>
                              <w:marRight w:val="0"/>
                              <w:marTop w:val="0"/>
                              <w:marBottom w:val="0"/>
                              <w:divBdr>
                                <w:top w:val="none" w:sz="0" w:space="0" w:color="auto"/>
                                <w:left w:val="none" w:sz="0" w:space="0" w:color="auto"/>
                                <w:bottom w:val="none" w:sz="0" w:space="0" w:color="auto"/>
                                <w:right w:val="none" w:sz="0" w:space="0" w:color="auto"/>
                              </w:divBdr>
                              <w:divsChild>
                                <w:div w:id="1827744438">
                                  <w:marLeft w:val="0"/>
                                  <w:marRight w:val="0"/>
                                  <w:marTop w:val="0"/>
                                  <w:marBottom w:val="0"/>
                                  <w:divBdr>
                                    <w:top w:val="none" w:sz="0" w:space="0" w:color="auto"/>
                                    <w:left w:val="none" w:sz="0" w:space="0" w:color="auto"/>
                                    <w:bottom w:val="none" w:sz="0" w:space="0" w:color="auto"/>
                                    <w:right w:val="none" w:sz="0" w:space="0" w:color="auto"/>
                                  </w:divBdr>
                                  <w:divsChild>
                                    <w:div w:id="20536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02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17" TargetMode="External"/><Relationship Id="rId3" Type="http://schemas.openxmlformats.org/officeDocument/2006/relationships/settings" Target="settings.xml"/><Relationship Id="rId7" Type="http://schemas.openxmlformats.org/officeDocument/2006/relationships/hyperlink" Target="https://www.diabetes.org.uk/about-us/about-the-charity/our-strategy/statist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ngland.nhs.uk/long-term-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4E0EBE-A9B9-48B6-8CE1-7F11D4520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2131</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2026-07-20T21:55:00Z</dcterms:created>
  <dcterms:modified xsi:type="dcterms:W3CDTF">2026-07-20T21:55:00Z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0edf36d1-5a4a-40d8-a8a3-c87582520bdb</vt:lpwstr>
  </property>
</Properties>
</file>