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10F0DF9" w14:paraId="5F24D29E" wp14:textId="69129F75">
      <w:pPr>
        <w:jc w:val="center"/>
        <w:rPr>
          <w:sz w:val="72"/>
          <w:szCs w:val="72"/>
        </w:rPr>
      </w:pPr>
    </w:p>
    <w:p xmlns:wp14="http://schemas.microsoft.com/office/word/2010/wordml" w:rsidP="410F0DF9" w14:paraId="684D693C" wp14:textId="0C3DBB1E">
      <w:pPr>
        <w:jc w:val="center"/>
        <w:rPr>
          <w:sz w:val="72"/>
          <w:szCs w:val="72"/>
        </w:rPr>
      </w:pPr>
    </w:p>
    <w:p xmlns:wp14="http://schemas.microsoft.com/office/word/2010/wordml" w:rsidP="410F0DF9" w14:paraId="2C078E63" wp14:textId="69B1CBFA">
      <w:pPr>
        <w:pStyle w:val="Normal"/>
        <w:jc w:val="center"/>
        <w:rPr>
          <w:sz w:val="72"/>
          <w:szCs w:val="72"/>
        </w:rPr>
      </w:pPr>
      <w:r w:rsidRPr="410F0DF9" w:rsidR="3BFB04DC">
        <w:rPr>
          <w:sz w:val="72"/>
          <w:szCs w:val="72"/>
        </w:rPr>
        <w:t>Destination Management</w:t>
      </w:r>
    </w:p>
    <w:p w:rsidR="3BFB04DC" w:rsidP="410F0DF9" w:rsidRDefault="3BFB04DC" w14:paraId="3A6EAC42" w14:textId="011BC1A2">
      <w:pPr>
        <w:pStyle w:val="Normal"/>
        <w:jc w:val="center"/>
        <w:rPr>
          <w:sz w:val="72"/>
          <w:szCs w:val="72"/>
        </w:rPr>
      </w:pPr>
      <w:r w:rsidRPr="410F0DF9" w:rsidR="3BFB04DC">
        <w:rPr>
          <w:sz w:val="72"/>
          <w:szCs w:val="72"/>
        </w:rPr>
        <w:t>Cardiff</w:t>
      </w:r>
    </w:p>
    <w:p w:rsidR="410F0DF9" w:rsidP="410F0DF9" w:rsidRDefault="410F0DF9" w14:paraId="270D66A3" w14:textId="2073B94E">
      <w:pPr>
        <w:pStyle w:val="Normal"/>
        <w:jc w:val="center"/>
        <w:rPr>
          <w:sz w:val="72"/>
          <w:szCs w:val="72"/>
        </w:rPr>
      </w:pPr>
    </w:p>
    <w:p w:rsidR="410F0DF9" w:rsidP="410F0DF9" w:rsidRDefault="410F0DF9" w14:paraId="3150B038" w14:textId="0F1CA6D2">
      <w:pPr>
        <w:pStyle w:val="Normal"/>
        <w:jc w:val="center"/>
        <w:rPr>
          <w:sz w:val="72"/>
          <w:szCs w:val="72"/>
        </w:rPr>
      </w:pPr>
    </w:p>
    <w:p w:rsidR="410F0DF9" w:rsidP="410F0DF9" w:rsidRDefault="410F0DF9" w14:paraId="31956D6F" w14:textId="0A6FF917">
      <w:pPr>
        <w:pStyle w:val="Normal"/>
        <w:jc w:val="center"/>
        <w:rPr>
          <w:sz w:val="72"/>
          <w:szCs w:val="72"/>
        </w:rPr>
      </w:pPr>
    </w:p>
    <w:p w:rsidR="3BFB04DC" w:rsidP="410F0DF9" w:rsidRDefault="3BFB04DC" w14:paraId="6C92DAB8" w14:textId="737BA31A">
      <w:pPr>
        <w:pStyle w:val="Normal"/>
        <w:jc w:val="left"/>
        <w:rPr>
          <w:sz w:val="40"/>
          <w:szCs w:val="40"/>
        </w:rPr>
      </w:pPr>
      <w:r w:rsidRPr="410F0DF9" w:rsidR="3BFB04DC">
        <w:rPr>
          <w:sz w:val="36"/>
          <w:szCs w:val="36"/>
        </w:rPr>
        <w:t xml:space="preserve">Student: Cornel </w:t>
      </w:r>
      <w:r w:rsidRPr="410F0DF9" w:rsidR="3BFB04DC">
        <w:rPr>
          <w:sz w:val="36"/>
          <w:szCs w:val="36"/>
        </w:rPr>
        <w:t>Iurea</w:t>
      </w:r>
      <w:r w:rsidRPr="410F0DF9" w:rsidR="3BFB04DC">
        <w:rPr>
          <w:sz w:val="36"/>
          <w:szCs w:val="36"/>
        </w:rPr>
        <w:t xml:space="preserve"> (1817181)</w:t>
      </w:r>
    </w:p>
    <w:p w:rsidR="3BFB04DC" w:rsidP="410F0DF9" w:rsidRDefault="3BFB04DC" w14:paraId="391CC679" w14:textId="117A7809">
      <w:pPr>
        <w:pStyle w:val="Normal"/>
        <w:jc w:val="left"/>
        <w:rPr>
          <w:sz w:val="40"/>
          <w:szCs w:val="40"/>
        </w:rPr>
      </w:pPr>
      <w:r w:rsidRPr="410F0DF9" w:rsidR="3BFB04DC">
        <w:rPr>
          <w:sz w:val="36"/>
          <w:szCs w:val="36"/>
        </w:rPr>
        <w:t>Module: Sustainable Hospitality and Tourism Management (BMIH5006)</w:t>
      </w:r>
    </w:p>
    <w:p w:rsidR="3BFB04DC" w:rsidP="410F0DF9" w:rsidRDefault="3BFB04DC" w14:paraId="37990BF8" w14:textId="01353079">
      <w:pPr>
        <w:pStyle w:val="Normal"/>
        <w:jc w:val="left"/>
        <w:rPr>
          <w:sz w:val="40"/>
          <w:szCs w:val="40"/>
        </w:rPr>
      </w:pPr>
      <w:r w:rsidRPr="410F0DF9" w:rsidR="3BFB04DC">
        <w:rPr>
          <w:sz w:val="36"/>
          <w:szCs w:val="36"/>
        </w:rPr>
        <w:t>Lecturer: Ruth Taylor-Davies</w:t>
      </w:r>
    </w:p>
    <w:p w:rsidR="410F0DF9" w:rsidP="410F0DF9" w:rsidRDefault="410F0DF9" w14:paraId="1FB59243" w14:textId="541E4A6E">
      <w:pPr>
        <w:pStyle w:val="Normal"/>
        <w:jc w:val="left"/>
        <w:rPr>
          <w:sz w:val="36"/>
          <w:szCs w:val="36"/>
        </w:rPr>
      </w:pPr>
    </w:p>
    <w:p w:rsidR="410F0DF9" w:rsidP="410F0DF9" w:rsidRDefault="410F0DF9" w14:paraId="60F84913" w14:textId="71F6D6F9">
      <w:pPr>
        <w:pStyle w:val="Normal"/>
        <w:jc w:val="left"/>
        <w:rPr>
          <w:sz w:val="36"/>
          <w:szCs w:val="36"/>
        </w:rPr>
      </w:pPr>
    </w:p>
    <w:p w:rsidR="410F0DF9" w:rsidP="410F0DF9" w:rsidRDefault="410F0DF9" w14:paraId="5C7C09A4" w14:textId="589D0AFE">
      <w:pPr>
        <w:pStyle w:val="Normal"/>
      </w:pPr>
    </w:p>
    <w:sdt>
      <w:sdtPr>
        <w:id w:val="1503320937"/>
        <w:docPartObj>
          <w:docPartGallery w:val="Table of Contents"/>
          <w:docPartUnique/>
        </w:docPartObj>
      </w:sdtPr>
      <w:sdtContent>
        <w:p w:rsidR="410F0DF9" w:rsidP="410F0DF9" w:rsidRDefault="410F0DF9" w14:paraId="1528D7E6" w14:textId="220EFF74">
          <w:pPr>
            <w:pStyle w:val="TOC1"/>
            <w:tabs>
              <w:tab w:val="right" w:leader="dot" w:pos="9360"/>
            </w:tabs>
            <w:bidi w:val="0"/>
          </w:pPr>
        </w:p>
        <w:p w:rsidR="7E4211BA" w:rsidP="410F0DF9" w:rsidRDefault="7E4211BA" w14:paraId="1F76A046" w14:textId="174E9BFB">
          <w:pPr>
            <w:pStyle w:val="Normal"/>
            <w:tabs>
              <w:tab w:val="right" w:leader="dot" w:pos="9360"/>
            </w:tabs>
            <w:rPr>
              <w:sz w:val="32"/>
              <w:szCs w:val="32"/>
            </w:rPr>
          </w:pPr>
          <w:r w:rsidRPr="410F0DF9" w:rsidR="7E4211BA">
            <w:rPr>
              <w:sz w:val="32"/>
              <w:szCs w:val="32"/>
            </w:rPr>
            <w:t>Table of Contents</w:t>
          </w:r>
        </w:p>
        <w:p w:rsidR="410F0DF9" w:rsidP="410F0DF9" w:rsidRDefault="410F0DF9" w14:paraId="53495CA6" w14:textId="0F2DBDB8">
          <w:pPr>
            <w:pStyle w:val="TOC1"/>
            <w:tabs>
              <w:tab w:val="right" w:leader="dot" w:pos="9360"/>
            </w:tabs>
            <w:bidi w:val="0"/>
          </w:pPr>
        </w:p>
        <w:p w:rsidR="410F0DF9" w:rsidP="410F0DF9" w:rsidRDefault="410F0DF9" w14:paraId="7A37BA41" w14:textId="2C3A549D">
          <w:pPr>
            <w:pStyle w:val="TOC1"/>
            <w:tabs>
              <w:tab w:val="right" w:leader="dot" w:pos="9360"/>
            </w:tabs>
            <w:bidi w:val="0"/>
          </w:pPr>
        </w:p>
        <w:p w:rsidR="410F0DF9" w:rsidP="410F0DF9" w:rsidRDefault="410F0DF9" w14:paraId="719B9769" w14:textId="39DB98EC">
          <w:pPr>
            <w:pStyle w:val="TOC1"/>
            <w:tabs>
              <w:tab w:val="right" w:leader="dot" w:pos="9360"/>
            </w:tabs>
            <w:bidi w:val="0"/>
          </w:pPr>
        </w:p>
        <w:p w:rsidR="410F0DF9" w:rsidP="410F0DF9" w:rsidRDefault="410F0DF9" w14:paraId="17E6FEE9" w14:textId="57682B89">
          <w:pPr>
            <w:pStyle w:val="TOC1"/>
            <w:tabs>
              <w:tab w:val="right" w:leader="dot" w:pos="9360"/>
            </w:tabs>
            <w:bidi w:val="0"/>
            <w:rPr>
              <w:rStyle w:val="Hyperlink"/>
            </w:rPr>
          </w:pPr>
          <w:r>
            <w:fldChar w:fldCharType="begin"/>
          </w:r>
          <w:r>
            <w:instrText xml:space="preserve">TOC \o \z \u \h</w:instrText>
          </w:r>
          <w:r>
            <w:fldChar w:fldCharType="separate"/>
          </w:r>
          <w:hyperlink w:anchor="_Toc220858891">
            <w:r w:rsidRPr="410F0DF9" w:rsidR="410F0DF9">
              <w:rPr>
                <w:rStyle w:val="Hyperlink"/>
              </w:rPr>
              <w:t>Introduction</w:t>
            </w:r>
            <w:r>
              <w:tab/>
            </w:r>
            <w:r>
              <w:fldChar w:fldCharType="begin"/>
            </w:r>
            <w:r>
              <w:instrText xml:space="preserve">PAGEREF _Toc220858891 \h</w:instrText>
            </w:r>
            <w:r>
              <w:fldChar w:fldCharType="separate"/>
            </w:r>
            <w:r w:rsidRPr="410F0DF9" w:rsidR="410F0DF9">
              <w:rPr>
                <w:rStyle w:val="Hyperlink"/>
              </w:rPr>
              <w:t>2</w:t>
            </w:r>
            <w:r>
              <w:fldChar w:fldCharType="end"/>
            </w:r>
          </w:hyperlink>
        </w:p>
        <w:p w:rsidR="410F0DF9" w:rsidP="410F0DF9" w:rsidRDefault="410F0DF9" w14:paraId="5A187F79" w14:textId="7E71B983">
          <w:pPr>
            <w:pStyle w:val="TOC1"/>
            <w:tabs>
              <w:tab w:val="right" w:leader="dot" w:pos="9360"/>
            </w:tabs>
            <w:bidi w:val="0"/>
            <w:rPr>
              <w:rStyle w:val="Hyperlink"/>
            </w:rPr>
          </w:pPr>
          <w:hyperlink w:anchor="_Toc556709201">
            <w:r w:rsidRPr="410F0DF9" w:rsidR="410F0DF9">
              <w:rPr>
                <w:rStyle w:val="Hyperlink"/>
              </w:rPr>
              <w:t>Sustainability and development</w:t>
            </w:r>
            <w:r>
              <w:tab/>
            </w:r>
            <w:r>
              <w:fldChar w:fldCharType="begin"/>
            </w:r>
            <w:r>
              <w:instrText xml:space="preserve">PAGEREF _Toc556709201 \h</w:instrText>
            </w:r>
            <w:r>
              <w:fldChar w:fldCharType="separate"/>
            </w:r>
            <w:r w:rsidRPr="410F0DF9" w:rsidR="410F0DF9">
              <w:rPr>
                <w:rStyle w:val="Hyperlink"/>
              </w:rPr>
              <w:t>3</w:t>
            </w:r>
            <w:r>
              <w:fldChar w:fldCharType="end"/>
            </w:r>
          </w:hyperlink>
        </w:p>
        <w:p w:rsidR="410F0DF9" w:rsidP="410F0DF9" w:rsidRDefault="410F0DF9" w14:paraId="70BA7310" w14:textId="771B036D">
          <w:pPr>
            <w:pStyle w:val="TOC1"/>
            <w:tabs>
              <w:tab w:val="right" w:leader="dot" w:pos="9360"/>
            </w:tabs>
            <w:bidi w:val="0"/>
            <w:rPr>
              <w:rStyle w:val="Hyperlink"/>
            </w:rPr>
          </w:pPr>
          <w:hyperlink w:anchor="_Toc825979721">
            <w:r w:rsidRPr="410F0DF9" w:rsidR="410F0DF9">
              <w:rPr>
                <w:rStyle w:val="Hyperlink"/>
              </w:rPr>
              <w:t>Travel</w:t>
            </w:r>
            <w:r>
              <w:tab/>
            </w:r>
            <w:r>
              <w:fldChar w:fldCharType="begin"/>
            </w:r>
            <w:r>
              <w:instrText xml:space="preserve">PAGEREF _Toc825979721 \h</w:instrText>
            </w:r>
            <w:r>
              <w:fldChar w:fldCharType="separate"/>
            </w:r>
            <w:r w:rsidRPr="410F0DF9" w:rsidR="410F0DF9">
              <w:rPr>
                <w:rStyle w:val="Hyperlink"/>
              </w:rPr>
              <w:t>5</w:t>
            </w:r>
            <w:r>
              <w:fldChar w:fldCharType="end"/>
            </w:r>
          </w:hyperlink>
        </w:p>
        <w:p w:rsidR="410F0DF9" w:rsidP="410F0DF9" w:rsidRDefault="410F0DF9" w14:paraId="0827D312" w14:textId="7D7C6881">
          <w:pPr>
            <w:pStyle w:val="TOC1"/>
            <w:tabs>
              <w:tab w:val="right" w:leader="dot" w:pos="9360"/>
            </w:tabs>
            <w:bidi w:val="0"/>
            <w:rPr>
              <w:rStyle w:val="Hyperlink"/>
            </w:rPr>
          </w:pPr>
          <w:hyperlink w:anchor="_Toc625295580">
            <w:r w:rsidRPr="410F0DF9" w:rsidR="410F0DF9">
              <w:rPr>
                <w:rStyle w:val="Hyperlink"/>
              </w:rPr>
              <w:t>Current stage of Cardiff LDP</w:t>
            </w:r>
            <w:r>
              <w:tab/>
            </w:r>
            <w:r>
              <w:fldChar w:fldCharType="begin"/>
            </w:r>
            <w:r>
              <w:instrText xml:space="preserve">PAGEREF _Toc625295580 \h</w:instrText>
            </w:r>
            <w:r>
              <w:fldChar w:fldCharType="separate"/>
            </w:r>
            <w:r w:rsidRPr="410F0DF9" w:rsidR="410F0DF9">
              <w:rPr>
                <w:rStyle w:val="Hyperlink"/>
              </w:rPr>
              <w:t>6</w:t>
            </w:r>
            <w:r>
              <w:fldChar w:fldCharType="end"/>
            </w:r>
          </w:hyperlink>
        </w:p>
        <w:p w:rsidR="410F0DF9" w:rsidP="410F0DF9" w:rsidRDefault="410F0DF9" w14:paraId="35EF947A" w14:textId="2F6421D5">
          <w:pPr>
            <w:pStyle w:val="TOC1"/>
            <w:tabs>
              <w:tab w:val="right" w:leader="dot" w:pos="9360"/>
            </w:tabs>
            <w:bidi w:val="0"/>
            <w:rPr>
              <w:rStyle w:val="Hyperlink"/>
            </w:rPr>
          </w:pPr>
          <w:hyperlink w:anchor="_Toc80406571">
            <w:r w:rsidRPr="410F0DF9" w:rsidR="410F0DF9">
              <w:rPr>
                <w:rStyle w:val="Hyperlink"/>
              </w:rPr>
              <w:t>Cardiff residents’ attitude towards tourism</w:t>
            </w:r>
            <w:r>
              <w:tab/>
            </w:r>
            <w:r>
              <w:fldChar w:fldCharType="begin"/>
            </w:r>
            <w:r>
              <w:instrText xml:space="preserve">PAGEREF _Toc80406571 \h</w:instrText>
            </w:r>
            <w:r>
              <w:fldChar w:fldCharType="separate"/>
            </w:r>
            <w:r w:rsidRPr="410F0DF9" w:rsidR="410F0DF9">
              <w:rPr>
                <w:rStyle w:val="Hyperlink"/>
              </w:rPr>
              <w:t>7</w:t>
            </w:r>
            <w:r>
              <w:fldChar w:fldCharType="end"/>
            </w:r>
          </w:hyperlink>
        </w:p>
        <w:p w:rsidR="410F0DF9" w:rsidP="410F0DF9" w:rsidRDefault="410F0DF9" w14:paraId="1BED534F" w14:textId="6411C8C9">
          <w:pPr>
            <w:pStyle w:val="TOC1"/>
            <w:tabs>
              <w:tab w:val="right" w:leader="dot" w:pos="9360"/>
            </w:tabs>
            <w:bidi w:val="0"/>
            <w:rPr>
              <w:rStyle w:val="Hyperlink"/>
            </w:rPr>
          </w:pPr>
          <w:hyperlink w:anchor="_Toc770652601">
            <w:r w:rsidRPr="410F0DF9" w:rsidR="410F0DF9">
              <w:rPr>
                <w:rStyle w:val="Hyperlink"/>
              </w:rPr>
              <w:t>Recommendations</w:t>
            </w:r>
            <w:r>
              <w:tab/>
            </w:r>
            <w:r>
              <w:fldChar w:fldCharType="begin"/>
            </w:r>
            <w:r>
              <w:instrText xml:space="preserve">PAGEREF _Toc770652601 \h</w:instrText>
            </w:r>
            <w:r>
              <w:fldChar w:fldCharType="separate"/>
            </w:r>
            <w:r w:rsidRPr="410F0DF9" w:rsidR="410F0DF9">
              <w:rPr>
                <w:rStyle w:val="Hyperlink"/>
              </w:rPr>
              <w:t>8</w:t>
            </w:r>
            <w:r>
              <w:fldChar w:fldCharType="end"/>
            </w:r>
          </w:hyperlink>
        </w:p>
        <w:p w:rsidR="410F0DF9" w:rsidP="410F0DF9" w:rsidRDefault="410F0DF9" w14:paraId="23A969EE" w14:textId="3BFA6B81">
          <w:pPr>
            <w:pStyle w:val="TOC1"/>
            <w:tabs>
              <w:tab w:val="right" w:leader="dot" w:pos="9360"/>
            </w:tabs>
            <w:bidi w:val="0"/>
            <w:rPr>
              <w:rStyle w:val="Hyperlink"/>
            </w:rPr>
          </w:pPr>
          <w:hyperlink w:anchor="_Toc1600696788">
            <w:r w:rsidRPr="410F0DF9" w:rsidR="410F0DF9">
              <w:rPr>
                <w:rStyle w:val="Hyperlink"/>
              </w:rPr>
              <w:t>Conclusions</w:t>
            </w:r>
            <w:r>
              <w:tab/>
            </w:r>
            <w:r>
              <w:fldChar w:fldCharType="begin"/>
            </w:r>
            <w:r>
              <w:instrText xml:space="preserve">PAGEREF _Toc1600696788 \h</w:instrText>
            </w:r>
            <w:r>
              <w:fldChar w:fldCharType="separate"/>
            </w:r>
            <w:r w:rsidRPr="410F0DF9" w:rsidR="410F0DF9">
              <w:rPr>
                <w:rStyle w:val="Hyperlink"/>
              </w:rPr>
              <w:t>8</w:t>
            </w:r>
            <w:r>
              <w:fldChar w:fldCharType="end"/>
            </w:r>
          </w:hyperlink>
        </w:p>
        <w:p w:rsidR="410F0DF9" w:rsidP="410F0DF9" w:rsidRDefault="410F0DF9" w14:paraId="31379660" w14:textId="03DF5E3A">
          <w:pPr>
            <w:pStyle w:val="TOC1"/>
            <w:tabs>
              <w:tab w:val="right" w:leader="dot" w:pos="9360"/>
            </w:tabs>
            <w:bidi w:val="0"/>
            <w:rPr>
              <w:rStyle w:val="Hyperlink"/>
            </w:rPr>
          </w:pPr>
          <w:hyperlink w:anchor="_Toc2072306272">
            <w:r w:rsidRPr="410F0DF9" w:rsidR="410F0DF9">
              <w:rPr>
                <w:rStyle w:val="Hyperlink"/>
              </w:rPr>
              <w:t>Reference List</w:t>
            </w:r>
            <w:r>
              <w:tab/>
            </w:r>
            <w:r>
              <w:fldChar w:fldCharType="begin"/>
            </w:r>
            <w:r>
              <w:instrText xml:space="preserve">PAGEREF _Toc2072306272 \h</w:instrText>
            </w:r>
            <w:r>
              <w:fldChar w:fldCharType="separate"/>
            </w:r>
            <w:r w:rsidRPr="410F0DF9" w:rsidR="410F0DF9">
              <w:rPr>
                <w:rStyle w:val="Hyperlink"/>
              </w:rPr>
              <w:t>10</w:t>
            </w:r>
            <w:r>
              <w:fldChar w:fldCharType="end"/>
            </w:r>
          </w:hyperlink>
          <w:r>
            <w:fldChar w:fldCharType="end"/>
          </w:r>
        </w:p>
      </w:sdtContent>
    </w:sdt>
    <w:p w:rsidR="410F0DF9" w:rsidP="410F0DF9" w:rsidRDefault="410F0DF9" w14:paraId="68065B2F" w14:textId="59E4D1A2">
      <w:pPr>
        <w:pStyle w:val="Normal"/>
        <w:rPr>
          <w:sz w:val="32"/>
          <w:szCs w:val="32"/>
        </w:rPr>
      </w:pPr>
    </w:p>
    <w:p w:rsidR="410F0DF9" w:rsidP="410F0DF9" w:rsidRDefault="410F0DF9" w14:paraId="79F34F61" w14:textId="6CC84462">
      <w:pPr>
        <w:pStyle w:val="Normal"/>
        <w:rPr>
          <w:sz w:val="32"/>
          <w:szCs w:val="32"/>
        </w:rPr>
      </w:pPr>
    </w:p>
    <w:p w:rsidR="410F0DF9" w:rsidP="410F0DF9" w:rsidRDefault="410F0DF9" w14:paraId="6FFFBEB0" w14:textId="4F4316C2">
      <w:pPr>
        <w:pStyle w:val="Normal"/>
        <w:rPr>
          <w:sz w:val="32"/>
          <w:szCs w:val="32"/>
        </w:rPr>
      </w:pPr>
    </w:p>
    <w:p w:rsidR="410F0DF9" w:rsidRDefault="410F0DF9" w14:paraId="21AF711D" w14:textId="6F73EE1F">
      <w:r>
        <w:br w:type="page"/>
      </w:r>
    </w:p>
    <w:p w:rsidR="24E03C7E" w:rsidP="410F0DF9" w:rsidRDefault="24E03C7E" w14:paraId="1210C275" w14:textId="208C4C46">
      <w:pPr>
        <w:pStyle w:val="Heading1"/>
        <w:rPr>
          <w:rFonts w:ascii="Arial" w:hAnsi="Arial" w:eastAsia="Arial" w:cs="Arial"/>
          <w:b w:val="0"/>
          <w:bCs w:val="0"/>
          <w:i w:val="0"/>
          <w:iCs w:val="0"/>
          <w:caps w:val="0"/>
          <w:smallCaps w:val="0"/>
          <w:noProof w:val="0"/>
          <w:color w:val="000000" w:themeColor="text1" w:themeTint="FF" w:themeShade="FF"/>
          <w:sz w:val="28"/>
          <w:szCs w:val="28"/>
          <w:lang w:val="en-US"/>
        </w:rPr>
      </w:pPr>
      <w:bookmarkStart w:name="_Toc220858891" w:id="75061383"/>
      <w:r w:rsidRPr="410F0DF9" w:rsidR="24E03C7E">
        <w:rPr>
          <w:noProof w:val="0"/>
          <w:lang w:val="en-US"/>
        </w:rPr>
        <w:t>Introduction</w:t>
      </w:r>
      <w:bookmarkEnd w:id="75061383"/>
    </w:p>
    <w:p w:rsidR="410F0DF9" w:rsidP="410F0DF9" w:rsidRDefault="410F0DF9" w14:paraId="50C07FB2" w14:textId="20700AAD">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10F0DF9" w:rsidP="410F0DF9" w:rsidRDefault="410F0DF9" w14:paraId="53310214" w14:textId="54BA267E">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E03C7E" w:rsidP="410F0DF9" w:rsidRDefault="24E03C7E" w14:paraId="12E304DE" w14:textId="6B7C26E3">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This report aims to evaluate the extent of sustainability principles in the local development plan of the city of Cardiff (Cardiff LDP, 2021), in relationship with the general principles of development. Also, it will identify what practices and regulations are considered for the implementation of sustainability, including the travel aspects.</w:t>
      </w:r>
    </w:p>
    <w:p w:rsidR="24E03C7E" w:rsidP="410F0DF9" w:rsidRDefault="24E03C7E" w14:paraId="2345AC1A" w14:textId="74F63A0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The report will examine the current stage of implementing sustainability in Cardiff and what recommendations can enhance future sustainability objectives.</w:t>
      </w:r>
    </w:p>
    <w:p w:rsidR="24E03C7E" w:rsidP="410F0DF9" w:rsidRDefault="24E03C7E" w14:paraId="68904253" w14:textId="6A25325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Cardiff is the capital city of Wales, United Kingdom and the seat location for the Welsh Government. Since it is the centre of country’s cultural and commercial activities, it attracts around 22 millions of travellers and visitors per year (Visit Cardiff, 2022). Therefore, Cardiff is characterised as an urban tourism location, ranked as the second option for trips in Wales for the UK residents (GOV Wales, 2022). Considering the tremendous flow of travellers, some of the main concerns raised are increased carbon emissions, waste, high amounts of resources consumption and over-tourism (UNWTO, n.d.). Thus, the local authorities need to constantly review and design strategies and objectives to maintain Cardiff sustainable for long term.</w:t>
      </w:r>
    </w:p>
    <w:p w:rsidR="24E03C7E" w:rsidP="410F0DF9" w:rsidRDefault="24E03C7E" w14:paraId="5A620057" w14:textId="276D120E">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w:rsidR="24E03C7E" w:rsidP="410F0DF9" w:rsidRDefault="24E03C7E" w14:paraId="21884675" w14:textId="6DF638B9">
      <w:pPr>
        <w:pStyle w:val="Heading1"/>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556709201" w:id="877790754"/>
      <w:r w:rsidRPr="410F0DF9" w:rsidR="24E03C7E">
        <w:rPr>
          <w:noProof w:val="0"/>
          <w:lang w:val="en-US"/>
        </w:rPr>
        <w:t>Sustainability and development</w:t>
      </w:r>
      <w:bookmarkEnd w:id="877790754"/>
      <w:r w:rsidRPr="410F0DF9" w:rsidR="24E03C7E">
        <w:rPr>
          <w:noProof w:val="0"/>
          <w:lang w:val="en-US"/>
        </w:rPr>
        <w:t xml:space="preserve"> </w:t>
      </w:r>
    </w:p>
    <w:p w:rsidR="410F0DF9" w:rsidP="410F0DF9" w:rsidRDefault="410F0DF9" w14:paraId="293D1AF0" w14:textId="0C6C995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10F0DF9" w:rsidP="410F0DF9" w:rsidRDefault="410F0DF9" w14:paraId="595512CC" w14:textId="2886022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E03C7E" w:rsidP="410F0DF9" w:rsidRDefault="24E03C7E" w14:paraId="2E7BDE6B" w14:textId="44DC5732">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Chang, DiGiovanni, and Mei (2019) defined sustainability as the practice of fulfilling the current consumers</w:t>
      </w:r>
      <w:r w:rsidRPr="410F0DF9" w:rsidR="34FD5C3F">
        <w:rPr>
          <w:rFonts w:ascii="Arial" w:hAnsi="Arial" w:eastAsia="Arial" w:cs="Arial"/>
          <w:b w:val="0"/>
          <w:bCs w:val="0"/>
          <w:i w:val="0"/>
          <w:iCs w:val="0"/>
          <w:caps w:val="0"/>
          <w:smallCaps w:val="0"/>
          <w:noProof w:val="0"/>
          <w:color w:val="000000" w:themeColor="text1" w:themeTint="FF" w:themeShade="FF"/>
          <w:sz w:val="24"/>
          <w:szCs w:val="24"/>
          <w:lang w:val="en-US"/>
        </w:rPr>
        <w:t>’ demands</w:t>
      </w: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 xml:space="preserve"> without reducing the capacity of</w:t>
      </w:r>
      <w:r w:rsidRPr="410F0DF9" w:rsidR="60FD0F0B">
        <w:rPr>
          <w:rFonts w:ascii="Arial" w:hAnsi="Arial" w:eastAsia="Arial" w:cs="Arial"/>
          <w:b w:val="0"/>
          <w:bCs w:val="0"/>
          <w:i w:val="0"/>
          <w:iCs w:val="0"/>
          <w:caps w:val="0"/>
          <w:smallCaps w:val="0"/>
          <w:noProof w:val="0"/>
          <w:color w:val="000000" w:themeColor="text1" w:themeTint="FF" w:themeShade="FF"/>
          <w:sz w:val="24"/>
          <w:szCs w:val="24"/>
          <w:lang w:val="en-US"/>
        </w:rPr>
        <w:t xml:space="preserve"> next generatio</w:t>
      </w:r>
      <w:r w:rsidRPr="410F0DF9" w:rsidR="404F81A4">
        <w:rPr>
          <w:rFonts w:ascii="Arial" w:hAnsi="Arial" w:eastAsia="Arial" w:cs="Arial"/>
          <w:b w:val="0"/>
          <w:bCs w:val="0"/>
          <w:i w:val="0"/>
          <w:iCs w:val="0"/>
          <w:caps w:val="0"/>
          <w:smallCaps w:val="0"/>
          <w:noProof w:val="0"/>
          <w:color w:val="000000" w:themeColor="text1" w:themeTint="FF" w:themeShade="FF"/>
          <w:sz w:val="24"/>
          <w:szCs w:val="24"/>
          <w:lang w:val="en-US"/>
        </w:rPr>
        <w:t>ns</w:t>
      </w: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accomplish</w:t>
      </w: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 xml:space="preserve"> their necessities. It is underpinned by three pillars such as environmental</w:t>
      </w:r>
      <w:r w:rsidRPr="410F0DF9" w:rsidR="5DCABF7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10F0DF9" w:rsidR="5DCABF75">
        <w:rPr>
          <w:rFonts w:ascii="Arial" w:hAnsi="Arial" w:eastAsia="Arial" w:cs="Arial"/>
          <w:b w:val="0"/>
          <w:bCs w:val="0"/>
          <w:i w:val="0"/>
          <w:iCs w:val="0"/>
          <w:caps w:val="0"/>
          <w:smallCaps w:val="0"/>
          <w:noProof w:val="0"/>
          <w:color w:val="000000" w:themeColor="text1" w:themeTint="FF" w:themeShade="FF"/>
          <w:sz w:val="24"/>
          <w:szCs w:val="24"/>
          <w:lang w:val="en-US"/>
        </w:rPr>
        <w:t>social</w:t>
      </w:r>
      <w:r w:rsidRPr="410F0DF9" w:rsidR="5DCABF75">
        <w:rPr>
          <w:rFonts w:ascii="Arial" w:hAnsi="Arial" w:eastAsia="Arial" w:cs="Arial"/>
          <w:b w:val="0"/>
          <w:bCs w:val="0"/>
          <w:i w:val="0"/>
          <w:iCs w:val="0"/>
          <w:caps w:val="0"/>
          <w:smallCaps w:val="0"/>
          <w:noProof w:val="0"/>
          <w:color w:val="000000" w:themeColor="text1" w:themeTint="FF" w:themeShade="FF"/>
          <w:sz w:val="24"/>
          <w:szCs w:val="24"/>
          <w:lang w:val="en-US"/>
        </w:rPr>
        <w:t xml:space="preserve"> and economic</w:t>
      </w: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 xml:space="preserve"> (World Commission on Environment and Development, 1987). In the context of </w:t>
      </w: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travel</w:t>
      </w: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 xml:space="preserve"> industry, sustainable tourism refers to responsibly overseeing the </w:t>
      </w: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economic, social, and environmental impacts of t</w:t>
      </w:r>
      <w:r w:rsidRPr="410F0DF9" w:rsidR="5A23D588">
        <w:rPr>
          <w:rFonts w:ascii="Arial" w:hAnsi="Arial" w:eastAsia="Arial" w:cs="Arial"/>
          <w:b w:val="0"/>
          <w:bCs w:val="0"/>
          <w:i w:val="0"/>
          <w:iCs w:val="0"/>
          <w:caps w:val="0"/>
          <w:smallCaps w:val="0"/>
          <w:noProof w:val="0"/>
          <w:color w:val="000000" w:themeColor="text1" w:themeTint="FF" w:themeShade="FF"/>
          <w:sz w:val="24"/>
          <w:szCs w:val="24"/>
          <w:lang w:val="en-US"/>
        </w:rPr>
        <w:t>ourism</w:t>
      </w: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 xml:space="preserve"> while </w:t>
      </w:r>
      <w:r w:rsidRPr="410F0DF9" w:rsidR="2D2D4D7B">
        <w:rPr>
          <w:rFonts w:ascii="Arial" w:hAnsi="Arial" w:eastAsia="Arial" w:cs="Arial"/>
          <w:b w:val="0"/>
          <w:bCs w:val="0"/>
          <w:i w:val="0"/>
          <w:iCs w:val="0"/>
          <w:caps w:val="0"/>
          <w:smallCaps w:val="0"/>
          <w:noProof w:val="0"/>
          <w:color w:val="000000" w:themeColor="text1" w:themeTint="FF" w:themeShade="FF"/>
          <w:sz w:val="24"/>
          <w:szCs w:val="24"/>
          <w:lang w:val="en-US"/>
        </w:rPr>
        <w:t xml:space="preserve">tackling the demands of </w:t>
      </w:r>
      <w:r w:rsidRPr="410F0DF9" w:rsidR="2D2D4D7B">
        <w:rPr>
          <w:rFonts w:ascii="Arial" w:hAnsi="Arial" w:eastAsia="Arial" w:cs="Arial"/>
          <w:b w:val="0"/>
          <w:bCs w:val="0"/>
          <w:i w:val="0"/>
          <w:iCs w:val="0"/>
          <w:caps w:val="0"/>
          <w:smallCaps w:val="0"/>
          <w:noProof w:val="0"/>
          <w:color w:val="000000" w:themeColor="text1" w:themeTint="FF" w:themeShade="FF"/>
          <w:sz w:val="24"/>
          <w:szCs w:val="24"/>
          <w:lang w:val="en-US"/>
        </w:rPr>
        <w:t>travellers</w:t>
      </w: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 host communities,</w:t>
      </w:r>
      <w:r w:rsidRPr="410F0DF9" w:rsidR="51070987">
        <w:rPr>
          <w:rFonts w:ascii="Arial" w:hAnsi="Arial" w:eastAsia="Arial" w:cs="Arial"/>
          <w:b w:val="0"/>
          <w:bCs w:val="0"/>
          <w:i w:val="0"/>
          <w:iCs w:val="0"/>
          <w:caps w:val="0"/>
          <w:smallCaps w:val="0"/>
          <w:noProof w:val="0"/>
          <w:color w:val="000000" w:themeColor="text1" w:themeTint="FF" w:themeShade="FF"/>
          <w:sz w:val="24"/>
          <w:szCs w:val="24"/>
          <w:lang w:val="en-US"/>
        </w:rPr>
        <w:t xml:space="preserve"> and ecosystems </w:t>
      </w: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w:t>
      </w:r>
      <w:r w:rsidRPr="410F0DF9" w:rsidR="24E03C7E">
        <w:rPr>
          <w:rFonts w:ascii="Arial" w:hAnsi="Arial" w:eastAsia="Arial" w:cs="Arial"/>
          <w:b w:val="0"/>
          <w:bCs w:val="0"/>
          <w:i w:val="0"/>
          <w:iCs w:val="0"/>
          <w:caps w:val="0"/>
          <w:smallCaps w:val="0"/>
          <w:noProof w:val="0"/>
          <w:color w:val="222222"/>
          <w:sz w:val="24"/>
          <w:szCs w:val="24"/>
          <w:lang w:val="en-US"/>
        </w:rPr>
        <w:t>Higgins-Desbiolles, 2018)</w:t>
      </w: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 xml:space="preserve">. Being a fast-growing destination, the city of Cardiff should be managed in the framework of this concept to </w:t>
      </w: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maintain</w:t>
      </w: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 xml:space="preserve"> a balance between the residents’ quality of life and the guests’ expectations. </w:t>
      </w:r>
    </w:p>
    <w:p w:rsidR="24E03C7E" w:rsidP="410F0DF9" w:rsidRDefault="24E03C7E" w14:paraId="69E9EEB3" w14:textId="0ED5C51F">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 xml:space="preserve">Considering the economic pillar of sustainability, tourism contributes to Cardiff’s economy through accessing several channels such as leisure activities (concerts, sportive competitions), hospitality services, and historical attractions visits. However, according to Cardiff ISA Scoping (2021), more employment opportunities are needed, especially in the southern arc of the city. Although the tourism industry represents only 8% of the city’s service sector, the document does not evidence any link between the employment development in the area and the opportunities provided by tourism. There is an emphasis on maximising the centre points such as Cardiff Bay, including the hospitality venues potential, but this approach may only create economic polarity between the two areas. Also, since tourism may negatively impact Cardiff through increased costs of living, the entire city can be affected. </w:t>
      </w:r>
    </w:p>
    <w:p w:rsidR="24E03C7E" w:rsidP="410F0DF9" w:rsidRDefault="24E03C7E" w14:paraId="4D70AE51" w14:textId="618C85CE">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 xml:space="preserve">There is the example of DoubleTree by Hilton Hotel in Reading, Pennsylvania where the management team improved the community through educational programs, financial literacy classes, and employment opportunities in the organisation (Nixon, 2020). Therefore, the local authorities would improve the underdeveloped areas of Cardiff by building hospitality venues and empowering them with fundings and objectives for community support. Thus, more people would have access to workplaces and life improvement chances. </w:t>
      </w:r>
    </w:p>
    <w:p w:rsidR="24E03C7E" w:rsidP="410F0DF9" w:rsidRDefault="24E03C7E" w14:paraId="1DF7B1F2" w14:textId="4F987E8A">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Tourism has a tremendous impact on the social dimension of sustainable development. As previously demonstrated, it can enable positive changes in society through training and access to employment (Nixon, 2020). Also, it is a channel for cultural and knowledge sharing, education and provision of social services. However, due to facile access to travel and to globalization trends, the authenticity of certain places can fade. Preserving Cardiff’s culture and historic assets has been listed among the Cardiff’s LDP objectives. Declared the UK’s first music city in 2019, Cardiff is planned to keep music as a strategy for future. Reported that music events play a pivotal role in culture demand and expression. Therefore, hosting musical events from a wide range of styles can attract travellers and open the door for them to explore other attractions such as museums, castles and natural assets.</w:t>
      </w:r>
    </w:p>
    <w:p w:rsidR="24E03C7E" w:rsidP="410F0DF9" w:rsidRDefault="24E03C7E" w14:paraId="50C2F2FE" w14:textId="73FCEA0B">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 xml:space="preserve">Addressing the environmental pillar, the tourists’ activities impact the quality of the local environment and the amount of resources (Oad and Memon, 2021). Although it can lead authorities to environment protection initiatives, it can also cause certain level of overconsumption. For example, the hospitality venues must provide different amenities such as electricity, water, and food which can lead to high costs for nature. The Cardiff LDP (2021) identified the need for improving energy efficiency and aiming for low carbon generation which would allow the venues to enjoy energy usage at low costs, for a high number of visitors. Although the plan does not discuss how the industry may support this objective, the hotels should be a priority since they consume more than other public buildings (Xing, Ren and Ling, 2015). Also, it has been highlighted that the organisation’s green practices can positively influence the guests’ behaviour and revisit intentions (Yu, Li and Jai, 2017). For example, Cardiff’s Clayton Hotel is one of the few industry’s venues that introduced green practices to reduce energy consumption such as energy-saving devices and guests' participation guidance for environmental protection (Clayton Hotel, 2022). Thus, the local authorities should prioritise encouraging more hospitality providers towards sustainability and reward their efforts.  </w:t>
      </w:r>
    </w:p>
    <w:p w:rsidR="410F0DF9" w:rsidP="410F0DF9" w:rsidRDefault="410F0DF9" w14:paraId="22097C9E" w14:textId="5B0C6D5F">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10F0DF9" w:rsidP="410F0DF9" w:rsidRDefault="410F0DF9" w14:paraId="6405CCCA" w14:textId="41EC8F1D">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E03C7E" w:rsidP="410F0DF9" w:rsidRDefault="24E03C7E" w14:paraId="666FB4FA" w14:textId="241BEA32">
      <w:pPr>
        <w:pStyle w:val="Heading1"/>
        <w:rPr>
          <w:noProof w:val="0"/>
          <w:lang w:val="en-US"/>
        </w:rPr>
      </w:pPr>
      <w:bookmarkStart w:name="_Toc825979721" w:id="2041552633"/>
      <w:r w:rsidRPr="410F0DF9" w:rsidR="24E03C7E">
        <w:rPr>
          <w:noProof w:val="0"/>
          <w:lang w:val="en-US"/>
        </w:rPr>
        <w:t>Travel</w:t>
      </w:r>
      <w:bookmarkEnd w:id="2041552633"/>
    </w:p>
    <w:p w:rsidR="410F0DF9" w:rsidP="410F0DF9" w:rsidRDefault="410F0DF9" w14:paraId="411E13AB" w14:textId="03208F62">
      <w:pPr>
        <w:pStyle w:val="Normal"/>
        <w:rPr>
          <w:noProof w:val="0"/>
          <w:lang w:val="en-US"/>
        </w:rPr>
      </w:pPr>
    </w:p>
    <w:p w:rsidR="410F0DF9" w:rsidP="410F0DF9" w:rsidRDefault="410F0DF9" w14:paraId="015454E1" w14:textId="41093C2C">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E03C7E" w:rsidP="410F0DF9" w:rsidRDefault="24E03C7E" w14:paraId="366802C4" w14:textId="768BDD83">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 xml:space="preserve">Travel represents an essential part of tourism since it enables visitors to reach and explore the city. Since cars are one of the most frequent choices for movement and they are a source of emissions and pollution, there is a strong link between cars usage and environmental sustainability. In addition, 80% of Cardiff’s residents commute by car while bus transport is declining. Hamidi and Zhao (2020) agreed that cycling represents one of the most popular alternatives since it benefits the environment by reducing gas emissions and the community's health by increasing physical activity. Cardiff’s LDP (2021) evidenced the intention of encouraging cycling by planning proper infrastructure. However, there are several aspects regarding tourists’ choice of sustainable transport such as subject well-being, mobility-related capacity, connectivity between targeted locations, access to vehicles, and safe places for storage when entering in an in-door location (Hu, Cao and Yang, 2020). Therefore, authorities should consider increasing transport alternatives convenience and appeal. For example, Zleep Hotels (2018) offer electric cars for their guests to rent for their trips around Copenhagen. The positive feedback received from their visitors may prove that it is a viable and sustainable option for travellers since parking for electric vehicles is widespread in big cities, including Cardiff. </w:t>
      </w:r>
    </w:p>
    <w:p w:rsidR="24E03C7E" w:rsidP="410F0DF9" w:rsidRDefault="24E03C7E" w14:paraId="0F40B482" w14:textId="74616E50">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 xml:space="preserve">Therefore, Cardiff authorities (Council, private sector) should cooperate with the hospitality venues to implement similar solutions for sustainable travel, even on smaller routes. Also, hospitality firms need to be supported, guided, and even financed to successfully manage the established alternatives. </w:t>
      </w:r>
    </w:p>
    <w:p w:rsidR="410F0DF9" w:rsidP="410F0DF9" w:rsidRDefault="410F0DF9" w14:paraId="241754D6" w14:textId="5BD25226">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10F0DF9" w:rsidP="410F0DF9" w:rsidRDefault="410F0DF9" w14:paraId="4F87B1B7" w14:textId="297C6E7A">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E03C7E" w:rsidP="410F0DF9" w:rsidRDefault="24E03C7E" w14:paraId="16CCBC2C" w14:textId="60ED0A07">
      <w:pPr>
        <w:pStyle w:val="Heading1"/>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625295580" w:id="873304018"/>
      <w:r w:rsidRPr="410F0DF9" w:rsidR="24E03C7E">
        <w:rPr>
          <w:noProof w:val="0"/>
          <w:lang w:val="en-US"/>
        </w:rPr>
        <w:t>Current stage of Cardiff LDP</w:t>
      </w:r>
      <w:bookmarkEnd w:id="873304018"/>
    </w:p>
    <w:p w:rsidR="410F0DF9" w:rsidP="410F0DF9" w:rsidRDefault="410F0DF9" w14:paraId="424ADACD" w14:textId="5E26BDFB">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E03C7E" w:rsidP="410F0DF9" w:rsidRDefault="24E03C7E" w14:paraId="684B40FE" w14:textId="548B81F0">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222222"/>
          <w:sz w:val="24"/>
          <w:szCs w:val="24"/>
          <w:lang w:val="en-US"/>
        </w:rPr>
      </w:pP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 xml:space="preserve">Zientara, </w:t>
      </w:r>
      <w:r w:rsidRPr="410F0DF9" w:rsidR="24E03C7E">
        <w:rPr>
          <w:rFonts w:ascii="Arial" w:hAnsi="Arial" w:eastAsia="Arial" w:cs="Arial"/>
          <w:b w:val="0"/>
          <w:bCs w:val="0"/>
          <w:i w:val="0"/>
          <w:iCs w:val="0"/>
          <w:caps w:val="0"/>
          <w:smallCaps w:val="0"/>
          <w:noProof w:val="0"/>
          <w:color w:val="222222"/>
          <w:sz w:val="24"/>
          <w:szCs w:val="24"/>
          <w:lang w:val="en-US"/>
        </w:rPr>
        <w:t>Adamska-Mieruszewska and Bak (2021) reported that UK’s tourism and hospitality industries have been affected by pandemic, leading to severe levels of employee turnover and business decline. Also, the Cardiff LDP (2021) noted the need to reawake the tourism and cultural sectors, in the context of the pandemic. Given the present re-opening of Cardiff’s attractions and easing the safety measures at hospitality venues, the tourists have unrestricted access to the city’s facilities. As shown by Visit Cardiff (2022), the number of travellers continue to grow which demonstrates that the city of Cardiff is in the stage of development in the Butler’s life cycle model (1980). Although the pandemic has negatively affected the tourism, the location still has potential to flourish and be attractive for travellers due to historical heritage and entertainment provided. Also, the Cardiff LDP (2021) highlighted that the recreational open spaces play a crucial role in developing its national and international profile and attracting tourism and investments. Moreover, it reported that the pandemic emphasised the need for managing increasing demands of natural spaces. However, the authorities must consider an appropriate rate of usage while considering ecosystems’ resilience to support environmental sustainability (Campagnaro et al., 2019).</w:t>
      </w:r>
    </w:p>
    <w:p w:rsidR="410F0DF9" w:rsidP="410F0DF9" w:rsidRDefault="410F0DF9" w14:paraId="38EFC0AA" w14:textId="2BA6B15A">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222222"/>
          <w:sz w:val="24"/>
          <w:szCs w:val="24"/>
          <w:lang w:val="en-US"/>
        </w:rPr>
      </w:pPr>
    </w:p>
    <w:p w:rsidR="410F0DF9" w:rsidP="410F0DF9" w:rsidRDefault="410F0DF9" w14:paraId="48D98321" w14:textId="006F14CC">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222222"/>
          <w:sz w:val="24"/>
          <w:szCs w:val="24"/>
          <w:lang w:val="en-US"/>
        </w:rPr>
      </w:pPr>
    </w:p>
    <w:p w:rsidR="24E03C7E" w:rsidP="410F0DF9" w:rsidRDefault="24E03C7E" w14:paraId="456A85E4" w14:textId="010FBBF0">
      <w:pPr>
        <w:pStyle w:val="Heading1"/>
        <w:rPr>
          <w:noProof w:val="0"/>
          <w:lang w:val="en-US"/>
        </w:rPr>
      </w:pPr>
      <w:bookmarkStart w:name="_Toc80406571" w:id="1968059531"/>
      <w:r w:rsidRPr="410F0DF9" w:rsidR="24E03C7E">
        <w:rPr>
          <w:noProof w:val="0"/>
          <w:lang w:val="en-US"/>
        </w:rPr>
        <w:t>Cardiff residents’ attitude towards tourism</w:t>
      </w:r>
      <w:bookmarkEnd w:id="1968059531"/>
    </w:p>
    <w:p w:rsidR="410F0DF9" w:rsidP="410F0DF9" w:rsidRDefault="410F0DF9" w14:paraId="422CF417" w14:textId="3BA0BCA0">
      <w:pPr>
        <w:pStyle w:val="Normal"/>
        <w:rPr>
          <w:noProof w:val="0"/>
          <w:lang w:val="en-US"/>
        </w:rPr>
      </w:pPr>
    </w:p>
    <w:p w:rsidR="410F0DF9" w:rsidP="410F0DF9" w:rsidRDefault="410F0DF9" w14:paraId="404C666F" w14:textId="3646F675">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222222"/>
          <w:sz w:val="24"/>
          <w:szCs w:val="24"/>
          <w:lang w:val="en-US"/>
        </w:rPr>
      </w:pPr>
    </w:p>
    <w:p w:rsidR="24E03C7E" w:rsidP="410F0DF9" w:rsidRDefault="24E03C7E" w14:paraId="2B9AE41B" w14:textId="1514A76F">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222222"/>
          <w:sz w:val="24"/>
          <w:szCs w:val="24"/>
          <w:lang w:val="en-US"/>
        </w:rPr>
      </w:pPr>
      <w:r w:rsidRPr="410F0DF9" w:rsidR="24E03C7E">
        <w:rPr>
          <w:rFonts w:ascii="Arial" w:hAnsi="Arial" w:eastAsia="Arial" w:cs="Arial"/>
          <w:b w:val="0"/>
          <w:bCs w:val="0"/>
          <w:i w:val="0"/>
          <w:iCs w:val="0"/>
          <w:caps w:val="0"/>
          <w:smallCaps w:val="0"/>
          <w:noProof w:val="0"/>
          <w:color w:val="222222"/>
          <w:sz w:val="24"/>
          <w:szCs w:val="24"/>
          <w:lang w:val="en-US"/>
        </w:rPr>
        <w:t xml:space="preserve">It has been demonstrated that the residents’ collaboration and attitude towards visitors play a fundamental role in supporting the local government and businesses’ touristic goals (Ribeiro et al., 2017). Their perceptions are mostly influenced by the touristic activities’ impact upon the community which can be reflected through the three pillars of sustainability. For example, over 1 million people visited the National Museum Cardiff over the last year, which means a consistent contribution to local economy (National Museum Cardiff, 2023). </w:t>
      </w: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Çelik &amp; Rasoolimanesh (2021) highlighted the economic factor as a predictor of residents’ pro-tourism behaviour since the financial dimension contributes to human well-being and quality of life. A</w:t>
      </w:r>
      <w:r w:rsidRPr="410F0DF9" w:rsidR="24E03C7E">
        <w:rPr>
          <w:rFonts w:ascii="Arial" w:hAnsi="Arial" w:eastAsia="Arial" w:cs="Arial"/>
          <w:b w:val="0"/>
          <w:bCs w:val="0"/>
          <w:i w:val="0"/>
          <w:iCs w:val="0"/>
          <w:caps w:val="0"/>
          <w:smallCaps w:val="0"/>
          <w:noProof w:val="0"/>
          <w:color w:val="222222"/>
          <w:sz w:val="24"/>
          <w:szCs w:val="24"/>
          <w:lang w:val="en-US"/>
        </w:rPr>
        <w:t xml:space="preserve">lso, considering the social pillar, the high number of museum visitors had a positive impact by increasing Cardiff’s value and pride, cultural exchange, and knowledge sharing. Therefore, the city’s degree of welcoming guests is significantly shaped by the positive contributions brought by their visitors. </w:t>
      </w:r>
    </w:p>
    <w:p w:rsidR="24E03C7E" w:rsidP="410F0DF9" w:rsidRDefault="24E03C7E" w14:paraId="6BE38299" w14:textId="0281B1A0">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222222"/>
          <w:sz w:val="24"/>
          <w:szCs w:val="24"/>
          <w:lang w:val="en-US"/>
        </w:rPr>
      </w:pPr>
      <w:r w:rsidRPr="410F0DF9" w:rsidR="24E03C7E">
        <w:rPr>
          <w:rFonts w:ascii="Arial" w:hAnsi="Arial" w:eastAsia="Arial" w:cs="Arial"/>
          <w:b w:val="0"/>
          <w:bCs w:val="0"/>
          <w:i w:val="0"/>
          <w:iCs w:val="0"/>
          <w:caps w:val="0"/>
          <w:smallCaps w:val="0"/>
          <w:noProof w:val="0"/>
          <w:color w:val="222222"/>
          <w:sz w:val="24"/>
          <w:szCs w:val="24"/>
          <w:lang w:val="en-US"/>
        </w:rPr>
        <w:t xml:space="preserve">However, Doxey’s Irritation Index (1975) indicated that the residents’ positive attitudes towards tourism decline after reaching a threshold. Considering the increasing investments in building hotels (Cardiff Student Media, 2021) and growing number of visitors, it indicates that Cardiff can be positioned in the Apathy stage of the model. Cardiff Student Media (2020) reported that Cardiff’s residents are satisfied with their local council’s services and also with their influence on decisions in the local area. Consequently, the city perceives tourism as a positive factor and further, it generates visitor-friendly attitudes and behaviour. Thus, the local authorities would benefit from the citizens’s support in tourism development and invest resources in Cardiff’s hospitality. </w:t>
      </w:r>
    </w:p>
    <w:p w:rsidR="24E03C7E" w:rsidP="410F0DF9" w:rsidRDefault="24E03C7E" w14:paraId="7AD35452" w14:textId="6C4DC059">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222222"/>
          <w:sz w:val="24"/>
          <w:szCs w:val="24"/>
          <w:lang w:val="en-US"/>
        </w:rPr>
      </w:pPr>
      <w:r w:rsidRPr="410F0DF9" w:rsidR="24E03C7E">
        <w:rPr>
          <w:rFonts w:ascii="Arial" w:hAnsi="Arial" w:eastAsia="Arial" w:cs="Arial"/>
          <w:b w:val="0"/>
          <w:bCs w:val="0"/>
          <w:i w:val="0"/>
          <w:iCs w:val="0"/>
          <w:caps w:val="0"/>
          <w:smallCaps w:val="0"/>
          <w:noProof w:val="0"/>
          <w:color w:val="222222"/>
          <w:sz w:val="24"/>
          <w:szCs w:val="24"/>
          <w:lang w:val="en-US"/>
        </w:rPr>
        <w:t>Doxey’s model (1975) assumed that the whole community potentially develops hostility towards tourism after the Apathy stage. However, this stands as a limitation of the model since Cardiff’s community is diverse (Office for National Statistics, 2023) and different sectors of people may respond distinctly (Qiu et al., 2023).</w:t>
      </w:r>
    </w:p>
    <w:p w:rsidR="410F0DF9" w:rsidP="410F0DF9" w:rsidRDefault="410F0DF9" w14:paraId="52B5C78A" w14:textId="46498ADF">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222222"/>
          <w:sz w:val="24"/>
          <w:szCs w:val="24"/>
          <w:lang w:val="en-US"/>
        </w:rPr>
      </w:pPr>
    </w:p>
    <w:p w:rsidR="24E03C7E" w:rsidP="410F0DF9" w:rsidRDefault="24E03C7E" w14:paraId="51BE1FAA" w14:textId="7D157031">
      <w:pPr>
        <w:pStyle w:val="Heading1"/>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770652601" w:id="413878912"/>
      <w:r w:rsidRPr="410F0DF9" w:rsidR="24E03C7E">
        <w:rPr>
          <w:noProof w:val="0"/>
          <w:lang w:val="en-US"/>
        </w:rPr>
        <w:t>Recommendations</w:t>
      </w:r>
      <w:bookmarkEnd w:id="413878912"/>
    </w:p>
    <w:p w:rsidR="410F0DF9" w:rsidP="410F0DF9" w:rsidRDefault="410F0DF9" w14:paraId="090E20DC" w14:textId="7706DA7A">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10F0DF9" w:rsidP="410F0DF9" w:rsidRDefault="410F0DF9" w14:paraId="36C5D8CB" w14:textId="1FB46D34">
      <w:pPr>
        <w:pStyle w:val="Normal"/>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E03C7E" w:rsidP="410F0DF9" w:rsidRDefault="24E03C7E" w14:paraId="2435171A" w14:textId="55E45D5C">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 xml:space="preserve">To promote sustainable development, the Cardiff LDP may consider an approach to food management since the city owns several restaurants and food-service venues. Food waste has been reported as a significant environmental concern since its production is a major greenhouse emitter. Moreover, according to The Guardian (2022), approximately 18 millions of people struggle with food security in the UK. Therefore, to reduce production costs, eliminate hunger and protect the environment, the Cardiff authorities should help hospitality providers to manage their food and connect them with the community and visitors. For example, they can partnership with different food bank organisations to donate meals and help people. Glasgow Life (2023) encourages businesses to join different schemes that support sustainability such as Green Key. It provides a wide range of resources and tools to help them to manage food waste. Also, the city of Glasgow promotes and accredits restaurants that offer organic or locally sourced meals. Therefore, due to the increasing interest in consuming healthier food (Konuk, 2019), Cardiff’s tourists would support these types of enterprises to adhere to sustainability. </w:t>
      </w:r>
    </w:p>
    <w:p w:rsidR="410F0DF9" w:rsidP="410F0DF9" w:rsidRDefault="410F0DF9" w14:paraId="6198F521" w14:textId="40DC4593">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E03C7E" w:rsidP="410F0DF9" w:rsidRDefault="24E03C7E" w14:paraId="7501D60D" w14:textId="0FB75592">
      <w:pPr>
        <w:pStyle w:val="Heading1"/>
        <w:rPr>
          <w:noProof w:val="0"/>
          <w:lang w:val="en-US"/>
        </w:rPr>
      </w:pPr>
      <w:bookmarkStart w:name="_Toc1600696788" w:id="344438183"/>
      <w:r w:rsidRPr="410F0DF9" w:rsidR="24E03C7E">
        <w:rPr>
          <w:noProof w:val="0"/>
          <w:lang w:val="en-US"/>
        </w:rPr>
        <w:t>Conclusions</w:t>
      </w:r>
      <w:bookmarkEnd w:id="344438183"/>
    </w:p>
    <w:p w:rsidR="410F0DF9" w:rsidP="410F0DF9" w:rsidRDefault="410F0DF9" w14:paraId="77C0BD92" w14:textId="40485E09">
      <w:pPr>
        <w:pStyle w:val="Normal"/>
        <w:rPr>
          <w:noProof w:val="0"/>
          <w:lang w:val="en-US"/>
        </w:rPr>
      </w:pPr>
    </w:p>
    <w:p w:rsidR="410F0DF9" w:rsidP="410F0DF9" w:rsidRDefault="410F0DF9" w14:paraId="7F8F8940" w14:textId="79CB8E43">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4E03C7E" w:rsidP="410F0DF9" w:rsidRDefault="24E03C7E" w14:paraId="39649BB5" w14:textId="294140C9">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 xml:space="preserve">Considering that the city of Cardiff is an urban area, with a growing touristic interest, there is an increasing concern for sustainability implementation from local authorities, reflected in the Cardiff LDP strategies and objectives. </w:t>
      </w:r>
    </w:p>
    <w:p w:rsidR="24E03C7E" w:rsidP="410F0DF9" w:rsidRDefault="24E03C7E" w14:paraId="284EB900" w14:textId="0B01D517">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 xml:space="preserve">Tourism provides consistent finances to the city, mostly from its historical and cultural attractions, followed by the hospitality venues. Since some areas struggle with unemployment, the tourism industry represents a viable solution for creating workplaces and improving the residents' life. </w:t>
      </w:r>
    </w:p>
    <w:p w:rsidR="24E03C7E" w:rsidP="410F0DF9" w:rsidRDefault="24E03C7E" w14:paraId="4E1BA186" w14:textId="33B9EAE3">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The environmental pillar can be supported through alternative travel options such as electric vehicles, cycling and public transport to reduce the gas emmissions. Also, hotels should aim for renewable energy and the green spaces must be appropriately managed.</w:t>
      </w:r>
    </w:p>
    <w:p w:rsidR="24E03C7E" w:rsidP="410F0DF9" w:rsidRDefault="24E03C7E" w14:paraId="63D0E440" w14:textId="73B60D3D">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 xml:space="preserve">The social dimension of sustainability comprises the positive impact of tourism upon Cardiff through increased value, popularity and cultural exchange. It has been shown that currently, the residents display a positive attitude towards tourism which significantly impacts the industry’s development. </w:t>
      </w:r>
    </w:p>
    <w:p w:rsidR="24E03C7E" w:rsidP="410F0DF9" w:rsidRDefault="24E03C7E" w14:paraId="51AC3C8A" w14:textId="7AB94BA5">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Cardiff continues to develop and prepares facilities for welcoming tourism, keeping sustainability at a high degree in its projects. Cooperation with hospitality stakeholders can improve certain aspects of touristic activity such as travel, minimising the negative effects such as pollution or congestion. Also, it should consider the food waste management for future development projects.</w:t>
      </w:r>
    </w:p>
    <w:p w:rsidR="24E03C7E" w:rsidP="410F0DF9" w:rsidRDefault="24E03C7E" w14:paraId="7432D424" w14:textId="1CBAA189">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24E03C7E">
        <w:rPr>
          <w:rFonts w:ascii="Arial" w:hAnsi="Arial" w:eastAsia="Arial" w:cs="Arial"/>
          <w:b w:val="0"/>
          <w:bCs w:val="0"/>
          <w:i w:val="0"/>
          <w:iCs w:val="0"/>
          <w:caps w:val="0"/>
          <w:smallCaps w:val="0"/>
          <w:noProof w:val="0"/>
          <w:color w:val="000000" w:themeColor="text1" w:themeTint="FF" w:themeShade="FF"/>
          <w:sz w:val="24"/>
          <w:szCs w:val="24"/>
          <w:lang w:val="en-US"/>
        </w:rPr>
        <w:t xml:space="preserve">In the end, Cardiff can stand as an attractive location with great potential for nurturing sustainability, for both residents and visitors. </w:t>
      </w:r>
    </w:p>
    <w:p w:rsidR="410F0DF9" w:rsidP="410F0DF9" w:rsidRDefault="410F0DF9" w14:paraId="0D0E9ED1" w14:textId="183CEEDA">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10F0DF9" w:rsidP="410F0DF9" w:rsidRDefault="410F0DF9" w14:paraId="24B95816" w14:textId="148E29B0">
      <w:pPr>
        <w:pStyle w:val="Heading1"/>
        <w:rPr>
          <w:rFonts w:ascii="Arial" w:hAnsi="Arial" w:eastAsia="Arial" w:cs="Arial"/>
          <w:sz w:val="28"/>
          <w:szCs w:val="28"/>
        </w:rPr>
      </w:pPr>
    </w:p>
    <w:p w:rsidR="48B9F88A" w:rsidP="410F0DF9" w:rsidRDefault="48B9F88A" w14:paraId="43731063" w14:textId="7C6B4350">
      <w:pPr>
        <w:pStyle w:val="Heading1"/>
        <w:rPr>
          <w:rFonts w:ascii="Arial" w:hAnsi="Arial" w:eastAsia="Arial" w:cs="Arial"/>
          <w:sz w:val="28"/>
          <w:szCs w:val="28"/>
        </w:rPr>
      </w:pPr>
      <w:bookmarkStart w:name="_Toc2072306272" w:id="912393395"/>
      <w:r w:rsidRPr="410F0DF9" w:rsidR="48B9F88A">
        <w:rPr>
          <w:rFonts w:ascii="Arial" w:hAnsi="Arial" w:eastAsia="Arial" w:cs="Arial"/>
          <w:sz w:val="28"/>
          <w:szCs w:val="28"/>
        </w:rPr>
        <w:t>Reference List</w:t>
      </w:r>
      <w:bookmarkEnd w:id="912393395"/>
    </w:p>
    <w:p w:rsidR="410F0DF9" w:rsidP="410F0DF9" w:rsidRDefault="410F0DF9" w14:paraId="00D09B20" w14:textId="6A9B6E0B">
      <w:pPr>
        <w:pStyle w:val="Normal"/>
      </w:pPr>
    </w:p>
    <w:p w:rsidR="410F0DF9" w:rsidP="410F0DF9" w:rsidRDefault="410F0DF9" w14:paraId="17153F76" w14:textId="7BD65F7B">
      <w:pPr>
        <w:pStyle w:val="Normal"/>
      </w:pPr>
    </w:p>
    <w:p w:rsidR="48B9F88A" w:rsidP="410F0DF9" w:rsidRDefault="48B9F88A" w14:paraId="3F67AEFC" w14:textId="0AAF450C">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Campagnaro, T.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et al.</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(2019) ‘Indicators for the planning and management of Urban Green Spaces: A focus on public areas in Padua, Italy’,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Sustainability</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Volume 11, No. 24, p. 7071. doi:10.3390/su11247071.</w:t>
      </w:r>
    </w:p>
    <w:p w:rsidR="48B9F88A" w:rsidP="410F0DF9" w:rsidRDefault="48B9F88A" w14:paraId="21906D06" w14:textId="0C7C5243">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Cardiff LDP (2021)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Cardiff Council - May 2021 - cardiffldp.co.uk</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410F0DF9" w:rsidR="48B9F88A">
        <w:rPr>
          <w:rFonts w:ascii="Arial" w:hAnsi="Arial" w:eastAsia="Arial" w:cs="Arial"/>
          <w:b w:val="0"/>
          <w:bCs w:val="0"/>
          <w:i w:val="0"/>
          <w:iCs w:val="0"/>
          <w:caps w:val="0"/>
          <w:smallCaps w:val="0"/>
          <w:strike w:val="0"/>
          <w:dstrike w:val="0"/>
          <w:noProof w:val="0"/>
          <w:sz w:val="24"/>
          <w:szCs w:val="24"/>
          <w:lang w:val="en-US"/>
        </w:rPr>
        <w:t>https://www.cardiffldp.co.uk/wp-content/uploads/LDP-Consultation-Paper-ENG.pdf</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 June 2023).</w:t>
      </w:r>
    </w:p>
    <w:p w:rsidR="48B9F88A" w:rsidP="410F0DF9" w:rsidRDefault="48B9F88A" w14:paraId="237F1039" w14:textId="3FB5558E">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Cardiff ISA Scoping (2021) ‘Draft Integrated Sustainability Appraisal Scoping Report’. Cardiff LDP. Available at: </w:t>
      </w:r>
      <w:r w:rsidRPr="410F0DF9" w:rsidR="48B9F88A">
        <w:rPr>
          <w:rFonts w:ascii="Arial" w:hAnsi="Arial" w:eastAsia="Arial" w:cs="Arial"/>
          <w:b w:val="0"/>
          <w:bCs w:val="0"/>
          <w:i w:val="0"/>
          <w:iCs w:val="0"/>
          <w:caps w:val="0"/>
          <w:smallCaps w:val="0"/>
          <w:strike w:val="0"/>
          <w:dstrike w:val="0"/>
          <w:noProof w:val="0"/>
          <w:sz w:val="24"/>
          <w:szCs w:val="24"/>
          <w:lang w:val="en-US"/>
        </w:rPr>
        <w:t>https://www.cardiffldp.co.uk/wp-content/uploads/Draft-ISA-Scoping-Report-May-2021-English.pdf</w:t>
      </w:r>
    </w:p>
    <w:p w:rsidR="48B9F88A" w:rsidP="410F0DF9" w:rsidRDefault="48B9F88A" w14:paraId="37339E4D" w14:textId="3AA1DCDC">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Cardiff Student Media (2020)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Cardiff residents are the happiest in Wales</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 xml:space="preserve">Gair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Rhydd</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410F0DF9" w:rsidR="48B9F88A">
        <w:rPr>
          <w:rFonts w:ascii="Arial" w:hAnsi="Arial" w:eastAsia="Arial" w:cs="Arial"/>
          <w:b w:val="0"/>
          <w:bCs w:val="0"/>
          <w:i w:val="0"/>
          <w:iCs w:val="0"/>
          <w:caps w:val="0"/>
          <w:smallCaps w:val="0"/>
          <w:strike w:val="0"/>
          <w:dstrike w:val="0"/>
          <w:noProof w:val="0"/>
          <w:sz w:val="24"/>
          <w:szCs w:val="24"/>
          <w:lang w:val="en-US"/>
        </w:rPr>
        <w:t>https://cardiffstudentmedia.co.uk/gairrhydd/national-survey-for-wales/</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09 June 2023).</w:t>
      </w:r>
    </w:p>
    <w:p w:rsidR="48B9F88A" w:rsidP="410F0DF9" w:rsidRDefault="48B9F88A" w14:paraId="641203FD" w14:textId="5890A615">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Cardiff Student Media (2021)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Hotel developments in the works across Cardiff</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 xml:space="preserve">Gair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Rhydd</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410F0DF9" w:rsidR="48B9F88A">
        <w:rPr>
          <w:rFonts w:ascii="Arial" w:hAnsi="Arial" w:eastAsia="Arial" w:cs="Arial"/>
          <w:b w:val="0"/>
          <w:bCs w:val="0"/>
          <w:i w:val="0"/>
          <w:iCs w:val="0"/>
          <w:caps w:val="0"/>
          <w:smallCaps w:val="0"/>
          <w:strike w:val="0"/>
          <w:dstrike w:val="0"/>
          <w:noProof w:val="0"/>
          <w:sz w:val="24"/>
          <w:szCs w:val="24"/>
          <w:lang w:val="en-US"/>
        </w:rPr>
        <w:t>http://cardiffstudentmedia.co.uk/gairrhydd/hotel-developments-in-the-works-across-cardiff/</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09 June 2023).</w:t>
      </w:r>
    </w:p>
    <w:p w:rsidR="48B9F88A" w:rsidP="410F0DF9" w:rsidRDefault="48B9F88A" w14:paraId="59807887" w14:textId="5F97B739">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Çelik, S. and </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Rasoolimanesh</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S.M. (2021) ‘Residents’ attitudes towards tourism, cost–benefit attitudes, and support for tourism: A pre-development perspective’,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Tourism Planning &amp; Development</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pp. 1–19. </w:t>
      </w:r>
    </w:p>
    <w:p w:rsidR="48B9F88A" w:rsidP="410F0DF9" w:rsidRDefault="48B9F88A" w14:paraId="709E0E4A" w14:textId="2D8F251A">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Clayton Hotel (2022)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 xml:space="preserve">Eco-friendly hotel: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Green</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 xml:space="preserve"> tourism: Clayton Hotel Cardiff</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Cardiff</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410F0DF9" w:rsidR="48B9F88A">
        <w:rPr>
          <w:rFonts w:ascii="Arial" w:hAnsi="Arial" w:eastAsia="Arial" w:cs="Arial"/>
          <w:b w:val="0"/>
          <w:bCs w:val="0"/>
          <w:i w:val="0"/>
          <w:iCs w:val="0"/>
          <w:caps w:val="0"/>
          <w:smallCaps w:val="0"/>
          <w:strike w:val="0"/>
          <w:dstrike w:val="0"/>
          <w:noProof w:val="0"/>
          <w:sz w:val="24"/>
          <w:szCs w:val="24"/>
          <w:lang w:val="en-US"/>
        </w:rPr>
        <w:t>https://www.claytonhotelcardiff.com/environment/</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 June 2023).</w:t>
      </w:r>
    </w:p>
    <w:p w:rsidR="48B9F88A" w:rsidP="410F0DF9" w:rsidRDefault="48B9F88A" w14:paraId="3EE0D70A" w14:textId="52C30864">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410F0DF9" w:rsidR="48B9F88A">
        <w:rPr>
          <w:rFonts w:ascii="Arial" w:hAnsi="Arial" w:eastAsia="Arial" w:cs="Arial"/>
          <w:b w:val="0"/>
          <w:bCs w:val="0"/>
          <w:i w:val="0"/>
          <w:iCs w:val="0"/>
          <w:caps w:val="0"/>
          <w:smallCaps w:val="0"/>
          <w:noProof w:val="0"/>
          <w:color w:val="222222"/>
          <w:sz w:val="24"/>
          <w:szCs w:val="24"/>
          <w:lang w:val="en-US"/>
        </w:rPr>
        <w:t xml:space="preserve">Chang, C.C., DiGiovanni, K. and Mei, Y., (2019). Sustainability. </w:t>
      </w:r>
      <w:r w:rsidRPr="410F0DF9" w:rsidR="48B9F88A">
        <w:rPr>
          <w:rFonts w:ascii="Arial" w:hAnsi="Arial" w:eastAsia="Arial" w:cs="Arial"/>
          <w:b w:val="0"/>
          <w:bCs w:val="0"/>
          <w:i w:val="1"/>
          <w:iCs w:val="1"/>
          <w:caps w:val="0"/>
          <w:smallCaps w:val="0"/>
          <w:noProof w:val="0"/>
          <w:color w:val="222222"/>
          <w:sz w:val="24"/>
          <w:szCs w:val="24"/>
          <w:lang w:val="en-US"/>
        </w:rPr>
        <w:t>Water Environment Research</w:t>
      </w:r>
      <w:r w:rsidRPr="410F0DF9" w:rsidR="48B9F88A">
        <w:rPr>
          <w:rFonts w:ascii="Arial" w:hAnsi="Arial" w:eastAsia="Arial" w:cs="Arial"/>
          <w:b w:val="0"/>
          <w:bCs w:val="0"/>
          <w:i w:val="0"/>
          <w:iCs w:val="0"/>
          <w:caps w:val="0"/>
          <w:smallCaps w:val="0"/>
          <w:noProof w:val="0"/>
          <w:color w:val="222222"/>
          <w:sz w:val="24"/>
          <w:szCs w:val="24"/>
          <w:lang w:val="en-US"/>
        </w:rPr>
        <w:t xml:space="preserve">, </w:t>
      </w:r>
      <w:r w:rsidRPr="410F0DF9" w:rsidR="48B9F88A">
        <w:rPr>
          <w:rFonts w:ascii="Arial" w:hAnsi="Arial" w:eastAsia="Arial" w:cs="Arial"/>
          <w:b w:val="0"/>
          <w:bCs w:val="0"/>
          <w:i w:val="1"/>
          <w:iCs w:val="1"/>
          <w:caps w:val="0"/>
          <w:smallCaps w:val="0"/>
          <w:noProof w:val="0"/>
          <w:color w:val="222222"/>
          <w:sz w:val="24"/>
          <w:szCs w:val="24"/>
          <w:lang w:val="en-US"/>
        </w:rPr>
        <w:t>91</w:t>
      </w:r>
      <w:r w:rsidRPr="410F0DF9" w:rsidR="48B9F88A">
        <w:rPr>
          <w:rFonts w:ascii="Arial" w:hAnsi="Arial" w:eastAsia="Arial" w:cs="Arial"/>
          <w:b w:val="0"/>
          <w:bCs w:val="0"/>
          <w:i w:val="0"/>
          <w:iCs w:val="0"/>
          <w:caps w:val="0"/>
          <w:smallCaps w:val="0"/>
          <w:noProof w:val="0"/>
          <w:color w:val="222222"/>
          <w:sz w:val="24"/>
          <w:szCs w:val="24"/>
          <w:lang w:val="en-US"/>
        </w:rPr>
        <w:t>(10), pp.1129-1149.</w:t>
      </w:r>
    </w:p>
    <w:p w:rsidR="48B9F88A" w:rsidP="410F0DF9" w:rsidRDefault="48B9F88A" w14:paraId="4581087C" w14:textId="21AD053F">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48B9F88A">
        <w:rPr>
          <w:rFonts w:ascii="Arial" w:hAnsi="Arial" w:eastAsia="Arial" w:cs="Arial"/>
          <w:b w:val="0"/>
          <w:bCs w:val="0"/>
          <w:i w:val="0"/>
          <w:iCs w:val="0"/>
          <w:caps w:val="0"/>
          <w:smallCaps w:val="0"/>
          <w:noProof w:val="0"/>
          <w:color w:val="222222"/>
          <w:sz w:val="24"/>
          <w:szCs w:val="24"/>
          <w:lang w:val="en-US"/>
        </w:rPr>
        <w:t xml:space="preserve">Du Preez, E.A. and Kruger, M., (2022). Music event tourism </w:t>
      </w:r>
      <w:r w:rsidRPr="410F0DF9" w:rsidR="48B9F88A">
        <w:rPr>
          <w:rFonts w:ascii="Arial" w:hAnsi="Arial" w:eastAsia="Arial" w:cs="Arial"/>
          <w:b w:val="0"/>
          <w:bCs w:val="0"/>
          <w:i w:val="0"/>
          <w:iCs w:val="0"/>
          <w:caps w:val="0"/>
          <w:smallCaps w:val="0"/>
          <w:noProof w:val="0"/>
          <w:color w:val="222222"/>
          <w:sz w:val="24"/>
          <w:szCs w:val="24"/>
          <w:lang w:val="en-US"/>
        </w:rPr>
        <w:t>as a means to</w:t>
      </w:r>
      <w:r w:rsidRPr="410F0DF9" w:rsidR="48B9F88A">
        <w:rPr>
          <w:rFonts w:ascii="Arial" w:hAnsi="Arial" w:eastAsia="Arial" w:cs="Arial"/>
          <w:b w:val="0"/>
          <w:bCs w:val="0"/>
          <w:i w:val="0"/>
          <w:iCs w:val="0"/>
          <w:caps w:val="0"/>
          <w:smallCaps w:val="0"/>
          <w:noProof w:val="0"/>
          <w:color w:val="222222"/>
          <w:sz w:val="24"/>
          <w:szCs w:val="24"/>
          <w:lang w:val="en-US"/>
        </w:rPr>
        <w:t xml:space="preserve"> encourage local travel: the case of the World Choir Games, South Africa.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African Journal of Hospitality, Tourism and Leisure</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Volume 11, No. 1, pp. 525-540</w:t>
      </w:r>
    </w:p>
    <w:p w:rsidR="48B9F88A" w:rsidP="410F0DF9" w:rsidRDefault="48B9F88A" w14:paraId="06B8196E" w14:textId="27C51CB4">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Glasgow Life (2023) ‘Sustainable Tourism &amp; Conventions Action </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Plan  -</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Progress report for 2022/23’. Glasgow Tourism and Visitor Plan. Available at:  </w:t>
      </w:r>
      <w:r w:rsidRPr="410F0DF9" w:rsidR="48B9F88A">
        <w:rPr>
          <w:rFonts w:ascii="Arial" w:hAnsi="Arial" w:eastAsia="Arial" w:cs="Arial"/>
          <w:b w:val="0"/>
          <w:bCs w:val="0"/>
          <w:i w:val="0"/>
          <w:iCs w:val="0"/>
          <w:caps w:val="0"/>
          <w:smallCaps w:val="0"/>
          <w:noProof w:val="0"/>
          <w:sz w:val="24"/>
          <w:szCs w:val="24"/>
          <w:lang w:val="en-US"/>
        </w:rPr>
        <w:t>https://glasgowtourismandvisitorplan.com/media/2817/sustainability-plan-for-tourism-conventions_reporting22_23-final.pdf</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8B9F88A" w:rsidP="410F0DF9" w:rsidRDefault="48B9F88A" w14:paraId="61F9D15F" w14:textId="66441756">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GOV Wales (2023)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Visit Wales Tourism Market Demand Report –UK June 2022</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410F0DF9" w:rsidR="48B9F88A">
        <w:rPr>
          <w:rFonts w:ascii="Arial" w:hAnsi="Arial" w:eastAsia="Arial" w:cs="Arial"/>
          <w:b w:val="0"/>
          <w:bCs w:val="0"/>
          <w:i w:val="0"/>
          <w:iCs w:val="0"/>
          <w:caps w:val="0"/>
          <w:smallCaps w:val="0"/>
          <w:strike w:val="0"/>
          <w:dstrike w:val="0"/>
          <w:noProof w:val="0"/>
          <w:sz w:val="24"/>
          <w:szCs w:val="24"/>
          <w:lang w:val="en-US"/>
        </w:rPr>
        <w:t>https://www.gov.wales/sites/default/files/statistics-and-research/2022-08/visit-wales-tourism-market-demand-report-uk-june-2022.pdf</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June 2023).</w:t>
      </w:r>
    </w:p>
    <w:p w:rsidR="48B9F88A" w:rsidP="410F0DF9" w:rsidRDefault="48B9F88A" w14:paraId="5DD93F84" w14:textId="01246F11">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410F0DF9" w:rsidR="48B9F88A">
        <w:rPr>
          <w:rFonts w:ascii="Arial" w:hAnsi="Arial" w:eastAsia="Arial" w:cs="Arial"/>
          <w:b w:val="0"/>
          <w:bCs w:val="0"/>
          <w:i w:val="0"/>
          <w:iCs w:val="0"/>
          <w:caps w:val="0"/>
          <w:smallCaps w:val="0"/>
          <w:noProof w:val="0"/>
          <w:color w:val="222222"/>
          <w:sz w:val="24"/>
          <w:szCs w:val="24"/>
          <w:lang w:val="en-US"/>
        </w:rPr>
        <w:t xml:space="preserve">Hamidi, Z. and Zhao, C., (2020). Shaping sustainable travel </w:t>
      </w:r>
      <w:r w:rsidRPr="410F0DF9" w:rsidR="48B9F88A">
        <w:rPr>
          <w:rFonts w:ascii="Arial" w:hAnsi="Arial" w:eastAsia="Arial" w:cs="Arial"/>
          <w:b w:val="0"/>
          <w:bCs w:val="0"/>
          <w:i w:val="0"/>
          <w:iCs w:val="0"/>
          <w:caps w:val="0"/>
          <w:smallCaps w:val="0"/>
          <w:noProof w:val="0"/>
          <w:color w:val="222222"/>
          <w:sz w:val="24"/>
          <w:szCs w:val="24"/>
          <w:lang w:val="en-US"/>
        </w:rPr>
        <w:t>behaviour</w:t>
      </w:r>
      <w:r w:rsidRPr="410F0DF9" w:rsidR="48B9F88A">
        <w:rPr>
          <w:rFonts w:ascii="Arial" w:hAnsi="Arial" w:eastAsia="Arial" w:cs="Arial"/>
          <w:b w:val="0"/>
          <w:bCs w:val="0"/>
          <w:i w:val="0"/>
          <w:iCs w:val="0"/>
          <w:caps w:val="0"/>
          <w:smallCaps w:val="0"/>
          <w:noProof w:val="0"/>
          <w:color w:val="222222"/>
          <w:sz w:val="24"/>
          <w:szCs w:val="24"/>
          <w:lang w:val="en-US"/>
        </w:rPr>
        <w:t xml:space="preserve">: Attitude, skills, and access all matter. </w:t>
      </w:r>
      <w:r w:rsidRPr="410F0DF9" w:rsidR="48B9F88A">
        <w:rPr>
          <w:rFonts w:ascii="Arial" w:hAnsi="Arial" w:eastAsia="Arial" w:cs="Arial"/>
          <w:b w:val="0"/>
          <w:bCs w:val="0"/>
          <w:i w:val="1"/>
          <w:iCs w:val="1"/>
          <w:caps w:val="0"/>
          <w:smallCaps w:val="0"/>
          <w:noProof w:val="0"/>
          <w:color w:val="222222"/>
          <w:sz w:val="24"/>
          <w:szCs w:val="24"/>
          <w:lang w:val="en-US"/>
        </w:rPr>
        <w:t>Transportation Research Part D: Transport and Environment</w:t>
      </w:r>
      <w:r w:rsidRPr="410F0DF9" w:rsidR="48B9F88A">
        <w:rPr>
          <w:rFonts w:ascii="Arial" w:hAnsi="Arial" w:eastAsia="Arial" w:cs="Arial"/>
          <w:b w:val="0"/>
          <w:bCs w:val="0"/>
          <w:i w:val="0"/>
          <w:iCs w:val="0"/>
          <w:caps w:val="0"/>
          <w:smallCaps w:val="0"/>
          <w:noProof w:val="0"/>
          <w:color w:val="222222"/>
          <w:sz w:val="24"/>
          <w:szCs w:val="24"/>
          <w:lang w:val="en-US"/>
        </w:rPr>
        <w:t>, Volume 88, p.102566.</w:t>
      </w:r>
    </w:p>
    <w:p w:rsidR="48B9F88A" w:rsidP="410F0DF9" w:rsidRDefault="48B9F88A" w14:paraId="13D6684B" w14:textId="39A894D5">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410F0DF9" w:rsidR="48B9F88A">
        <w:rPr>
          <w:rFonts w:ascii="Arial" w:hAnsi="Arial" w:eastAsia="Arial" w:cs="Arial"/>
          <w:b w:val="0"/>
          <w:bCs w:val="0"/>
          <w:i w:val="0"/>
          <w:iCs w:val="0"/>
          <w:caps w:val="0"/>
          <w:smallCaps w:val="0"/>
          <w:noProof w:val="0"/>
          <w:color w:val="222222"/>
          <w:sz w:val="24"/>
          <w:szCs w:val="24"/>
          <w:lang w:val="en-US"/>
        </w:rPr>
        <w:t xml:space="preserve">Higgins-Desbiolles, F., (2018). Sustainable tourism: Sustaining tourism or something </w:t>
      </w:r>
      <w:r w:rsidRPr="410F0DF9" w:rsidR="48B9F88A">
        <w:rPr>
          <w:rFonts w:ascii="Arial" w:hAnsi="Arial" w:eastAsia="Arial" w:cs="Arial"/>
          <w:b w:val="0"/>
          <w:bCs w:val="0"/>
          <w:i w:val="0"/>
          <w:iCs w:val="0"/>
          <w:caps w:val="0"/>
          <w:smallCaps w:val="0"/>
          <w:noProof w:val="0"/>
          <w:color w:val="222222"/>
          <w:sz w:val="24"/>
          <w:szCs w:val="24"/>
          <w:lang w:val="en-US"/>
        </w:rPr>
        <w:t>more?.</w:t>
      </w:r>
      <w:r w:rsidRPr="410F0DF9" w:rsidR="48B9F88A">
        <w:rPr>
          <w:rFonts w:ascii="Arial" w:hAnsi="Arial" w:eastAsia="Arial" w:cs="Arial"/>
          <w:b w:val="0"/>
          <w:bCs w:val="0"/>
          <w:i w:val="0"/>
          <w:iCs w:val="0"/>
          <w:caps w:val="0"/>
          <w:smallCaps w:val="0"/>
          <w:noProof w:val="0"/>
          <w:color w:val="222222"/>
          <w:sz w:val="24"/>
          <w:szCs w:val="24"/>
          <w:lang w:val="en-US"/>
        </w:rPr>
        <w:t xml:space="preserve"> </w:t>
      </w:r>
      <w:r w:rsidRPr="410F0DF9" w:rsidR="48B9F88A">
        <w:rPr>
          <w:rFonts w:ascii="Arial" w:hAnsi="Arial" w:eastAsia="Arial" w:cs="Arial"/>
          <w:b w:val="0"/>
          <w:bCs w:val="0"/>
          <w:i w:val="1"/>
          <w:iCs w:val="1"/>
          <w:caps w:val="0"/>
          <w:smallCaps w:val="0"/>
          <w:noProof w:val="0"/>
          <w:color w:val="222222"/>
          <w:sz w:val="24"/>
          <w:szCs w:val="24"/>
          <w:lang w:val="en-US"/>
        </w:rPr>
        <w:t>Tourism management perspectives</w:t>
      </w:r>
      <w:r w:rsidRPr="410F0DF9" w:rsidR="48B9F88A">
        <w:rPr>
          <w:rFonts w:ascii="Arial" w:hAnsi="Arial" w:eastAsia="Arial" w:cs="Arial"/>
          <w:b w:val="0"/>
          <w:bCs w:val="0"/>
          <w:i w:val="0"/>
          <w:iCs w:val="0"/>
          <w:caps w:val="0"/>
          <w:smallCaps w:val="0"/>
          <w:noProof w:val="0"/>
          <w:color w:val="222222"/>
          <w:sz w:val="24"/>
          <w:szCs w:val="24"/>
          <w:lang w:val="en-US"/>
        </w:rPr>
        <w:t>, Volume 25, pp.157-160.</w:t>
      </w:r>
    </w:p>
    <w:p w:rsidR="48B9F88A" w:rsidP="410F0DF9" w:rsidRDefault="48B9F88A" w14:paraId="6E6EBB6A" w14:textId="4AD5709D">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410F0DF9" w:rsidR="48B9F88A">
        <w:rPr>
          <w:rFonts w:ascii="Arial" w:hAnsi="Arial" w:eastAsia="Arial" w:cs="Arial"/>
          <w:b w:val="0"/>
          <w:bCs w:val="0"/>
          <w:i w:val="0"/>
          <w:iCs w:val="0"/>
          <w:caps w:val="0"/>
          <w:smallCaps w:val="0"/>
          <w:noProof w:val="0"/>
          <w:color w:val="222222"/>
          <w:sz w:val="24"/>
          <w:szCs w:val="24"/>
          <w:lang w:val="en-US"/>
        </w:rPr>
        <w:t xml:space="preserve">Hu, L., Cao, J. and Yang, J., (2020). Planning for accessibility. </w:t>
      </w:r>
      <w:r w:rsidRPr="410F0DF9" w:rsidR="48B9F88A">
        <w:rPr>
          <w:rFonts w:ascii="Arial" w:hAnsi="Arial" w:eastAsia="Arial" w:cs="Arial"/>
          <w:b w:val="0"/>
          <w:bCs w:val="0"/>
          <w:i w:val="1"/>
          <w:iCs w:val="1"/>
          <w:caps w:val="0"/>
          <w:smallCaps w:val="0"/>
          <w:noProof w:val="0"/>
          <w:color w:val="222222"/>
          <w:sz w:val="24"/>
          <w:szCs w:val="24"/>
          <w:lang w:val="en-US"/>
        </w:rPr>
        <w:t>Transportation Research Part D: Transport and Environment</w:t>
      </w:r>
      <w:r w:rsidRPr="410F0DF9" w:rsidR="48B9F88A">
        <w:rPr>
          <w:rFonts w:ascii="Arial" w:hAnsi="Arial" w:eastAsia="Arial" w:cs="Arial"/>
          <w:b w:val="0"/>
          <w:bCs w:val="0"/>
          <w:i w:val="0"/>
          <w:iCs w:val="0"/>
          <w:caps w:val="0"/>
          <w:smallCaps w:val="0"/>
          <w:noProof w:val="0"/>
          <w:color w:val="222222"/>
          <w:sz w:val="24"/>
          <w:szCs w:val="24"/>
          <w:lang w:val="en-US"/>
        </w:rPr>
        <w:t>, Volume 88, p.102575.</w:t>
      </w:r>
    </w:p>
    <w:p w:rsidR="48B9F88A" w:rsidP="410F0DF9" w:rsidRDefault="48B9F88A" w14:paraId="4EF94495" w14:textId="58AB03A0">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Konuk, F.A. (2019) ‘The influence of perceived food quality, price fairness, perceived value and satisfaction on customers’ revisit and word-of-mouth intentions towards organic food restaurants’,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Journal of Retailing and Consumer Services</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Volume 50, pp. 103–110. </w:t>
      </w:r>
    </w:p>
    <w:p w:rsidR="48B9F88A" w:rsidP="410F0DF9" w:rsidRDefault="48B9F88A" w14:paraId="10AAD2EA" w14:textId="29D87714">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Museum Cardiff (2023)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April 2022 - March 2023</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Museum Wales</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410F0DF9" w:rsidR="48B9F88A">
        <w:rPr>
          <w:rFonts w:ascii="Arial" w:hAnsi="Arial" w:eastAsia="Arial" w:cs="Arial"/>
          <w:b w:val="0"/>
          <w:bCs w:val="0"/>
          <w:i w:val="0"/>
          <w:iCs w:val="0"/>
          <w:caps w:val="0"/>
          <w:smallCaps w:val="0"/>
          <w:strike w:val="0"/>
          <w:dstrike w:val="0"/>
          <w:noProof w:val="0"/>
          <w:sz w:val="24"/>
          <w:szCs w:val="24"/>
          <w:lang w:val="en-US"/>
        </w:rPr>
        <w:t>https://museum.wales/visitor_figures/april-2022-march-2023/</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09 June 2023).</w:t>
      </w:r>
    </w:p>
    <w:p w:rsidR="48B9F88A" w:rsidP="410F0DF9" w:rsidRDefault="48B9F88A" w14:paraId="34AADB53" w14:textId="34EA8D53">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Nixon, D.O. (2020)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Changing lives in reading</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Lehigh Valley Business</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410F0DF9" w:rsidR="48B9F88A">
        <w:rPr>
          <w:rFonts w:ascii="Arial" w:hAnsi="Arial" w:eastAsia="Arial" w:cs="Arial"/>
          <w:b w:val="0"/>
          <w:bCs w:val="0"/>
          <w:i w:val="0"/>
          <w:iCs w:val="0"/>
          <w:caps w:val="0"/>
          <w:smallCaps w:val="0"/>
          <w:strike w:val="0"/>
          <w:dstrike w:val="0"/>
          <w:noProof w:val="0"/>
          <w:sz w:val="24"/>
          <w:szCs w:val="24"/>
          <w:lang w:val="en-US"/>
        </w:rPr>
        <w:t>https://lvb.com/changing-lives-reading/</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09 June 2023).</w:t>
      </w:r>
    </w:p>
    <w:p w:rsidR="48B9F88A" w:rsidP="410F0DF9" w:rsidRDefault="48B9F88A" w14:paraId="0218A2EB" w14:textId="5F1AC443">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410F0DF9" w:rsidR="48B9F88A">
        <w:rPr>
          <w:rFonts w:ascii="Arial" w:hAnsi="Arial" w:eastAsia="Arial" w:cs="Arial"/>
          <w:b w:val="0"/>
          <w:bCs w:val="0"/>
          <w:i w:val="0"/>
          <w:iCs w:val="0"/>
          <w:caps w:val="0"/>
          <w:smallCaps w:val="0"/>
          <w:noProof w:val="0"/>
          <w:color w:val="222222"/>
          <w:sz w:val="24"/>
          <w:szCs w:val="24"/>
          <w:lang w:val="en-US"/>
        </w:rPr>
        <w:t xml:space="preserve">Oad, S. and Memon, R.M., (2021). Cultural resources: tourism and its impact on </w:t>
      </w:r>
      <w:r w:rsidRPr="410F0DF9" w:rsidR="48B9F88A">
        <w:rPr>
          <w:rFonts w:ascii="Arial" w:hAnsi="Arial" w:eastAsia="Arial" w:cs="Arial"/>
          <w:b w:val="0"/>
          <w:bCs w:val="0"/>
          <w:i w:val="0"/>
          <w:iCs w:val="0"/>
          <w:caps w:val="0"/>
          <w:smallCaps w:val="0"/>
          <w:noProof w:val="0"/>
          <w:color w:val="222222"/>
          <w:sz w:val="24"/>
          <w:szCs w:val="24"/>
          <w:lang w:val="en-US"/>
        </w:rPr>
        <w:t>environment</w:t>
      </w:r>
      <w:r w:rsidRPr="410F0DF9" w:rsidR="48B9F88A">
        <w:rPr>
          <w:rFonts w:ascii="Arial" w:hAnsi="Arial" w:eastAsia="Arial" w:cs="Arial"/>
          <w:b w:val="0"/>
          <w:bCs w:val="0"/>
          <w:i w:val="0"/>
          <w:iCs w:val="0"/>
          <w:caps w:val="0"/>
          <w:smallCaps w:val="0"/>
          <w:noProof w:val="0"/>
          <w:color w:val="222222"/>
          <w:sz w:val="24"/>
          <w:szCs w:val="24"/>
          <w:lang w:val="en-US"/>
        </w:rPr>
        <w:t xml:space="preserve">. </w:t>
      </w:r>
      <w:r w:rsidRPr="410F0DF9" w:rsidR="48B9F88A">
        <w:rPr>
          <w:rFonts w:ascii="Arial" w:hAnsi="Arial" w:eastAsia="Arial" w:cs="Arial"/>
          <w:b w:val="0"/>
          <w:bCs w:val="0"/>
          <w:i w:val="1"/>
          <w:iCs w:val="1"/>
          <w:caps w:val="0"/>
          <w:smallCaps w:val="0"/>
          <w:noProof w:val="0"/>
          <w:color w:val="222222"/>
          <w:sz w:val="24"/>
          <w:szCs w:val="24"/>
          <w:lang w:val="en-US"/>
        </w:rPr>
        <w:t>Pakistan Journal of Agricultural Sciences</w:t>
      </w:r>
      <w:r w:rsidRPr="410F0DF9" w:rsidR="48B9F88A">
        <w:rPr>
          <w:rFonts w:ascii="Arial" w:hAnsi="Arial" w:eastAsia="Arial" w:cs="Arial"/>
          <w:b w:val="0"/>
          <w:bCs w:val="0"/>
          <w:i w:val="0"/>
          <w:iCs w:val="0"/>
          <w:caps w:val="0"/>
          <w:smallCaps w:val="0"/>
          <w:noProof w:val="0"/>
          <w:color w:val="222222"/>
          <w:sz w:val="24"/>
          <w:szCs w:val="24"/>
          <w:lang w:val="en-US"/>
        </w:rPr>
        <w:t>, Volume 58, No. 6.</w:t>
      </w:r>
    </w:p>
    <w:p w:rsidR="48B9F88A" w:rsidP="410F0DF9" w:rsidRDefault="48B9F88A" w14:paraId="5A6180BE" w14:textId="5282297C">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Office for National Statistics (2023)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 xml:space="preserve">How life has changed in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cardiff</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 xml:space="preserve">: Census 2021 </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r w:rsidRPr="410F0DF9" w:rsidR="48B9F88A">
        <w:rPr>
          <w:rFonts w:ascii="Arial" w:hAnsi="Arial" w:eastAsia="Arial" w:cs="Arial"/>
          <w:b w:val="0"/>
          <w:bCs w:val="0"/>
          <w:i w:val="0"/>
          <w:iCs w:val="0"/>
          <w:caps w:val="0"/>
          <w:smallCaps w:val="0"/>
          <w:strike w:val="0"/>
          <w:dstrike w:val="0"/>
          <w:noProof w:val="0"/>
          <w:sz w:val="24"/>
          <w:szCs w:val="24"/>
          <w:lang w:val="en-US"/>
        </w:rPr>
        <w:t>https://www.ons.gov.uk/visualisations/censusareachanges/W06000015/</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09 June 2023).</w:t>
      </w:r>
    </w:p>
    <w:p w:rsidR="48B9F88A" w:rsidP="410F0DF9" w:rsidRDefault="48B9F88A" w14:paraId="483411C3" w14:textId="66A2BC3C">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Qiu, W.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et al.</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(2023) ‘What do tourists look like to destination residents? development of a tourist image scale from a high cultural distance perspective’,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Journal of Retailing and Consumer Services</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Volume 70, p. 103140.</w:t>
      </w:r>
    </w:p>
    <w:p w:rsidR="48B9F88A" w:rsidP="410F0DF9" w:rsidRDefault="48B9F88A" w14:paraId="0CD81E5F" w14:textId="3325196F">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Ribeiro, M.A.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et al.</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(2017) ‘Residents’ attitudes and the adoption of pro-tourism </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behaviours</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The case of developing island countries’,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Tourism Management</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Volume 61, pp. 523–537.</w:t>
      </w:r>
    </w:p>
    <w:p w:rsidR="48B9F88A" w:rsidP="410F0DF9" w:rsidRDefault="48B9F88A" w14:paraId="07E9437B" w14:textId="3E61B9F0">
      <w:pPr>
        <w:spacing w:after="160" w:line="259" w:lineRule="auto"/>
        <w:ind w:left="567" w:hanging="567"/>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The Guardian (2022) ‘Millions forced to skip meals as UK cost of living crisis deepens’, October.</w:t>
      </w:r>
    </w:p>
    <w:p w:rsidR="48B9F88A" w:rsidP="410F0DF9" w:rsidRDefault="48B9F88A" w14:paraId="26F7B386" w14:textId="6629A6D0">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Visit Cardiff (2022)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Visit Cardiff</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410F0DF9" w:rsidR="48B9F88A">
        <w:rPr>
          <w:rFonts w:ascii="Arial" w:hAnsi="Arial" w:eastAsia="Arial" w:cs="Arial"/>
          <w:b w:val="0"/>
          <w:bCs w:val="0"/>
          <w:i w:val="0"/>
          <w:iCs w:val="0"/>
          <w:caps w:val="0"/>
          <w:smallCaps w:val="0"/>
          <w:strike w:val="0"/>
          <w:dstrike w:val="0"/>
          <w:noProof w:val="0"/>
          <w:sz w:val="24"/>
          <w:szCs w:val="24"/>
          <w:lang w:val="en-US"/>
        </w:rPr>
        <w:t>https://www.visitcardiff.com/app/uploads/2022/02/Visit-Cardiff-Brochure.pdf</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07 June 2023).</w:t>
      </w:r>
    </w:p>
    <w:p w:rsidR="48B9F88A" w:rsidP="410F0DF9" w:rsidRDefault="48B9F88A" w14:paraId="584ADF5D" w14:textId="13C768F4">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UNWTO (no date)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World Tourism Organization</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UNWTO</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410F0DF9" w:rsidR="48B9F88A">
        <w:rPr>
          <w:rFonts w:ascii="Arial" w:hAnsi="Arial" w:eastAsia="Arial" w:cs="Arial"/>
          <w:b w:val="0"/>
          <w:bCs w:val="0"/>
          <w:i w:val="0"/>
          <w:iCs w:val="0"/>
          <w:caps w:val="0"/>
          <w:smallCaps w:val="0"/>
          <w:strike w:val="0"/>
          <w:dstrike w:val="0"/>
          <w:noProof w:val="0"/>
          <w:sz w:val="24"/>
          <w:szCs w:val="24"/>
          <w:lang w:val="en-US"/>
        </w:rPr>
        <w:t>https://www.unwto.org/urban-tourism</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07 June 2023).</w:t>
      </w:r>
    </w:p>
    <w:p w:rsidR="48B9F88A" w:rsidP="410F0DF9" w:rsidRDefault="48B9F88A" w14:paraId="24688C2C" w14:textId="3B28253A">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410F0DF9" w:rsidR="48B9F8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World Commission on Environment and Development</w:t>
      </w:r>
      <w:r w:rsidRPr="410F0DF9" w:rsidR="48B9F88A">
        <w:rPr>
          <w:rFonts w:ascii="Arial" w:hAnsi="Arial" w:eastAsia="Arial" w:cs="Arial"/>
          <w:b w:val="0"/>
          <w:bCs w:val="0"/>
          <w:i w:val="0"/>
          <w:iCs w:val="0"/>
          <w:caps w:val="0"/>
          <w:smallCaps w:val="0"/>
          <w:noProof w:val="0"/>
          <w:color w:val="222222"/>
          <w:sz w:val="24"/>
          <w:szCs w:val="24"/>
          <w:lang w:val="en-US"/>
        </w:rPr>
        <w:t xml:space="preserve">, S.W.S., (1987). World commission on environment and development. </w:t>
      </w:r>
      <w:r w:rsidRPr="410F0DF9" w:rsidR="48B9F88A">
        <w:rPr>
          <w:rFonts w:ascii="Arial" w:hAnsi="Arial" w:eastAsia="Arial" w:cs="Arial"/>
          <w:b w:val="0"/>
          <w:bCs w:val="0"/>
          <w:i w:val="1"/>
          <w:iCs w:val="1"/>
          <w:caps w:val="0"/>
          <w:smallCaps w:val="0"/>
          <w:noProof w:val="0"/>
          <w:color w:val="222222"/>
          <w:sz w:val="24"/>
          <w:szCs w:val="24"/>
          <w:lang w:val="en-US"/>
        </w:rPr>
        <w:t>Our common future</w:t>
      </w:r>
      <w:r w:rsidRPr="410F0DF9" w:rsidR="48B9F88A">
        <w:rPr>
          <w:rFonts w:ascii="Arial" w:hAnsi="Arial" w:eastAsia="Arial" w:cs="Arial"/>
          <w:b w:val="0"/>
          <w:bCs w:val="0"/>
          <w:i w:val="0"/>
          <w:iCs w:val="0"/>
          <w:caps w:val="0"/>
          <w:smallCaps w:val="0"/>
          <w:noProof w:val="0"/>
          <w:color w:val="222222"/>
          <w:sz w:val="24"/>
          <w:szCs w:val="24"/>
          <w:lang w:val="en-US"/>
        </w:rPr>
        <w:t>, Volume 17, No. 1, pp.1-91.</w:t>
      </w:r>
    </w:p>
    <w:p w:rsidR="48B9F88A" w:rsidP="410F0DF9" w:rsidRDefault="48B9F88A" w14:paraId="1E5DE8DB" w14:textId="30EC3D60">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410F0DF9" w:rsidR="48B9F88A">
        <w:rPr>
          <w:rFonts w:ascii="Arial" w:hAnsi="Arial" w:eastAsia="Arial" w:cs="Arial"/>
          <w:b w:val="0"/>
          <w:bCs w:val="0"/>
          <w:i w:val="0"/>
          <w:iCs w:val="0"/>
          <w:caps w:val="0"/>
          <w:smallCaps w:val="0"/>
          <w:noProof w:val="0"/>
          <w:color w:val="222222"/>
          <w:sz w:val="24"/>
          <w:szCs w:val="24"/>
          <w:lang w:val="en-US"/>
        </w:rPr>
        <w:t xml:space="preserve">Xing, J., Ren, P. and Ling, J., (2015). Analysis of energy efficiency retrofit scheme for hotel buildings using </w:t>
      </w:r>
      <w:r w:rsidRPr="410F0DF9" w:rsidR="48B9F88A">
        <w:rPr>
          <w:rFonts w:ascii="Arial" w:hAnsi="Arial" w:eastAsia="Arial" w:cs="Arial"/>
          <w:b w:val="0"/>
          <w:bCs w:val="0"/>
          <w:i w:val="0"/>
          <w:iCs w:val="0"/>
          <w:caps w:val="0"/>
          <w:smallCaps w:val="0"/>
          <w:noProof w:val="0"/>
          <w:color w:val="222222"/>
          <w:sz w:val="24"/>
          <w:szCs w:val="24"/>
          <w:lang w:val="en-US"/>
        </w:rPr>
        <w:t>eQuest</w:t>
      </w:r>
      <w:r w:rsidRPr="410F0DF9" w:rsidR="48B9F88A">
        <w:rPr>
          <w:rFonts w:ascii="Arial" w:hAnsi="Arial" w:eastAsia="Arial" w:cs="Arial"/>
          <w:b w:val="0"/>
          <w:bCs w:val="0"/>
          <w:i w:val="0"/>
          <w:iCs w:val="0"/>
          <w:caps w:val="0"/>
          <w:smallCaps w:val="0"/>
          <w:noProof w:val="0"/>
          <w:color w:val="222222"/>
          <w:sz w:val="24"/>
          <w:szCs w:val="24"/>
          <w:lang w:val="en-US"/>
        </w:rPr>
        <w:t xml:space="preserve"> software: A case study from Tianjin, China. </w:t>
      </w:r>
      <w:r w:rsidRPr="410F0DF9" w:rsidR="48B9F88A">
        <w:rPr>
          <w:rFonts w:ascii="Arial" w:hAnsi="Arial" w:eastAsia="Arial" w:cs="Arial"/>
          <w:b w:val="0"/>
          <w:bCs w:val="0"/>
          <w:i w:val="1"/>
          <w:iCs w:val="1"/>
          <w:caps w:val="0"/>
          <w:smallCaps w:val="0"/>
          <w:noProof w:val="0"/>
          <w:color w:val="222222"/>
          <w:sz w:val="24"/>
          <w:szCs w:val="24"/>
          <w:lang w:val="en-US"/>
        </w:rPr>
        <w:t>Energy and Buildings</w:t>
      </w:r>
      <w:r w:rsidRPr="410F0DF9" w:rsidR="48B9F88A">
        <w:rPr>
          <w:rFonts w:ascii="Arial" w:hAnsi="Arial" w:eastAsia="Arial" w:cs="Arial"/>
          <w:b w:val="0"/>
          <w:bCs w:val="0"/>
          <w:i w:val="0"/>
          <w:iCs w:val="0"/>
          <w:caps w:val="0"/>
          <w:smallCaps w:val="0"/>
          <w:noProof w:val="0"/>
          <w:color w:val="222222"/>
          <w:sz w:val="24"/>
          <w:szCs w:val="24"/>
          <w:lang w:val="en-US"/>
        </w:rPr>
        <w:t>, Volume 87, pp.14-24.</w:t>
      </w:r>
    </w:p>
    <w:p w:rsidR="48B9F88A" w:rsidP="410F0DF9" w:rsidRDefault="48B9F88A" w14:paraId="659356D3" w14:textId="0FA3DF91">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410F0DF9" w:rsidR="48B9F88A">
        <w:rPr>
          <w:rFonts w:ascii="Arial" w:hAnsi="Arial" w:eastAsia="Arial" w:cs="Arial"/>
          <w:b w:val="0"/>
          <w:bCs w:val="0"/>
          <w:i w:val="0"/>
          <w:iCs w:val="0"/>
          <w:caps w:val="0"/>
          <w:smallCaps w:val="0"/>
          <w:noProof w:val="0"/>
          <w:color w:val="222222"/>
          <w:sz w:val="24"/>
          <w:szCs w:val="24"/>
          <w:lang w:val="en-US"/>
        </w:rPr>
        <w:t xml:space="preserve">Yu, Y., Li, </w:t>
      </w:r>
      <w:r w:rsidRPr="410F0DF9" w:rsidR="48B9F88A">
        <w:rPr>
          <w:rFonts w:ascii="Arial" w:hAnsi="Arial" w:eastAsia="Arial" w:cs="Arial"/>
          <w:b w:val="0"/>
          <w:bCs w:val="0"/>
          <w:i w:val="0"/>
          <w:iCs w:val="0"/>
          <w:caps w:val="0"/>
          <w:smallCaps w:val="0"/>
          <w:noProof w:val="0"/>
          <w:color w:val="222222"/>
          <w:sz w:val="24"/>
          <w:szCs w:val="24"/>
          <w:lang w:val="en-US"/>
        </w:rPr>
        <w:t>X.</w:t>
      </w:r>
      <w:r w:rsidRPr="410F0DF9" w:rsidR="48B9F88A">
        <w:rPr>
          <w:rFonts w:ascii="Arial" w:hAnsi="Arial" w:eastAsia="Arial" w:cs="Arial"/>
          <w:b w:val="0"/>
          <w:bCs w:val="0"/>
          <w:i w:val="0"/>
          <w:iCs w:val="0"/>
          <w:caps w:val="0"/>
          <w:smallCaps w:val="0"/>
          <w:noProof w:val="0"/>
          <w:color w:val="222222"/>
          <w:sz w:val="24"/>
          <w:szCs w:val="24"/>
          <w:lang w:val="en-US"/>
        </w:rPr>
        <w:t xml:space="preserve"> and Jai, T.M., (2017). The impact of green experience on customer satisfaction: Evidence from TripAdvisor. </w:t>
      </w:r>
      <w:r w:rsidRPr="410F0DF9" w:rsidR="48B9F88A">
        <w:rPr>
          <w:rFonts w:ascii="Arial" w:hAnsi="Arial" w:eastAsia="Arial" w:cs="Arial"/>
          <w:b w:val="0"/>
          <w:bCs w:val="0"/>
          <w:i w:val="1"/>
          <w:iCs w:val="1"/>
          <w:caps w:val="0"/>
          <w:smallCaps w:val="0"/>
          <w:noProof w:val="0"/>
          <w:color w:val="222222"/>
          <w:sz w:val="24"/>
          <w:szCs w:val="24"/>
          <w:lang w:val="en-US"/>
        </w:rPr>
        <w:t>International Journal of Contemporary Hospitality Management</w:t>
      </w:r>
      <w:r w:rsidRPr="410F0DF9" w:rsidR="48B9F88A">
        <w:rPr>
          <w:rFonts w:ascii="Arial" w:hAnsi="Arial" w:eastAsia="Arial" w:cs="Arial"/>
          <w:b w:val="0"/>
          <w:bCs w:val="0"/>
          <w:i w:val="0"/>
          <w:iCs w:val="0"/>
          <w:caps w:val="0"/>
          <w:smallCaps w:val="0"/>
          <w:noProof w:val="0"/>
          <w:color w:val="222222"/>
          <w:sz w:val="24"/>
          <w:szCs w:val="24"/>
          <w:lang w:val="en-US"/>
        </w:rPr>
        <w:t>, Volume 29, No. 5, pp.1340-1361.</w:t>
      </w:r>
    </w:p>
    <w:p w:rsidR="48B9F88A" w:rsidP="410F0DF9" w:rsidRDefault="48B9F88A" w14:paraId="0D12211B" w14:textId="5FEACF30">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410F0DF9" w:rsidR="48B9F88A">
        <w:rPr>
          <w:rFonts w:ascii="Arial" w:hAnsi="Arial" w:eastAsia="Arial" w:cs="Arial"/>
          <w:b w:val="0"/>
          <w:bCs w:val="0"/>
          <w:i w:val="0"/>
          <w:iCs w:val="0"/>
          <w:caps w:val="0"/>
          <w:smallCaps w:val="0"/>
          <w:noProof w:val="0"/>
          <w:color w:val="222222"/>
          <w:sz w:val="24"/>
          <w:szCs w:val="24"/>
          <w:lang w:val="en-US"/>
        </w:rPr>
        <w:t>Zientara, P., Adamska-</w:t>
      </w:r>
      <w:r w:rsidRPr="410F0DF9" w:rsidR="48B9F88A">
        <w:rPr>
          <w:rFonts w:ascii="Arial" w:hAnsi="Arial" w:eastAsia="Arial" w:cs="Arial"/>
          <w:b w:val="0"/>
          <w:bCs w:val="0"/>
          <w:i w:val="0"/>
          <w:iCs w:val="0"/>
          <w:caps w:val="0"/>
          <w:smallCaps w:val="0"/>
          <w:noProof w:val="0"/>
          <w:color w:val="222222"/>
          <w:sz w:val="24"/>
          <w:szCs w:val="24"/>
          <w:lang w:val="en-US"/>
        </w:rPr>
        <w:t>Mieruszewska</w:t>
      </w:r>
      <w:r w:rsidRPr="410F0DF9" w:rsidR="48B9F88A">
        <w:rPr>
          <w:rFonts w:ascii="Arial" w:hAnsi="Arial" w:eastAsia="Arial" w:cs="Arial"/>
          <w:b w:val="0"/>
          <w:bCs w:val="0"/>
          <w:i w:val="0"/>
          <w:iCs w:val="0"/>
          <w:caps w:val="0"/>
          <w:smallCaps w:val="0"/>
          <w:noProof w:val="0"/>
          <w:color w:val="222222"/>
          <w:sz w:val="24"/>
          <w:szCs w:val="24"/>
          <w:lang w:val="en-US"/>
        </w:rPr>
        <w:t xml:space="preserve">, J. and </w:t>
      </w:r>
      <w:r w:rsidRPr="410F0DF9" w:rsidR="48B9F88A">
        <w:rPr>
          <w:rFonts w:ascii="Arial" w:hAnsi="Arial" w:eastAsia="Arial" w:cs="Arial"/>
          <w:b w:val="0"/>
          <w:bCs w:val="0"/>
          <w:i w:val="0"/>
          <w:iCs w:val="0"/>
          <w:caps w:val="0"/>
          <w:smallCaps w:val="0"/>
          <w:noProof w:val="0"/>
          <w:color w:val="222222"/>
          <w:sz w:val="24"/>
          <w:szCs w:val="24"/>
          <w:lang w:val="en-US"/>
        </w:rPr>
        <w:t>Bąk</w:t>
      </w:r>
      <w:r w:rsidRPr="410F0DF9" w:rsidR="48B9F88A">
        <w:rPr>
          <w:rFonts w:ascii="Arial" w:hAnsi="Arial" w:eastAsia="Arial" w:cs="Arial"/>
          <w:b w:val="0"/>
          <w:bCs w:val="0"/>
          <w:i w:val="0"/>
          <w:iCs w:val="0"/>
          <w:caps w:val="0"/>
          <w:smallCaps w:val="0"/>
          <w:noProof w:val="0"/>
          <w:color w:val="222222"/>
          <w:sz w:val="24"/>
          <w:szCs w:val="24"/>
          <w:lang w:val="en-US"/>
        </w:rPr>
        <w:t xml:space="preserve">, M., (2022). Factors Affecting Hospitality Workers’ Intention to Leave the Industry during the Coronavirus Pandemic. Evidence from the UK. </w:t>
      </w:r>
      <w:r w:rsidRPr="410F0DF9" w:rsidR="48B9F88A">
        <w:rPr>
          <w:rFonts w:ascii="Arial" w:hAnsi="Arial" w:eastAsia="Arial" w:cs="Arial"/>
          <w:b w:val="0"/>
          <w:bCs w:val="0"/>
          <w:i w:val="1"/>
          <w:iCs w:val="1"/>
          <w:caps w:val="0"/>
          <w:smallCaps w:val="0"/>
          <w:noProof w:val="0"/>
          <w:color w:val="222222"/>
          <w:sz w:val="24"/>
          <w:szCs w:val="24"/>
          <w:lang w:val="en-US"/>
        </w:rPr>
        <w:t>Journal of Quality Assurance in Hospitality &amp; Tourism</w:t>
      </w:r>
      <w:r w:rsidRPr="410F0DF9" w:rsidR="48B9F88A">
        <w:rPr>
          <w:rFonts w:ascii="Arial" w:hAnsi="Arial" w:eastAsia="Arial" w:cs="Arial"/>
          <w:b w:val="0"/>
          <w:bCs w:val="0"/>
          <w:i w:val="0"/>
          <w:iCs w:val="0"/>
          <w:caps w:val="0"/>
          <w:smallCaps w:val="0"/>
          <w:noProof w:val="0"/>
          <w:color w:val="222222"/>
          <w:sz w:val="24"/>
          <w:szCs w:val="24"/>
          <w:lang w:val="en-US"/>
        </w:rPr>
        <w:t>, pp.1-34.</w:t>
      </w:r>
    </w:p>
    <w:p w:rsidR="48B9F88A" w:rsidP="410F0DF9" w:rsidRDefault="48B9F88A" w14:paraId="1F628463" w14:textId="1F4D1389">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Zleep</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Hotels (2018)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Huge success with electric cars to and from Hotel</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Zleep</w:t>
      </w:r>
      <w:r w:rsidRPr="410F0DF9" w:rsidR="48B9F88A">
        <w:rPr>
          <w:rFonts w:ascii="Arial" w:hAnsi="Arial" w:eastAsia="Arial" w:cs="Arial"/>
          <w:b w:val="0"/>
          <w:bCs w:val="0"/>
          <w:i w:val="1"/>
          <w:iCs w:val="1"/>
          <w:caps w:val="0"/>
          <w:smallCaps w:val="0"/>
          <w:noProof w:val="0"/>
          <w:color w:val="000000" w:themeColor="text1" w:themeTint="FF" w:themeShade="FF"/>
          <w:sz w:val="24"/>
          <w:szCs w:val="24"/>
          <w:lang w:val="en-US"/>
        </w:rPr>
        <w:t xml:space="preserve"> Hotels</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410F0DF9" w:rsidR="48B9F88A">
        <w:rPr>
          <w:rFonts w:ascii="Arial" w:hAnsi="Arial" w:eastAsia="Arial" w:cs="Arial"/>
          <w:b w:val="0"/>
          <w:bCs w:val="0"/>
          <w:i w:val="0"/>
          <w:iCs w:val="0"/>
          <w:caps w:val="0"/>
          <w:smallCaps w:val="0"/>
          <w:strike w:val="0"/>
          <w:dstrike w:val="0"/>
          <w:noProof w:val="0"/>
          <w:sz w:val="24"/>
          <w:szCs w:val="24"/>
          <w:lang w:val="en-US"/>
        </w:rPr>
        <w:t>https://www.zleep.com/en/offer/huge-success-with-electric-cars-to-and-from-hotel/</w:t>
      </w:r>
      <w:r w:rsidRPr="410F0DF9" w:rsidR="48B9F88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08 June 2023).</w:t>
      </w:r>
    </w:p>
    <w:p w:rsidR="410F0DF9" w:rsidP="410F0DF9" w:rsidRDefault="410F0DF9" w14:paraId="36149A4C" w14:textId="067C306E">
      <w:pPr>
        <w:spacing w:after="160" w:line="259" w:lineRule="auto"/>
        <w:ind w:left="0" w:hanging="0"/>
        <w:rPr>
          <w:rFonts w:ascii="Calibri" w:hAnsi="Calibri" w:eastAsia="Calibri" w:cs="Calibri"/>
          <w:b w:val="0"/>
          <w:bCs w:val="0"/>
          <w:i w:val="0"/>
          <w:iCs w:val="0"/>
          <w:caps w:val="0"/>
          <w:smallCaps w:val="0"/>
          <w:noProof w:val="0"/>
          <w:color w:val="000000" w:themeColor="text1" w:themeTint="FF" w:themeShade="FF"/>
          <w:sz w:val="22"/>
          <w:szCs w:val="22"/>
          <w:lang w:val="en-US"/>
        </w:rPr>
      </w:pPr>
    </w:p>
    <w:p w:rsidR="410F0DF9" w:rsidP="410F0DF9" w:rsidRDefault="410F0DF9" w14:paraId="039CDE23" w14:textId="7B8C2FF8">
      <w:pPr>
        <w:pStyle w:val="Normal"/>
      </w:pPr>
    </w:p>
    <w:sectPr>
      <w:pgSz w:w="12240" w:h="15840" w:orient="portrait"/>
      <w:pgMar w:top="1440" w:right="1440" w:bottom="1440" w:left="1440" w:header="720" w:footer="720" w:gutter="0"/>
      <w:cols w:space="720"/>
      <w:docGrid w:linePitch="360"/>
      <w:headerReference w:type="default" r:id="Rd97a7a5de12740ec"/>
      <w:footerReference w:type="default" r:id="R2e29b700bc264e7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tblGrid>
    <w:tr w:rsidR="410F0DF9" w:rsidTr="410F0DF9" w14:paraId="283A3779">
      <w:trPr>
        <w:trHeight w:val="300"/>
      </w:trPr>
      <w:tc>
        <w:tcPr>
          <w:tcW w:w="3120" w:type="dxa"/>
          <w:tcMar/>
        </w:tcPr>
        <w:p w:rsidR="410F0DF9" w:rsidP="410F0DF9" w:rsidRDefault="410F0DF9" w14:paraId="4375979D" w14:textId="7C17692E">
          <w:pPr>
            <w:pStyle w:val="Header"/>
            <w:bidi w:val="0"/>
            <w:ind w:left="-115"/>
            <w:jc w:val="left"/>
          </w:pPr>
        </w:p>
      </w:tc>
      <w:tc>
        <w:tcPr>
          <w:tcW w:w="3120" w:type="dxa"/>
          <w:tcMar/>
        </w:tcPr>
        <w:p w:rsidR="410F0DF9" w:rsidP="410F0DF9" w:rsidRDefault="410F0DF9" w14:paraId="529E6B62" w14:textId="3E459DE5">
          <w:pPr>
            <w:pStyle w:val="Header"/>
            <w:bidi w:val="0"/>
            <w:jc w:val="center"/>
          </w:pPr>
        </w:p>
      </w:tc>
    </w:tr>
  </w:tbl>
  <w:p w:rsidR="410F0DF9" w:rsidP="410F0DF9" w:rsidRDefault="410F0DF9" w14:paraId="126205D6" w14:textId="0DDCB5F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10F0DF9" w:rsidTr="410F0DF9" w14:paraId="70A57095">
      <w:trPr>
        <w:trHeight w:val="300"/>
      </w:trPr>
      <w:tc>
        <w:tcPr>
          <w:tcW w:w="3120" w:type="dxa"/>
          <w:tcMar/>
        </w:tcPr>
        <w:p w:rsidR="410F0DF9" w:rsidP="410F0DF9" w:rsidRDefault="410F0DF9" w14:paraId="47ADAE52" w14:textId="6DABF9B5">
          <w:pPr>
            <w:pStyle w:val="Header"/>
            <w:bidi w:val="0"/>
            <w:ind w:left="-115"/>
            <w:jc w:val="left"/>
          </w:pPr>
        </w:p>
      </w:tc>
      <w:tc>
        <w:tcPr>
          <w:tcW w:w="3120" w:type="dxa"/>
          <w:tcMar/>
        </w:tcPr>
        <w:p w:rsidR="410F0DF9" w:rsidP="410F0DF9" w:rsidRDefault="410F0DF9" w14:paraId="3B68C694" w14:textId="438725D0">
          <w:pPr>
            <w:pStyle w:val="Header"/>
            <w:bidi w:val="0"/>
            <w:jc w:val="center"/>
          </w:pPr>
        </w:p>
      </w:tc>
      <w:tc>
        <w:tcPr>
          <w:tcW w:w="3120" w:type="dxa"/>
          <w:tcMar/>
        </w:tcPr>
        <w:p w:rsidR="410F0DF9" w:rsidP="410F0DF9" w:rsidRDefault="410F0DF9" w14:paraId="21E19071" w14:textId="6F34E129">
          <w:pPr>
            <w:pStyle w:val="Header"/>
            <w:bidi w:val="0"/>
            <w:ind w:right="-115"/>
            <w:jc w:val="right"/>
          </w:pPr>
        </w:p>
      </w:tc>
    </w:tr>
  </w:tbl>
  <w:p w:rsidR="410F0DF9" w:rsidP="410F0DF9" w:rsidRDefault="410F0DF9" w14:paraId="2554BAD0" w14:textId="31B9417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83C0CF"/>
    <w:rsid w:val="05F621EE"/>
    <w:rsid w:val="06586F1F"/>
    <w:rsid w:val="0791F24F"/>
    <w:rsid w:val="0EFCE351"/>
    <w:rsid w:val="0F575781"/>
    <w:rsid w:val="106D70A3"/>
    <w:rsid w:val="15C4D5A4"/>
    <w:rsid w:val="20420E0A"/>
    <w:rsid w:val="222992F5"/>
    <w:rsid w:val="24E03C7E"/>
    <w:rsid w:val="27123FF9"/>
    <w:rsid w:val="27260686"/>
    <w:rsid w:val="2C83C0CF"/>
    <w:rsid w:val="2D2D4D7B"/>
    <w:rsid w:val="3045114E"/>
    <w:rsid w:val="34FD5C3F"/>
    <w:rsid w:val="3BFB04DC"/>
    <w:rsid w:val="404F81A4"/>
    <w:rsid w:val="410F0DF9"/>
    <w:rsid w:val="41BDA72C"/>
    <w:rsid w:val="47BE398F"/>
    <w:rsid w:val="48B9F88A"/>
    <w:rsid w:val="495A09F0"/>
    <w:rsid w:val="4AF5DA51"/>
    <w:rsid w:val="51070987"/>
    <w:rsid w:val="5A06ECC7"/>
    <w:rsid w:val="5A23D588"/>
    <w:rsid w:val="5BFFC10E"/>
    <w:rsid w:val="5C9693A5"/>
    <w:rsid w:val="5DCABF75"/>
    <w:rsid w:val="5FCE3467"/>
    <w:rsid w:val="60FD0F0B"/>
    <w:rsid w:val="6305D529"/>
    <w:rsid w:val="656B9C48"/>
    <w:rsid w:val="779CE36C"/>
    <w:rsid w:val="78E1CB48"/>
    <w:rsid w:val="7A7EFD6A"/>
    <w:rsid w:val="7D9D75CF"/>
    <w:rsid w:val="7DB69E2C"/>
    <w:rsid w:val="7E4211BA"/>
    <w:rsid w:val="7F394630"/>
    <w:rsid w:val="7F3946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23E5C"/>
  <w15:chartTrackingRefBased/>
  <w15:docId w15:val="{DFF8A885-02F9-4F67-84F2-9F0A372CB6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glossaryDocument" Target="glossary/document.xml" Id="R20199025b30b4ca2" /><Relationship Type="http://schemas.openxmlformats.org/officeDocument/2006/relationships/header" Target="header.xml" Id="Rd97a7a5de12740ec" /><Relationship Type="http://schemas.openxmlformats.org/officeDocument/2006/relationships/footer" Target="footer.xml" Id="R2e29b700bc264e7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904f360-89d4-4fbd-9995-bf560edbd614}"/>
      </w:docPartPr>
      <w:docPartBody>
        <w:p w14:paraId="17ADAD98">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2023-06-13T04:05:39.9741310Z</dcterms:created>
  <dcterms:modified xsi:type="dcterms:W3CDTF">2023-06-13T20:04:22.6497358Z</dcterms:modified>
  <dc:creator>Cornel Iurea (1817181)</dc:creator>
  <lastModifiedBy>Cornel Iurea (1817181)</lastModifiedBy>
</coreProperties>
</file>