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240" w:after="360"/>
      </w:pPr>
      <w:r>
        <w:rPr>
          <w:rtl w:val="0"/>
          <w:lang w:val="en-US"/>
        </w:rPr>
        <w:t>The current ramifications for trustees, when they are negligent, is an aspect that needs to be reformed because the current legislation has forgiving clauses that shield the trustees from the consequences of their actions. Reform on trustee</w:t>
      </w:r>
      <w:r>
        <w:rPr>
          <w:rtl w:val="1"/>
        </w:rPr>
        <w:t>’</w:t>
      </w:r>
      <w:r>
        <w:rPr>
          <w:rtl w:val="0"/>
          <w:lang w:val="en-US"/>
        </w:rPr>
        <w:t xml:space="preserve">s liability should be implemented because no governing body ensures trustees are fit to do their job. The trustees are currently able to do the role of being a trustee without any requirements and are also protected if they are negligent which shows the need for reform as they should be held to a certain set of standards that shows the importance of a trustee. </w:t>
      </w:r>
    </w:p>
    <w:p>
      <w:pPr>
        <w:pStyle w:val="Body"/>
        <w:spacing w:before="240" w:after="360"/>
      </w:pPr>
      <w:r>
        <w:rPr>
          <w:rtl w:val="0"/>
          <w:lang w:val="en-US"/>
        </w:rPr>
        <w:t xml:space="preserve">The liability of trustees has many areas that could be identified for the need for reform, however, the key elements are their liability under the trust instrument and creating a governing body to regulate the process of becoming a trustee. The Trustees Act 2000 s28 (2) is the key piece of legislation that highlights the need for reform as this legislation shows how trustees can be shielded from liability as they can be protected from basic fiduciary duties which should not be the case as positions that have great importance should also hold equal responsibility for the consequences. Section 2 of The Trustees Act 2000 demonstrates other areas that are in need of reform such as when the trustee breaches their duty of care or if they have acted while having a conflict of interest. A second clause that should be implemented into this section of legislation is having a governing body that makes it a requirement for trustees to have the proper training to ensure they are fit enough to carry out the duties of a trustee. </w:t>
      </w:r>
    </w:p>
    <w:p>
      <w:pPr>
        <w:pStyle w:val="Body"/>
        <w:spacing w:before="240" w:after="360"/>
      </w:pPr>
      <w:r>
        <w:rPr>
          <w:rtl w:val="0"/>
          <w:lang w:val="en-US"/>
        </w:rPr>
        <w:t xml:space="preserve">The reform to add a governing body that regulates who can become a trustee and what requirements they need to have has its advantages and disadvantages. The first advantage that this reform would have is that all future trustees would have a certain level of knowledge about their roles and duties which would allow them firstly to decide if they would want to become a trustee, knowing what is expected of them if they take up the role. Another advantage that would come from this reform would be that every trustee would be held to the same set of standards and so their liabilities would all be the same as the knowledge that is required of them would be equal for all future trustees. One of the weaknesses that could be identified from this reform is that smaller organisations or individual people may be scared of the idea of being a trustee and so the people who do become the trustees do not have much diversity to them in the way that they think as they would all go through the same training and see problems the same way (Penner, 2014). The other area identified for reform is to restrict forgiving clauses that are in The Trustees Act 2000 and so ensure that if the trustees are negligent or act with ill intent then they are held accountable and face the necessary punishments. This area of reform demonstrates its strength as it would allow all trustees to have the knowledge of their responsibilities and would allow them to know the consequences they could face if they act without the intentions of the beneficiary. Ensuring that all trustees were aware of the responsibilities they face would produce more trustees who act with pure intentions as their level of knowledge would be sufficient enough to know what the outcome would be if they acted with ill intent (The Law Commission,1989). This reform would also have its weaknesses as the number of people who would be open to taking on the role of a trustee would decline as they would become more worried about the consequences they could face if they encountered any issues. If the number of people who were open to being a trustee declined it would create a problem for people who have left a smaller amount in trust as now there would be the need for the court to appoint a trustee which would take more time and money from the family. The 2 areas of reform that have been identified would have an impact on the different stakeholders as each of the 3 stakeholders would be affected in different ways. The settlor would have the least impact made on them as their only difference would be that they could not name a trustee in their will as easily as they could before as the person would not need to meet the requirements under the reform (Hudson, 2014). The trustee would be impacted as the reform is directly aimed at them and so section 2 of The Trustees Act 2000 would include more clauses that directly change how the role of a trustee is appointed and carried out. The final stakeholder that would be affected would be the beneficiaries as the reform would impact when they would be able to receive their property. The reform that is suggested would make the process take more time and so the beneficiaries would not be able to get their legacy as fast as before due to the extra steps in the process that should be implemented to ensure a more protective job from the trustee.        </w:t>
      </w:r>
    </w:p>
    <w:p>
      <w:pPr>
        <w:pStyle w:val="Body"/>
        <w:spacing w:before="240" w:after="360"/>
      </w:pPr>
      <w:r>
        <w:rPr>
          <w:rtl w:val="0"/>
          <w:lang w:val="en-US"/>
        </w:rPr>
        <w:t>The Reform that should be amended into section 2 of The Trustee Act 2000 should be as follows:</w:t>
      </w:r>
    </w:p>
    <w:p>
      <w:pPr>
        <w:pStyle w:val="Body"/>
        <w:spacing w:after="120"/>
      </w:pPr>
      <w:r>
        <w:rPr>
          <w:b w:val="1"/>
          <w:bCs w:val="1"/>
          <w:i w:val="1"/>
          <w:iCs w:val="1"/>
          <w:rtl w:val="0"/>
        </w:rPr>
        <w:t xml:space="preserve">Trustees Act 2000 (S28 (s2)) </w:t>
      </w:r>
      <w:r>
        <w:rPr>
          <w:rtl w:val="0"/>
        </w:rPr>
        <w:t xml:space="preserve"> </w:t>
      </w:r>
    </w:p>
    <w:p>
      <w:pPr>
        <w:pStyle w:val="Body"/>
        <w:spacing w:after="120"/>
      </w:pPr>
      <w:r>
        <w:rPr>
          <w:b w:val="1"/>
          <w:bCs w:val="1"/>
          <w:i w:val="1"/>
          <w:iCs w:val="1"/>
          <w:rtl w:val="0"/>
        </w:rPr>
        <w:t xml:space="preserve"> </w:t>
      </w:r>
      <w:r>
        <w:rPr>
          <w:rtl w:val="1"/>
          <w:lang w:val="ar-SA" w:bidi="ar-SA"/>
        </w:rPr>
        <w:t>“</w:t>
      </w:r>
      <w:r>
        <w:rPr>
          <w:rtl w:val="0"/>
          <w:lang w:val="en-US"/>
        </w:rPr>
        <w:t>Someone who won't get a professional fee but under trust instruments, trustees to be treated as entitled to retrieved payment in respect of services they are providing</w:t>
      </w:r>
      <w:r>
        <w:rPr>
          <w:rtl w:val="0"/>
        </w:rPr>
        <w:t xml:space="preserve">” </w:t>
      </w:r>
    </w:p>
    <w:p>
      <w:pPr>
        <w:pStyle w:val="Body"/>
        <w:spacing w:after="120"/>
      </w:pPr>
      <w:r>
        <w:rPr>
          <w:rtl w:val="0"/>
        </w:rPr>
        <w:t xml:space="preserve"> </w:t>
      </w:r>
    </w:p>
    <w:p>
      <w:pPr>
        <w:pStyle w:val="Body"/>
        <w:spacing w:after="120"/>
      </w:pPr>
      <w:r>
        <w:rPr>
          <w:b w:val="1"/>
          <w:bCs w:val="1"/>
          <w:u w:val="single"/>
          <w:rtl w:val="0"/>
        </w:rPr>
        <w:t>Reform on trustees</w:t>
      </w:r>
      <w:r>
        <w:rPr>
          <w:b w:val="1"/>
          <w:bCs w:val="1"/>
          <w:u w:val="single"/>
          <w:rtl w:val="1"/>
        </w:rPr>
        <w:t xml:space="preserve">’ </w:t>
      </w:r>
      <w:r>
        <w:rPr>
          <w:b w:val="1"/>
          <w:bCs w:val="1"/>
          <w:u w:val="single"/>
          <w:rtl w:val="0"/>
          <w:lang w:val="en-US"/>
        </w:rPr>
        <w:t>liabilities</w:t>
      </w:r>
      <w:r>
        <w:rPr>
          <w:rtl w:val="0"/>
        </w:rPr>
        <w:t xml:space="preserve"> </w:t>
      </w:r>
    </w:p>
    <w:p>
      <w:pPr>
        <w:pStyle w:val="Body"/>
        <w:spacing w:after="120"/>
      </w:pPr>
      <w:r>
        <w:rPr>
          <w:rtl w:val="0"/>
          <w:lang w:val="en-US"/>
        </w:rPr>
        <w:t xml:space="preserve">Reform on trustees' liabilities and remunerations on services under the trust instrument. </w:t>
      </w:r>
    </w:p>
    <w:p>
      <w:pPr>
        <w:pStyle w:val="Body"/>
        <w:spacing w:after="120"/>
      </w:pPr>
      <w:r>
        <w:rPr>
          <w:rtl w:val="0"/>
          <w:lang w:val="de-DE"/>
        </w:rPr>
        <w:t xml:space="preserve">Clause 1)  </w:t>
      </w:r>
    </w:p>
    <w:p>
      <w:pPr>
        <w:pStyle w:val="Body"/>
        <w:numPr>
          <w:ilvl w:val="0"/>
          <w:numId w:val="2"/>
        </w:numPr>
        <w:spacing w:before="240"/>
        <w:rPr>
          <w:lang w:val="en-US"/>
        </w:rPr>
      </w:pPr>
      <w:r>
        <w:rPr>
          <w:rtl w:val="0"/>
          <w:lang w:val="en-US"/>
        </w:rPr>
        <w:t xml:space="preserve">restrict forgiving clauses; i.e, </w:t>
      </w:r>
    </w:p>
    <w:p>
      <w:pPr>
        <w:pStyle w:val="Body"/>
        <w:numPr>
          <w:ilvl w:val="0"/>
          <w:numId w:val="4"/>
        </w:numPr>
        <w:rPr>
          <w:lang w:val="en-US"/>
        </w:rPr>
      </w:pPr>
      <w:r>
        <w:rPr>
          <w:b w:val="1"/>
          <w:bCs w:val="1"/>
          <w:i w:val="1"/>
          <w:iCs w:val="1"/>
          <w:rtl w:val="0"/>
          <w:lang w:val="en-US"/>
        </w:rPr>
        <w:t xml:space="preserve">Trustees Act 2000 s28(2) </w:t>
      </w:r>
      <w:r>
        <w:rPr>
          <w:rtl w:val="0"/>
        </w:rPr>
        <w:t xml:space="preserve"> </w:t>
      </w:r>
    </w:p>
    <w:p>
      <w:pPr>
        <w:pStyle w:val="Body"/>
        <w:numPr>
          <w:ilvl w:val="0"/>
          <w:numId w:val="7"/>
        </w:numPr>
        <w:rPr>
          <w:lang w:val="en-US"/>
        </w:rPr>
      </w:pPr>
      <w:r>
        <w:rPr>
          <w:rtl w:val="0"/>
          <w:lang w:val="en-US"/>
        </w:rPr>
        <w:t xml:space="preserve">if the trustee(s) is negligent then: </w:t>
      </w:r>
    </w:p>
    <w:p>
      <w:pPr>
        <w:pStyle w:val="Body"/>
        <w:numPr>
          <w:ilvl w:val="0"/>
          <w:numId w:val="9"/>
        </w:numPr>
        <w:rPr>
          <w:lang w:val="en-US"/>
        </w:rPr>
      </w:pPr>
      <w:r>
        <w:rPr>
          <w:rtl w:val="0"/>
          <w:lang w:val="en-US"/>
        </w:rPr>
        <w:t xml:space="preserve">Should not be shielded from basic fiduciary duties; including, </w:t>
      </w:r>
    </w:p>
    <w:p>
      <w:pPr>
        <w:pStyle w:val="Body"/>
        <w:numPr>
          <w:ilvl w:val="0"/>
          <w:numId w:val="12"/>
        </w:numPr>
        <w:rPr>
          <w:lang w:val="en-US"/>
        </w:rPr>
      </w:pPr>
      <w:r>
        <w:rPr>
          <w:rtl w:val="0"/>
          <w:lang w:val="en-US"/>
        </w:rPr>
        <w:t xml:space="preserve">The duties of care, prudence, and loyalty </w:t>
      </w:r>
    </w:p>
    <w:p>
      <w:pPr>
        <w:pStyle w:val="Body"/>
        <w:numPr>
          <w:ilvl w:val="0"/>
          <w:numId w:val="15"/>
        </w:numPr>
        <w:rPr>
          <w:lang w:val="en-US"/>
        </w:rPr>
      </w:pPr>
      <w:r>
        <w:rPr>
          <w:rtl w:val="0"/>
          <w:lang w:val="en-US"/>
        </w:rPr>
        <w:t xml:space="preserve">Subsection (a) and (b) should be applicable when: </w:t>
      </w:r>
    </w:p>
    <w:p>
      <w:pPr>
        <w:pStyle w:val="Body"/>
        <w:numPr>
          <w:ilvl w:val="0"/>
          <w:numId w:val="17"/>
        </w:numPr>
        <w:rPr>
          <w:lang w:val="en-US"/>
        </w:rPr>
      </w:pPr>
      <w:r>
        <w:rPr>
          <w:rtl w:val="0"/>
          <w:lang w:val="en-US"/>
        </w:rPr>
        <w:t xml:space="preserve">the trustee has acted with ill intent; i.e, </w:t>
      </w:r>
    </w:p>
    <w:p>
      <w:pPr>
        <w:pStyle w:val="Body"/>
        <w:numPr>
          <w:ilvl w:val="0"/>
          <w:numId w:val="20"/>
        </w:numPr>
        <w:spacing w:after="360"/>
        <w:rPr>
          <w:lang w:val="en-US"/>
        </w:rPr>
      </w:pPr>
      <w:r>
        <w:rPr>
          <w:rtl w:val="0"/>
          <w:lang w:val="en-US"/>
        </w:rPr>
        <w:t xml:space="preserve">when in a conflict of interest  </w:t>
      </w:r>
    </w:p>
    <w:p>
      <w:pPr>
        <w:pStyle w:val="Body"/>
        <w:spacing w:after="120"/>
      </w:pPr>
      <w:r>
        <w:rPr>
          <w:rtl w:val="0"/>
          <w:lang w:val="en-US"/>
        </w:rPr>
        <w:t xml:space="preserve">Clause 2) </w:t>
      </w:r>
    </w:p>
    <w:p>
      <w:pPr>
        <w:pStyle w:val="Body"/>
        <w:spacing w:after="120"/>
      </w:pPr>
      <w:r>
        <w:rPr>
          <w:rtl w:val="0"/>
          <w:lang w:val="en-US"/>
        </w:rPr>
        <w:t>Implementing a governing body to make sure trustees are</w:t>
      </w:r>
    </w:p>
    <w:p>
      <w:pPr>
        <w:pStyle w:val="Body"/>
        <w:numPr>
          <w:ilvl w:val="0"/>
          <w:numId w:val="22"/>
        </w:numPr>
        <w:spacing w:before="240"/>
        <w:rPr>
          <w:lang w:val="en-US"/>
        </w:rPr>
      </w:pPr>
      <w:r>
        <w:rPr>
          <w:rtl w:val="0"/>
          <w:lang w:val="en-US"/>
        </w:rPr>
        <w:t>Trained to the correct level to ensure potential trustees are up to requirement</w:t>
      </w:r>
    </w:p>
    <w:p>
      <w:pPr>
        <w:pStyle w:val="Body"/>
        <w:numPr>
          <w:ilvl w:val="0"/>
          <w:numId w:val="22"/>
        </w:numPr>
        <w:rPr>
          <w:lang w:val="en-US"/>
        </w:rPr>
      </w:pPr>
      <w:r>
        <w:rPr>
          <w:rtl w:val="0"/>
          <w:lang w:val="en-US"/>
        </w:rPr>
        <w:t>To refine and limit who is eligible to become a trustee.</w:t>
      </w:r>
    </w:p>
    <w:p>
      <w:pPr>
        <w:pStyle w:val="Body"/>
        <w:numPr>
          <w:ilvl w:val="1"/>
          <w:numId w:val="24"/>
        </w:numPr>
        <w:rPr>
          <w:lang w:val="en-US"/>
        </w:rPr>
      </w:pPr>
      <w:r>
        <w:rPr>
          <w:rtl w:val="0"/>
          <w:lang w:val="en-US"/>
        </w:rPr>
        <w:t>To ensure trustees are fit and proper</w:t>
      </w:r>
    </w:p>
    <w:p>
      <w:pPr>
        <w:pStyle w:val="Body"/>
        <w:numPr>
          <w:ilvl w:val="1"/>
          <w:numId w:val="24"/>
        </w:numPr>
        <w:rPr>
          <w:lang w:val="en-US"/>
        </w:rPr>
      </w:pPr>
      <w:r>
        <w:rPr>
          <w:rtl w:val="0"/>
          <w:lang w:val="en-US"/>
        </w:rPr>
        <w:t>To decrease the risk of trustees being negligent in their duties</w:t>
      </w:r>
    </w:p>
    <w:p>
      <w:pPr>
        <w:pStyle w:val="Body"/>
        <w:numPr>
          <w:ilvl w:val="0"/>
          <w:numId w:val="27"/>
        </w:numPr>
        <w:spacing w:after="360"/>
        <w:rPr>
          <w:lang w:val="en-US"/>
        </w:rPr>
      </w:pPr>
      <w:r>
        <w:rPr>
          <w:rtl w:val="0"/>
          <w:lang w:val="en-US"/>
        </w:rPr>
        <w:t>Removing the current guidance in place for trustees and implementing a more rigorous procedure</w:t>
      </w:r>
    </w:p>
    <w:p>
      <w:pPr>
        <w:pStyle w:val="Body"/>
        <w:spacing w:after="120"/>
      </w:pPr>
      <w:r>
        <w:rPr>
          <w:rtl w:val="0"/>
        </w:rPr>
        <w:t xml:space="preserve"> </w:t>
      </w:r>
    </w:p>
    <w:p>
      <w:pPr>
        <w:pStyle w:val="Body"/>
        <w:spacing w:after="120"/>
      </w:pPr>
      <w:r>
        <w:rPr>
          <w:rtl w:val="0"/>
          <w:lang w:val="en-US"/>
        </w:rPr>
        <w:t xml:space="preserve">There is no existing legislation that governs who a trustee can be and what if/any qualifications are required. This is a reform suggestion structured on the basis of reforming </w:t>
      </w:r>
      <w:r>
        <w:rPr>
          <w:b w:val="1"/>
          <w:bCs w:val="1"/>
          <w:i w:val="1"/>
          <w:iCs w:val="1"/>
          <w:rtl w:val="0"/>
        </w:rPr>
        <w:t>s28(2)</w:t>
      </w:r>
      <w:r>
        <w:rPr>
          <w:rtl w:val="0"/>
          <w:lang w:val="en-US"/>
        </w:rPr>
        <w:t xml:space="preserve"> of the </w:t>
      </w:r>
      <w:r>
        <w:rPr>
          <w:b w:val="1"/>
          <w:bCs w:val="1"/>
          <w:i w:val="1"/>
          <w:iCs w:val="1"/>
          <w:rtl w:val="0"/>
        </w:rPr>
        <w:t xml:space="preserve">Trustee Act 2000, </w:t>
      </w:r>
      <w:r>
        <w:rPr>
          <w:rtl w:val="0"/>
          <w:lang w:val="en-US"/>
        </w:rPr>
        <w:t xml:space="preserve">the liabilities of a trustee in regard to an express agreement. The aim of clause 1 is to limit forgiving clauses, and state reform on when a trustee is to be held negligent. Section 3 (a)(b) defines in further detail of when a trustee would be held negligent. This piece should enable a trustee to act honestly and diligently without a conflict of interest. In addition, clause 2 aims to govern who a trustee can be and the terms in which implement the requirements to become a trustee.  </w:t>
      </w:r>
    </w:p>
    <w:p>
      <w:pPr>
        <w:pStyle w:val="Body"/>
        <w:spacing w:after="120"/>
      </w:pPr>
    </w:p>
    <w:p>
      <w:pPr>
        <w:pStyle w:val="Body"/>
        <w:spacing w:after="120"/>
      </w:pPr>
      <w:r>
        <w:rPr>
          <w:rtl w:val="0"/>
        </w:rPr>
        <w:t xml:space="preserve">Status </w:t>
      </w:r>
      <w:r>
        <w:rPr>
          <w:rtl w:val="0"/>
        </w:rPr>
        <w:t xml:space="preserve">–  </w:t>
      </w:r>
    </w:p>
    <w:p>
      <w:pPr>
        <w:pStyle w:val="Body"/>
        <w:numPr>
          <w:ilvl w:val="0"/>
          <w:numId w:val="29"/>
        </w:numPr>
        <w:spacing w:before="240"/>
        <w:rPr>
          <w:lang w:val="es-ES_tradnl"/>
        </w:rPr>
      </w:pPr>
      <w:r>
        <w:rPr>
          <w:rtl w:val="0"/>
          <w:lang w:val="es-ES_tradnl"/>
        </w:rPr>
        <w:t xml:space="preserve">Star </w:t>
      </w:r>
      <w:r>
        <w:rPr>
          <w:rtl w:val="0"/>
        </w:rPr>
        <w:t xml:space="preserve">– </w:t>
      </w:r>
      <w:r>
        <w:rPr>
          <w:rtl w:val="0"/>
          <w:lang w:val="en-US"/>
        </w:rPr>
        <w:t xml:space="preserve">research, writing, and structuring </w:t>
      </w:r>
    </w:p>
    <w:p>
      <w:pPr>
        <w:pStyle w:val="Body"/>
        <w:numPr>
          <w:ilvl w:val="0"/>
          <w:numId w:val="29"/>
        </w:numPr>
      </w:pPr>
      <w:r>
        <w:rPr>
          <w:rtl w:val="0"/>
        </w:rPr>
        <w:t xml:space="preserve">Mihaela </w:t>
      </w:r>
      <w:r>
        <w:rPr>
          <w:rtl w:val="0"/>
        </w:rPr>
        <w:t xml:space="preserve">– </w:t>
      </w:r>
      <w:r>
        <w:rPr>
          <w:rtl w:val="0"/>
          <w:lang w:val="en-US"/>
        </w:rPr>
        <w:t xml:space="preserve">research, writing, and structuring </w:t>
      </w:r>
    </w:p>
    <w:p>
      <w:pPr>
        <w:pStyle w:val="Body"/>
        <w:numPr>
          <w:ilvl w:val="0"/>
          <w:numId w:val="29"/>
        </w:numPr>
        <w:rPr>
          <w:lang w:val="sv-SE"/>
        </w:rPr>
      </w:pPr>
      <w:r>
        <w:rPr>
          <w:rtl w:val="0"/>
          <w:lang w:val="sv-SE"/>
        </w:rPr>
        <w:t xml:space="preserve">Kyran </w:t>
      </w:r>
      <w:r>
        <w:rPr>
          <w:rtl w:val="0"/>
        </w:rPr>
        <w:t xml:space="preserve">– </w:t>
      </w:r>
      <w:r>
        <w:rPr>
          <w:rtl w:val="0"/>
          <w:lang w:val="en-US"/>
        </w:rPr>
        <w:t xml:space="preserve">research, structure </w:t>
      </w:r>
    </w:p>
    <w:p>
      <w:pPr>
        <w:pStyle w:val="Body"/>
        <w:numPr>
          <w:ilvl w:val="0"/>
          <w:numId w:val="29"/>
        </w:numPr>
        <w:spacing w:after="360"/>
      </w:pPr>
      <w:r>
        <w:rPr>
          <w:rtl w:val="0"/>
        </w:rPr>
        <w:t xml:space="preserve">Rowan </w:t>
      </w:r>
      <w:r>
        <w:rPr>
          <w:rtl w:val="0"/>
        </w:rPr>
        <w:t xml:space="preserve">– </w:t>
      </w:r>
      <w:r>
        <w:rPr>
          <w:rtl w:val="0"/>
          <w:lang w:val="en-US"/>
        </w:rPr>
        <w:t xml:space="preserve">research </w:t>
      </w:r>
    </w:p>
    <w:p>
      <w:pPr>
        <w:pStyle w:val="Body"/>
        <w:spacing w:before="240" w:after="360"/>
      </w:pPr>
      <w:r>
        <w:rPr>
          <w:rtl w:val="0"/>
          <w:lang w:val="en-US"/>
        </w:rPr>
        <w:t>The challenges that have been identified within The Trustees Act 2000 section 2 have been partly addressed with the reform that is suggested as it tackles the main issues that need addressing, however, it does open up more potential issues that could come from the new clauses. Both of the clauses that are suggested for the reform do address the issues that are in need of reform which demonstrates their effectiveness and highlights the importance of this reform. The issues that arise from the suggested reform are ones that could be navigated around such as the problem of smaller organisations not wanting to become a trustee if a governing body was implemented to regulate the process of appointing a trustee (Penner, 2014). This potential issue could be navigated around as the governing body could still ensure that the process makes candidates aware of the responsibility they will have but not make it so that they feel like they need to possess a high level of educational qualifications. The 2 clauses that have been suggested for the reform do have the potential to add new challenges as there could be a decline in the number of people who would take up the role of becoming a trustee as they may feel as though the requirements were too demanding. The clauses that should be amended into section 2 of The Trustee Act 2000 do balance the rights of all the stakeholders as each stakeholder will gain an advantage from the clauses. The suggested reform would ensure that the trustees have better knowledge of what is required of them and for them to be aware of the consequences if they are negligent in their job which in turn positively affects the stakeholders as the people who would become trustees would be able to do a better job as they would have sufficient training to allow them to make better decisions in the interest of the beneficiary. The 2 clauses have their own strengths and weaknesses with regard to their ability to be implemented into the legislation the first clause that is suggested can be seen as being too broad as it does not have specific examples of when the trustees should be held accountable. The legislation could include more detailed explanations for how the trustees should be held responsible when they perform certain actions instead of just having a blanket explanation that covers as many situations as it can. The second clause is one that may need further interpretation by the courts it would require more information about who the governing body would be and what process they would have to use to carry out the training for the trustees to be able to assign the trustee to the trusts. The clauses that should be implemented into section 2 do interact with the other parties to the trust as it ensures the properties left in the trust are handled by someone who understands their role and responsibilities better which therefore would allow the other parties to get what they were left within the will with fewer issues that could arise.</w:t>
      </w:r>
    </w:p>
    <w:p>
      <w:pPr>
        <w:pStyle w:val="Body"/>
        <w:spacing w:before="240" w:after="360"/>
      </w:pPr>
      <w:r>
        <w:rPr>
          <w:rtl w:val="0"/>
          <w:lang w:val="en-US"/>
        </w:rPr>
        <w:t>The Trustee Act 2000 section 2 has areas that are in need of reform and the suggestions that were identified for the reform address those issues. Both of the clauses identify the issues with this legislation and demonstrate how they improve it with the main strengths of both clauses coming from the need to ensure that trustees are more aware of their role and that they identify with the responsibilities that come with the role of being a trustee. Although the clauses do have their weaknesses in the fact that they could be seen as being too broad as to where the trustee should be held accountable, the main idea of the clauses still stands and highlights the information that needs to be added to the legislation.</w:t>
      </w:r>
    </w:p>
    <w:p>
      <w:pPr>
        <w:pStyle w:val="Body"/>
        <w:spacing w:before="240" w:after="360"/>
      </w:pPr>
    </w:p>
    <w:p>
      <w:pPr>
        <w:pStyle w:val="Body"/>
        <w:spacing w:before="240" w:after="360"/>
      </w:pPr>
    </w:p>
    <w:p>
      <w:pPr>
        <w:pStyle w:val="Body"/>
        <w:spacing w:before="240" w:after="360"/>
      </w:pPr>
    </w:p>
    <w:p>
      <w:pPr>
        <w:pStyle w:val="Body"/>
        <w:spacing w:before="240" w:after="360"/>
      </w:pPr>
    </w:p>
    <w:p>
      <w:pPr>
        <w:pStyle w:val="Body"/>
        <w:spacing w:before="240" w:after="360"/>
      </w:pPr>
    </w:p>
    <w:p>
      <w:pPr>
        <w:pStyle w:val="Body"/>
        <w:spacing w:before="240" w:after="360"/>
      </w:pPr>
    </w:p>
    <w:p>
      <w:pPr>
        <w:pStyle w:val="Body"/>
        <w:spacing w:before="240" w:after="360"/>
      </w:pPr>
    </w:p>
    <w:p>
      <w:pPr>
        <w:pStyle w:val="Body"/>
        <w:spacing w:before="240" w:after="360"/>
      </w:pPr>
    </w:p>
    <w:p>
      <w:pPr>
        <w:pStyle w:val="Body"/>
        <w:spacing w:before="240" w:after="360"/>
      </w:pPr>
    </w:p>
    <w:p>
      <w:pPr>
        <w:pStyle w:val="Body"/>
        <w:spacing w:before="240" w:after="360"/>
      </w:pPr>
    </w:p>
    <w:p>
      <w:pPr>
        <w:pStyle w:val="Body"/>
        <w:spacing w:before="240" w:after="360"/>
      </w:pPr>
    </w:p>
    <w:p>
      <w:pPr>
        <w:pStyle w:val="Body"/>
        <w:spacing w:before="240" w:after="360"/>
      </w:pPr>
    </w:p>
    <w:p>
      <w:pPr>
        <w:pStyle w:val="Body"/>
        <w:spacing w:before="240" w:after="360"/>
      </w:pPr>
    </w:p>
    <w:p>
      <w:pPr>
        <w:pStyle w:val="Body"/>
        <w:spacing w:before="240" w:after="360"/>
      </w:pPr>
    </w:p>
    <w:p>
      <w:pPr>
        <w:pStyle w:val="Body"/>
        <w:spacing w:before="240" w:after="360"/>
      </w:pPr>
    </w:p>
    <w:p>
      <w:pPr>
        <w:pStyle w:val="Body"/>
        <w:spacing w:before="240" w:after="360"/>
        <w:jc w:val="center"/>
      </w:pPr>
      <w:r>
        <w:rPr>
          <w:rtl w:val="0"/>
          <w:lang w:val="de-DE"/>
        </w:rPr>
        <w:t xml:space="preserve">Reference List  </w:t>
      </w:r>
    </w:p>
    <w:p>
      <w:pPr>
        <w:pStyle w:val="Body"/>
        <w:spacing w:before="240" w:after="360"/>
        <w:rPr>
          <w:outline w:val="0"/>
          <w:color w:val="333333"/>
          <w:u w:color="333333"/>
          <w:shd w:val="clear" w:color="auto" w:fill="fbfbfb"/>
          <w14:textFill>
            <w14:solidFill>
              <w14:srgbClr w14:val="333333"/>
            </w14:solidFill>
          </w14:textFill>
        </w:rPr>
      </w:pPr>
      <w:r>
        <w:rPr>
          <w:outline w:val="0"/>
          <w:color w:val="333333"/>
          <w:u w:color="333333"/>
          <w:shd w:val="clear" w:color="auto" w:fill="fbfbfb"/>
          <w:rtl w:val="0"/>
          <w14:textFill>
            <w14:solidFill>
              <w14:srgbClr w14:val="333333"/>
            </w14:solidFill>
          </w14:textFill>
        </w:rPr>
        <w:t xml:space="preserve">Hudson, A. (2018). </w:t>
      </w:r>
      <w:r>
        <w:rPr>
          <w:i w:val="1"/>
          <w:iCs w:val="1"/>
          <w:outline w:val="0"/>
          <w:color w:val="333333"/>
          <w:u w:color="333333"/>
          <w:shd w:val="clear" w:color="auto" w:fill="fbfbfb"/>
          <w:rtl w:val="0"/>
          <w:lang w:val="en-US"/>
          <w14:textFill>
            <w14:solidFill>
              <w14:srgbClr w14:val="333333"/>
            </w14:solidFill>
          </w14:textFill>
        </w:rPr>
        <w:t xml:space="preserve">Equity and Trusts. </w:t>
      </w:r>
      <w:r>
        <w:rPr>
          <w:outline w:val="0"/>
          <w:color w:val="333333"/>
          <w:u w:color="333333"/>
          <w:shd w:val="clear" w:color="auto" w:fill="fbfbfb"/>
          <w:rtl w:val="0"/>
          <w:lang w:val="en-US"/>
          <w14:textFill>
            <w14:solidFill>
              <w14:srgbClr w14:val="333333"/>
            </w14:solidFill>
          </w14:textFill>
        </w:rPr>
        <w:t xml:space="preserve">9th ed. Routledge. </w:t>
      </w:r>
    </w:p>
    <w:p>
      <w:pPr>
        <w:pStyle w:val="Body"/>
        <w:spacing w:before="240" w:after="360"/>
        <w:rPr>
          <w:rStyle w:val="None"/>
          <w:outline w:val="0"/>
          <w:color w:val="333333"/>
          <w:u w:color="333333"/>
          <w:shd w:val="clear" w:color="auto" w:fill="fbfbfb"/>
          <w14:textFill>
            <w14:solidFill>
              <w14:srgbClr w14:val="333333"/>
            </w14:solidFill>
          </w14:textFill>
        </w:rPr>
      </w:pPr>
      <w:r>
        <w:rPr>
          <w:outline w:val="0"/>
          <w:color w:val="333333"/>
          <w:u w:color="333333"/>
          <w:shd w:val="clear" w:color="auto" w:fill="fbfbfb"/>
          <w:rtl w:val="0"/>
          <w:lang w:val="en-US"/>
          <w14:textFill>
            <w14:solidFill>
              <w14:srgbClr w14:val="333333"/>
            </w14:solidFill>
          </w14:textFill>
        </w:rPr>
        <w:t xml:space="preserve">Law Commission (1989) </w:t>
      </w:r>
      <w:r>
        <w:rPr>
          <w:i w:val="1"/>
          <w:iCs w:val="1"/>
          <w:outline w:val="0"/>
          <w:color w:val="333333"/>
          <w:u w:color="333333"/>
          <w:rtl w:val="0"/>
          <w:lang w:val="en-US"/>
          <w14:textFill>
            <w14:solidFill>
              <w14:srgbClr w14:val="333333"/>
            </w14:solidFill>
          </w14:textFill>
        </w:rPr>
        <w:t xml:space="preserve">Transfer of Land. Trusts of Land. </w:t>
      </w:r>
      <w:r>
        <w:rPr>
          <w:outline w:val="0"/>
          <w:color w:val="333333"/>
          <w:u w:color="333333"/>
          <w:shd w:val="clear" w:color="auto" w:fill="fbfbfb"/>
          <w:rtl w:val="0"/>
          <w:lang w:val="en-US"/>
          <w14:textFill>
            <w14:solidFill>
              <w14:srgbClr w14:val="333333"/>
            </w14:solidFill>
          </w14:textFill>
        </w:rPr>
        <w:t xml:space="preserve"> (181). London: Available at: </w:t>
      </w:r>
      <w:r>
        <w:rPr>
          <w:rStyle w:val="Hyperlink.0"/>
        </w:rPr>
        <w:fldChar w:fldCharType="begin" w:fldLock="0"/>
      </w:r>
      <w:r>
        <w:rPr>
          <w:rStyle w:val="Hyperlink.0"/>
        </w:rPr>
        <w:instrText xml:space="preserve"> HYPERLINK "https://cloud-platform-e218f50a4812967ba1215eaecede923f.s3.amazonaws.com/uploads/sites/30/2016/07/LC.-181-TRANSFER-OF-LAND-TRUSTS-OF-LAND.pdf"</w:instrText>
      </w:r>
      <w:r>
        <w:rPr>
          <w:rStyle w:val="Hyperlink.0"/>
        </w:rPr>
        <w:fldChar w:fldCharType="separate" w:fldLock="0"/>
      </w:r>
      <w:r>
        <w:rPr>
          <w:rStyle w:val="Hyperlink.0"/>
          <w:rtl w:val="0"/>
          <w:lang w:val="en-US"/>
        </w:rPr>
        <w:t>https://cloud-platform-e218f50a4812967ba1215eaecede923f.s3.amazonaws.com/uploads/sites/30/2016/07/LC.-181-TRANSFER-OF-LAND-TRUSTS-OF-LAND.pdf</w:t>
      </w:r>
      <w:r>
        <w:rPr/>
        <w:fldChar w:fldCharType="end" w:fldLock="0"/>
      </w:r>
      <w:r>
        <w:rPr>
          <w:rStyle w:val="None"/>
          <w:outline w:val="0"/>
          <w:color w:val="333333"/>
          <w:u w:color="333333"/>
          <w:shd w:val="clear" w:color="auto" w:fill="fbfbfb"/>
          <w:rtl w:val="0"/>
          <w:lang w:val="en-US"/>
          <w14:textFill>
            <w14:solidFill>
              <w14:srgbClr w14:val="333333"/>
            </w14:solidFill>
          </w14:textFill>
        </w:rPr>
        <w:t xml:space="preserve"> (Accessed: 11/11/24).</w:t>
      </w:r>
    </w:p>
    <w:p>
      <w:pPr>
        <w:pStyle w:val="Body"/>
        <w:spacing w:before="240" w:after="360"/>
        <w:rPr>
          <w:rStyle w:val="None"/>
          <w:outline w:val="0"/>
          <w:color w:val="333333"/>
          <w:sz w:val="23"/>
          <w:szCs w:val="23"/>
          <w:u w:color="333333"/>
          <w:shd w:val="clear" w:color="auto" w:fill="fbfbfb"/>
          <w14:textFill>
            <w14:solidFill>
              <w14:srgbClr w14:val="333333"/>
            </w14:solidFill>
          </w14:textFill>
        </w:rPr>
      </w:pPr>
      <w:r>
        <w:rPr>
          <w:rStyle w:val="None"/>
          <w:outline w:val="0"/>
          <w:color w:val="333333"/>
          <w:sz w:val="23"/>
          <w:szCs w:val="23"/>
          <w:u w:color="333333"/>
          <w:shd w:val="clear" w:color="auto" w:fill="fbfbfb"/>
          <w:rtl w:val="0"/>
          <w:lang w:val="en-US"/>
          <w14:textFill>
            <w14:solidFill>
              <w14:srgbClr w14:val="333333"/>
            </w14:solidFill>
          </w14:textFill>
        </w:rPr>
        <w:t xml:space="preserve">Lloyd, I. (2015) 'Equity and Trusts: an overview"', </w:t>
      </w:r>
      <w:r>
        <w:rPr>
          <w:rStyle w:val="None"/>
          <w:i w:val="1"/>
          <w:iCs w:val="1"/>
          <w:outline w:val="0"/>
          <w:color w:val="333333"/>
          <w:sz w:val="23"/>
          <w:szCs w:val="23"/>
          <w:u w:color="333333"/>
          <w:rtl w:val="0"/>
          <w:lang w:val="en-US"/>
          <w14:textFill>
            <w14:solidFill>
              <w14:srgbClr w14:val="333333"/>
            </w14:solidFill>
          </w14:textFill>
        </w:rPr>
        <w:t>Oxford Journal of Legal Information</w:t>
      </w:r>
      <w:r>
        <w:rPr>
          <w:rStyle w:val="None"/>
          <w:outline w:val="0"/>
          <w:color w:val="333333"/>
          <w:sz w:val="23"/>
          <w:szCs w:val="23"/>
          <w:u w:color="333333"/>
          <w:shd w:val="clear" w:color="auto" w:fill="fbfbfb"/>
          <w:rtl w:val="0"/>
          <w14:textFill>
            <w14:solidFill>
              <w14:srgbClr w14:val="333333"/>
            </w14:solidFill>
          </w14:textFill>
        </w:rPr>
        <w:t xml:space="preserve">, 35(2), 307-322. </w:t>
      </w:r>
    </w:p>
    <w:p>
      <w:pPr>
        <w:pStyle w:val="Body"/>
        <w:spacing w:before="240" w:after="360"/>
        <w:rPr>
          <w:rStyle w:val="None"/>
          <w:outline w:val="0"/>
          <w:color w:val="333333"/>
          <w:sz w:val="23"/>
          <w:szCs w:val="23"/>
          <w:u w:color="333333"/>
          <w:shd w:val="clear" w:color="auto" w:fill="fbfbfb"/>
          <w14:textFill>
            <w14:solidFill>
              <w14:srgbClr w14:val="333333"/>
            </w14:solidFill>
          </w14:textFill>
        </w:rPr>
      </w:pPr>
      <w:r>
        <w:rPr>
          <w:rStyle w:val="None"/>
          <w:outline w:val="0"/>
          <w:color w:val="333333"/>
          <w:sz w:val="23"/>
          <w:szCs w:val="23"/>
          <w:u w:color="333333"/>
          <w:shd w:val="clear" w:color="auto" w:fill="fbfbfb"/>
          <w:rtl w:val="0"/>
          <w14:textFill>
            <w14:solidFill>
              <w14:srgbClr w14:val="333333"/>
            </w14:solidFill>
          </w14:textFill>
        </w:rPr>
        <w:t xml:space="preserve">Penner, J. E. (2014) </w:t>
      </w:r>
      <w:r>
        <w:rPr>
          <w:rStyle w:val="None"/>
          <w:i w:val="1"/>
          <w:iCs w:val="1"/>
          <w:outline w:val="0"/>
          <w:color w:val="333333"/>
          <w:sz w:val="23"/>
          <w:szCs w:val="23"/>
          <w:u w:color="333333"/>
          <w:shd w:val="clear" w:color="auto" w:fill="fbfbfb"/>
          <w:rtl w:val="0"/>
          <w:lang w:val="en-US"/>
          <w14:textFill>
            <w14:solidFill>
              <w14:srgbClr w14:val="333333"/>
            </w14:solidFill>
          </w14:textFill>
        </w:rPr>
        <w:t>The law of trusts</w:t>
      </w:r>
      <w:r>
        <w:rPr>
          <w:rStyle w:val="None"/>
          <w:outline w:val="0"/>
          <w:color w:val="333333"/>
          <w:sz w:val="23"/>
          <w:szCs w:val="23"/>
          <w:u w:color="333333"/>
          <w:shd w:val="clear" w:color="auto" w:fill="fbfbfb"/>
          <w:rtl w:val="0"/>
          <w:lang w:val="en-US"/>
          <w14:textFill>
            <w14:solidFill>
              <w14:srgbClr w14:val="333333"/>
            </w14:solidFill>
          </w14:textFill>
        </w:rPr>
        <w:t>. 7th ed. Oxford University Press.</w:t>
      </w:r>
    </w:p>
    <w:p>
      <w:pPr>
        <w:pStyle w:val="Body"/>
        <w:spacing w:before="240" w:after="360"/>
        <w:rPr>
          <w:rStyle w:val="None"/>
          <w:outline w:val="0"/>
          <w:color w:val="333333"/>
          <w:sz w:val="23"/>
          <w:szCs w:val="23"/>
          <w:u w:color="333333"/>
          <w:shd w:val="clear" w:color="auto" w:fill="fbfbfb"/>
          <w14:textFill>
            <w14:solidFill>
              <w14:srgbClr w14:val="333333"/>
            </w14:solidFill>
          </w14:textFill>
        </w:rPr>
      </w:pPr>
      <w:r>
        <w:rPr>
          <w:rStyle w:val="None"/>
          <w:i w:val="1"/>
          <w:iCs w:val="1"/>
          <w:outline w:val="0"/>
          <w:color w:val="333333"/>
          <w:sz w:val="23"/>
          <w:szCs w:val="23"/>
          <w:u w:color="333333"/>
          <w:shd w:val="clear" w:color="auto" w:fill="fbfbfb"/>
          <w:rtl w:val="0"/>
          <w:lang w:val="en-US"/>
          <w14:textFill>
            <w14:solidFill>
              <w14:srgbClr w14:val="333333"/>
            </w14:solidFill>
          </w14:textFill>
        </w:rPr>
        <w:t>The Trustee Act 2000</w:t>
      </w:r>
      <w:r>
        <w:rPr>
          <w:rStyle w:val="None"/>
          <w:outline w:val="0"/>
          <w:color w:val="333333"/>
          <w:sz w:val="23"/>
          <w:szCs w:val="23"/>
          <w:u w:color="333333"/>
          <w:shd w:val="clear" w:color="auto" w:fill="fbfbfb"/>
          <w:rtl w:val="0"/>
          <w:lang w:val="en-US"/>
          <w14:textFill>
            <w14:solidFill>
              <w14:srgbClr w14:val="333333"/>
            </w14:solidFill>
          </w14:textFill>
        </w:rPr>
        <w:t xml:space="preserve">  Available at: </w:t>
      </w:r>
      <w:r>
        <w:rPr>
          <w:rStyle w:val="Hyperlink.1"/>
        </w:rPr>
        <w:fldChar w:fldCharType="begin" w:fldLock="0"/>
      </w:r>
      <w:r>
        <w:rPr>
          <w:rStyle w:val="Hyperlink.1"/>
        </w:rPr>
        <w:instrText xml:space="preserve"> HYPERLINK "https://www.legislation.gov.uk/ukpga/2000/29/section/28"</w:instrText>
      </w:r>
      <w:r>
        <w:rPr>
          <w:rStyle w:val="Hyperlink.1"/>
        </w:rPr>
        <w:fldChar w:fldCharType="separate" w:fldLock="0"/>
      </w:r>
      <w:r>
        <w:rPr>
          <w:rStyle w:val="Hyperlink.1"/>
          <w:rtl w:val="0"/>
          <w:lang w:val="en-US"/>
        </w:rPr>
        <w:t>https://www.legislation.gov.uk/ukpga/2000/29/section/28</w:t>
      </w:r>
      <w:r>
        <w:rPr/>
        <w:fldChar w:fldCharType="end" w:fldLock="0"/>
      </w:r>
      <w:r>
        <w:rPr>
          <w:rStyle w:val="None"/>
          <w:outline w:val="0"/>
          <w:color w:val="333333"/>
          <w:sz w:val="23"/>
          <w:szCs w:val="23"/>
          <w:u w:color="333333"/>
          <w:shd w:val="clear" w:color="auto" w:fill="fbfbfb"/>
          <w:rtl w:val="0"/>
          <w:lang w:val="en-US"/>
          <w14:textFill>
            <w14:solidFill>
              <w14:srgbClr w14:val="333333"/>
            </w14:solidFill>
          </w14:textFill>
        </w:rPr>
        <w:t xml:space="preserve">  (Accessed: 10/11/24).</w:t>
      </w:r>
    </w:p>
    <w:p>
      <w:pPr>
        <w:pStyle w:val="Body"/>
        <w:spacing w:before="240" w:after="360"/>
        <w:rPr>
          <w:rStyle w:val="None"/>
          <w:outline w:val="0"/>
          <w:color w:val="333333"/>
          <w:sz w:val="23"/>
          <w:szCs w:val="23"/>
          <w:u w:color="333333"/>
          <w:shd w:val="clear" w:color="auto" w:fill="fbfbfb"/>
          <w14:textFill>
            <w14:solidFill>
              <w14:srgbClr w14:val="333333"/>
            </w14:solidFill>
          </w14:textFill>
        </w:rPr>
      </w:pPr>
    </w:p>
    <w:p>
      <w:pPr>
        <w:pStyle w:val="Body"/>
        <w:spacing w:before="240" w:after="360"/>
        <w:rPr>
          <w:rStyle w:val="None"/>
          <w:outline w:val="0"/>
          <w:color w:val="333333"/>
          <w:sz w:val="23"/>
          <w:szCs w:val="23"/>
          <w:u w:color="333333"/>
          <w:shd w:val="clear" w:color="auto" w:fill="fbfbfb"/>
          <w14:textFill>
            <w14:solidFill>
              <w14:srgbClr w14:val="333333"/>
            </w14:solidFill>
          </w14:textFill>
        </w:rPr>
      </w:pPr>
    </w:p>
    <w:p>
      <w:pPr>
        <w:pStyle w:val="Body"/>
        <w:spacing w:before="240" w:after="360"/>
        <w:rPr>
          <w:rStyle w:val="None"/>
          <w:outline w:val="0"/>
          <w:color w:val="333333"/>
          <w:sz w:val="23"/>
          <w:szCs w:val="23"/>
          <w:u w:color="333333"/>
          <w:shd w:val="clear" w:color="auto" w:fill="fbfbfb"/>
          <w14:textFill>
            <w14:solidFill>
              <w14:srgbClr w14:val="333333"/>
            </w14:solidFill>
          </w14:textFill>
        </w:rPr>
      </w:pPr>
    </w:p>
    <w:p>
      <w:pPr>
        <w:pStyle w:val="Body"/>
        <w:spacing w:before="240" w:after="360"/>
      </w:pPr>
      <w:r>
        <w:rPr>
          <w:rStyle w:val="None"/>
          <w:outline w:val="0"/>
          <w:color w:val="333333"/>
          <w:sz w:val="23"/>
          <w:szCs w:val="23"/>
          <w:u w:color="333333"/>
          <w:shd w:val="clear" w:color="auto" w:fill="fbfbfb"/>
          <w14:textFill>
            <w14:solidFill>
              <w14:srgbClr w14:val="333333"/>
            </w14:solidFill>
          </w14:textFill>
        </w:rPr>
      </w:r>
    </w:p>
    <w:sectPr>
      <w:headerReference w:type="default" r:id="rId4"/>
      <w:footerReference w:type="default" r:id="rId5"/>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8"/>
  </w:abstractNum>
  <w:abstractNum w:abstractNumId="15">
    <w:multiLevelType w:val="hybridMultilevel"/>
    <w:styleLink w:val="Imported Style 8"/>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Imported Style 10"/>
  </w:abstractNum>
  <w:abstractNum w:abstractNumId="19">
    <w:multiLevelType w:val="hybridMultilevel"/>
    <w:styleLink w:val="Imported Style 10"/>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upp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numStyleLink w:val="Imported Style 11"/>
  </w:abstractNum>
  <w:abstractNum w:abstractNumId="21">
    <w:multiLevelType w:val="hybridMultilevel"/>
    <w:styleLink w:val="Imported Style 1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numStyleLink w:val="Imported Style 12"/>
  </w:abstractNum>
  <w:abstractNum w:abstractNumId="23">
    <w:multiLevelType w:val="hybridMultilevel"/>
    <w:styleLink w:val="Imported Style 12"/>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4"/>
    <w:lvlOverride w:ilvl="0">
      <w:startOverride w:val="2"/>
    </w:lvlOverride>
  </w:num>
  <w:num w:numId="8">
    <w:abstractNumId w:val="7"/>
  </w:num>
  <w:num w:numId="9">
    <w:abstractNumId w:val="6"/>
  </w:num>
  <w:num w:numId="10">
    <w:abstractNumId w:val="9"/>
  </w:num>
  <w:num w:numId="11">
    <w:abstractNumId w:val="8"/>
  </w:num>
  <w:num w:numId="12">
    <w:abstractNumId w:val="8"/>
    <w:lvlOverride w:ilvl="0">
      <w:startOverride w:val="2"/>
    </w:lvlOverride>
  </w:num>
  <w:num w:numId="13">
    <w:abstractNumId w:val="11"/>
  </w:num>
  <w:num w:numId="14">
    <w:abstractNumId w:val="10"/>
  </w:num>
  <w:num w:numId="15">
    <w:abstractNumId w:val="10"/>
    <w:lvlOverride w:ilvl="0">
      <w:startOverride w:val="3"/>
    </w:lvlOverride>
  </w:num>
  <w:num w:numId="16">
    <w:abstractNumId w:val="13"/>
  </w:num>
  <w:num w:numId="17">
    <w:abstractNumId w:val="12"/>
  </w:num>
  <w:num w:numId="18">
    <w:abstractNumId w:val="15"/>
  </w:num>
  <w:num w:numId="19">
    <w:abstractNumId w:val="14"/>
  </w:num>
  <w:num w:numId="20">
    <w:abstractNumId w:val="14"/>
    <w:lvlOverride w:ilvl="0">
      <w:startOverride w:val="2"/>
    </w:lvlOverride>
  </w:num>
  <w:num w:numId="21">
    <w:abstractNumId w:val="17"/>
  </w:num>
  <w:num w:numId="22">
    <w:abstractNumId w:val="16"/>
  </w:num>
  <w:num w:numId="23">
    <w:abstractNumId w:val="19"/>
  </w:num>
  <w:num w:numId="24">
    <w:abstractNumId w:val="18"/>
  </w:num>
  <w:num w:numId="25">
    <w:abstractNumId w:val="21"/>
  </w:num>
  <w:num w:numId="26">
    <w:abstractNumId w:val="20"/>
  </w:num>
  <w:num w:numId="27">
    <w:abstractNumId w:val="20"/>
    <w:lvlOverride w:ilvl="0">
      <w:startOverride w:val="3"/>
    </w:lvlOverride>
  </w:num>
  <w:num w:numId="28">
    <w:abstractNumId w:val="23"/>
  </w:num>
  <w:num w:numId="29">
    <w:abstractNumId w:val="2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8"/>
      </w:numPr>
    </w:pPr>
  </w:style>
  <w:style w:type="numbering" w:styleId="Imported Style 5">
    <w:name w:val="Imported Style 5"/>
    <w:pPr>
      <w:numPr>
        <w:numId w:val="10"/>
      </w:numPr>
    </w:pPr>
  </w:style>
  <w:style w:type="numbering" w:styleId="Imported Style 6">
    <w:name w:val="Imported Style 6"/>
    <w:pPr>
      <w:numPr>
        <w:numId w:val="13"/>
      </w:numPr>
    </w:pPr>
  </w:style>
  <w:style w:type="numbering" w:styleId="Imported Style 7">
    <w:name w:val="Imported Style 7"/>
    <w:pPr>
      <w:numPr>
        <w:numId w:val="16"/>
      </w:numPr>
    </w:pPr>
  </w:style>
  <w:style w:type="numbering" w:styleId="Imported Style 8">
    <w:name w:val="Imported Style 8"/>
    <w:pPr>
      <w:numPr>
        <w:numId w:val="18"/>
      </w:numPr>
    </w:pPr>
  </w:style>
  <w:style w:type="numbering" w:styleId="Imported Style 9">
    <w:name w:val="Imported Style 9"/>
    <w:pPr>
      <w:numPr>
        <w:numId w:val="21"/>
      </w:numPr>
    </w:pPr>
  </w:style>
  <w:style w:type="numbering" w:styleId="Imported Style 10">
    <w:name w:val="Imported Style 10"/>
    <w:pPr>
      <w:numPr>
        <w:numId w:val="23"/>
      </w:numPr>
    </w:pPr>
  </w:style>
  <w:style w:type="numbering" w:styleId="Imported Style 11">
    <w:name w:val="Imported Style 11"/>
    <w:pPr>
      <w:numPr>
        <w:numId w:val="25"/>
      </w:numPr>
    </w:pPr>
  </w:style>
  <w:style w:type="numbering" w:styleId="Imported Style 12">
    <w:name w:val="Imported Style 12"/>
    <w:pPr>
      <w:numPr>
        <w:numId w:val="28"/>
      </w:numPr>
    </w:pPr>
  </w:style>
  <w:style w:type="character" w:styleId="None">
    <w:name w:val="None"/>
  </w:style>
  <w:style w:type="character" w:styleId="Hyperlink.0">
    <w:name w:val="Hyperlink.0"/>
    <w:basedOn w:val="None"/>
    <w:next w:val="Hyperlink.0"/>
    <w:rPr>
      <w:outline w:val="0"/>
      <w:color w:val="1155cc"/>
      <w:u w:val="single" w:color="1155cc"/>
      <w:shd w:val="clear" w:color="auto" w:fill="fbfbfb"/>
      <w14:textFill>
        <w14:solidFill>
          <w14:srgbClr w14:val="1155CC"/>
        </w14:solidFill>
      </w14:textFill>
    </w:rPr>
  </w:style>
  <w:style w:type="character" w:styleId="Hyperlink.1">
    <w:name w:val="Hyperlink.1"/>
    <w:basedOn w:val="None"/>
    <w:next w:val="Hyperlink.1"/>
    <w:rPr>
      <w:outline w:val="0"/>
      <w:color w:val="1155cc"/>
      <w:sz w:val="23"/>
      <w:szCs w:val="23"/>
      <w:u w:val="single" w:color="1155cc"/>
      <w:shd w:val="clear" w:color="auto" w:fill="fbfbfb"/>
      <w14:textFill>
        <w14:solidFill>
          <w14:srgbClr w14:val="1155CC"/>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