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ackground w:color="F4B083" w:themeColor="accent2" w:themeTint="99"/>
  <w:body>
    <w:p w:rsidR="78D24FD8" w:rsidP="4BA2E9FA" w:rsidRDefault="78D24FD8" w14:textId="459EC5E7" w14:noSpellErr="1" w14:paraId="22DB08FA">
      <w:pPr>
        <w:jc w:val="cente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47C1CBF2" wp14:editId="34378636">
                <wp:extent xmlns:wp="http://schemas.openxmlformats.org/drawingml/2006/wordprocessingDrawing" cx="2905125" cy="381000"/>
                <wp:effectExtent xmlns:wp="http://schemas.openxmlformats.org/drawingml/2006/wordprocessingDrawing" l="0" t="0" r="28575" b="19050"/>
                <wp:docPr xmlns:wp="http://schemas.openxmlformats.org/drawingml/2006/wordprocessingDrawing" id="1268967930"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905125" cy="381000"/>
                        </a:xfrm>
                        <a:prstGeom prst="rect">
                          <a:avLst/>
                        </a:prstGeom>
                        <a:solidFill>
                          <a:schemeClr val="accent1">
                            <a:lumMod val="75000"/>
                          </a:schemeClr>
                        </a:solidFill>
                        <a:ln>
                          <a:solidFill>
                            <a:srgbClr val="000000"/>
                          </a:solidFill>
                        </a:ln>
                      </wps:spPr>
                      <wps:txbx>
                        <w:txbxContent xmlns:w="http://schemas.openxmlformats.org/wordprocessingml/2006/main">
                          <w:p w:rsidR="00CD44D3" w:rsidP="00CD44D3" w:rsidRDefault="00CD44D3">
                            <w:pPr>
                              <w:rPr>
                                <w:kern w:val="0"/>
                                <w:sz w:val="32"/>
                                <w:szCs w:val="32"/>
                                <w:lang w:val="en-US"/>
                                <w14:ligatures xmlns:w14="http://schemas.microsoft.com/office/word/2010/wordml" w14:val="none"/>
                              </w:rPr>
                            </w:pPr>
                            <w:r>
                              <w:rPr>
                                <w:sz w:val="32"/>
                                <w:szCs w:val="32"/>
                                <w:lang w:val="en-US"/>
                              </w:rPr>
                              <w:t xml:space="preserve">Developing Effective Study Skills </w:t>
                            </w:r>
                          </w:p>
                        </w:txbxContent>
                      </wps:txbx>
                      <wps:bodyPr anchor="t"/>
                    </wps:wsp>
                  </a:graphicData>
                </a:graphic>
              </wp:inline>
            </w:drawing>
          </mc:Choice>
          <mc:Fallback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7446806" wp14:editId="2F09717B">
                <wp:extent xmlns:wp="http://schemas.openxmlformats.org/drawingml/2006/wordprocessingDrawing" cx="5676900" cy="403225"/>
                <wp:effectExtent xmlns:wp="http://schemas.openxmlformats.org/drawingml/2006/wordprocessingDrawing" l="0" t="0" r="19050" b="15875"/>
                <wp:docPr xmlns:wp="http://schemas.openxmlformats.org/drawingml/2006/wordprocessingDrawing" id="476285689"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676900" cy="403225"/>
                        </a:xfrm>
                        <a:prstGeom prst="rect">
                          <a:avLst/>
                        </a:prstGeom>
                        <a:solidFill>
                          <a:schemeClr val="accent1">
                            <a:lumMod val="75000"/>
                          </a:schemeClr>
                        </a:solidFill>
                        <a:ln>
                          <a:solidFill>
                            <a:srgbClr val="000000"/>
                          </a:solidFill>
                        </a:ln>
                      </wps:spPr>
                      <wps:txbx>
                        <w:txbxContent xmlns:w="http://schemas.openxmlformats.org/wordprocessingml/2006/main">
                          <w:p w:rsidR="00BD7B64" w:rsidP="00BD7B64" w:rsidRDefault="00BD7B64">
                            <w:pPr>
                              <w:spacing w:line="256" w:lineRule="auto"/>
                              <w:rPr>
                                <w:rFonts w:ascii="Calibri" w:hAnsi="Calibri" w:cs="Calibri"/>
                                <w:kern w:val="0"/>
                                <w:sz w:val="18"/>
                                <w:szCs w:val="18"/>
                                <w:lang w:val="en-US"/>
                                <w14:ligatures xmlns:w14="http://schemas.microsoft.com/office/word/2010/wordml" w14:val="none"/>
                              </w:rPr>
                            </w:pPr>
                            <w:r>
                              <w:rPr>
                                <w:rFonts w:ascii="Calibri" w:hAnsi="Calibri" w:cs="Calibri"/>
                                <w:sz w:val="18"/>
                                <w:szCs w:val="18"/>
                                <w:lang w:val="en-US"/>
                              </w:rPr>
                              <w:t xml:space="preserve">It is often said that good strategies matter considerably whilst studying Cottrell (2019) I am going to explain some of these strategies to you that are beneficial to developing effective study skills.  </w:t>
                            </w:r>
                          </w:p>
                        </w:txbxContent>
                      </wps:txbx>
                      <wps:bodyPr anchor="t"/>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3EEBB8D" wp14:editId="62B13B3A">
                <wp:extent cx="2683510" cy="4874895"/>
                <wp:effectExtent l="0" t="0" r="21590" b="20955"/>
                <wp:docPr xmlns:wp="http://schemas.openxmlformats.org/drawingml/2006/wordprocessingDrawing" id="478057478"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683510" cy="4874895"/>
                        </a:xfrm>
                        <a:prstGeom prst="rect">
                          <a:avLst/>
                        </a:prstGeom>
                        <a:solidFill>
                          <a:schemeClr val="lt1"/>
                        </a:solidFill>
                        <a:ln>
                          <a:solidFill>
                            <a:srgbClr val="000000"/>
                          </a:solidFill>
                        </a:ln>
                      </wps:spPr>
                      <wps:txbx>
                        <w:txbxContent>
                          <w:p w:rsidR="00D229E6" w:rsidP="00D229E6" w:rsidRDefault="00D229E6">
                            <w:pPr>
                              <w:spacing w:line="254" w:lineRule="auto"/>
                              <w:rPr>
                                <w:rFonts w:ascii="Calibri" w:hAnsi="Calibri" w:cs="Calibri"/>
                                <w:kern w:val="0"/>
                                <w:sz w:val="18"/>
                                <w:szCs w:val="18"/>
                                <w:lang w:val="en-US"/>
                                <w14:ligatures xmlns:w14="http://schemas.microsoft.com/office/word/2010/wordml" w14:val="none"/>
                              </w:rPr>
                            </w:pPr>
                            <w:r>
                              <w:rPr>
                                <w:rFonts w:ascii="Calibri" w:hAnsi="Calibri" w:cs="Calibri"/>
                                <w:sz w:val="18"/>
                                <w:szCs w:val="18"/>
                                <w:u w:val="single"/>
                                <w:lang w:val="en-US"/>
                              </w:rPr>
                              <w:t xml:space="preserve">Time management </w:t>
                            </w:r>
                          </w:p>
                          <w:p w:rsidR="00D229E6" w:rsidP="00D229E6" w:rsidRDefault="00D229E6">
                            <w:pPr>
                              <w:spacing w:line="254" w:lineRule="auto"/>
                              <w:rPr>
                                <w:rFonts w:ascii="Calibri" w:hAnsi="Calibri" w:cs="Calibri"/>
                                <w:sz w:val="18"/>
                                <w:szCs w:val="18"/>
                                <w:lang w:val="en-US"/>
                              </w:rPr>
                            </w:pPr>
                            <w:r>
                              <w:rPr>
                                <w:rFonts w:ascii="Calibri" w:hAnsi="Calibri" w:cs="Calibri"/>
                                <w:sz w:val="18"/>
                                <w:szCs w:val="18"/>
                                <w:lang w:val="en-US"/>
                              </w:rPr>
                              <w:t xml:space="preserve">Elevated expectations are expected from you when developing effective study skills according to Cottrell (2019). She states how the willingness to accommodate to new settings and meeting peers is essential in maintaining the standard expected of you. Although you must possess a great deal of independence the ability to work as part of a team is a necessity. Making yourself distinguished in larger groups yet self-motivation is key. Organization is crucial in your learning, and you must plan your time carefully to be successful. She gives lots of advice on ways to time manage productively, also contributing to maintaining low stress levels. One of her top tips is to keep a notebook to hand and write down all mental notes as and when. Keep a diary to know when all assignments are due and when you must attend lectures. </w:t>
                            </w:r>
                            <w:r>
                              <w:rPr>
                                <w:rFonts w:ascii="Calibri" w:hAnsi="Calibri" w:cs="Calibri"/>
                                <w:color w:val="000000"/>
                                <w:sz w:val="18"/>
                                <w:szCs w:val="18"/>
                                <w:lang w:val="en-US"/>
                              </w:rPr>
                              <w:t>Grissom (2015) states</w:t>
                            </w:r>
                            <w:r>
                              <w:rPr>
                                <w:rFonts w:ascii="Calibri" w:hAnsi="Calibri" w:cs="Calibri"/>
                                <w:sz w:val="18"/>
                                <w:szCs w:val="18"/>
                                <w:lang w:val="en-US"/>
                              </w:rPr>
                              <w:t xml:space="preserve"> research of effective time management has identified numerous strategies. Having targets set both long and short term can be productive in learning. By compiling to-do lists you can see what tasks need to be completed and there can be satisfaction in crossing finished assignments from your list. Prioritizing is essential when you are met with deadlines so that you do not get overwhelmed and can concentrate on what needs to be done. Keeping time logs and diaries are also beneficial to scheduling and organizing your workload. Having the right workspace is paramount and will be valuable to your learning. It can help with concentration and be constructive. </w:t>
                            </w:r>
                          </w:p>
                        </w:txbxContent>
                      </wps:txbx>
                      <wps:bodyPr anchor="t"/>
                    </wps:wsp>
                  </a:graphicData>
                </a:graphic>
              </wp:inline>
            </w:drawing>
          </mc:Choice>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45DB155" wp14:editId="728174C1">
                <wp:extent xmlns:wp="http://schemas.openxmlformats.org/drawingml/2006/wordprocessingDrawing" cx="2976880" cy="4869180"/>
                <wp:effectExtent xmlns:wp="http://schemas.openxmlformats.org/drawingml/2006/wordprocessingDrawing" l="0" t="0" r="13970" b="26670"/>
                <wp:docPr xmlns:wp="http://schemas.openxmlformats.org/drawingml/2006/wordprocessingDrawing" id="11181819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976880" cy="4869180"/>
                        </a:xfrm>
                        <a:prstGeom prst="rect">
                          <a:avLst/>
                        </a:prstGeom>
                        <a:solidFill>
                          <a:schemeClr val="lt1"/>
                        </a:solidFill>
                        <a:ln>
                          <a:solidFill>
                            <a:srgbClr val="000000"/>
                          </a:solidFill>
                        </a:ln>
                      </wps:spPr>
                      <wps:txbx>
                        <w:txbxContent xmlns:w="http://schemas.openxmlformats.org/wordprocessingml/2006/main">
                          <w:p w:rsidR="00C76797" w:rsidP="00C76797" w:rsidRDefault="00C76797">
                            <w:pPr>
                              <w:spacing w:line="254" w:lineRule="auto"/>
                              <w:rPr>
                                <w:rFonts w:ascii="Calibri" w:hAnsi="Calibri" w:cs="Calibri"/>
                                <w:kern w:val="0"/>
                                <w:sz w:val="18"/>
                                <w:szCs w:val="18"/>
                                <w:lang w:val="en-US"/>
                                <w14:ligatures xmlns:w14="http://schemas.microsoft.com/office/word/2010/wordml" w14:val="none"/>
                              </w:rPr>
                            </w:pPr>
                            <w:r>
                              <w:rPr>
                                <w:rFonts w:ascii="Calibri" w:hAnsi="Calibri" w:cs="Calibri"/>
                                <w:sz w:val="18"/>
                                <w:szCs w:val="18"/>
                                <w:u w:val="single"/>
                                <w:lang w:val="en-US"/>
                              </w:rPr>
                              <w:t xml:space="preserve">Well-being </w:t>
                            </w:r>
                          </w:p>
                          <w:p w:rsidR="00C76797" w:rsidP="00C76797" w:rsidRDefault="00C76797">
                            <w:pPr>
                              <w:spacing w:line="254" w:lineRule="auto"/>
                              <w:rPr>
                                <w:rFonts w:ascii="Calibri" w:hAnsi="Calibri" w:cs="Calibri"/>
                                <w:sz w:val="18"/>
                                <w:szCs w:val="18"/>
                                <w:lang w:val="en-US"/>
                              </w:rPr>
                            </w:pPr>
                            <w:r>
                              <w:rPr>
                                <w:rFonts w:ascii="Calibri" w:hAnsi="Calibri" w:cs="Calibri"/>
                                <w:sz w:val="18"/>
                                <w:szCs w:val="18"/>
                                <w:lang w:val="en-US"/>
                              </w:rPr>
                              <w:t xml:space="preserve">Your well-being is vital to your learning and not looking after yourself properly can have a detrimental effect on both your mental and physical health. Cottrell (2019) cannot stress this enough and gives professional advice on how to have a good work-life balance. Although surrounded by your peers, student life can be daunting and isolating. We all possess different personalities so whereas some are confident of being introduced in large groups others may prefer to acknowledge others one-to-one. Making a friendship circle could take time and you may not make close friends until a few months down the line. 5 key factors that contribute to your well-being and should not be overlooked are sleep, health, money, safety, and food. Sleep patterns are likely to change due to your learning and workload. It is important not to become stressed as lack of sleep will hinder your studies and affect your health. Your health is vital to your well-being, you should have regular checkups. The symptoms of underlying health issues should be taken seriously and followed up with professional medical advice immediately. Although money does not seem to be a critical issue, it can adversely affect your health and well-being, causing unwanted stress. Any financial worries or concerns should be shared so that the appropriate help and support can be made available to you. Safety can be represented in diverse ways from travelling to and from settings to also staying safe online having the correct privacy settings. Knowing your work is stored safely too. Eating healthy food and maintaining a healthy diet will help your well-being.  </w:t>
                            </w:r>
                          </w:p>
                        </w:txbxContent>
                      </wps:txbx>
                      <wps:bodyPr anchor="t"/>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D071AEE" wp14:editId="3E5FE528">
                <wp:extent cx="2745740" cy="4877435"/>
                <wp:effectExtent l="0" t="0" r="16510" b="18415"/>
                <wp:docPr xmlns:wp="http://schemas.openxmlformats.org/drawingml/2006/wordprocessingDrawing" id="155912361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745740" cy="4877435"/>
                        </a:xfrm>
                        <a:prstGeom prst="rect">
                          <a:avLst/>
                        </a:prstGeom>
                        <a:solidFill>
                          <a:schemeClr val="lt1"/>
                        </a:solidFill>
                        <a:ln>
                          <a:solidFill>
                            <a:srgbClr val="000000"/>
                          </a:solidFill>
                        </a:ln>
                      </wps:spPr>
                      <wps:txbx>
                        <w:txbxContent>
                          <w:p w:rsidR="00F15F7B" w:rsidP="00F15F7B" w:rsidRDefault="00F15F7B">
                            <w:pPr>
                              <w:spacing w:line="256" w:lineRule="auto"/>
                              <w:rPr>
                                <w:rFonts w:ascii="Calibri" w:hAnsi="Calibri" w:cs="Calibri"/>
                                <w:kern w:val="0"/>
                                <w:sz w:val="18"/>
                                <w:szCs w:val="18"/>
                                <w:lang w:val="en-US"/>
                                <w14:ligatures xmlns:w14="http://schemas.microsoft.com/office/word/2010/wordml" w14:val="none"/>
                              </w:rPr>
                            </w:pPr>
                            <w:r>
                              <w:rPr>
                                <w:rFonts w:ascii="Calibri" w:hAnsi="Calibri" w:cs="Calibri"/>
                                <w:sz w:val="18"/>
                                <w:szCs w:val="18"/>
                                <w:u w:val="single"/>
                                <w:lang w:val="en-US"/>
                              </w:rPr>
                              <w:t xml:space="preserve">Research skills </w:t>
                            </w:r>
                          </w:p>
                          <w:p w:rsidR="00F15F7B" w:rsidP="00F15F7B" w:rsidRDefault="00F15F7B">
                            <w:pPr>
                              <w:spacing w:line="256" w:lineRule="auto"/>
                              <w:rPr>
                                <w:rFonts w:ascii="Calibri" w:hAnsi="Calibri" w:cs="Calibri"/>
                                <w:sz w:val="18"/>
                                <w:szCs w:val="18"/>
                                <w:lang w:val="en-US"/>
                              </w:rPr>
                            </w:pPr>
                            <w:r>
                              <w:rPr>
                                <w:rFonts w:ascii="Calibri" w:hAnsi="Calibri" w:cs="Calibri"/>
                                <w:sz w:val="18"/>
                                <w:szCs w:val="18"/>
                                <w:lang w:val="en-US"/>
                              </w:rPr>
                              <w:t>According to Co</w:t>
                            </w:r>
                            <w:r>
                              <w:rPr>
                                <w:rFonts w:ascii="Calibri" w:hAnsi="Calibri" w:cs="Calibri"/>
                                <w:color w:val="000000"/>
                                <w:sz w:val="18"/>
                                <w:szCs w:val="18"/>
                                <w:lang w:val="en-US"/>
                              </w:rPr>
                              <w:t>t</w:t>
                            </w:r>
                            <w:r>
                              <w:rPr>
                                <w:rFonts w:ascii="Calibri" w:hAnsi="Calibri" w:cs="Calibri"/>
                                <w:sz w:val="18"/>
                                <w:szCs w:val="18"/>
                                <w:lang w:val="en-US"/>
                              </w:rPr>
                              <w:t>trell (2019) we are all capable of research and it is a skill we carry out daily without even realising it. From finding out about different genres of music to comparing items we wish to purchase. There are many ways to carry out research, depending on the type of research we are carrying out will depict what methods and strategies we use. The levels of research for academic study differs also and the subject or topic plays a huge part. Research is essential as you are not permitted to base your assignments completely on your own thoughts and opinions. You need to be competent and have a good understanding on how to extract research and use it to compile your work. Cottrell (2019) reminds us that although the amount of research needed to be consumed can be daunting, having strategies in place can assist you and be beneficial in extracting the knowledge you require. To be efficient in student research, note taking, reading and critical analysis should be used. Brandt (2009) tells us that comparing different authors opinions is required in academic writing. You are required to paraphrase and evaluate whilst compiling your assignments. Exchanging notes with other students whilst working as part of a group can help significantly. Make sure your resources are viable and legitimate.</w:t>
                            </w:r>
                          </w:p>
                        </w:txbxContent>
                      </wps:txbx>
                      <wps:bodyPr anchor="t"/>
                    </wps:wsp>
                  </a:graphicData>
                </a:graphic>
              </wp:inline>
            </w:drawing>
          </mc:Choice>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4B2E18DA" wp14:editId="554E367E">
                <wp:extent cx="8143240" cy="1378585"/>
                <wp:effectExtent l="0" t="0" r="10160" b="12065"/>
                <wp:docPr xmlns:wp="http://schemas.openxmlformats.org/drawingml/2006/wordprocessingDrawing" id="599463945"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8143240" cy="1378585"/>
                        </a:xfrm>
                        <a:prstGeom prst="rect">
                          <a:avLst/>
                        </a:prstGeom>
                        <a:solidFill>
                          <a:schemeClr val="lt1"/>
                        </a:solidFill>
                        <a:ln>
                          <a:solidFill>
                            <a:srgbClr val="000000"/>
                          </a:solidFill>
                        </a:ln>
                      </wps:spPr>
                      <wps:txbx>
                        <w:txbxContent>
                          <w:p w:rsidR="003A217A" w:rsidP="003A217A" w:rsidRDefault="003A217A">
                            <w:pPr>
                              <w:rPr>
                                <w:kern w:val="0"/>
                                <w:sz w:val="18"/>
                                <w:szCs w:val="18"/>
                                <w:lang w:val="en-US"/>
                                <w14:ligatures xmlns:w14="http://schemas.microsoft.com/office/word/2010/wordml" w14:val="none"/>
                              </w:rPr>
                            </w:pPr>
                            <w:r>
                              <w:rPr>
                                <w:sz w:val="18"/>
                                <w:szCs w:val="18"/>
                                <w:lang w:val="en-US"/>
                              </w:rPr>
                              <w:t xml:space="preserve">To summarize I feel well-being is an important part of learning as it can have detrimental effects on your study. Looking after yourself is vital and over the past few years it has become more apparent that mental health is equally important as physical health. When you study you challenge yourself and it is easy to start to doubt your ability and become overwhelmed. Time management is essential when learning. It is important to have a growth mindset and make sure you balance out your work time with recreational time. Having a timetable can help but it does not always have to be adhered to. If you feel you are getting tired or starting to become stressed just stop and take time away. Make something to eat or have a cup of tea. Go for a walk to get some fresh air, just take time away from your studying, even 5 minutes can give you a different perspective. Research skills support your learning immensely and the more research you undertake the more you can contribute to your understanding. It can help you see other people's opinions and points of view on different subjects. As referencing is a must it is far easier to keep notes of where and when you required your information saving you time and easing the pressure on your workload. </w:t>
                            </w:r>
                          </w:p>
                        </w:txbxContent>
                      </wps:txbx>
                      <wps:bodyPr anchor="t"/>
                    </wps:wsp>
                  </a:graphicData>
                </a:graphic>
              </wp:inline>
            </w:drawing>
          </mc:Choice>
          <mc:Fallback xmlns:a="http://schemas.openxmlformats.org/drawingml/2006/main"/>
        </mc:AlternateContent>
      </w:r>
    </w:p>
    <w:p w:rsidR="52238AEC" w:rsidP="668C1803" w:rsidRDefault="52238AEC" w14:paraId="03B1E391" w14:textId="4CDDDCF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68C1803" w:rsidR="52238AEC">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Developing Effective Study Skills Reference List</w:t>
      </w:r>
    </w:p>
    <w:p w:rsidR="52238AEC" w:rsidP="668C1803" w:rsidRDefault="52238AEC" w14:paraId="385FDC18" w14:textId="46FE629F">
      <w:pPr>
        <w:spacing w:after="160" w:line="259" w:lineRule="auto"/>
        <w:rPr>
          <w:rFonts w:ascii="Calibri" w:hAnsi="Calibri" w:eastAsia="Calibri" w:cs="Calibri"/>
          <w:b w:val="0"/>
          <w:bCs w:val="0"/>
          <w:i w:val="0"/>
          <w:iCs w:val="0"/>
          <w:caps w:val="0"/>
          <w:smallCaps w:val="0"/>
          <w:noProof w:val="0"/>
          <w:color w:val="333333"/>
          <w:sz w:val="22"/>
          <w:szCs w:val="22"/>
          <w:lang w:val="en-US"/>
        </w:rPr>
      </w:pPr>
      <w:r w:rsidRPr="668C1803" w:rsidR="52238AEC">
        <w:rPr>
          <w:rFonts w:ascii="Calibri" w:hAnsi="Calibri" w:eastAsia="Calibri" w:cs="Calibri"/>
          <w:b w:val="0"/>
          <w:bCs w:val="0"/>
          <w:i w:val="0"/>
          <w:iCs w:val="0"/>
          <w:caps w:val="0"/>
          <w:smallCaps w:val="0"/>
          <w:noProof w:val="0"/>
          <w:color w:val="333333"/>
          <w:sz w:val="22"/>
          <w:szCs w:val="22"/>
          <w:lang w:val="en-GB"/>
        </w:rPr>
        <w:t xml:space="preserve">Brandt, C. (2009) </w:t>
      </w:r>
      <w:r w:rsidRPr="668C1803" w:rsidR="52238AEC">
        <w:rPr>
          <w:rFonts w:ascii="Calibri" w:hAnsi="Calibri" w:eastAsia="Calibri" w:cs="Calibri"/>
          <w:b w:val="0"/>
          <w:bCs w:val="0"/>
          <w:i w:val="1"/>
          <w:iCs w:val="1"/>
          <w:caps w:val="0"/>
          <w:smallCaps w:val="0"/>
          <w:noProof w:val="0"/>
          <w:color w:val="333333"/>
          <w:sz w:val="22"/>
          <w:szCs w:val="22"/>
          <w:lang w:val="en-GB"/>
        </w:rPr>
        <w:t>Read, Research and Write: Academic Skills for ESL Students in Higher Education</w:t>
      </w:r>
      <w:r w:rsidRPr="668C1803" w:rsidR="52238AEC">
        <w:rPr>
          <w:rFonts w:ascii="Calibri" w:hAnsi="Calibri" w:eastAsia="Calibri" w:cs="Calibri"/>
          <w:b w:val="0"/>
          <w:bCs w:val="0"/>
          <w:i w:val="0"/>
          <w:iCs w:val="0"/>
          <w:caps w:val="0"/>
          <w:smallCaps w:val="0"/>
          <w:noProof w:val="0"/>
          <w:color w:val="333333"/>
          <w:sz w:val="22"/>
          <w:szCs w:val="22"/>
          <w:lang w:val="en-GB"/>
        </w:rPr>
        <w:t>. London: SAGE Publications Ltd. SAGE Study Skills</w:t>
      </w:r>
    </w:p>
    <w:p w:rsidR="52238AEC" w:rsidP="668C1803" w:rsidRDefault="52238AEC" w14:paraId="386B2305" w14:textId="4F4FA9F7">
      <w:pPr>
        <w:spacing w:after="160" w:line="259" w:lineRule="auto"/>
        <w:rPr>
          <w:rFonts w:ascii="Calibri" w:hAnsi="Calibri" w:eastAsia="Calibri" w:cs="Calibri"/>
          <w:b w:val="0"/>
          <w:bCs w:val="0"/>
          <w:i w:val="0"/>
          <w:iCs w:val="0"/>
          <w:caps w:val="0"/>
          <w:smallCaps w:val="0"/>
          <w:noProof w:val="0"/>
          <w:color w:val="333333"/>
          <w:sz w:val="22"/>
          <w:szCs w:val="22"/>
          <w:lang w:val="en-US"/>
        </w:rPr>
      </w:pPr>
      <w:r w:rsidRPr="668C1803" w:rsidR="52238AEC">
        <w:rPr>
          <w:rFonts w:ascii="Calibri" w:hAnsi="Calibri" w:eastAsia="Calibri" w:cs="Calibri"/>
          <w:b w:val="0"/>
          <w:bCs w:val="0"/>
          <w:i w:val="0"/>
          <w:iCs w:val="0"/>
          <w:caps w:val="0"/>
          <w:smallCaps w:val="0"/>
          <w:noProof w:val="0"/>
          <w:color w:val="333333"/>
          <w:sz w:val="22"/>
          <w:szCs w:val="22"/>
          <w:lang w:val="en-GB"/>
        </w:rPr>
        <w:t xml:space="preserve">Cottrell, S. (2019) </w:t>
      </w:r>
      <w:r w:rsidRPr="668C1803" w:rsidR="52238AEC">
        <w:rPr>
          <w:rFonts w:ascii="Calibri" w:hAnsi="Calibri" w:eastAsia="Calibri" w:cs="Calibri"/>
          <w:b w:val="0"/>
          <w:bCs w:val="0"/>
          <w:i w:val="1"/>
          <w:iCs w:val="1"/>
          <w:caps w:val="0"/>
          <w:smallCaps w:val="0"/>
          <w:noProof w:val="0"/>
          <w:color w:val="333333"/>
          <w:sz w:val="22"/>
          <w:szCs w:val="22"/>
          <w:lang w:val="en-GB"/>
        </w:rPr>
        <w:t>The study skills handbook</w:t>
      </w:r>
      <w:r w:rsidRPr="668C1803" w:rsidR="52238AEC">
        <w:rPr>
          <w:rFonts w:ascii="Calibri" w:hAnsi="Calibri" w:eastAsia="Calibri" w:cs="Calibri"/>
          <w:b w:val="0"/>
          <w:bCs w:val="0"/>
          <w:i w:val="0"/>
          <w:iCs w:val="0"/>
          <w:caps w:val="0"/>
          <w:smallCaps w:val="0"/>
          <w:noProof w:val="0"/>
          <w:color w:val="333333"/>
          <w:sz w:val="22"/>
          <w:szCs w:val="22"/>
          <w:lang w:val="en-GB"/>
        </w:rPr>
        <w:t>. 5th edn. London: Red Globe Press.</w:t>
      </w:r>
    </w:p>
    <w:p w:rsidR="52238AEC" w:rsidP="668C1803" w:rsidRDefault="52238AEC" w14:paraId="21A2F2F5" w14:textId="3020159A">
      <w:pPr>
        <w:spacing w:before="0" w:beforeAutospacing="off" w:after="0" w:afterAutospacing="off"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68C1803" w:rsidR="52238AEC">
        <w:rPr>
          <w:rFonts w:ascii="Source Sans Pro" w:hAnsi="Source Sans Pro" w:eastAsia="Source Sans Pro" w:cs="Source Sans Pro"/>
          <w:b w:val="0"/>
          <w:bCs w:val="0"/>
          <w:i w:val="0"/>
          <w:iCs w:val="0"/>
          <w:caps w:val="0"/>
          <w:smallCaps w:val="0"/>
          <w:noProof w:val="0"/>
          <w:color w:val="3A3A3A"/>
          <w:sz w:val="22"/>
          <w:szCs w:val="22"/>
          <w:lang w:val="en-GB"/>
        </w:rPr>
        <w:t>Grissom, Jason A. ; Loeb, Susanna ; Mitani, Hajime Journal of educational administration, 2015, Vol.53 (6), p.773-793</w:t>
      </w:r>
    </w:p>
    <w:p w:rsidR="668C1803" w:rsidP="668C1803" w:rsidRDefault="668C1803" w14:paraId="24BBE99B" w14:textId="7879001C">
      <w:pPr>
        <w:pStyle w:val="Normal"/>
        <w:jc w:val="center"/>
      </w:pPr>
    </w:p>
    <w:sectPr>
      <w:pgSz w:w="15840" w:h="12240" w:orient="landscape"/>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00CBFC"/>
    <w:rsid w:val="00B50A23"/>
    <w:rsid w:val="06B115E6"/>
    <w:rsid w:val="0D957309"/>
    <w:rsid w:val="10B4E78D"/>
    <w:rsid w:val="13246433"/>
    <w:rsid w:val="135A166E"/>
    <w:rsid w:val="14EFED5C"/>
    <w:rsid w:val="1728EAAE"/>
    <w:rsid w:val="18262A88"/>
    <w:rsid w:val="1A1C2956"/>
    <w:rsid w:val="1B8E0288"/>
    <w:rsid w:val="1C477D9E"/>
    <w:rsid w:val="1DE34DFF"/>
    <w:rsid w:val="1E09B98B"/>
    <w:rsid w:val="2359A28C"/>
    <w:rsid w:val="27423A61"/>
    <w:rsid w:val="28872C9E"/>
    <w:rsid w:val="28DE0AC2"/>
    <w:rsid w:val="2DAB9230"/>
    <w:rsid w:val="2DB903C9"/>
    <w:rsid w:val="360C7134"/>
    <w:rsid w:val="36F4ECA2"/>
    <w:rsid w:val="37A84195"/>
    <w:rsid w:val="3890BD03"/>
    <w:rsid w:val="3C7BB2B8"/>
    <w:rsid w:val="3D0669E4"/>
    <w:rsid w:val="3F0AE19F"/>
    <w:rsid w:val="40D8D12C"/>
    <w:rsid w:val="4375AB68"/>
    <w:rsid w:val="451903AD"/>
    <w:rsid w:val="45717803"/>
    <w:rsid w:val="46BB356E"/>
    <w:rsid w:val="46FD2F94"/>
    <w:rsid w:val="476DAE94"/>
    <w:rsid w:val="4850A46F"/>
    <w:rsid w:val="4898FFF5"/>
    <w:rsid w:val="494CF5FD"/>
    <w:rsid w:val="49EC74D0"/>
    <w:rsid w:val="4BA2E9FA"/>
    <w:rsid w:val="50602F50"/>
    <w:rsid w:val="52238AEC"/>
    <w:rsid w:val="523FE23B"/>
    <w:rsid w:val="53DBB29C"/>
    <w:rsid w:val="5E00CBFC"/>
    <w:rsid w:val="5E0C4FEF"/>
    <w:rsid w:val="60DB5524"/>
    <w:rsid w:val="62FAEE60"/>
    <w:rsid w:val="6668415D"/>
    <w:rsid w:val="668C1803"/>
    <w:rsid w:val="6AF7CFF6"/>
    <w:rsid w:val="6C507761"/>
    <w:rsid w:val="713540ED"/>
    <w:rsid w:val="7166CC2A"/>
    <w:rsid w:val="734EB1EB"/>
    <w:rsid w:val="7556EFA4"/>
    <w:rsid w:val="75BD2F5C"/>
    <w:rsid w:val="78D24FD8"/>
    <w:rsid w:val="7974A85E"/>
    <w:rsid w:val="7FCDE8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0CBFC"/>
  <w15:chartTrackingRefBased/>
  <w15:docId w15:val="{B82F6D19-C434-45D0-8B89-10B61C5C2C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2023-09-27T21:20:41.1349895Z</dcterms:created>
  <dcterms:modified xsi:type="dcterms:W3CDTF">2023-09-29T15:44:12.2882765Z</dcterms:modified>
  <dc:creator>Louisa Woodward (2309087)</dc:creator>
  <lastModifiedBy>Louisa Woodward (2309087)</lastModifiedBy>
</coreProperties>
</file>