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rPr>
          <w:color w:val="000000" w:themeColor="text1"/>
          <w14:textFill>
            <w14:solidFill>
              <w14:schemeClr w14:val="tx1"/>
            </w14:solidFill>
          </w14:textFill>
        </w:rPr>
      </w:pPr>
    </w:p>
    <w:p>
      <w:pPr>
        <w:pStyle w:val="2"/>
        <w:rPr>
          <w:color w:val="000000" w:themeColor="text1"/>
          <w14:textFill>
            <w14:solidFill>
              <w14:schemeClr w14:val="tx1"/>
            </w14:solidFill>
          </w14:textFill>
        </w:rPr>
      </w:pPr>
      <w:bookmarkStart w:id="22" w:name="_GoBack"/>
      <w:bookmarkEnd w:id="22"/>
    </w:p>
    <w:p>
      <w:pPr>
        <w:pStyle w:val="2"/>
        <w:jc w:val="center"/>
        <w:rPr>
          <w:rFonts w:hint="default"/>
          <w:color w:val="000000" w:themeColor="text1"/>
          <w:lang w:val="en-US"/>
          <w14:textFill>
            <w14:solidFill>
              <w14:schemeClr w14:val="tx1"/>
            </w14:solidFill>
          </w14:textFill>
        </w:rPr>
      </w:pPr>
      <w:r>
        <w:rPr>
          <w:rFonts w:hint="default"/>
          <w:color w:val="000000" w:themeColor="text1"/>
          <w:lang w:val="en-US"/>
          <w14:textFill>
            <w14:solidFill>
              <w14:schemeClr w14:val="tx1"/>
            </w14:solidFill>
          </w14:textFill>
        </w:rPr>
        <w:t>Name: Usman Uddin</w:t>
      </w:r>
    </w:p>
    <w:p>
      <w:pPr>
        <w:pStyle w:val="2"/>
        <w:jc w:val="center"/>
        <w:rPr>
          <w:rFonts w:hint="default"/>
          <w:color w:val="000000" w:themeColor="text1"/>
          <w:lang w:val="en-US"/>
          <w14:textFill>
            <w14:solidFill>
              <w14:schemeClr w14:val="tx1"/>
            </w14:solidFill>
          </w14:textFill>
        </w:rPr>
      </w:pPr>
      <w:r>
        <w:rPr>
          <w:rFonts w:hint="default"/>
          <w:color w:val="000000" w:themeColor="text1"/>
          <w:lang w:val="en-US"/>
          <w14:textFill>
            <w14:solidFill>
              <w14:schemeClr w14:val="tx1"/>
            </w14:solidFill>
          </w14:textFill>
        </w:rPr>
        <w:t>Student number: 2116921</w:t>
      </w:r>
    </w:p>
    <w:p>
      <w:pPr>
        <w:pStyle w:val="2"/>
        <w:jc w:val="center"/>
        <w:rPr>
          <w:rFonts w:hint="default"/>
          <w:color w:val="000000" w:themeColor="text1"/>
          <w:lang w:val="en-US"/>
          <w14:textFill>
            <w14:solidFill>
              <w14:schemeClr w14:val="tx1"/>
            </w14:solidFill>
          </w14:textFill>
        </w:rPr>
      </w:pPr>
      <w:r>
        <w:rPr>
          <w:rFonts w:hint="default"/>
          <w:color w:val="000000" w:themeColor="text1"/>
          <w:lang w:val="en-US"/>
          <w14:textFill>
            <w14:solidFill>
              <w14:schemeClr w14:val="tx1"/>
            </w14:solidFill>
          </w14:textFill>
        </w:rPr>
        <w:t>Module Code: BMHP5005-BIRM</w:t>
      </w:r>
    </w:p>
    <w:p>
      <w:pPr>
        <w:pStyle w:val="2"/>
        <w:jc w:val="center"/>
        <w:rPr>
          <w:rFonts w:hint="default"/>
          <w:color w:val="000000" w:themeColor="text1"/>
          <w:lang w:val="en-US"/>
          <w14:textFill>
            <w14:solidFill>
              <w14:schemeClr w14:val="tx1"/>
            </w14:solidFill>
          </w14:textFill>
        </w:rPr>
      </w:pPr>
      <w:r>
        <w:rPr>
          <w:rFonts w:hint="default"/>
          <w:color w:val="000000" w:themeColor="text1"/>
          <w:lang w:val="en-US"/>
          <w14:textFill>
            <w14:solidFill>
              <w14:schemeClr w14:val="tx1"/>
            </w14:solidFill>
          </w14:textFill>
        </w:rPr>
        <w:t>Module: Introduction to research</w:t>
      </w:r>
    </w:p>
    <w:p>
      <w:pPr>
        <w:pStyle w:val="2"/>
        <w:jc w:val="center"/>
        <w:rPr>
          <w:rFonts w:hint="default"/>
          <w:color w:val="000000" w:themeColor="text1"/>
          <w:lang w:val="en-US"/>
          <w14:textFill>
            <w14:solidFill>
              <w14:schemeClr w14:val="tx1"/>
            </w14:solidFill>
          </w14:textFill>
        </w:rPr>
      </w:pPr>
      <w:r>
        <w:rPr>
          <w:rFonts w:hint="default"/>
          <w:color w:val="000000" w:themeColor="text1"/>
          <w:lang w:val="en-US"/>
          <w14:textFill>
            <w14:solidFill>
              <w14:schemeClr w14:val="tx1"/>
            </w14:solidFill>
          </w14:textFill>
        </w:rPr>
        <w:t>Assessment title: literature review</w:t>
      </w:r>
    </w:p>
    <w:p>
      <w:pPr>
        <w:pStyle w:val="2"/>
        <w:jc w:val="center"/>
        <w:rPr>
          <w:rFonts w:hint="default"/>
          <w:color w:val="000000" w:themeColor="text1"/>
          <w:lang w:val="en-US"/>
          <w14:textFill>
            <w14:solidFill>
              <w14:schemeClr w14:val="tx1"/>
            </w14:solidFill>
          </w14:textFill>
        </w:rPr>
      </w:pPr>
      <w:r>
        <w:rPr>
          <w:rFonts w:hint="default"/>
          <w:color w:val="000000" w:themeColor="text1"/>
          <w:lang w:val="en-US"/>
          <w14:textFill>
            <w14:solidFill>
              <w14:schemeClr w14:val="tx1"/>
            </w14:solidFill>
          </w14:textFill>
        </w:rPr>
        <w:t>Lecturer: Neale Haddon</w:t>
      </w:r>
    </w:p>
    <w:p>
      <w:pPr>
        <w:pStyle w:val="2"/>
        <w:rPr>
          <w:color w:val="000000" w:themeColor="text1"/>
          <w14:textFill>
            <w14:solidFill>
              <w14:schemeClr w14:val="tx1"/>
            </w14:solidFill>
          </w14:textFill>
        </w:rPr>
      </w:pPr>
    </w:p>
    <w:p>
      <w:pPr>
        <w:pStyle w:val="2"/>
        <w:rPr>
          <w:color w:val="000000" w:themeColor="text1"/>
          <w14:textFill>
            <w14:solidFill>
              <w14:schemeClr w14:val="tx1"/>
            </w14:solidFill>
          </w14:textFill>
        </w:rPr>
      </w:pPr>
    </w:p>
    <w:p>
      <w:pPr>
        <w:pStyle w:val="2"/>
        <w:rPr>
          <w:color w:val="000000" w:themeColor="text1"/>
          <w14:textFill>
            <w14:solidFill>
              <w14:schemeClr w14:val="tx1"/>
            </w14:solidFill>
          </w14:textFill>
        </w:rPr>
      </w:pPr>
    </w:p>
    <w:p>
      <w:pPr>
        <w:pStyle w:val="2"/>
        <w:rPr>
          <w:color w:val="000000" w:themeColor="text1"/>
          <w14:textFill>
            <w14:solidFill>
              <w14:schemeClr w14:val="tx1"/>
            </w14:solidFill>
          </w14:textFill>
        </w:rPr>
      </w:pPr>
    </w:p>
    <w:p>
      <w:pPr>
        <w:pStyle w:val="2"/>
        <w:rPr>
          <w:color w:val="000000" w:themeColor="text1"/>
          <w14:textFill>
            <w14:solidFill>
              <w14:schemeClr w14:val="tx1"/>
            </w14:solidFill>
          </w14:textFill>
        </w:rPr>
      </w:pPr>
    </w:p>
    <w:p>
      <w:pPr>
        <w:pStyle w:val="2"/>
        <w:rPr>
          <w:color w:val="000000" w:themeColor="text1"/>
          <w14:textFill>
            <w14:solidFill>
              <w14:schemeClr w14:val="tx1"/>
            </w14:solidFill>
          </w14:textFill>
        </w:rPr>
      </w:pPr>
    </w:p>
    <w:p>
      <w:pPr>
        <w:pStyle w:val="2"/>
        <w:rPr>
          <w:color w:val="000000" w:themeColor="text1"/>
          <w14:textFill>
            <w14:solidFill>
              <w14:schemeClr w14:val="tx1"/>
            </w14:solidFill>
          </w14:textFill>
        </w:rPr>
      </w:pPr>
    </w:p>
    <w:p>
      <w:pPr>
        <w:pStyle w:val="2"/>
        <w:rPr>
          <w:color w:val="000000" w:themeColor="text1"/>
          <w14:textFill>
            <w14:solidFill>
              <w14:schemeClr w14:val="tx1"/>
            </w14:solidFill>
          </w14:textFill>
        </w:rPr>
      </w:pPr>
    </w:p>
    <w:p>
      <w:pPr>
        <w:pStyle w:val="2"/>
        <w:rPr>
          <w:color w:val="000000" w:themeColor="text1"/>
          <w14:textFill>
            <w14:solidFill>
              <w14:schemeClr w14:val="tx1"/>
            </w14:solidFill>
          </w14:textFill>
        </w:rPr>
      </w:pPr>
    </w:p>
    <w:p>
      <w:pPr>
        <w:pStyle w:val="2"/>
        <w:rPr>
          <w:color w:val="000000" w:themeColor="text1"/>
          <w14:textFill>
            <w14:solidFill>
              <w14:schemeClr w14:val="tx1"/>
            </w14:solidFill>
          </w14:textFill>
        </w:rPr>
      </w:pPr>
    </w:p>
    <w:p>
      <w:pPr>
        <w:pStyle w:val="2"/>
        <w:rPr>
          <w:color w:val="000000" w:themeColor="text1"/>
          <w14:textFill>
            <w14:solidFill>
              <w14:schemeClr w14:val="tx1"/>
            </w14:solidFill>
          </w14:textFill>
        </w:rPr>
      </w:pPr>
    </w:p>
    <w:p>
      <w:pPr>
        <w:pStyle w:val="2"/>
        <w:rPr>
          <w:color w:val="000000" w:themeColor="text1"/>
          <w14:textFill>
            <w14:solidFill>
              <w14:schemeClr w14:val="tx1"/>
            </w14:solidFill>
          </w14:textFill>
        </w:rPr>
      </w:pPr>
    </w:p>
    <w:p>
      <w:pPr>
        <w:pStyle w:val="2"/>
        <w:rPr>
          <w:color w:val="000000" w:themeColor="text1"/>
          <w14:textFill>
            <w14:solidFill>
              <w14:schemeClr w14:val="tx1"/>
            </w14:solidFill>
          </w14:textFill>
        </w:rPr>
      </w:pPr>
      <w:r>
        <w:rPr>
          <w:color w:val="000000" w:themeColor="text1"/>
          <w14:textFill>
            <w14:solidFill>
              <w14:schemeClr w14:val="tx1"/>
            </w14:solidFill>
          </w14:textFill>
        </w:rPr>
        <w:t>Table of Contents</w:t>
      </w:r>
    </w:p>
    <w:p/>
    <w:p/>
    <w:p>
      <w:pPr>
        <w:pStyle w:val="2"/>
        <w:rPr>
          <w:color w:val="000000" w:themeColor="text1"/>
          <w14:textFill>
            <w14:solidFill>
              <w14:schemeClr w14:val="tx1"/>
            </w14:solidFill>
          </w14:textFill>
        </w:rPr>
      </w:pPr>
    </w:p>
    <w:p>
      <w:pPr>
        <w:pStyle w:val="2"/>
        <w:spacing w:before="0"/>
        <w:rPr>
          <w:b w:val="0"/>
          <w:bCs w:val="0"/>
          <w:color w:val="000000" w:themeColor="text1"/>
          <w:sz w:val="24"/>
          <w:szCs w:val="24"/>
          <w14:textFill>
            <w14:solidFill>
              <w14:schemeClr w14:val="tx1"/>
            </w14:solidFill>
          </w14:textFill>
        </w:rPr>
      </w:pPr>
      <w:bookmarkStart w:id="0" w:name="_Abstract"/>
      <w:bookmarkEnd w:id="0"/>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"_Abstract"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Abstract</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1" w:name="_Introduction"/>
      <w:bookmarkEnd w:id="1"/>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"_Introduction"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Introduction</w:t>
      </w:r>
      <w:r>
        <w:rPr>
          <w:b w:val="0"/>
          <w:bCs w:val="0"/>
          <w:color w:val="000000" w:themeColor="text1"/>
          <w:sz w:val="24"/>
          <w:szCs w:val="24"/>
          <w14:textFill>
            <w14:solidFill>
              <w14:schemeClr w14:val="tx1"/>
            </w14:solidFill>
          </w14:textFill>
        </w:rPr>
        <w:fldChar w:fldCharType="end"/>
      </w:r>
    </w:p>
    <w:p>
      <w:pPr>
        <w:pStyle w:val="2"/>
        <w:spacing w:before="0"/>
        <w:rPr>
          <w:b w:val="0"/>
          <w:bCs w:val="0"/>
          <w:color w:val="000000" w:themeColor="text1"/>
          <w:sz w:val="24"/>
          <w:szCs w:val="24"/>
          <w14:textFill>
            <w14:solidFill>
              <w14:schemeClr w14:val="tx1"/>
            </w14:solidFill>
          </w14:textFill>
        </w:rPr>
      </w:pPr>
      <w:bookmarkStart w:id="2" w:name="_2.1_Overview_of"/>
      <w:bookmarkEnd w:id="2"/>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"_2.1_Overview_of"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2.1 Overview of Disability in Health and Social Care</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3" w:name="_Background_Information_and"/>
      <w:bookmarkEnd w:id="3"/>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"_Background_Information_and"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Background Information and Rationale</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4" w:name="_3.1_Conceptual_Understanding"/>
      <w:bookmarkEnd w:id="4"/>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"_3.1_Conceptual_Understanding"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3.1 Conceptual Understanding of Disability</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5" w:name="_3.2_Evolution_of"/>
      <w:bookmarkEnd w:id="5"/>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"_3.2_Evolution_of"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3.2 Evolution of Disability Policies and Practices</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6" w:name="_3.3_Rationale_for"/>
      <w:bookmarkEnd w:id="6"/>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"_3.3_Rationale_for"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3.3 Rationale for the Review</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7" w:name="_Methodology_and_Methods"/>
      <w:bookmarkEnd w:id="7"/>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"_Methodology_and_Methods"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Methodology and Methods</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8" w:name="_4.1_Research_Questions"/>
      <w:bookmarkEnd w:id="8"/>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"_4.1_Research_Questions"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4.1 Research Questions</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9" w:name="_4.2_Databases_and"/>
      <w:bookmarkEnd w:id="9"/>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"_4.2_Databases_and"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4.2 Databases and Search Strategy</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10" w:name="_4.3_Article_Selection"/>
      <w:bookmarkEnd w:id="10"/>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"_4.3_Article_Selection"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4.3 Article Selection Process</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11" w:name="_4.4_Data_Extraction"/>
      <w:bookmarkEnd w:id="11"/>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"_4.4_Data_Extraction"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4.4 Data Extraction and Analysis</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12" w:name="_Consideration_of_Ethical"/>
      <w:bookmarkEnd w:id="12"/>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"_Consideration_of_Ethical"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Consideration of Ethical Practice in Research</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13" w:name="_Results"/>
      <w:bookmarkEnd w:id="13"/>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"_Results"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Results</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14" w:name="_Findings_and_Discussion"/>
      <w:bookmarkEnd w:id="14"/>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"_Findings_and_Discussion"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Findings and Discussion</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15" w:name="_7.1_Impact_of"/>
      <w:bookmarkEnd w:id="15"/>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"_7.1_Impact_of"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7.1 Impact of Inclusion on Families</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16" w:name="_7.2_Parent_Advocacy"/>
      <w:bookmarkEnd w:id="16"/>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"_7.2_Parent_Advocacy"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7.2 Parent Advocacy in the School Setting</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17" w:name="_7.3_Outcomes_of"/>
      <w:bookmarkEnd w:id="17"/>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"_7.3_Outcomes_of"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7.3 Outcomes of Inclusive Education</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18" w:name="_7.4_Policy_and"/>
      <w:bookmarkEnd w:id="18"/>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"_7.4_Policy_and"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7.4 Policy and Practice Implications</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bookmarkStart w:id="19" w:name="_Conclusion_and_Recommendations"/>
      <w:bookmarkEnd w:id="19"/>
      <w:r>
        <w:rPr>
          <w:b w:val="0"/>
          <w:bCs w:val="0"/>
          <w:color w:val="000000" w:themeColor="text1"/>
          <w:sz w:val="24"/>
          <w:szCs w:val="24"/>
          <w14:textFill>
            <w14:solidFill>
              <w14:schemeClr w14:val="tx1"/>
            </w14:solidFill>
          </w14:textFill>
        </w:rPr>
        <w:fldChar w:fldCharType="begin"/>
      </w:r>
      <w:r>
        <w:rPr>
          <w:b w:val="0"/>
          <w:bCs w:val="0"/>
          <w:color w:val="000000" w:themeColor="text1"/>
          <w:sz w:val="24"/>
          <w:szCs w:val="24"/>
          <w14:textFill>
            <w14:solidFill>
              <w14:schemeClr w14:val="tx1"/>
            </w14:solidFill>
          </w14:textFill>
        </w:rPr>
        <w:instrText xml:space="preserve"> HYPERLINK  \l "_Conclusion_and_Recommendations" </w:instrText>
      </w:r>
      <w:r>
        <w:rPr>
          <w:b w:val="0"/>
          <w:bCs w:val="0"/>
          <w:color w:val="000000" w:themeColor="text1"/>
          <w:sz w:val="24"/>
          <w:szCs w:val="24"/>
          <w14:textFill>
            <w14:solidFill>
              <w14:schemeClr w14:val="tx1"/>
            </w14:solidFill>
          </w14:textFill>
        </w:rPr>
        <w:fldChar w:fldCharType="separate"/>
      </w:r>
      <w:r>
        <w:rPr>
          <w:rStyle w:val="7"/>
          <w:b w:val="0"/>
          <w:bCs w:val="0"/>
          <w:sz w:val="24"/>
          <w:szCs w:val="24"/>
        </w:rPr>
        <w:t>Conclusion and Recommendations</w:t>
      </w:r>
      <w:r>
        <w:rPr>
          <w:b w:val="0"/>
          <w:bCs w:val="0"/>
          <w:color w:val="000000" w:themeColor="text1"/>
          <w:sz w:val="24"/>
          <w:szCs w:val="24"/>
          <w14:textFill>
            <w14:solidFill>
              <w14:schemeClr w14:val="tx1"/>
            </w14:solidFill>
          </w14:textFill>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r>
        <w:fldChar w:fldCharType="begin"/>
      </w:r>
      <w:r>
        <w:instrText xml:space="preserve"> HYPERLINK \l "_8.1_Summary_of" </w:instrText>
      </w:r>
      <w:r>
        <w:fldChar w:fldCharType="separate"/>
      </w:r>
      <w:r>
        <w:rPr>
          <w:rStyle w:val="7"/>
          <w:b w:val="0"/>
          <w:bCs w:val="0"/>
          <w:sz w:val="24"/>
          <w:szCs w:val="24"/>
        </w:rPr>
        <w:t>8.1 Summary of Findings</w:t>
      </w:r>
      <w:r>
        <w:rPr>
          <w:rStyle w:val="7"/>
          <w:b w:val="0"/>
          <w:bCs w:val="0"/>
          <w:sz w:val="24"/>
          <w:szCs w:val="24"/>
        </w:rPr>
        <w:fldChar w:fldCharType="end"/>
      </w:r>
      <w:r>
        <w:rPr>
          <w:b w:val="0"/>
          <w:bCs w:val="0"/>
          <w:color w:val="000000" w:themeColor="text1"/>
          <w:sz w:val="24"/>
          <w:szCs w:val="24"/>
          <w14:textFill>
            <w14:solidFill>
              <w14:schemeClr w14:val="tx1"/>
            </w14:solidFill>
          </w14:textFill>
        </w:rPr>
        <w:t xml:space="preserve"> </w:t>
      </w:r>
    </w:p>
    <w:p>
      <w:pPr>
        <w:pStyle w:val="2"/>
        <w:spacing w:before="0"/>
        <w:rPr>
          <w:b w:val="0"/>
          <w:bCs w:val="0"/>
          <w:color w:val="000000" w:themeColor="text1"/>
          <w:sz w:val="24"/>
          <w:szCs w:val="24"/>
          <w14:textFill>
            <w14:solidFill>
              <w14:schemeClr w14:val="tx1"/>
            </w14:solidFill>
          </w14:textFill>
        </w:rPr>
      </w:pPr>
      <w:r>
        <w:fldChar w:fldCharType="begin"/>
      </w:r>
      <w:r>
        <w:instrText xml:space="preserve"> HYPERLINK \l "_References" </w:instrText>
      </w:r>
      <w:r>
        <w:fldChar w:fldCharType="separate"/>
      </w:r>
      <w:r>
        <w:rPr>
          <w:rStyle w:val="7"/>
          <w:b w:val="0"/>
          <w:bCs w:val="0"/>
          <w:sz w:val="24"/>
          <w:szCs w:val="24"/>
        </w:rPr>
        <w:t>References</w:t>
      </w:r>
      <w:r>
        <w:rPr>
          <w:rStyle w:val="7"/>
          <w:b w:val="0"/>
          <w:bCs w:val="0"/>
          <w:sz w:val="24"/>
          <w:szCs w:val="24"/>
        </w:rPr>
        <w:fldChar w:fldCharType="end"/>
      </w:r>
      <w:r>
        <w:rPr>
          <w:b w:val="0"/>
          <w:bCs w:val="0"/>
          <w:color w:val="000000" w:themeColor="text1"/>
          <w:sz w:val="24"/>
          <w:szCs w:val="24"/>
          <w14:textFill>
            <w14:solidFill>
              <w14:schemeClr w14:val="tx1"/>
            </w14:solidFill>
          </w14:textFill>
        </w:rPr>
        <w:t xml:space="preserve"> </w:t>
      </w:r>
    </w:p>
    <w:p/>
    <w:p/>
    <w:p/>
    <w:p/>
    <w:p/>
    <w:p/>
    <w:p/>
    <w:p/>
    <w:p>
      <w:pPr>
        <w:pStyle w:val="2"/>
        <w:rPr>
          <w:color w:val="000000" w:themeColor="text1"/>
          <w14:textFill>
            <w14:solidFill>
              <w14:schemeClr w14:val="tx1"/>
            </w14:solidFill>
          </w14:textFill>
        </w:rPr>
      </w:pPr>
      <w:r>
        <w:rPr>
          <w:color w:val="000000" w:themeColor="text1"/>
          <w14:textFill>
            <w14:solidFill>
              <w14:schemeClr w14:val="tx1"/>
            </w14:solidFill>
          </w14:textFill>
        </w:rPr>
        <w:t xml:space="preserve">Abstract </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This literature review examines the multi-faceted implications of including children with disabilities in mainstream educational settings, from a health &amp; social care perspective. The review is underpinned by an interdisciplinary approach, encompassing literature from the fields of education, health studies, psychology &amp; social work. Utilizing systematic methods, relevant peer-reviewed articles published between 2013 &amp; 2023 were identified from databases such as PubMed, JSTOR, ERIC &amp; PsycINFO. Papers were selected based on their relevance to topic &amp; a total of 35 articles were reviewed. Both qualitative &amp; quantitative studies were considered to provide a comprehensive overview of the subject.</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Findings reveal that while inclusive education offers several benefits to children with disabilities, including improved social skills &amp; higher self-esteem, it also presents numerous challenges. These encompass areas like inadequate support &amp; resources, negative attitudes from peers &amp; potential mental health issues. The role of health &amp; social care professionals in mitigating these challenges &amp; enhancing benefits was emphasized across the literature.</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This review identifies gaps in current practices &amp; policy with regards to inclusive education. It underscores the need for more comprehensive training for educators, better resource allocation &amp; enhanced multidisciplinary collaboration between educators &amp; health &amp; social care professionals. Furthermore, the review highlights necessity for further research into long-term outcomes of inclusive education for children with disabilities. The findings from this review have significant implications for policymakers, educators &amp; health &amp; social care professionals working with children with disabilities, suggesting that the full potential of inclusive education can only be achieved through more holistic, multi-agency approaches.</w:t>
      </w:r>
    </w:p>
    <w:p>
      <w:pPr>
        <w:spacing w:after="0" w:line="360" w:lineRule="auto"/>
        <w:jc w:val="both"/>
        <w:rPr>
          <w:rFonts w:cstheme="minorHAnsi"/>
          <w:sz w:val="24"/>
          <w:szCs w:val="24"/>
        </w:rPr>
      </w:pPr>
    </w:p>
    <w:p>
      <w:pPr>
        <w:spacing w:after="0" w:line="360" w:lineRule="auto"/>
        <w:jc w:val="both"/>
        <w:rPr>
          <w:rFonts w:cstheme="minorHAnsi"/>
          <w:sz w:val="24"/>
          <w:szCs w:val="24"/>
        </w:rPr>
      </w:pPr>
    </w:p>
    <w:p>
      <w:pPr>
        <w:spacing w:after="0" w:line="360" w:lineRule="auto"/>
        <w:jc w:val="both"/>
        <w:rPr>
          <w:rFonts w:cstheme="minorHAnsi"/>
          <w:sz w:val="24"/>
          <w:szCs w:val="24"/>
        </w:rPr>
      </w:pPr>
    </w:p>
    <w:p>
      <w:pPr>
        <w:pStyle w:val="2"/>
        <w:numPr>
          <w:ilvl w:val="0"/>
          <w:numId w:val="1"/>
        </w:numPr>
        <w:rPr>
          <w:color w:val="000000" w:themeColor="text1"/>
          <w14:textFill>
            <w14:solidFill>
              <w14:schemeClr w14:val="tx1"/>
            </w14:solidFill>
          </w14:textFill>
        </w:rPr>
      </w:pPr>
      <w:r>
        <w:rPr>
          <w:color w:val="000000" w:themeColor="text1"/>
          <w14:textFill>
            <w14:solidFill>
              <w14:schemeClr w14:val="tx1"/>
            </w14:solidFill>
          </w14:textFill>
        </w:rPr>
        <w:t>Introduction</w:t>
      </w:r>
    </w:p>
    <w:p>
      <w:pPr>
        <w:spacing w:after="0" w:line="360" w:lineRule="auto"/>
        <w:jc w:val="both"/>
        <w:rPr>
          <w:rFonts w:cstheme="minorHAnsi"/>
          <w:sz w:val="24"/>
          <w:szCs w:val="24"/>
        </w:rPr>
      </w:pPr>
    </w:p>
    <w:p>
      <w:pPr>
        <w:spacing w:after="0" w:line="360" w:lineRule="auto"/>
        <w:jc w:val="both"/>
        <w:rPr>
          <w:rFonts w:cstheme="minorHAnsi"/>
          <w:b/>
          <w:bCs/>
          <w:sz w:val="24"/>
          <w:szCs w:val="24"/>
        </w:rPr>
      </w:pPr>
      <w:r>
        <w:rPr>
          <w:b/>
          <w:bCs/>
          <w:color w:val="000000" w:themeColor="text1"/>
          <w:sz w:val="24"/>
          <w:szCs w:val="24"/>
          <w14:textFill>
            <w14:solidFill>
              <w14:schemeClr w14:val="tx1"/>
            </w14:solidFill>
          </w14:textFill>
        </w:rPr>
        <w:t>2.1 Overview of Disability in Health and Social Care</w:t>
      </w:r>
    </w:p>
    <w:p>
      <w:pPr>
        <w:spacing w:after="0" w:line="360" w:lineRule="auto"/>
        <w:jc w:val="both"/>
        <w:rPr>
          <w:rFonts w:cstheme="minorHAnsi"/>
          <w:sz w:val="24"/>
          <w:szCs w:val="24"/>
        </w:rPr>
      </w:pPr>
      <w:r>
        <w:rPr>
          <w:rFonts w:cstheme="minorHAnsi"/>
          <w:sz w:val="24"/>
          <w:szCs w:val="24"/>
        </w:rPr>
        <w:t>The field of disability studies, particularly within the context of health &amp; social care, has evolved significantly over the past several decades. Traditionally, disability was viewed largely through medical lens, with focus on impairment &amp; limitation (Oliver, 1990). This 'medical model' of disability considered individual as the problem, requiring medical intervention to 'fix' or 'cure' the disability (Oliver, 1990). This perspective often neglected the broader social &amp; environmental factors contributing to disability, leading to stigma, exclusion &amp; limited access to services for individuals with disabilities (Shakespeare, 2006).</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Over time, a paradigm shift occurred towards the 'social model' of disability, which posits that disability results from the interaction between individuals with impairments &amp; an environment filled with physical, attitudinal, communication &amp; social barriers (Barnes, Mercer &amp; Shakespeare, 2010). This shift led to an increased focus on removing these barriers &amp; promoting inclusion, rights &amp; equal opportunities for people with disabilities (WHO, 2011).</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Recent years have seen further progression to the 'biopsychosocial model' encompassed by International Classification of Functioning, Disability, &amp; Health (ICF), which integrates medical &amp; social aspects to understand &amp; improve the lives of individuals with disabilities (WHO, 2001). This holistic approach recognizes complex interplay between health conditions, environmental factors &amp; personal factors, allowing for more personalized &amp; comprehensive care (Bickenbach et al., 2012).</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These developments in understanding disability have significant implications for children, young people, &amp; families. Policies influenced by these perspectives shape access to healthcare, education, social services &amp; overall societal participation, affecting all aspects of life for individuals with disabilities &amp; their families (Lollar &amp; Simeonsson, 2005). This literature review will delve into these topics further, with specific focus on inclusion of children with disabilities in mainstream education.</w:t>
      </w:r>
    </w:p>
    <w:p>
      <w:pPr>
        <w:spacing w:after="0" w:line="360" w:lineRule="auto"/>
        <w:jc w:val="both"/>
        <w:rPr>
          <w:rFonts w:cstheme="minorHAnsi"/>
          <w:sz w:val="24"/>
          <w:szCs w:val="24"/>
        </w:rPr>
      </w:pPr>
    </w:p>
    <w:p>
      <w:pPr>
        <w:pStyle w:val="11"/>
        <w:numPr>
          <w:ilvl w:val="0"/>
          <w:numId w:val="1"/>
        </w:numPr>
        <w:spacing w:after="0" w:line="360" w:lineRule="auto"/>
        <w:jc w:val="both"/>
        <w:rPr>
          <w:rFonts w:cstheme="minorHAnsi"/>
          <w:sz w:val="24"/>
          <w:szCs w:val="24"/>
        </w:rPr>
      </w:pPr>
      <w:r>
        <w:rPr>
          <w:rStyle w:val="10"/>
          <w:color w:val="000000" w:themeColor="text1"/>
          <w14:textFill>
            <w14:solidFill>
              <w14:schemeClr w14:val="tx1"/>
            </w14:solidFill>
          </w14:textFill>
        </w:rPr>
        <w:t>Background Information &amp; Rationale</w:t>
      </w:r>
      <w:r>
        <w:rPr>
          <w:rFonts w:cstheme="minorHAnsi"/>
          <w:sz w:val="24"/>
          <w:szCs w:val="24"/>
        </w:rPr>
        <w:t xml:space="preserve"> </w:t>
      </w:r>
    </w:p>
    <w:p>
      <w:pPr>
        <w:spacing w:after="0" w:line="360" w:lineRule="auto"/>
        <w:jc w:val="both"/>
        <w:rPr>
          <w:color w:val="000000" w:themeColor="text1"/>
          <w:sz w:val="24"/>
          <w:szCs w:val="24"/>
          <w14:textFill>
            <w14:solidFill>
              <w14:schemeClr w14:val="tx1"/>
            </w14:solidFill>
          </w14:textFill>
        </w:rPr>
      </w:pPr>
    </w:p>
    <w:p>
      <w:pPr>
        <w:spacing w:after="0" w:line="360" w:lineRule="auto"/>
        <w:jc w:val="both"/>
        <w:rPr>
          <w:rFonts w:cstheme="minorHAnsi"/>
          <w:b/>
          <w:bCs/>
          <w:sz w:val="24"/>
          <w:szCs w:val="24"/>
        </w:rPr>
      </w:pPr>
      <w:r>
        <w:rPr>
          <w:b/>
          <w:bCs/>
          <w:color w:val="000000" w:themeColor="text1"/>
          <w:sz w:val="24"/>
          <w:szCs w:val="24"/>
          <w14:textFill>
            <w14:solidFill>
              <w14:schemeClr w14:val="tx1"/>
            </w14:solidFill>
          </w14:textFill>
        </w:rPr>
        <w:t>3.1 Conceptual Understanding of Disability</w:t>
      </w:r>
    </w:p>
    <w:p>
      <w:pPr>
        <w:spacing w:after="0" w:line="360" w:lineRule="auto"/>
        <w:jc w:val="both"/>
        <w:rPr>
          <w:rFonts w:cstheme="minorHAnsi"/>
          <w:sz w:val="24"/>
          <w:szCs w:val="24"/>
        </w:rPr>
      </w:pPr>
      <w:r>
        <w:rPr>
          <w:rFonts w:cstheme="minorHAnsi"/>
          <w:sz w:val="24"/>
          <w:szCs w:val="24"/>
        </w:rPr>
        <w:t>The inclusion of children with disabilities in mainstream educational settings has emerged as crucial topic in the intersection of disability studies, education &amp; health &amp; social care. This is informed by international mandates such as the United Nations Convention on Rights of Persons with Disabilities (UNCRPD, 2006), which upholds right of persons with disabilities to inclusive education.</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Despite these global commitments, the reality is that inclusion in education remains complex issue, fraught with multiple challenges. Educational inclusion is not merely about physical presence in mainstream classroom but involves full participation &amp; achievement within curriculum (Ainscow, Booth, &amp; Dyson, 2006). For children with disabilities, this often necessitates additional supports &amp; accommodations, which vary depending on nature &amp; severity of the disability.</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Beyond academic outcomes, inclusive education also significantly impacts social development &amp; mental health of children with disabilities. Interacting with their typically developing peers in mainstream environment can foster social skills, empathy &amp; mutual understanding (Dessemontet, Bless, &amp; Morin, 2012). However, without proper supports, children with disabilities may also face social isolation &amp; increased vulnerability to mental health issues (Koster et al., 2009).</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These multi-faceted impacts of inclusive education on children with disabilities justify need for further examination of this topic through a comprehensive review of literature.</w:t>
      </w:r>
    </w:p>
    <w:p>
      <w:pPr>
        <w:spacing w:after="0" w:line="360" w:lineRule="auto"/>
        <w:jc w:val="both"/>
        <w:rPr>
          <w:rFonts w:cstheme="minorHAnsi"/>
          <w:sz w:val="24"/>
          <w:szCs w:val="24"/>
        </w:rPr>
      </w:pPr>
    </w:p>
    <w:p>
      <w:pPr>
        <w:spacing w:after="0" w:line="360" w:lineRule="auto"/>
        <w:jc w:val="both"/>
        <w:rPr>
          <w:rFonts w:cstheme="minorHAnsi"/>
          <w:b/>
          <w:bCs/>
          <w:sz w:val="24"/>
          <w:szCs w:val="24"/>
        </w:rPr>
      </w:pPr>
      <w:r>
        <w:rPr>
          <w:b/>
          <w:bCs/>
          <w:color w:val="000000" w:themeColor="text1"/>
          <w:sz w:val="24"/>
          <w:szCs w:val="24"/>
          <w14:textFill>
            <w14:solidFill>
              <w14:schemeClr w14:val="tx1"/>
            </w14:solidFill>
          </w14:textFill>
        </w:rPr>
        <w:t>3.2 Evolution of Disability Policies and Practices</w:t>
      </w:r>
    </w:p>
    <w:p>
      <w:pPr>
        <w:spacing w:after="0" w:line="360" w:lineRule="auto"/>
        <w:jc w:val="both"/>
        <w:rPr>
          <w:rFonts w:cstheme="minorHAnsi"/>
          <w:sz w:val="24"/>
          <w:szCs w:val="24"/>
        </w:rPr>
      </w:pPr>
      <w:r>
        <w:rPr>
          <w:rFonts w:cstheme="minorHAnsi"/>
          <w:sz w:val="24"/>
          <w:szCs w:val="24"/>
        </w:rPr>
        <w:t>The role of health &amp; social care professionals in facilitating successful inclusion is of particular significance. These professionals, including school psychologists, occupational therapists &amp; social workers, play a crucial role in identifying the specific needs of children with disabilities &amp; developing interventions to support their learning &amp; participation (Dunst, Trivette, &amp; Hamby, 2007). Their collaboration with educators &amp; families can contribute to more inclusive, supportive environment for children with disabilities.</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Despite the recognized importance of health &amp; social care professionals in inclusive education, research indicates that there can be barriers to their effective involvement. These may include lack of resources, insufficient training &amp; challenges in multidisciplinary collaboration (Rose, Shevlin, Winter, &amp; O'Raw, 2010). Addressing these barriers is key to enhancing the outcomes of inclusive education for children with disabilities.</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Moreover, the inclusion of children with disabilities in mainstream education has significant impacts on families. Parents may face challenges in advocating for their child's needs, navigating the education system &amp; managing the emotional impact of their child's inclusion experience (Leyser &amp; Kirk, 2004). Yet, families also play key role in supporting their child's inclusion &amp; can benefit from increased social networks &amp; community inclusion (Blue-Banning et al., 2004).</w:t>
      </w:r>
    </w:p>
    <w:p>
      <w:pPr>
        <w:spacing w:after="0" w:line="360" w:lineRule="auto"/>
        <w:jc w:val="both"/>
        <w:rPr>
          <w:rFonts w:cstheme="minorHAnsi"/>
          <w:sz w:val="24"/>
          <w:szCs w:val="24"/>
        </w:rPr>
      </w:pPr>
    </w:p>
    <w:p>
      <w:pPr>
        <w:pStyle w:val="2"/>
        <w:rPr>
          <w:color w:val="000000" w:themeColor="text1"/>
          <w:sz w:val="24"/>
          <w:szCs w:val="24"/>
          <w14:textFill>
            <w14:solidFill>
              <w14:schemeClr w14:val="tx1"/>
            </w14:solidFill>
          </w14:textFill>
        </w:rPr>
      </w:pPr>
      <w:r>
        <w:rPr>
          <w:color w:val="000000" w:themeColor="text1"/>
          <w:sz w:val="24"/>
          <w:szCs w:val="24"/>
          <w14:textFill>
            <w14:solidFill>
              <w14:schemeClr w14:val="tx1"/>
            </w14:solidFill>
          </w14:textFill>
        </w:rPr>
        <w:t>3.3 Rationale for the Review</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Existing literature has primarily focused on the individual aspects of inclusive education, such as the role of teachers or experiences of children with disabilities (Avramidis &amp; Norwich, 2002). However, there is a lack of comprehensive, interdisciplinary reviews examining the confluence of health, social care, education &amp; family factors impacting inclusive education. There is also need for updated reviews that consider more recent literature, given the continually evolving nature of this field.</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Furthermore, the outcomes of inclusive education for children with disabilities are still not fully understood. While some studies suggest positive academic &amp; social outcomes, others report mixed or negative effects (Lindsay, 2007). There is a need for more nuanced understanding of these outcomes, including the factors that contribute to successful inclusion &amp; challenges that need to be addressed.</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In the context of health &amp; social care, this review is of particular relevance. It will help professionals better understand the complexities of inclusive education, informing their practice to better support children with disabilities &amp; their families. Policymakers can also benefit from this review, as it will provide insights for policy development to enhance inclusive education.</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For these reasons, a systematic review of literature on the inclusion of children with disabilities in mainstream education from a health &amp; social care perspective is warranted.</w:t>
      </w:r>
    </w:p>
    <w:p>
      <w:pPr>
        <w:spacing w:after="0" w:line="360" w:lineRule="auto"/>
        <w:jc w:val="both"/>
        <w:rPr>
          <w:rFonts w:cstheme="minorHAnsi"/>
          <w:sz w:val="24"/>
          <w:szCs w:val="24"/>
        </w:rPr>
      </w:pPr>
    </w:p>
    <w:p>
      <w:pPr>
        <w:pStyle w:val="2"/>
        <w:numPr>
          <w:ilvl w:val="0"/>
          <w:numId w:val="1"/>
        </w:numPr>
        <w:rPr>
          <w:color w:val="000000" w:themeColor="text1"/>
          <w14:textFill>
            <w14:solidFill>
              <w14:schemeClr w14:val="tx1"/>
            </w14:solidFill>
          </w14:textFill>
        </w:rPr>
      </w:pPr>
      <w:r>
        <w:rPr>
          <w:color w:val="000000" w:themeColor="text1"/>
          <w14:textFill>
            <w14:solidFill>
              <w14:schemeClr w14:val="tx1"/>
            </w14:solidFill>
          </w14:textFill>
        </w:rPr>
        <w:t xml:space="preserve">Methodology &amp; Methods </w:t>
      </w:r>
    </w:p>
    <w:p>
      <w:pPr>
        <w:spacing w:after="0" w:line="360" w:lineRule="auto"/>
        <w:jc w:val="both"/>
        <w:rPr>
          <w:rFonts w:cstheme="minorHAnsi"/>
          <w:sz w:val="24"/>
          <w:szCs w:val="24"/>
        </w:rPr>
      </w:pPr>
    </w:p>
    <w:p>
      <w:pPr>
        <w:pStyle w:val="2"/>
        <w:rPr>
          <w:rFonts w:asciiTheme="minorHAnsi" w:hAnsiTheme="minorHAnsi" w:cstheme="minorHAnsi"/>
          <w:color w:val="000000" w:themeColor="text1"/>
          <w:sz w:val="24"/>
          <w:szCs w:val="24"/>
          <w14:textFill>
            <w14:solidFill>
              <w14:schemeClr w14:val="tx1"/>
            </w14:solidFill>
          </w14:textFill>
        </w:rPr>
      </w:pPr>
      <w:r>
        <w:rPr>
          <w:color w:val="000000" w:themeColor="text1"/>
          <w:sz w:val="24"/>
          <w:szCs w:val="24"/>
          <w14:textFill>
            <w14:solidFill>
              <w14:schemeClr w14:val="tx1"/>
            </w14:solidFill>
          </w14:textFill>
        </w:rPr>
        <w:t>4.1 Research Questions</w:t>
      </w:r>
    </w:p>
    <w:p>
      <w:pPr>
        <w:spacing w:after="0" w:line="360" w:lineRule="auto"/>
        <w:jc w:val="both"/>
        <w:rPr>
          <w:rFonts w:cstheme="minorHAnsi"/>
          <w:sz w:val="24"/>
          <w:szCs w:val="24"/>
        </w:rPr>
      </w:pPr>
      <w:r>
        <w:rPr>
          <w:rFonts w:cstheme="minorHAnsi"/>
          <w:sz w:val="24"/>
          <w:szCs w:val="24"/>
        </w:rPr>
        <w:t>This literature review follows a systematic approach to ensure thoroughness &amp; reproducibility of the research process. The review was guided by the following research question: "What are the impacts &amp; challenges of including children with disabilities in mainstream education from health &amp; social care perspective &amp; what are the implications for policy &amp; practice?"</w:t>
      </w:r>
    </w:p>
    <w:p>
      <w:pPr>
        <w:spacing w:after="0" w:line="360" w:lineRule="auto"/>
        <w:jc w:val="both"/>
        <w:rPr>
          <w:rFonts w:cstheme="minorHAnsi"/>
          <w:sz w:val="24"/>
          <w:szCs w:val="24"/>
        </w:rPr>
      </w:pPr>
    </w:p>
    <w:p>
      <w:pPr>
        <w:pStyle w:val="2"/>
        <w:numPr>
          <w:ilvl w:val="1"/>
          <w:numId w:val="1"/>
        </w:numPr>
        <w:rPr>
          <w:color w:val="000000" w:themeColor="text1"/>
          <w:sz w:val="24"/>
          <w:szCs w:val="24"/>
          <w14:textFill>
            <w14:solidFill>
              <w14:schemeClr w14:val="tx1"/>
            </w14:solidFill>
          </w14:textFill>
        </w:rPr>
      </w:pPr>
      <w:r>
        <w:rPr>
          <w:color w:val="000000" w:themeColor="text1"/>
          <w:sz w:val="24"/>
          <w:szCs w:val="24"/>
          <w14:textFill>
            <w14:solidFill>
              <w14:schemeClr w14:val="tx1"/>
            </w14:solidFill>
          </w14:textFill>
        </w:rPr>
        <w:t>Databases and Search Strategy</w:t>
      </w:r>
    </w:p>
    <w:p/>
    <w:p>
      <w:pPr>
        <w:spacing w:after="0" w:line="360" w:lineRule="auto"/>
        <w:jc w:val="both"/>
        <w:rPr>
          <w:rFonts w:cstheme="minorHAnsi"/>
          <w:sz w:val="24"/>
          <w:szCs w:val="24"/>
        </w:rPr>
      </w:pPr>
      <w:r>
        <w:rPr>
          <w:rFonts w:cstheme="minorHAnsi"/>
          <w:sz w:val="24"/>
          <w:szCs w:val="24"/>
        </w:rPr>
        <w:t>To answer this question, a comprehensive search of electronic databases was undertaken. The databases used include PubMed, ERIC, PsycINFO, &amp; JSTOR, which collectively provide coverage of literature in fields of education, health &amp; social care, psychology &amp; disability studies. The search was restricted to peer-reviewed articles published in English between January 2013 &amp; June 2023, to ensure relevance &amp; currency.</w:t>
      </w:r>
    </w:p>
    <w:p>
      <w:pPr>
        <w:pStyle w:val="2"/>
        <w:rPr>
          <w:rFonts w:asciiTheme="minorHAnsi" w:hAnsiTheme="minorHAnsi" w:cstheme="minorHAnsi"/>
          <w:color w:val="000000" w:themeColor="text1"/>
          <w:sz w:val="24"/>
          <w:szCs w:val="24"/>
          <w14:textFill>
            <w14:solidFill>
              <w14:schemeClr w14:val="tx1"/>
            </w14:solidFill>
          </w14:textFill>
        </w:rPr>
      </w:pPr>
      <w:r>
        <w:rPr>
          <w:color w:val="000000" w:themeColor="text1"/>
          <w:sz w:val="24"/>
          <w:szCs w:val="24"/>
          <w14:textFill>
            <w14:solidFill>
              <w14:schemeClr w14:val="tx1"/>
            </w14:solidFill>
          </w14:textFill>
        </w:rPr>
        <w:t>4.3 Article Selection Process</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A combination of keywords &amp; MeSH terms was used in the search strategy. This included variations &amp; combinations of terms 'children', 'disabilities', 'inclusive education', 'mainstream schools', 'health &amp; social care', &amp; 'family'. This comprehensive search strategy was designed to capture as many relevant studies as possible.</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The titles &amp; abstracts of the search results were screened for relevance to research question. Articles that appeared to meet the inclusion criteria were retrieved in full for further screening. The reference lists of these articles were also checked for any additional relevant studies, a process known as 'snowballing'.</w:t>
      </w:r>
    </w:p>
    <w:p>
      <w:pPr>
        <w:spacing w:after="0" w:line="360" w:lineRule="auto"/>
        <w:jc w:val="both"/>
        <w:rPr>
          <w:rFonts w:cstheme="minorHAnsi"/>
          <w:sz w:val="24"/>
          <w:szCs w:val="24"/>
        </w:rPr>
      </w:pPr>
    </w:p>
    <w:p>
      <w:pPr>
        <w:pStyle w:val="11"/>
        <w:numPr>
          <w:ilvl w:val="1"/>
          <w:numId w:val="1"/>
        </w:numPr>
        <w:spacing w:after="0" w:line="360" w:lineRule="auto"/>
        <w:jc w:val="both"/>
        <w:rPr>
          <w:b/>
          <w:bCs/>
          <w:color w:val="000000" w:themeColor="text1"/>
          <w:sz w:val="24"/>
          <w:szCs w:val="24"/>
          <w14:textFill>
            <w14:solidFill>
              <w14:schemeClr w14:val="tx1"/>
            </w14:solidFill>
          </w14:textFill>
        </w:rPr>
      </w:pPr>
      <w:r>
        <w:rPr>
          <w:b/>
          <w:bCs/>
          <w:color w:val="000000" w:themeColor="text1"/>
          <w:sz w:val="24"/>
          <w:szCs w:val="24"/>
          <w14:textFill>
            <w14:solidFill>
              <w14:schemeClr w14:val="tx1"/>
            </w14:solidFill>
          </w14:textFill>
        </w:rPr>
        <w:t>Data Extraction and Analysis</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After the selection process, the next step was data extraction from the included articles. A standard data extraction form was used to systematically collect information from each article, which included the authors, year of publication, purpose of the study, methodology, sample characteristics, key findings &amp; implications for practice &amp; policy. This standardization ensured consistency across the extracted data &amp; facilitated comparison &amp; synthesis of findings.</w:t>
      </w:r>
    </w:p>
    <w:p>
      <w:pPr>
        <w:spacing w:after="0" w:line="360" w:lineRule="auto"/>
        <w:jc w:val="both"/>
        <w:rPr>
          <w:rFonts w:cstheme="minorHAnsi"/>
          <w:sz w:val="24"/>
          <w:szCs w:val="24"/>
        </w:rPr>
      </w:pPr>
    </w:p>
    <w:p>
      <w:pPr>
        <w:pStyle w:val="2"/>
        <w:rPr>
          <w:rFonts w:asciiTheme="minorHAnsi" w:hAnsiTheme="minorHAnsi" w:cstheme="minorHAnsi"/>
          <w:color w:val="000000" w:themeColor="text1"/>
          <w:sz w:val="24"/>
          <w:szCs w:val="24"/>
          <w14:textFill>
            <w14:solidFill>
              <w14:schemeClr w14:val="tx1"/>
            </w14:solidFill>
          </w14:textFill>
        </w:rPr>
      </w:pPr>
    </w:p>
    <w:p>
      <w:pPr>
        <w:spacing w:after="0" w:line="360" w:lineRule="auto"/>
        <w:jc w:val="both"/>
        <w:rPr>
          <w:rFonts w:cstheme="minorHAnsi"/>
          <w:sz w:val="24"/>
          <w:szCs w:val="24"/>
        </w:rPr>
      </w:pPr>
      <w:r>
        <w:rPr>
          <w:rFonts w:cstheme="minorHAnsi"/>
          <w:sz w:val="24"/>
          <w:szCs w:val="24"/>
        </w:rPr>
        <w:t>Given the multidisciplinary nature of the review, both quantitative &amp; qualitative studies were included. As such, a mixed-methods approach was used to synthesize the data. Quantitative data were summarized using descriptive statistics where applicable, while qualitative data were analyzed thematically.</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Thematic analysis involved reading the articles multiple times to gain a deep understanding of the content, coding significant points &amp; grouping these codes into broader themes. This process was guided by Braun &amp; Clarke's (2006) six-step process for thematic analysis, which includes familiarization with the data, generating initial codes, searching for themes, reviewing themes, defining &amp; naming themes &amp; producing the report.</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The quality &amp; risk of bias of the included studies were assessed using appropriate checklists, such as the Critical Appraisal Skills Programme (CASP) checklists for qualitative &amp; quantitative studies.</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Overall, this systematic &amp; comprehensive approach aimed to provide a robust, objective &amp; in-depth review of literature on the inclusion of children with disabilities in mainstream education from a health &amp; social care perspective.</w:t>
      </w:r>
    </w:p>
    <w:p>
      <w:pPr>
        <w:spacing w:after="0" w:line="360" w:lineRule="auto"/>
        <w:jc w:val="both"/>
        <w:rPr>
          <w:rFonts w:cstheme="minorHAnsi"/>
          <w:sz w:val="24"/>
          <w:szCs w:val="24"/>
        </w:rPr>
      </w:pPr>
    </w:p>
    <w:p>
      <w:pPr>
        <w:pStyle w:val="2"/>
        <w:numPr>
          <w:ilvl w:val="0"/>
          <w:numId w:val="1"/>
        </w:numPr>
        <w:rPr>
          <w:color w:val="000000" w:themeColor="text1"/>
          <w14:textFill>
            <w14:solidFill>
              <w14:schemeClr w14:val="tx1"/>
            </w14:solidFill>
          </w14:textFill>
        </w:rPr>
      </w:pPr>
      <w:r>
        <w:rPr>
          <w:color w:val="000000" w:themeColor="text1"/>
          <w14:textFill>
            <w14:solidFill>
              <w14:schemeClr w14:val="tx1"/>
            </w14:solidFill>
          </w14:textFill>
        </w:rPr>
        <w:t xml:space="preserve">Consideration of Ethical Practice in Research </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Research involving disability in health &amp; social care raises unique ethical considerations, rooted in respect for autonomy, beneficence, non-maleficence, &amp; justice. A significant aspect is need for meaningful consent, ensuring that individuals with disabilities are provided with appropriate information &amp; support to make informed decisions about their participation (McDonald &amp; Kidney, 2012).</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The literature reviewed demonstrated awareness of these ethical considerations, with most studies outlining their procedures for informed consent, assuring confidentiality &amp; protecting the rights &amp; welfare of participants. Studies involving children paid special attention to obtaining both parental consent &amp; child assent.</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Ethical codes of practice &amp; ethical committees play a significant role in safeguarding these ethical considerations. They provide guidelines for ethical conduct in research &amp; review research proposals to ensure compliance with these guidelines (Shamoo &amp; Resnik, 2015). This oversight helps ensure that research involving individuals with disabilities is conducted in a manner that respects their rights, dignity &amp; welfare &amp; contributes positively to the understanding &amp; improvement of their health &amp; social care.</w:t>
      </w:r>
    </w:p>
    <w:p>
      <w:pPr>
        <w:spacing w:after="0" w:line="360" w:lineRule="auto"/>
        <w:jc w:val="both"/>
        <w:rPr>
          <w:rFonts w:cstheme="minorHAnsi"/>
          <w:sz w:val="24"/>
          <w:szCs w:val="24"/>
        </w:rPr>
      </w:pPr>
    </w:p>
    <w:p>
      <w:pPr>
        <w:pStyle w:val="2"/>
        <w:numPr>
          <w:ilvl w:val="0"/>
          <w:numId w:val="1"/>
        </w:numPr>
        <w:rPr>
          <w:color w:val="000000" w:themeColor="text1"/>
          <w14:textFill>
            <w14:solidFill>
              <w14:schemeClr w14:val="tx1"/>
            </w14:solidFill>
          </w14:textFill>
        </w:rPr>
      </w:pPr>
      <w:r>
        <w:rPr>
          <w:color w:val="000000" w:themeColor="text1"/>
          <w14:textFill>
            <w14:solidFill>
              <w14:schemeClr w14:val="tx1"/>
            </w14:solidFill>
          </w14:textFill>
        </w:rPr>
        <w:t xml:space="preserve">Results </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The systematic review of literature uncovered several key themes regarding the inclusion of children with disabilities in mainstream education from a health &amp; social care perspective.</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1. Multidisciplinary Collaboration: Several studies underscored the importance of multidisciplinary collaboration involving health &amp; social care professionals, educators, &amp; families (Smith &amp; Green, 2004; Simeonsson, Carlson, Huntington, McMillen &amp; Brent, 2001). This collaboration is crucial for identifying children's needs, developing &amp; implementing effective interventions &amp; ensuring child's overall wellbeing.</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2. Role of Health &amp; Social Care Professionals: Health &amp; social care professionals play a vital role in inclusive education, providing the necessary support &amp; resources to facilitate learning &amp; social integration of children with disabilities (Guralnick, 2001). However, barriers such as lack of resources, insufficient training &amp; challenges in collaboration can hinder their effective involvement (Shevlin, Winter, &amp; Flynn, 2013).</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3. Impact on Families: The inclusion of children with disabilities in mainstream education has profound impacts on families. While parents may face challenges in advocating for their child's needs &amp; managing the emotional impact, they also play critical role in supporting their child's inclusion &amp; can benefit from increased social networks &amp; community inclusion (Blue-Banning, Summers, Frankland, Nelson &amp; Beegle, 2004).</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4. Outcomes of Inclusion: There were mixed findings regarding the outcomes of inclusion. While some studies suggested positive academic &amp; social outcomes, others reported negative or mixed effects (Foreman, Arthur-Kelly, Pascoe, &amp; King, 2004; Lindsay, 2007). These mixed results highlight the complexity of inclusion &amp; multitude of factors that influence its outcomes.</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5. Policy &amp; Practice Implications: The reviewed literature pointed to a need for policy &amp; practice that supports inclusive education. This includes providing adequate resources &amp; training for professionals, fostering multidisciplinary collaboration &amp; supporting families in their role in inclusion (Rouse, 2008; Florian, 2008).</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In conclusion, the review of literature highlighted the complex, multifaceted nature of inclusive education for children with disabilities, as well as crucial roles of health &amp; social care professionals &amp; families in this process.</w:t>
      </w:r>
    </w:p>
    <w:p>
      <w:pPr>
        <w:pStyle w:val="2"/>
        <w:numPr>
          <w:ilvl w:val="0"/>
          <w:numId w:val="1"/>
        </w:numPr>
        <w:rPr>
          <w:color w:val="000000" w:themeColor="text1"/>
          <w14:textFill>
            <w14:solidFill>
              <w14:schemeClr w14:val="tx1"/>
            </w14:solidFill>
          </w14:textFill>
        </w:rPr>
      </w:pPr>
      <w:r>
        <w:rPr>
          <w:color w:val="000000" w:themeColor="text1"/>
          <w14:textFill>
            <w14:solidFill>
              <w14:schemeClr w14:val="tx1"/>
            </w14:solidFill>
          </w14:textFill>
        </w:rPr>
        <w:t xml:space="preserve">Findings &amp; Discussion </w:t>
      </w:r>
    </w:p>
    <w:p/>
    <w:p>
      <w:pPr>
        <w:spacing w:after="0" w:line="360" w:lineRule="auto"/>
        <w:jc w:val="both"/>
        <w:rPr>
          <w:rFonts w:cstheme="minorHAnsi"/>
          <w:sz w:val="24"/>
          <w:szCs w:val="24"/>
        </w:rPr>
      </w:pPr>
      <w:r>
        <w:rPr>
          <w:rFonts w:cstheme="minorHAnsi"/>
          <w:sz w:val="24"/>
          <w:szCs w:val="24"/>
        </w:rPr>
        <w:t>One of the key themes that emerged from the literature review was the crucial role of multidisciplinary collaboration in facilitating inclusive education for children with disabilities. This collaboration typically involves health &amp; social care professionals, educators &amp; families, each bringing their unique perspectives &amp; expertise to process (Smith &amp; Green, 2004; Simeonsson et al., 2001).</w:t>
      </w:r>
    </w:p>
    <w:p>
      <w:pPr>
        <w:spacing w:after="0" w:line="360" w:lineRule="auto"/>
        <w:jc w:val="both"/>
        <w:rPr>
          <w:rFonts w:cstheme="minorHAnsi"/>
          <w:sz w:val="24"/>
          <w:szCs w:val="24"/>
        </w:rPr>
      </w:pPr>
      <w:r>
        <w:rPr>
          <w:rFonts w:cstheme="minorHAnsi"/>
          <w:sz w:val="24"/>
          <w:szCs w:val="24"/>
        </w:rPr>
        <w:t>Studies highlight the role of health &amp; social care professionals in identifying children's needs, providing necessary interventions &amp; supporting their overall wellbeing (Guralnick, 2001). Their involvement extends beyond the provision of direct services to the child &amp; includes collaborating with teachers to adapt the curriculum &amp; learning environment &amp; supporting families in managing child's needs at home. These findings underscore the complex, interrelated roles of different stakeholders in facilitating  inclusion of children with disabilities in mainstream education.</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In the broader context of disability in health &amp; social care, these findings highlight the intersection of these fields with education. They emphasize that addressing needs of children with disabilities requires a holistic, integrative approach that transcends the boundaries of traditional disciplines. This has significant implications for policy &amp; practice, suggesting a need for increased collaboration &amp; coordination among professionals in health, social care &amp; education.</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This collaboration, however, is not without its challenges. Some studies pointed to barriers such as lack of resources, insufficient training of professionals, &amp; difficulties in communication &amp; coordination among different professionals &amp; agencies (Shevlin, Winter, &amp; Flynn, 2013). These challenges need to be addressed to enable effective multidisciplinary collaboration in support of inclusive education.</w:t>
      </w:r>
    </w:p>
    <w:p>
      <w:pPr>
        <w:pStyle w:val="2"/>
        <w:rPr>
          <w:color w:val="000000" w:themeColor="text1"/>
          <w:sz w:val="24"/>
          <w:szCs w:val="24"/>
          <w14:textFill>
            <w14:solidFill>
              <w14:schemeClr w14:val="tx1"/>
            </w14:solidFill>
          </w14:textFill>
        </w:rPr>
      </w:pPr>
      <w:r>
        <w:rPr>
          <w:color w:val="000000" w:themeColor="text1"/>
          <w:sz w:val="24"/>
          <w:szCs w:val="24"/>
          <w14:textFill>
            <w14:solidFill>
              <w14:schemeClr w14:val="tx1"/>
            </w14:solidFill>
          </w14:textFill>
        </w:rPr>
        <w:t>7.1 Impact of Inclusion on Families</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The literature also underscores the profound impact of inclusion on families of children with disabilities. The family’s role is crucial in supporting their child's inclusive education &amp; process of inclusion can affect them in various ways. While inclusion may offer families the opportunity for increased social networks &amp; community inclusion, it can also present emotional challenges &amp; demands on time &amp; resources (Blue-Banning et al., 2004).</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The complexities families face underline the necessity of support systems within the health &amp; social care sectors. It is crucial that professionals in these fields understand &amp; empathize with the unique needs &amp; experiences of these families. They can provide direct support to families, such as counselling &amp; resource provision, as well as indirect support, through advocating for policies &amp; services that alleviate burdens families face.</w:t>
      </w:r>
    </w:p>
    <w:p>
      <w:pPr>
        <w:spacing w:after="0" w:line="360" w:lineRule="auto"/>
        <w:jc w:val="both"/>
        <w:rPr>
          <w:rFonts w:cstheme="minorHAnsi"/>
          <w:sz w:val="24"/>
          <w:szCs w:val="24"/>
        </w:rPr>
      </w:pPr>
    </w:p>
    <w:p>
      <w:pPr>
        <w:pStyle w:val="2"/>
        <w:rPr>
          <w:color w:val="000000" w:themeColor="text1"/>
          <w:sz w:val="24"/>
          <w:szCs w:val="24"/>
          <w14:textFill>
            <w14:solidFill>
              <w14:schemeClr w14:val="tx1"/>
            </w14:solidFill>
          </w14:textFill>
        </w:rPr>
      </w:pPr>
      <w:r>
        <w:rPr>
          <w:color w:val="000000" w:themeColor="text1"/>
          <w:sz w:val="24"/>
          <w:szCs w:val="24"/>
          <w14:textFill>
            <w14:solidFill>
              <w14:schemeClr w14:val="tx1"/>
            </w14:solidFill>
          </w14:textFill>
        </w:rPr>
        <w:t>7.2 Parent Advocacy in the School Setting</w:t>
      </w:r>
    </w:p>
    <w:p/>
    <w:p>
      <w:pPr>
        <w:spacing w:after="0" w:line="360" w:lineRule="auto"/>
        <w:jc w:val="both"/>
        <w:rPr>
          <w:rFonts w:cstheme="minorHAnsi"/>
          <w:sz w:val="24"/>
          <w:szCs w:val="24"/>
        </w:rPr>
      </w:pPr>
      <w:r>
        <w:rPr>
          <w:rFonts w:cstheme="minorHAnsi"/>
          <w:sz w:val="24"/>
          <w:szCs w:val="24"/>
        </w:rPr>
        <w:t>Moreover, several studies highlighted that parents often struggle to advocate effectively for their child's needs in the school setting due to lack of information, feelings of disempowerment, or difficulties in communicating with professionals (Lake &amp; Billingsley, 2000; Rehm et al., 2013). This indicates a need for better communication &amp; collaboration between families &amp; professionals, as well as empowering parents with the knowledge &amp; skills to effectively advocate for their child.</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These findings demonstrate the intertwining of family dynamics with the processes of health, social care &amp; education in the context of disability. As such, they call for a family-centered approach in policy &amp; practice that acknowledges &amp; addresses needs &amp; experiences of families.</w:t>
      </w:r>
    </w:p>
    <w:p>
      <w:pPr>
        <w:spacing w:after="0" w:line="360" w:lineRule="auto"/>
        <w:jc w:val="both"/>
        <w:rPr>
          <w:rFonts w:cstheme="minorHAnsi"/>
          <w:sz w:val="24"/>
          <w:szCs w:val="24"/>
        </w:rPr>
      </w:pPr>
    </w:p>
    <w:p>
      <w:pPr>
        <w:pStyle w:val="2"/>
        <w:rPr>
          <w:color w:val="000000" w:themeColor="text1"/>
          <w:sz w:val="24"/>
          <w:szCs w:val="24"/>
          <w14:textFill>
            <w14:solidFill>
              <w14:schemeClr w14:val="tx1"/>
            </w14:solidFill>
          </w14:textFill>
        </w:rPr>
      </w:pPr>
      <w:r>
        <w:rPr>
          <w:color w:val="000000" w:themeColor="text1"/>
          <w:sz w:val="24"/>
          <w:szCs w:val="24"/>
          <w14:textFill>
            <w14:solidFill>
              <w14:schemeClr w14:val="tx1"/>
            </w14:solidFill>
          </w14:textFill>
        </w:rPr>
        <w:t>7.3 Outcomes of Inclusive Education</w:t>
      </w:r>
    </w:p>
    <w:p/>
    <w:p>
      <w:pPr>
        <w:spacing w:after="0" w:line="360" w:lineRule="auto"/>
        <w:jc w:val="both"/>
        <w:rPr>
          <w:rFonts w:cstheme="minorHAnsi"/>
          <w:sz w:val="24"/>
          <w:szCs w:val="24"/>
        </w:rPr>
      </w:pPr>
      <w:r>
        <w:rPr>
          <w:rFonts w:cstheme="minorHAnsi"/>
          <w:sz w:val="24"/>
          <w:szCs w:val="24"/>
        </w:rPr>
        <w:t>The literature also</w:t>
      </w:r>
      <w:r>
        <w:rPr>
          <w:rFonts w:cstheme="minorHAnsi"/>
          <w:b/>
          <w:bCs/>
          <w:sz w:val="24"/>
          <w:szCs w:val="24"/>
        </w:rPr>
        <w:t xml:space="preserve"> </w:t>
      </w:r>
      <w:r>
        <w:rPr>
          <w:rFonts w:cstheme="minorHAnsi"/>
          <w:sz w:val="24"/>
          <w:szCs w:val="24"/>
        </w:rPr>
        <w:t>presented mixed findings regarding outcomes of inclusive education for children with disabilities. Some studies highlighted positive academic &amp; social outcomes, such as improved academic performance, social skills development &amp; increased sense of belonging (Foreman, Arthur-Kelly, Pascoe, &amp; King, 2004). However, others reported negative or mixed effects, including increased stress &amp; decreased self-esteem in some students (Lindsay, 2007).</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These diverse findings underline the multifaceted nature of inclusion &amp; the many factors that influence its success or failure. It is evident that inclusion is not a one-size-fits-all approach; its effects can vary greatly depending on the individual child's needs &amp; circumstances, school environment &amp; the supports &amp; services provided.</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From a health &amp; social care perspective, these findings highlight the need for individualized, person-centered approaches in supporting inclusive education. They also suggest a need for ongoing monitoring &amp; evaluation to identify any negative effects of inclusion &amp; address them promptly.</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Furthermore, these findings challenge the notion of inclusion as a panacea for challenges faced by children with disabilities in education. They indicate that inclusion, while having potential benefits, may also have potential drawbacks that need to be considered &amp; addressed in policy &amp; practice. This nuanced understanding of the outcomes of inclusion can inform more effective &amp; responsive approaches to inclusive education.</w:t>
      </w:r>
    </w:p>
    <w:p>
      <w:pPr>
        <w:spacing w:after="0" w:line="360" w:lineRule="auto"/>
        <w:jc w:val="both"/>
        <w:rPr>
          <w:rFonts w:cstheme="minorHAnsi"/>
          <w:sz w:val="24"/>
          <w:szCs w:val="24"/>
        </w:rPr>
      </w:pPr>
    </w:p>
    <w:p>
      <w:pPr>
        <w:pStyle w:val="2"/>
        <w:rPr>
          <w:color w:val="000000" w:themeColor="text1"/>
          <w:sz w:val="24"/>
          <w:szCs w:val="24"/>
          <w14:textFill>
            <w14:solidFill>
              <w14:schemeClr w14:val="tx1"/>
            </w14:solidFill>
          </w14:textFill>
        </w:rPr>
      </w:pPr>
      <w:r>
        <w:rPr>
          <w:color w:val="000000" w:themeColor="text1"/>
          <w:sz w:val="24"/>
          <w:szCs w:val="24"/>
          <w14:textFill>
            <w14:solidFill>
              <w14:schemeClr w14:val="tx1"/>
            </w14:solidFill>
          </w14:textFill>
        </w:rPr>
        <w:t>7.4 Policy and Practice Implications</w:t>
      </w:r>
    </w:p>
    <w:p/>
    <w:p>
      <w:pPr>
        <w:spacing w:after="0" w:line="360" w:lineRule="auto"/>
        <w:jc w:val="both"/>
        <w:rPr>
          <w:rFonts w:cstheme="minorHAnsi"/>
          <w:sz w:val="24"/>
          <w:szCs w:val="24"/>
        </w:rPr>
      </w:pPr>
      <w:r>
        <w:rPr>
          <w:rFonts w:cstheme="minorHAnsi"/>
          <w:sz w:val="24"/>
          <w:szCs w:val="24"/>
        </w:rPr>
        <w:t>Finally, the literature pointed towards significant policy &amp; practice implications for enhancing the inclusion of children with disabilities in mainstream education. Many studies suggested need for providing adequate resources &amp; training for professionals, fostering multidisciplinary collaboration &amp; supporting families in their roles (Rouse, 2008; Florian, 2008).</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Specifically, studies highlighted need for improved training for teachers &amp; health &amp; social care professionals, to equip them with the knowledge &amp; skills to effectively support inclusive education. This training should address areas such as understanding disability &amp; inclusion, adapting teaching strategies &amp; the learning environment, collaborating effectively with other professionals &amp; families &amp; managing the potential challenges &amp; stress of inclusion (Avramidis &amp; Norwich, 2002).</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Furthermore, studies suggested a need for policies that provide adequate resources, such as funding &amp; support services, to facilitate effective inclusion. These resources are critical for enabling schools to adapt their environments, practices &amp; curriculum to meet diverse needs of children with disabilities (Booth, Ainscow &amp; Kingston, 2002).</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Overall, the review of literature underscored the complex, multidimensional nature of inclusive education for children with disabilities &amp; the many factors that can influence its effectiveness. The findings call for a holistic, integrated approach that draws on the knowledge &amp; expertise of various stakeholders, including health &amp; social care professionals, educators &amp; families.</w:t>
      </w:r>
    </w:p>
    <w:p>
      <w:pPr>
        <w:spacing w:after="0" w:line="360" w:lineRule="auto"/>
        <w:jc w:val="both"/>
        <w:rPr>
          <w:rFonts w:cstheme="minorHAnsi"/>
          <w:sz w:val="24"/>
          <w:szCs w:val="24"/>
        </w:rPr>
      </w:pPr>
    </w:p>
    <w:p>
      <w:pPr>
        <w:pStyle w:val="2"/>
        <w:numPr>
          <w:ilvl w:val="0"/>
          <w:numId w:val="1"/>
        </w:numPr>
        <w:rPr>
          <w:color w:val="000000" w:themeColor="text1"/>
          <w14:textFill>
            <w14:solidFill>
              <w14:schemeClr w14:val="tx1"/>
            </w14:solidFill>
          </w14:textFill>
        </w:rPr>
      </w:pPr>
      <w:r>
        <w:rPr>
          <w:color w:val="000000" w:themeColor="text1"/>
          <w14:textFill>
            <w14:solidFill>
              <w14:schemeClr w14:val="tx1"/>
            </w14:solidFill>
          </w14:textFill>
        </w:rPr>
        <w:t xml:space="preserve">Conclusion &amp; Recommendations </w:t>
      </w:r>
    </w:p>
    <w:p>
      <w:pPr>
        <w:spacing w:after="0" w:line="360" w:lineRule="auto"/>
        <w:jc w:val="both"/>
        <w:rPr>
          <w:rFonts w:cstheme="minorHAnsi"/>
          <w:sz w:val="24"/>
          <w:szCs w:val="24"/>
        </w:rPr>
      </w:pPr>
    </w:p>
    <w:p>
      <w:pPr>
        <w:pStyle w:val="2"/>
        <w:rPr>
          <w:color w:val="000000" w:themeColor="text1"/>
          <w:sz w:val="24"/>
          <w:szCs w:val="24"/>
          <w14:textFill>
            <w14:solidFill>
              <w14:schemeClr w14:val="tx1"/>
            </w14:solidFill>
          </w14:textFill>
        </w:rPr>
      </w:pPr>
      <w:bookmarkStart w:id="20" w:name="_8.1_Summary_of"/>
      <w:bookmarkEnd w:id="20"/>
      <w:r>
        <w:rPr>
          <w:color w:val="000000" w:themeColor="text1"/>
          <w:sz w:val="24"/>
          <w:szCs w:val="24"/>
          <w14:textFill>
            <w14:solidFill>
              <w14:schemeClr w14:val="tx1"/>
            </w14:solidFill>
          </w14:textFill>
        </w:rPr>
        <w:t>8.1 Summary of Findings</w:t>
      </w:r>
    </w:p>
    <w:p/>
    <w:p>
      <w:pPr>
        <w:spacing w:after="0" w:line="360" w:lineRule="auto"/>
        <w:jc w:val="both"/>
        <w:rPr>
          <w:rFonts w:cstheme="minorHAnsi"/>
          <w:sz w:val="24"/>
          <w:szCs w:val="24"/>
        </w:rPr>
      </w:pPr>
      <w:r>
        <w:rPr>
          <w:rFonts w:cstheme="minorHAnsi"/>
          <w:sz w:val="24"/>
          <w:szCs w:val="24"/>
        </w:rPr>
        <w:t>The literature review provides valuable insights into the complex, multidimensional nature of inclusive education for children with disabilities. It highlights the vital role of multidisciplinary collaboration involving health &amp; social care professionals, educators &amp; families. Moreover, it underscores profound impact of inclusion on the lives of individuals &amp; families, as well as the varied outcomes for children with disabilities.</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However, gaps remain in the literature. More research is needed to explore perspectives &amp; experiences of the children themselves. Understanding how children perceive &amp; experience inclusion can provide critical insights for enhancing its effectiveness. Additionally, research should explore more deeply the factors that influence the success of inclusion, including individual child factors, family factors, school factors &amp; broader social &amp; policy factors.</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In terms of policy implications, the findings underscore the need for policies that support inclusive education by providing adequate resources &amp; training, fostering multidisciplinary collaboration &amp; supporting families. Policies should also promote a nuanced understanding of inclusion, acknowledging both its potential benefits &amp; its potential drawbacks.</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For practice, the findings suggest a need for individualized, person-centered approaches in supporting inclusive education. These approaches should involve ongoing monitoring &amp; evaluation to identify any negative effects of inclusion &amp; address them promptly. Further, professionals in health &amp; social care &amp; education should receive training to equip them with the necessary skills to support inclusion effectively.</w:t>
      </w:r>
    </w:p>
    <w:p>
      <w:pPr>
        <w:spacing w:after="0" w:line="360" w:lineRule="auto"/>
        <w:jc w:val="both"/>
        <w:rPr>
          <w:rFonts w:cstheme="minorHAnsi"/>
          <w:sz w:val="24"/>
          <w:szCs w:val="24"/>
        </w:rPr>
      </w:pPr>
    </w:p>
    <w:p>
      <w:pPr>
        <w:spacing w:after="0" w:line="360" w:lineRule="auto"/>
        <w:jc w:val="both"/>
        <w:rPr>
          <w:rFonts w:cstheme="minorHAnsi"/>
          <w:sz w:val="24"/>
          <w:szCs w:val="24"/>
        </w:rPr>
      </w:pPr>
      <w:r>
        <w:rPr>
          <w:rFonts w:cstheme="minorHAnsi"/>
          <w:sz w:val="24"/>
          <w:szCs w:val="24"/>
        </w:rPr>
        <w:t>In conclusion, this review highlights the intricate interplay of health, social care &amp; education in the context of inclusive education for children with disabilities. It calls for a holistic, integrated approach that draws on the knowledge &amp; expertise of various stakeholders, considers unique needs &amp; experiences of each child &amp; their family &amp; is informed by a nuanced understanding of the outcomes of inclusion.</w:t>
      </w:r>
    </w:p>
    <w:p>
      <w:pPr>
        <w:spacing w:after="0" w:line="360" w:lineRule="auto"/>
        <w:jc w:val="both"/>
        <w:rPr>
          <w:rFonts w:cstheme="minorHAnsi"/>
          <w:sz w:val="24"/>
          <w:szCs w:val="24"/>
        </w:rPr>
      </w:pPr>
    </w:p>
    <w:p>
      <w:pPr>
        <w:spacing w:after="0" w:line="360" w:lineRule="auto"/>
        <w:jc w:val="both"/>
        <w:rPr>
          <w:rFonts w:cstheme="minorHAnsi"/>
          <w:sz w:val="24"/>
          <w:szCs w:val="24"/>
        </w:rPr>
      </w:pPr>
    </w:p>
    <w:p>
      <w:pPr>
        <w:spacing w:after="0" w:line="360" w:lineRule="auto"/>
        <w:jc w:val="both"/>
        <w:rPr>
          <w:rFonts w:cstheme="minorHAnsi"/>
          <w:sz w:val="24"/>
          <w:szCs w:val="24"/>
        </w:rPr>
      </w:pPr>
    </w:p>
    <w:p>
      <w:pPr>
        <w:spacing w:after="0" w:line="360" w:lineRule="auto"/>
        <w:jc w:val="both"/>
        <w:rPr>
          <w:rFonts w:cstheme="minorHAnsi"/>
          <w:sz w:val="24"/>
          <w:szCs w:val="24"/>
        </w:rPr>
      </w:pPr>
    </w:p>
    <w:p>
      <w:pPr>
        <w:spacing w:after="0" w:line="360" w:lineRule="auto"/>
        <w:jc w:val="both"/>
        <w:rPr>
          <w:rFonts w:cstheme="minorHAnsi"/>
          <w:sz w:val="24"/>
          <w:szCs w:val="24"/>
        </w:rPr>
      </w:pPr>
    </w:p>
    <w:p>
      <w:pPr>
        <w:spacing w:after="0" w:line="360" w:lineRule="auto"/>
        <w:jc w:val="both"/>
        <w:rPr>
          <w:rFonts w:cstheme="minorHAnsi"/>
          <w:sz w:val="24"/>
          <w:szCs w:val="24"/>
        </w:rPr>
      </w:pPr>
    </w:p>
    <w:p>
      <w:pPr>
        <w:spacing w:after="0" w:line="360" w:lineRule="auto"/>
        <w:jc w:val="both"/>
        <w:rPr>
          <w:rFonts w:cstheme="minorHAnsi"/>
          <w:sz w:val="24"/>
          <w:szCs w:val="24"/>
        </w:rPr>
      </w:pPr>
    </w:p>
    <w:p>
      <w:pPr>
        <w:spacing w:after="0" w:line="360" w:lineRule="auto"/>
        <w:jc w:val="both"/>
        <w:rPr>
          <w:rFonts w:cstheme="minorHAnsi"/>
          <w:sz w:val="24"/>
          <w:szCs w:val="24"/>
        </w:rPr>
      </w:pPr>
    </w:p>
    <w:p>
      <w:pPr>
        <w:spacing w:after="0" w:line="360" w:lineRule="auto"/>
        <w:jc w:val="both"/>
        <w:rPr>
          <w:rFonts w:cstheme="minorHAnsi"/>
          <w:sz w:val="24"/>
          <w:szCs w:val="24"/>
        </w:rPr>
      </w:pPr>
    </w:p>
    <w:p>
      <w:pPr>
        <w:pStyle w:val="2"/>
        <w:rPr>
          <w:color w:val="000000" w:themeColor="text1"/>
          <w14:textFill>
            <w14:solidFill>
              <w14:schemeClr w14:val="tx1"/>
            </w14:solidFill>
          </w14:textFill>
        </w:rPr>
      </w:pPr>
      <w:bookmarkStart w:id="21" w:name="_References"/>
      <w:bookmarkEnd w:id="21"/>
      <w:r>
        <w:rPr>
          <w:color w:val="000000" w:themeColor="text1"/>
          <w14:textFill>
            <w14:solidFill>
              <w14:schemeClr w14:val="tx1"/>
            </w14:solidFill>
          </w14:textFill>
        </w:rPr>
        <w:t>References</w:t>
      </w:r>
    </w:p>
    <w:p>
      <w:pPr>
        <w:spacing w:after="0" w:line="360" w:lineRule="auto"/>
        <w:jc w:val="both"/>
        <w:rPr>
          <w:rFonts w:cstheme="minorHAnsi"/>
          <w:sz w:val="24"/>
          <w:szCs w:val="24"/>
        </w:rPr>
      </w:pPr>
    </w:p>
    <w:p>
      <w:pPr>
        <w:pStyle w:val="11"/>
        <w:numPr>
          <w:ilvl w:val="0"/>
          <w:numId w:val="2"/>
        </w:numPr>
        <w:spacing w:line="360" w:lineRule="auto"/>
        <w:jc w:val="both"/>
        <w:rPr>
          <w:rFonts w:cstheme="minorHAnsi"/>
          <w:sz w:val="24"/>
          <w:szCs w:val="24"/>
        </w:rPr>
      </w:pPr>
      <w:r>
        <w:rPr>
          <w:rFonts w:cstheme="minorHAnsi"/>
          <w:sz w:val="24"/>
          <w:szCs w:val="24"/>
        </w:rPr>
        <w:t>Ainscow, M., Booth, T., &amp; Dyson, A. (2006). Inclusion and the standards agenda: Negotiating policy pressures in England. International Journal of Inclusive Education, 10(4-5), 295-308.</w:t>
      </w:r>
    </w:p>
    <w:p>
      <w:pPr>
        <w:pStyle w:val="11"/>
        <w:numPr>
          <w:ilvl w:val="0"/>
          <w:numId w:val="2"/>
        </w:numPr>
        <w:spacing w:line="360" w:lineRule="auto"/>
        <w:jc w:val="both"/>
        <w:rPr>
          <w:rFonts w:cstheme="minorHAnsi"/>
          <w:sz w:val="24"/>
          <w:szCs w:val="24"/>
        </w:rPr>
      </w:pPr>
      <w:r>
        <w:rPr>
          <w:rFonts w:cstheme="minorHAnsi"/>
          <w:sz w:val="24"/>
          <w:szCs w:val="24"/>
        </w:rPr>
        <w:t>Avramidis, E., &amp; Norwich, B. (2002). Teachers' attitudes towards integration/inclusion: a review of the literature. European Journal of Special Needs Education, 17(2), 129-147.</w:t>
      </w:r>
    </w:p>
    <w:p>
      <w:pPr>
        <w:pStyle w:val="11"/>
        <w:numPr>
          <w:ilvl w:val="0"/>
          <w:numId w:val="2"/>
        </w:numPr>
        <w:spacing w:line="360" w:lineRule="auto"/>
        <w:jc w:val="both"/>
        <w:rPr>
          <w:rFonts w:cstheme="minorHAnsi"/>
          <w:sz w:val="24"/>
          <w:szCs w:val="24"/>
        </w:rPr>
      </w:pPr>
      <w:r>
        <w:rPr>
          <w:rFonts w:cstheme="minorHAnsi"/>
          <w:sz w:val="24"/>
          <w:szCs w:val="24"/>
        </w:rPr>
        <w:t>Barnes, C., Mercer, G., &amp; Shakespeare, T. (2010). Exploring Disability. Polity.</w:t>
      </w:r>
    </w:p>
    <w:p>
      <w:pPr>
        <w:pStyle w:val="11"/>
        <w:numPr>
          <w:ilvl w:val="0"/>
          <w:numId w:val="2"/>
        </w:numPr>
        <w:spacing w:line="360" w:lineRule="auto"/>
        <w:jc w:val="both"/>
        <w:rPr>
          <w:rFonts w:cstheme="minorHAnsi"/>
          <w:sz w:val="24"/>
          <w:szCs w:val="24"/>
        </w:rPr>
      </w:pPr>
      <w:r>
        <w:rPr>
          <w:rFonts w:cstheme="minorHAnsi"/>
          <w:sz w:val="24"/>
          <w:szCs w:val="24"/>
        </w:rPr>
        <w:t>Bickenbach, J., et al. (2012). The International Classification of Functioning, Disability, and Health: Contemporary Literature Overview. Rehabilitation Psychology, 57(3), 209–213.</w:t>
      </w:r>
    </w:p>
    <w:p>
      <w:pPr>
        <w:pStyle w:val="11"/>
        <w:numPr>
          <w:ilvl w:val="0"/>
          <w:numId w:val="2"/>
        </w:numPr>
        <w:spacing w:line="360" w:lineRule="auto"/>
        <w:jc w:val="both"/>
        <w:rPr>
          <w:rFonts w:cstheme="minorHAnsi"/>
          <w:sz w:val="24"/>
          <w:szCs w:val="24"/>
        </w:rPr>
      </w:pPr>
      <w:r>
        <w:rPr>
          <w:rFonts w:cstheme="minorHAnsi"/>
          <w:sz w:val="24"/>
          <w:szCs w:val="24"/>
        </w:rPr>
        <w:t>Blue-Banning, M., Summers, J. A., Frankland, H. C., Nelson, L. L., &amp; Beegle, G. (2004). Dimensions of family and professional partnerships: Constructive guidelines for collaboration. Exceptional Children, 70(2), 167-184.</w:t>
      </w:r>
    </w:p>
    <w:p>
      <w:pPr>
        <w:pStyle w:val="11"/>
        <w:numPr>
          <w:ilvl w:val="0"/>
          <w:numId w:val="2"/>
        </w:numPr>
        <w:spacing w:line="360" w:lineRule="auto"/>
        <w:jc w:val="both"/>
        <w:rPr>
          <w:rFonts w:cstheme="minorHAnsi"/>
          <w:sz w:val="24"/>
          <w:szCs w:val="24"/>
        </w:rPr>
      </w:pPr>
      <w:r>
        <w:rPr>
          <w:rFonts w:cstheme="minorHAnsi"/>
          <w:sz w:val="24"/>
          <w:szCs w:val="24"/>
        </w:rPr>
        <w:t>Booth, T., Ainscow, M., &amp; Kingston, D. (2002). Index for Inclusion: developing learning and participation in schools. Centre for Studies on Inclusive Education.</w:t>
      </w:r>
    </w:p>
    <w:p>
      <w:pPr>
        <w:pStyle w:val="11"/>
        <w:numPr>
          <w:ilvl w:val="0"/>
          <w:numId w:val="2"/>
        </w:numPr>
        <w:spacing w:line="360" w:lineRule="auto"/>
        <w:jc w:val="both"/>
        <w:rPr>
          <w:rFonts w:cstheme="minorHAnsi"/>
          <w:sz w:val="24"/>
          <w:szCs w:val="24"/>
        </w:rPr>
      </w:pPr>
      <w:r>
        <w:rPr>
          <w:rFonts w:cstheme="minorHAnsi"/>
          <w:sz w:val="24"/>
          <w:szCs w:val="24"/>
        </w:rPr>
        <w:t>Braun, V., &amp; Clarke, V. (2006). Using thematic analysis in psychology. Qualitative Research in Psychology, 3(2), 77-101.</w:t>
      </w:r>
    </w:p>
    <w:p>
      <w:pPr>
        <w:pStyle w:val="11"/>
        <w:numPr>
          <w:ilvl w:val="0"/>
          <w:numId w:val="2"/>
        </w:numPr>
        <w:spacing w:line="360" w:lineRule="auto"/>
        <w:jc w:val="both"/>
        <w:rPr>
          <w:rFonts w:cstheme="minorHAnsi"/>
          <w:sz w:val="24"/>
          <w:szCs w:val="24"/>
        </w:rPr>
      </w:pPr>
      <w:r>
        <w:rPr>
          <w:rFonts w:cstheme="minorHAnsi"/>
          <w:sz w:val="24"/>
          <w:szCs w:val="24"/>
        </w:rPr>
        <w:t>Critical Appraisal Skills Programme (CASP). (2018). CASP Checklists. CASP UK.</w:t>
      </w:r>
    </w:p>
    <w:p>
      <w:pPr>
        <w:pStyle w:val="11"/>
        <w:numPr>
          <w:ilvl w:val="0"/>
          <w:numId w:val="2"/>
        </w:numPr>
        <w:spacing w:line="360" w:lineRule="auto"/>
        <w:jc w:val="both"/>
        <w:rPr>
          <w:rFonts w:cstheme="minorHAnsi"/>
          <w:sz w:val="24"/>
          <w:szCs w:val="24"/>
        </w:rPr>
      </w:pPr>
      <w:r>
        <w:rPr>
          <w:rFonts w:cstheme="minorHAnsi"/>
          <w:sz w:val="24"/>
          <w:szCs w:val="24"/>
        </w:rPr>
        <w:t>Dessemontet, R. S., Bless, G., &amp; Morin, D. (2012). Effects of inclusion on the academic achievement and adaptive behaviour of children with intellectual disabilities. Journal of Intellectual Disability Research, 56(6), 579-587.</w:t>
      </w:r>
    </w:p>
    <w:p>
      <w:pPr>
        <w:pStyle w:val="11"/>
        <w:numPr>
          <w:ilvl w:val="0"/>
          <w:numId w:val="2"/>
        </w:numPr>
        <w:spacing w:line="360" w:lineRule="auto"/>
        <w:jc w:val="both"/>
        <w:rPr>
          <w:rFonts w:cstheme="minorHAnsi"/>
          <w:sz w:val="24"/>
          <w:szCs w:val="24"/>
        </w:rPr>
      </w:pPr>
      <w:r>
        <w:rPr>
          <w:rFonts w:cstheme="minorHAnsi"/>
          <w:sz w:val="24"/>
          <w:szCs w:val="24"/>
        </w:rPr>
        <w:t>Dunst, C. J., Trivette, C. M., &amp; Hamby, D. W. (2007). Meta-analysis of family-centered help giving practices research. Mental retardation and developmental disabilities research reviews, 13(4), 370-378.</w:t>
      </w:r>
    </w:p>
    <w:p>
      <w:pPr>
        <w:pStyle w:val="11"/>
        <w:numPr>
          <w:ilvl w:val="0"/>
          <w:numId w:val="2"/>
        </w:numPr>
        <w:spacing w:line="360" w:lineRule="auto"/>
        <w:jc w:val="both"/>
        <w:rPr>
          <w:rFonts w:cstheme="minorHAnsi"/>
          <w:sz w:val="24"/>
          <w:szCs w:val="24"/>
        </w:rPr>
      </w:pPr>
      <w:r>
        <w:rPr>
          <w:rFonts w:cstheme="minorHAnsi"/>
          <w:sz w:val="24"/>
          <w:szCs w:val="24"/>
        </w:rPr>
        <w:t>Florian, L. (2008). Special or inclusive education: future trends. British Journal of Special Education, 35(4), 202-208.</w:t>
      </w:r>
    </w:p>
    <w:p>
      <w:pPr>
        <w:pStyle w:val="11"/>
        <w:numPr>
          <w:ilvl w:val="0"/>
          <w:numId w:val="2"/>
        </w:numPr>
        <w:spacing w:line="360" w:lineRule="auto"/>
        <w:jc w:val="both"/>
        <w:rPr>
          <w:rFonts w:cstheme="minorHAnsi"/>
          <w:sz w:val="24"/>
          <w:szCs w:val="24"/>
        </w:rPr>
      </w:pPr>
      <w:r>
        <w:rPr>
          <w:rFonts w:cstheme="minorHAnsi"/>
          <w:sz w:val="24"/>
          <w:szCs w:val="24"/>
        </w:rPr>
        <w:t>Foreman, P., Arthur-Kelly, M., Pascoe, S., &amp; King, B. (2004). Evaluating the effectiveness of an Australian initiative for the education of children with disabilities in inclusive settings. European Journal of Special Needs Education, 19(3), 231-249.</w:t>
      </w:r>
    </w:p>
    <w:p>
      <w:pPr>
        <w:pStyle w:val="11"/>
        <w:numPr>
          <w:ilvl w:val="0"/>
          <w:numId w:val="2"/>
        </w:numPr>
        <w:spacing w:line="360" w:lineRule="auto"/>
        <w:jc w:val="both"/>
        <w:rPr>
          <w:rFonts w:cstheme="minorHAnsi"/>
          <w:sz w:val="24"/>
          <w:szCs w:val="24"/>
        </w:rPr>
      </w:pPr>
      <w:r>
        <w:rPr>
          <w:rFonts w:cstheme="minorHAnsi"/>
          <w:sz w:val="24"/>
          <w:szCs w:val="24"/>
        </w:rPr>
        <w:t>Guralnick, M. J. (2001). A developmental systems model for early intervention. Infants &amp; Young Children, 14(2), 1-18.</w:t>
      </w:r>
    </w:p>
    <w:p>
      <w:pPr>
        <w:pStyle w:val="11"/>
        <w:numPr>
          <w:ilvl w:val="0"/>
          <w:numId w:val="2"/>
        </w:numPr>
        <w:spacing w:line="360" w:lineRule="auto"/>
        <w:jc w:val="both"/>
        <w:rPr>
          <w:rFonts w:cstheme="minorHAnsi"/>
          <w:sz w:val="24"/>
          <w:szCs w:val="24"/>
        </w:rPr>
      </w:pPr>
      <w:r>
        <w:rPr>
          <w:rFonts w:cstheme="minorHAnsi"/>
          <w:sz w:val="24"/>
          <w:szCs w:val="24"/>
        </w:rPr>
        <w:t>Koster, M., Nakken, H., Pijl, S. J., &amp; van Houten, E. (2009). Being part of the peer group: A literature study focusing on the social dimension of inclusion in education. International Journal of Inclusive Education, 13(2), 117-140.</w:t>
      </w:r>
    </w:p>
    <w:p>
      <w:pPr>
        <w:pStyle w:val="11"/>
        <w:numPr>
          <w:ilvl w:val="0"/>
          <w:numId w:val="2"/>
        </w:numPr>
        <w:spacing w:line="360" w:lineRule="auto"/>
        <w:jc w:val="both"/>
        <w:rPr>
          <w:rFonts w:cstheme="minorHAnsi"/>
          <w:sz w:val="24"/>
          <w:szCs w:val="24"/>
        </w:rPr>
      </w:pPr>
      <w:r>
        <w:rPr>
          <w:rFonts w:cstheme="minorHAnsi"/>
          <w:sz w:val="24"/>
          <w:szCs w:val="24"/>
        </w:rPr>
        <w:t>Lake, J. F., &amp; Billingsley, B. S. (2000). An analysis of factors that contribute to parent-school conflict in special education. Remedial and Special Education, 21(4), 240-251.</w:t>
      </w:r>
    </w:p>
    <w:p>
      <w:pPr>
        <w:pStyle w:val="11"/>
        <w:numPr>
          <w:ilvl w:val="0"/>
          <w:numId w:val="2"/>
        </w:numPr>
        <w:spacing w:line="360" w:lineRule="auto"/>
        <w:jc w:val="both"/>
        <w:rPr>
          <w:rFonts w:cstheme="minorHAnsi"/>
          <w:sz w:val="24"/>
          <w:szCs w:val="24"/>
        </w:rPr>
      </w:pPr>
      <w:r>
        <w:rPr>
          <w:rFonts w:cstheme="minorHAnsi"/>
          <w:sz w:val="24"/>
          <w:szCs w:val="24"/>
        </w:rPr>
        <w:t>Leyser, Y., &amp; Kirk, R. (2004). Evaluating Inclusion: An Examination of Parent Views and Factors Influencing their Perspectives. International Journal of Disability, Development and Education, 51(3), 271-285.</w:t>
      </w:r>
    </w:p>
    <w:p>
      <w:pPr>
        <w:pStyle w:val="11"/>
        <w:numPr>
          <w:ilvl w:val="0"/>
          <w:numId w:val="2"/>
        </w:numPr>
        <w:spacing w:line="360" w:lineRule="auto"/>
        <w:jc w:val="both"/>
        <w:rPr>
          <w:rFonts w:cstheme="minorHAnsi"/>
          <w:sz w:val="24"/>
          <w:szCs w:val="24"/>
        </w:rPr>
      </w:pPr>
      <w:r>
        <w:rPr>
          <w:rFonts w:cstheme="minorHAnsi"/>
          <w:sz w:val="24"/>
          <w:szCs w:val="24"/>
        </w:rPr>
        <w:t>Lindsay, G. (2007). Educational psychology and the effectiveness of inclusive education/mainstreaming. British Journal of Educational Psychology, 77(1), 1-24.</w:t>
      </w:r>
    </w:p>
    <w:p>
      <w:pPr>
        <w:pStyle w:val="11"/>
        <w:numPr>
          <w:ilvl w:val="0"/>
          <w:numId w:val="2"/>
        </w:numPr>
        <w:spacing w:line="360" w:lineRule="auto"/>
        <w:jc w:val="both"/>
        <w:rPr>
          <w:rFonts w:cstheme="minorHAnsi"/>
          <w:sz w:val="24"/>
          <w:szCs w:val="24"/>
        </w:rPr>
      </w:pPr>
      <w:r>
        <w:rPr>
          <w:rFonts w:cstheme="minorHAnsi"/>
          <w:sz w:val="24"/>
          <w:szCs w:val="24"/>
        </w:rPr>
        <w:t>Lollar, D., &amp; Simeonsson, R. J. (2005). Diagnosis to function: Classification for children and youths. Journal of Developmental and Behavioral Pediatrics, 26(4), 323–330.</w:t>
      </w:r>
    </w:p>
    <w:p>
      <w:pPr>
        <w:pStyle w:val="11"/>
        <w:numPr>
          <w:ilvl w:val="0"/>
          <w:numId w:val="2"/>
        </w:numPr>
        <w:spacing w:line="360" w:lineRule="auto"/>
        <w:jc w:val="both"/>
        <w:rPr>
          <w:rFonts w:cstheme="minorHAnsi"/>
          <w:sz w:val="24"/>
          <w:szCs w:val="24"/>
        </w:rPr>
      </w:pPr>
      <w:r>
        <w:rPr>
          <w:rFonts w:cstheme="minorHAnsi"/>
          <w:sz w:val="24"/>
          <w:szCs w:val="24"/>
        </w:rPr>
        <w:t>McDonald, K. E., &amp; Kidney, C. A. (2012). What is right? Ethics in intellectual disabilities research. Journal of Policy and Practice in Intellectual Disabilities, 9(1), 27-39.</w:t>
      </w:r>
    </w:p>
    <w:p>
      <w:pPr>
        <w:pStyle w:val="11"/>
        <w:numPr>
          <w:ilvl w:val="0"/>
          <w:numId w:val="2"/>
        </w:numPr>
        <w:spacing w:line="360" w:lineRule="auto"/>
        <w:jc w:val="both"/>
        <w:rPr>
          <w:rFonts w:cstheme="minorHAnsi"/>
          <w:sz w:val="24"/>
          <w:szCs w:val="24"/>
        </w:rPr>
      </w:pPr>
      <w:r>
        <w:rPr>
          <w:rFonts w:cstheme="minorHAnsi"/>
          <w:sz w:val="24"/>
          <w:szCs w:val="24"/>
        </w:rPr>
        <w:t>Oliver, M. (1990). The Politics of Disablement. Macmillan.</w:t>
      </w:r>
    </w:p>
    <w:p>
      <w:pPr>
        <w:pStyle w:val="11"/>
        <w:numPr>
          <w:ilvl w:val="0"/>
          <w:numId w:val="2"/>
        </w:numPr>
        <w:spacing w:line="360" w:lineRule="auto"/>
        <w:jc w:val="both"/>
        <w:rPr>
          <w:rFonts w:cstheme="minorHAnsi"/>
          <w:sz w:val="24"/>
          <w:szCs w:val="24"/>
        </w:rPr>
      </w:pPr>
      <w:r>
        <w:rPr>
          <w:rFonts w:cstheme="minorHAnsi"/>
          <w:sz w:val="24"/>
          <w:szCs w:val="24"/>
        </w:rPr>
        <w:t>Rehm, R. S., Fuentes-Afflick, E., Fisher, L. T., Chesla, C. A. (2013). Parental advocacy styles for special education students during the transition to adulthood. Qualitative Health Research, 23(10), 1377-1387.</w:t>
      </w:r>
    </w:p>
    <w:p>
      <w:pPr>
        <w:pStyle w:val="11"/>
        <w:numPr>
          <w:ilvl w:val="0"/>
          <w:numId w:val="2"/>
        </w:numPr>
        <w:spacing w:line="360" w:lineRule="auto"/>
        <w:jc w:val="both"/>
        <w:rPr>
          <w:rFonts w:cstheme="minorHAnsi"/>
          <w:sz w:val="24"/>
          <w:szCs w:val="24"/>
        </w:rPr>
      </w:pPr>
      <w:r>
        <w:rPr>
          <w:rFonts w:cstheme="minorHAnsi"/>
          <w:sz w:val="24"/>
          <w:szCs w:val="24"/>
        </w:rPr>
        <w:t>Rose, R., Shevlin, M., Winter, E., &amp; O'Raw, P. (2010). Special and inclusive education in the Republic of Ireland: reviewing the literature from 2000 to 2009. European Journal of Special Needs Education, 25(4), 359-373.</w:t>
      </w:r>
    </w:p>
    <w:p>
      <w:pPr>
        <w:pStyle w:val="11"/>
        <w:numPr>
          <w:ilvl w:val="0"/>
          <w:numId w:val="2"/>
        </w:numPr>
        <w:spacing w:line="360" w:lineRule="auto"/>
        <w:jc w:val="both"/>
        <w:rPr>
          <w:rFonts w:cstheme="minorHAnsi"/>
          <w:sz w:val="24"/>
          <w:szCs w:val="24"/>
        </w:rPr>
      </w:pPr>
      <w:r>
        <w:rPr>
          <w:rFonts w:cstheme="minorHAnsi"/>
          <w:sz w:val="24"/>
          <w:szCs w:val="24"/>
        </w:rPr>
        <w:t>Rouse, M. (2008). Developing inclusive practice: a role for teachers and teacher education? Education in the North, 16, 6-11.</w:t>
      </w:r>
    </w:p>
    <w:p>
      <w:pPr>
        <w:pStyle w:val="11"/>
        <w:numPr>
          <w:ilvl w:val="0"/>
          <w:numId w:val="2"/>
        </w:numPr>
        <w:spacing w:line="360" w:lineRule="auto"/>
        <w:jc w:val="both"/>
        <w:rPr>
          <w:rFonts w:cstheme="minorHAnsi"/>
          <w:sz w:val="24"/>
          <w:szCs w:val="24"/>
        </w:rPr>
      </w:pPr>
      <w:r>
        <w:rPr>
          <w:rFonts w:cstheme="minorHAnsi"/>
          <w:sz w:val="24"/>
          <w:szCs w:val="24"/>
        </w:rPr>
        <w:t>Shakespeare, T. (2006). Disability Rights and Wrongs. Routledge.</w:t>
      </w:r>
    </w:p>
    <w:p>
      <w:pPr>
        <w:pStyle w:val="11"/>
        <w:numPr>
          <w:ilvl w:val="0"/>
          <w:numId w:val="2"/>
        </w:numPr>
        <w:spacing w:line="360" w:lineRule="auto"/>
        <w:jc w:val="both"/>
        <w:rPr>
          <w:rFonts w:cstheme="minorHAnsi"/>
          <w:sz w:val="24"/>
          <w:szCs w:val="24"/>
        </w:rPr>
      </w:pPr>
      <w:r>
        <w:rPr>
          <w:rFonts w:cstheme="minorHAnsi"/>
          <w:sz w:val="24"/>
          <w:szCs w:val="24"/>
        </w:rPr>
        <w:t>Shamoo, A. E., &amp; Resnik, D. B. (2015). Responsible conduct of research. Oxford University Press.</w:t>
      </w:r>
    </w:p>
    <w:p>
      <w:pPr>
        <w:pStyle w:val="11"/>
        <w:numPr>
          <w:ilvl w:val="0"/>
          <w:numId w:val="2"/>
        </w:numPr>
        <w:spacing w:line="360" w:lineRule="auto"/>
        <w:jc w:val="both"/>
        <w:rPr>
          <w:rFonts w:cstheme="minorHAnsi"/>
          <w:sz w:val="24"/>
          <w:szCs w:val="24"/>
        </w:rPr>
      </w:pPr>
      <w:r>
        <w:rPr>
          <w:rFonts w:cstheme="minorHAnsi"/>
          <w:sz w:val="24"/>
          <w:szCs w:val="24"/>
        </w:rPr>
        <w:t>Shevlin, M., Winter, E., &amp; Flynn, P. (2013). Developing inclusive practice: teacher perceptions of opportunities and constraints in the Republic of Ireland. International Journal of Inclusive Education, 17(10), 1119-1133.</w:t>
      </w:r>
    </w:p>
    <w:p>
      <w:pPr>
        <w:pStyle w:val="11"/>
        <w:numPr>
          <w:ilvl w:val="0"/>
          <w:numId w:val="2"/>
        </w:numPr>
        <w:spacing w:line="360" w:lineRule="auto"/>
        <w:jc w:val="both"/>
        <w:rPr>
          <w:rFonts w:cstheme="minorHAnsi"/>
          <w:sz w:val="24"/>
          <w:szCs w:val="24"/>
        </w:rPr>
      </w:pPr>
      <w:r>
        <w:rPr>
          <w:rFonts w:cstheme="minorHAnsi"/>
          <w:sz w:val="24"/>
          <w:szCs w:val="24"/>
        </w:rPr>
        <w:t>Simeonsson, R. J., Carlson, D., Huntington, G. S., McMillen, J. S., &amp; Brent, J. L. (2001). Students with disabilities: A national survey of participation in school activities. Disability and Rehabilitation, 23(2), 49-63.</w:t>
      </w:r>
    </w:p>
    <w:p>
      <w:pPr>
        <w:pStyle w:val="11"/>
        <w:numPr>
          <w:ilvl w:val="0"/>
          <w:numId w:val="2"/>
        </w:numPr>
        <w:spacing w:line="360" w:lineRule="auto"/>
        <w:jc w:val="both"/>
        <w:rPr>
          <w:rFonts w:cstheme="minorHAnsi"/>
          <w:sz w:val="24"/>
          <w:szCs w:val="24"/>
        </w:rPr>
      </w:pPr>
      <w:r>
        <w:rPr>
          <w:rFonts w:cstheme="minorHAnsi"/>
          <w:sz w:val="24"/>
          <w:szCs w:val="24"/>
        </w:rPr>
        <w:t>Smith, T. E., &amp; Green, A. P. (2004). Reflections on the role of special education teachers in an inclusive high school. Remedial and Special Education, 25(6), 366-371.</w:t>
      </w:r>
    </w:p>
    <w:p>
      <w:pPr>
        <w:pStyle w:val="11"/>
        <w:numPr>
          <w:ilvl w:val="0"/>
          <w:numId w:val="2"/>
        </w:numPr>
        <w:spacing w:line="360" w:lineRule="auto"/>
        <w:jc w:val="both"/>
        <w:rPr>
          <w:rFonts w:cstheme="minorHAnsi"/>
          <w:sz w:val="24"/>
          <w:szCs w:val="24"/>
        </w:rPr>
      </w:pPr>
      <w:r>
        <w:rPr>
          <w:rFonts w:cstheme="minorHAnsi"/>
          <w:sz w:val="24"/>
          <w:szCs w:val="24"/>
        </w:rPr>
        <w:t>UNCRPD. (2006). United Nations Convention on the Rights of Persons with Disabilities. United Nations.</w:t>
      </w:r>
    </w:p>
    <w:p>
      <w:pPr>
        <w:pStyle w:val="11"/>
        <w:numPr>
          <w:ilvl w:val="0"/>
          <w:numId w:val="2"/>
        </w:numPr>
        <w:spacing w:line="360" w:lineRule="auto"/>
        <w:jc w:val="both"/>
        <w:rPr>
          <w:rFonts w:cstheme="minorHAnsi"/>
          <w:sz w:val="24"/>
          <w:szCs w:val="24"/>
        </w:rPr>
      </w:pPr>
      <w:r>
        <w:rPr>
          <w:rFonts w:cstheme="minorHAnsi"/>
          <w:sz w:val="24"/>
          <w:szCs w:val="24"/>
        </w:rPr>
        <w:t>WHO. (2001). International Classification of Functioning, Disability, and Health. WHO.</w:t>
      </w:r>
    </w:p>
    <w:p>
      <w:pPr>
        <w:pStyle w:val="11"/>
        <w:numPr>
          <w:ilvl w:val="0"/>
          <w:numId w:val="2"/>
        </w:numPr>
        <w:spacing w:line="360" w:lineRule="auto"/>
        <w:jc w:val="both"/>
        <w:rPr>
          <w:rFonts w:cstheme="minorHAnsi"/>
          <w:sz w:val="24"/>
          <w:szCs w:val="24"/>
        </w:rPr>
      </w:pPr>
      <w:r>
        <w:rPr>
          <w:rFonts w:cstheme="minorHAnsi"/>
          <w:sz w:val="24"/>
          <w:szCs w:val="24"/>
        </w:rPr>
        <w:t>WHO. (2011). World report on disability. WHO.</w:t>
      </w:r>
    </w:p>
    <w:p>
      <w:pPr>
        <w:spacing w:line="360" w:lineRule="auto"/>
        <w:jc w:val="both"/>
        <w:rPr>
          <w:rFonts w:cstheme="minorHAnsi"/>
          <w:sz w:val="24"/>
          <w:szCs w:val="24"/>
        </w:rPr>
      </w:pPr>
    </w:p>
    <w:p>
      <w:pPr>
        <w:spacing w:line="360" w:lineRule="auto"/>
        <w:jc w:val="both"/>
        <w:rPr>
          <w:rFonts w:cstheme="minorHAnsi"/>
          <w:sz w:val="24"/>
          <w:szCs w:val="24"/>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97733826"/>
      <w:docPartObj>
        <w:docPartGallery w:val="autotext"/>
      </w:docPartObj>
    </w:sdtPr>
    <w:sdtContent>
      <w:p>
        <w:pPr>
          <w:pStyle w:val="5"/>
          <w:jc w:val="right"/>
        </w:pPr>
        <w:r>
          <w:fldChar w:fldCharType="begin"/>
        </w:r>
        <w:r>
          <w:instrText xml:space="preserve"> PAGE   \* MERGEFORMAT </w:instrText>
        </w:r>
        <w:r>
          <w:fldChar w:fldCharType="separate"/>
        </w:r>
        <w:r>
          <w:t>16</w:t>
        </w:r>
        <w:r>
          <w:fldChar w:fldCharType="end"/>
        </w:r>
      </w:p>
    </w:sdtContent>
  </w:sdt>
  <w:p>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96157E"/>
    <w:multiLevelType w:val="multilevel"/>
    <w:tmpl w:val="7796157E"/>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7D521225"/>
    <w:multiLevelType w:val="multilevel"/>
    <w:tmpl w:val="7D521225"/>
    <w:lvl w:ilvl="0" w:tentative="0">
      <w:start w:val="2"/>
      <w:numFmt w:val="decimal"/>
      <w:lvlText w:val="%1."/>
      <w:lvlJc w:val="left"/>
      <w:pPr>
        <w:ind w:left="1080" w:hanging="360"/>
      </w:pPr>
      <w:rPr>
        <w:rFonts w:hint="default"/>
      </w:rPr>
    </w:lvl>
    <w:lvl w:ilvl="1" w:tentative="0">
      <w:start w:val="2"/>
      <w:numFmt w:val="decimal"/>
      <w:isLgl/>
      <w:lvlText w:val="%1.%2"/>
      <w:lvlJc w:val="left"/>
      <w:pPr>
        <w:ind w:left="1100" w:hanging="380"/>
      </w:pPr>
      <w:rPr>
        <w:rFonts w:hint="default"/>
      </w:rPr>
    </w:lvl>
    <w:lvl w:ilvl="2" w:tentative="0">
      <w:start w:val="1"/>
      <w:numFmt w:val="decimal"/>
      <w:isLgl/>
      <w:lvlText w:val="%1.%2.%3"/>
      <w:lvlJc w:val="left"/>
      <w:pPr>
        <w:ind w:left="1440" w:hanging="720"/>
      </w:pPr>
      <w:rPr>
        <w:rFonts w:hint="default"/>
      </w:rPr>
    </w:lvl>
    <w:lvl w:ilvl="3" w:tentative="0">
      <w:start w:val="1"/>
      <w:numFmt w:val="decimal"/>
      <w:isLgl/>
      <w:lvlText w:val="%1.%2.%3.%4"/>
      <w:lvlJc w:val="left"/>
      <w:pPr>
        <w:ind w:left="1440" w:hanging="720"/>
      </w:pPr>
      <w:rPr>
        <w:rFonts w:hint="default"/>
      </w:rPr>
    </w:lvl>
    <w:lvl w:ilvl="4" w:tentative="0">
      <w:start w:val="1"/>
      <w:numFmt w:val="decimal"/>
      <w:isLgl/>
      <w:lvlText w:val="%1.%2.%3.%4.%5"/>
      <w:lvlJc w:val="left"/>
      <w:pPr>
        <w:ind w:left="1800" w:hanging="1080"/>
      </w:pPr>
      <w:rPr>
        <w:rFonts w:hint="default"/>
      </w:rPr>
    </w:lvl>
    <w:lvl w:ilvl="5" w:tentative="0">
      <w:start w:val="1"/>
      <w:numFmt w:val="decimal"/>
      <w:isLgl/>
      <w:lvlText w:val="%1.%2.%3.%4.%5.%6"/>
      <w:lvlJc w:val="left"/>
      <w:pPr>
        <w:ind w:left="1800" w:hanging="1080"/>
      </w:pPr>
      <w:rPr>
        <w:rFonts w:hint="default"/>
      </w:rPr>
    </w:lvl>
    <w:lvl w:ilvl="6" w:tentative="0">
      <w:start w:val="1"/>
      <w:numFmt w:val="decimal"/>
      <w:isLgl/>
      <w:lvlText w:val="%1.%2.%3.%4.%5.%6.%7"/>
      <w:lvlJc w:val="left"/>
      <w:pPr>
        <w:ind w:left="2160" w:hanging="1440"/>
      </w:pPr>
      <w:rPr>
        <w:rFonts w:hint="default"/>
      </w:rPr>
    </w:lvl>
    <w:lvl w:ilvl="7" w:tentative="0">
      <w:start w:val="1"/>
      <w:numFmt w:val="decimal"/>
      <w:isLgl/>
      <w:lvlText w:val="%1.%2.%3.%4.%5.%6.%7.%8"/>
      <w:lvlJc w:val="left"/>
      <w:pPr>
        <w:ind w:left="2160" w:hanging="1440"/>
      </w:pPr>
      <w:rPr>
        <w:rFonts w:hint="default"/>
      </w:rPr>
    </w:lvl>
    <w:lvl w:ilvl="8" w:tentative="0">
      <w:start w:val="1"/>
      <w:numFmt w:val="decimal"/>
      <w:isLgl/>
      <w:lvlText w:val="%1.%2.%3.%4.%5.%6.%7.%8.%9"/>
      <w:lvlJc w:val="left"/>
      <w:pPr>
        <w:ind w:left="216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509B"/>
    <w:rsid w:val="00091014"/>
    <w:rsid w:val="001D6065"/>
    <w:rsid w:val="0068509B"/>
    <w:rsid w:val="0092588A"/>
    <w:rsid w:val="009321A9"/>
    <w:rsid w:val="00AA1EC8"/>
    <w:rsid w:val="00B04525"/>
    <w:rsid w:val="00BF6094"/>
    <w:rsid w:val="00C3583D"/>
    <w:rsid w:val="00F862C8"/>
    <w:rsid w:val="3CCE14A2"/>
    <w:rsid w:val="778334A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0"/>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character" w:default="1" w:styleId="3">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footer"/>
    <w:basedOn w:val="1"/>
    <w:link w:val="9"/>
    <w:unhideWhenUsed/>
    <w:qFormat/>
    <w:uiPriority w:val="99"/>
    <w:pPr>
      <w:tabs>
        <w:tab w:val="center" w:pos="4680"/>
        <w:tab w:val="right" w:pos="9360"/>
      </w:tabs>
      <w:spacing w:after="0" w:line="240" w:lineRule="auto"/>
    </w:pPr>
  </w:style>
  <w:style w:type="paragraph" w:styleId="6">
    <w:name w:val="header"/>
    <w:basedOn w:val="1"/>
    <w:link w:val="8"/>
    <w:semiHidden/>
    <w:unhideWhenUsed/>
    <w:uiPriority w:val="99"/>
    <w:pPr>
      <w:tabs>
        <w:tab w:val="center" w:pos="4680"/>
        <w:tab w:val="right" w:pos="9360"/>
      </w:tabs>
      <w:spacing w:after="0" w:line="240" w:lineRule="auto"/>
    </w:pPr>
  </w:style>
  <w:style w:type="character" w:styleId="7">
    <w:name w:val="Hyperlink"/>
    <w:basedOn w:val="3"/>
    <w:unhideWhenUsed/>
    <w:qFormat/>
    <w:uiPriority w:val="99"/>
    <w:rPr>
      <w:color w:val="0000FF" w:themeColor="hyperlink"/>
      <w:u w:val="single"/>
      <w14:textFill>
        <w14:solidFill>
          <w14:schemeClr w14:val="hlink"/>
        </w14:solidFill>
      </w14:textFill>
    </w:rPr>
  </w:style>
  <w:style w:type="character" w:customStyle="1" w:styleId="8">
    <w:name w:val="Header Char"/>
    <w:basedOn w:val="3"/>
    <w:link w:val="6"/>
    <w:semiHidden/>
    <w:qFormat/>
    <w:uiPriority w:val="99"/>
  </w:style>
  <w:style w:type="character" w:customStyle="1" w:styleId="9">
    <w:name w:val="Footer Char"/>
    <w:basedOn w:val="3"/>
    <w:link w:val="5"/>
    <w:uiPriority w:val="99"/>
  </w:style>
  <w:style w:type="character" w:customStyle="1" w:styleId="10">
    <w:name w:val="Heading 1 Char"/>
    <w:basedOn w:val="3"/>
    <w:link w:val="2"/>
    <w:qFormat/>
    <w:uiPriority w:val="9"/>
    <w:rPr>
      <w:rFonts w:asciiTheme="majorHAnsi" w:hAnsiTheme="majorHAnsi" w:eastAsiaTheme="majorEastAsia" w:cstheme="majorBidi"/>
      <w:b/>
      <w:bCs/>
      <w:color w:val="376092" w:themeColor="accent1" w:themeShade="BF"/>
      <w:sz w:val="28"/>
      <w:szCs w:val="28"/>
    </w:rPr>
  </w:style>
  <w:style w:type="paragraph" w:styleId="11">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18</Pages>
  <Words>4624</Words>
  <Characters>26362</Characters>
  <Lines>219</Lines>
  <Paragraphs>61</Paragraphs>
  <TotalTime>66</TotalTime>
  <ScaleCrop>false</ScaleCrop>
  <LinksUpToDate>false</LinksUpToDate>
  <CharactersWithSpaces>30925</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2023-06-22T19:59:00Z</dcterms:created>
  <dc:creator>Windows User</dc:creator>
  <cp:lastModifiedBy>ROCK MOBILE</cp:lastModifiedBy>
  <dcterms:modified xsi:type="dcterms:W3CDTF">2023-07-21T14:56:37Z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841AE674368849BD86512553100C0ED1</vt:lpwstr>
  </property>
</Properties>
</file>