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030DF8" w14:textId="5A95D383" w:rsidR="00E5389C" w:rsidRPr="00DA0C2B" w:rsidRDefault="00DA0C2B" w:rsidP="00DA0C2B">
      <w:pPr>
        <w:spacing w:line="360" w:lineRule="auto"/>
        <w:rPr>
          <w:rFonts w:ascii="Times New Roman" w:eastAsia="Times New Roman" w:hAnsi="Times New Roman" w:cs="Times New Roman"/>
          <w:b/>
          <w:bCs/>
          <w:kern w:val="36"/>
          <w:sz w:val="24"/>
          <w:szCs w:val="24"/>
        </w:rPr>
      </w:pPr>
      <w:r w:rsidRPr="00DA0C2B">
        <w:rPr>
          <w:rFonts w:ascii="Times New Roman" w:eastAsia="Times New Roman" w:hAnsi="Times New Roman" w:cs="Times New Roman"/>
          <w:b/>
          <w:bCs/>
          <w:noProof/>
          <w:kern w:val="36"/>
          <w:sz w:val="24"/>
          <w:szCs w:val="24"/>
          <w:lang w:val="en-GB"/>
        </w:rPr>
        <w:drawing>
          <wp:inline distT="0" distB="0" distL="0" distR="0" wp14:anchorId="40E0365C" wp14:editId="7492453B">
            <wp:extent cx="1819275" cy="600075"/>
            <wp:effectExtent l="0" t="0" r="9525" b="9525"/>
            <wp:docPr id="115193309" name="Picture 7"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9275" cy="600075"/>
                    </a:xfrm>
                    <a:prstGeom prst="rect">
                      <a:avLst/>
                    </a:prstGeom>
                    <a:noFill/>
                    <a:ln>
                      <a:noFill/>
                    </a:ln>
                  </pic:spPr>
                </pic:pic>
              </a:graphicData>
            </a:graphic>
          </wp:inline>
        </w:drawing>
      </w:r>
    </w:p>
    <w:tbl>
      <w:tblPr>
        <w:tblpPr w:leftFromText="180" w:rightFromText="180" w:vertAnchor="text" w:horzAnchor="margin" w:tblpY="1237"/>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DA0C2B" w:rsidRPr="00DA0C2B" w14:paraId="58BF76D4" w14:textId="77777777" w:rsidTr="00DA0C2B">
        <w:trPr>
          <w:trHeight w:val="494"/>
        </w:trPr>
        <w:tc>
          <w:tcPr>
            <w:tcW w:w="2096" w:type="dxa"/>
            <w:tcBorders>
              <w:top w:val="single" w:sz="4" w:space="0" w:color="000000"/>
              <w:left w:val="single" w:sz="4" w:space="0" w:color="000000"/>
              <w:bottom w:val="single" w:sz="4" w:space="0" w:color="000000"/>
              <w:right w:val="single" w:sz="4" w:space="0" w:color="000000"/>
            </w:tcBorders>
            <w:hideMark/>
          </w:tcPr>
          <w:p w14:paraId="02CB6578"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Student Name:</w:t>
            </w:r>
          </w:p>
        </w:tc>
        <w:tc>
          <w:tcPr>
            <w:tcW w:w="3293" w:type="dxa"/>
            <w:tcBorders>
              <w:top w:val="single" w:sz="4" w:space="0" w:color="000000"/>
              <w:left w:val="single" w:sz="4" w:space="0" w:color="000000"/>
              <w:bottom w:val="single" w:sz="4" w:space="0" w:color="000000"/>
              <w:right w:val="single" w:sz="4" w:space="0" w:color="000000"/>
            </w:tcBorders>
          </w:tcPr>
          <w:p w14:paraId="50004F49" w14:textId="629190D2" w:rsidR="00DA0C2B" w:rsidRPr="00DA0C2B" w:rsidRDefault="00F767E2" w:rsidP="00DA0C2B">
            <w:pPr>
              <w:spacing w:line="360" w:lineRule="auto"/>
              <w:jc w:val="center"/>
              <w:rPr>
                <w:rFonts w:ascii="Times New Roman" w:eastAsia="Times New Roman" w:hAnsi="Times New Roman" w:cs="Times New Roman"/>
                <w:b/>
                <w:bCs/>
                <w:kern w:val="36"/>
                <w:sz w:val="24"/>
                <w:szCs w:val="24"/>
                <w:lang w:val="en-GB"/>
              </w:rPr>
            </w:pPr>
            <w:r>
              <w:rPr>
                <w:rFonts w:ascii="Times New Roman" w:eastAsia="Times New Roman" w:hAnsi="Times New Roman" w:cs="Times New Roman"/>
                <w:b/>
                <w:bCs/>
                <w:kern w:val="36"/>
                <w:sz w:val="24"/>
                <w:szCs w:val="24"/>
                <w:lang w:val="en-GB"/>
              </w:rPr>
              <w:t>Zayn Hussain</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36EE812F"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Student ID number:</w:t>
            </w:r>
          </w:p>
        </w:tc>
        <w:tc>
          <w:tcPr>
            <w:tcW w:w="2268" w:type="dxa"/>
            <w:tcBorders>
              <w:top w:val="single" w:sz="4" w:space="0" w:color="000000"/>
              <w:left w:val="single" w:sz="4" w:space="0" w:color="000000"/>
              <w:bottom w:val="single" w:sz="4" w:space="0" w:color="000000"/>
              <w:right w:val="single" w:sz="4" w:space="0" w:color="000000"/>
            </w:tcBorders>
          </w:tcPr>
          <w:p w14:paraId="76DEB480" w14:textId="28A2DA1E" w:rsidR="00DA0C2B" w:rsidRPr="00DA0C2B" w:rsidRDefault="00F767E2" w:rsidP="00DA0C2B">
            <w:pPr>
              <w:spacing w:line="360" w:lineRule="auto"/>
              <w:jc w:val="center"/>
              <w:rPr>
                <w:rFonts w:ascii="Times New Roman" w:eastAsia="Times New Roman" w:hAnsi="Times New Roman" w:cs="Times New Roman"/>
                <w:b/>
                <w:bCs/>
                <w:kern w:val="36"/>
                <w:sz w:val="24"/>
                <w:szCs w:val="24"/>
                <w:lang w:val="en-GB"/>
              </w:rPr>
            </w:pPr>
            <w:r>
              <w:rPr>
                <w:rFonts w:ascii="Times New Roman" w:eastAsia="Times New Roman" w:hAnsi="Times New Roman" w:cs="Times New Roman"/>
                <w:b/>
                <w:bCs/>
                <w:kern w:val="36"/>
                <w:sz w:val="24"/>
                <w:szCs w:val="24"/>
                <w:lang w:val="en-GB"/>
              </w:rPr>
              <w:t>2407010</w:t>
            </w:r>
          </w:p>
        </w:tc>
      </w:tr>
      <w:tr w:rsidR="00DA0C2B" w:rsidRPr="00DA0C2B" w14:paraId="3A459794" w14:textId="77777777" w:rsidTr="00DA0C2B">
        <w:trPr>
          <w:trHeight w:val="491"/>
        </w:trPr>
        <w:tc>
          <w:tcPr>
            <w:tcW w:w="2096" w:type="dxa"/>
            <w:tcBorders>
              <w:top w:val="single" w:sz="4" w:space="0" w:color="000000"/>
              <w:left w:val="single" w:sz="4" w:space="0" w:color="000000"/>
              <w:bottom w:val="single" w:sz="4" w:space="0" w:color="000000"/>
              <w:right w:val="single" w:sz="4" w:space="0" w:color="000000"/>
            </w:tcBorders>
            <w:hideMark/>
          </w:tcPr>
          <w:p w14:paraId="443E853F"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Programme: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2D8AA0BF"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BA (Hons) Leadership and Management Skills for the Workplace</w:t>
            </w:r>
          </w:p>
        </w:tc>
      </w:tr>
      <w:tr w:rsidR="00DA0C2B" w:rsidRPr="00DA0C2B" w14:paraId="137DA546" w14:textId="77777777" w:rsidTr="00DA0C2B">
        <w:trPr>
          <w:trHeight w:val="494"/>
        </w:trPr>
        <w:tc>
          <w:tcPr>
            <w:tcW w:w="2096" w:type="dxa"/>
            <w:tcBorders>
              <w:top w:val="single" w:sz="4" w:space="0" w:color="000000"/>
              <w:left w:val="single" w:sz="4" w:space="0" w:color="000000"/>
              <w:bottom w:val="single" w:sz="4" w:space="0" w:color="000000"/>
              <w:right w:val="single" w:sz="4" w:space="0" w:color="000000"/>
            </w:tcBorders>
            <w:hideMark/>
          </w:tcPr>
          <w:p w14:paraId="1AD4DA97" w14:textId="6CBE14EA"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Module Title: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72D293D1" w14:textId="43A02921" w:rsidR="00DA0C2B" w:rsidRPr="00DA0C2B" w:rsidRDefault="00DA0C2B" w:rsidP="00DA0C2B">
            <w:pPr>
              <w:spacing w:line="360" w:lineRule="auto"/>
              <w:jc w:val="center"/>
              <w:rPr>
                <w:rFonts w:ascii="Times New Roman" w:eastAsia="Times New Roman" w:hAnsi="Times New Roman" w:cs="Times New Roman"/>
                <w:b/>
                <w:bCs/>
                <w:kern w:val="36"/>
                <w:sz w:val="24"/>
                <w:szCs w:val="24"/>
              </w:rPr>
            </w:pPr>
            <w:proofErr w:type="spellStart"/>
            <w:r w:rsidRPr="00DA0C2B">
              <w:rPr>
                <w:rFonts w:ascii="Times New Roman" w:eastAsia="Times New Roman" w:hAnsi="Times New Roman" w:cs="Times New Roman"/>
                <w:b/>
                <w:bCs/>
                <w:kern w:val="36"/>
                <w:sz w:val="24"/>
                <w:szCs w:val="24"/>
              </w:rPr>
              <w:t>Organisational</w:t>
            </w:r>
            <w:proofErr w:type="spellEnd"/>
            <w:r w:rsidRPr="00DA0C2B">
              <w:rPr>
                <w:rFonts w:ascii="Times New Roman" w:eastAsia="Times New Roman" w:hAnsi="Times New Roman" w:cs="Times New Roman"/>
                <w:b/>
                <w:bCs/>
                <w:kern w:val="36"/>
                <w:sz w:val="24"/>
                <w:szCs w:val="24"/>
              </w:rPr>
              <w:t xml:space="preserve"> Culture at Toyota: A Critical Analysis of Structure, Decision-Making, and Performance</w:t>
            </w:r>
          </w:p>
        </w:tc>
      </w:tr>
      <w:tr w:rsidR="00DA0C2B" w:rsidRPr="00DA0C2B" w14:paraId="0D890117" w14:textId="77777777" w:rsidTr="00DA0C2B">
        <w:trPr>
          <w:trHeight w:val="842"/>
        </w:trPr>
        <w:tc>
          <w:tcPr>
            <w:tcW w:w="2096" w:type="dxa"/>
            <w:tcBorders>
              <w:top w:val="single" w:sz="4" w:space="0" w:color="000000"/>
              <w:left w:val="single" w:sz="4" w:space="0" w:color="000000"/>
              <w:bottom w:val="single" w:sz="4" w:space="0" w:color="000000"/>
              <w:right w:val="single" w:sz="4" w:space="0" w:color="000000"/>
            </w:tcBorders>
            <w:hideMark/>
          </w:tcPr>
          <w:p w14:paraId="563A3B15"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Module code:</w:t>
            </w:r>
          </w:p>
        </w:tc>
        <w:tc>
          <w:tcPr>
            <w:tcW w:w="3293" w:type="dxa"/>
            <w:tcBorders>
              <w:top w:val="single" w:sz="4" w:space="0" w:color="000000"/>
              <w:left w:val="single" w:sz="4" w:space="0" w:color="000000"/>
              <w:bottom w:val="single" w:sz="4" w:space="0" w:color="000000"/>
              <w:right w:val="single" w:sz="4" w:space="0" w:color="000000"/>
            </w:tcBorders>
            <w:hideMark/>
          </w:tcPr>
          <w:p w14:paraId="12F96781"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LCLM 5005</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05046F4C"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hideMark/>
          </w:tcPr>
          <w:p w14:paraId="162E6944"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70%</w:t>
            </w:r>
          </w:p>
        </w:tc>
      </w:tr>
      <w:tr w:rsidR="00DA0C2B" w:rsidRPr="00DA0C2B" w14:paraId="78AC965F" w14:textId="77777777" w:rsidTr="00DA0C2B">
        <w:trPr>
          <w:trHeight w:val="493"/>
        </w:trPr>
        <w:tc>
          <w:tcPr>
            <w:tcW w:w="2096" w:type="dxa"/>
            <w:tcBorders>
              <w:top w:val="single" w:sz="4" w:space="0" w:color="000000"/>
              <w:left w:val="single" w:sz="4" w:space="0" w:color="000000"/>
              <w:bottom w:val="single" w:sz="4" w:space="0" w:color="000000"/>
              <w:right w:val="single" w:sz="4" w:space="0" w:color="000000"/>
            </w:tcBorders>
            <w:hideMark/>
          </w:tcPr>
          <w:p w14:paraId="5BFB8959"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Module Leader:</w:t>
            </w:r>
          </w:p>
        </w:tc>
        <w:tc>
          <w:tcPr>
            <w:tcW w:w="3293" w:type="dxa"/>
            <w:tcBorders>
              <w:top w:val="single" w:sz="4" w:space="0" w:color="000000"/>
              <w:left w:val="single" w:sz="4" w:space="0" w:color="000000"/>
              <w:bottom w:val="single" w:sz="4" w:space="0" w:color="000000"/>
              <w:right w:val="single" w:sz="4" w:space="0" w:color="000000"/>
            </w:tcBorders>
            <w:hideMark/>
          </w:tcPr>
          <w:p w14:paraId="5BD10BCC"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David Oyebisi</w:t>
            </w:r>
          </w:p>
          <w:p w14:paraId="7DBE8399"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Rameses Manalang</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hemeFill="background1" w:themeFillShade="D9"/>
            <w:hideMark/>
          </w:tcPr>
          <w:p w14:paraId="10CB7367"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Internal Verifier:</w:t>
            </w:r>
          </w:p>
        </w:tc>
        <w:tc>
          <w:tcPr>
            <w:tcW w:w="2268" w:type="dxa"/>
            <w:tcBorders>
              <w:top w:val="single" w:sz="4" w:space="0" w:color="000000"/>
              <w:left w:val="single" w:sz="4" w:space="0" w:color="000000"/>
              <w:bottom w:val="single" w:sz="4" w:space="0" w:color="000000"/>
              <w:right w:val="single" w:sz="4" w:space="0" w:color="000000"/>
            </w:tcBorders>
            <w:hideMark/>
          </w:tcPr>
          <w:p w14:paraId="681702C5"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MD Kalam</w:t>
            </w:r>
          </w:p>
          <w:p w14:paraId="55D21CED"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Samuel Ofori</w:t>
            </w:r>
          </w:p>
        </w:tc>
      </w:tr>
      <w:tr w:rsidR="00DA0C2B" w:rsidRPr="00DA0C2B" w14:paraId="076EB580" w14:textId="77777777" w:rsidTr="00DA0C2B">
        <w:trPr>
          <w:trHeight w:val="1566"/>
        </w:trPr>
        <w:tc>
          <w:tcPr>
            <w:tcW w:w="2096" w:type="dxa"/>
            <w:tcBorders>
              <w:top w:val="single" w:sz="4" w:space="0" w:color="000000"/>
              <w:left w:val="single" w:sz="4" w:space="0" w:color="000000"/>
              <w:bottom w:val="single" w:sz="4" w:space="0" w:color="000000"/>
              <w:right w:val="single" w:sz="4" w:space="0" w:color="000000"/>
            </w:tcBorders>
            <w:hideMark/>
          </w:tcPr>
          <w:p w14:paraId="1011B865"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Assignment Title:</w:t>
            </w:r>
          </w:p>
        </w:tc>
        <w:tc>
          <w:tcPr>
            <w:tcW w:w="3293" w:type="dxa"/>
            <w:tcBorders>
              <w:top w:val="single" w:sz="4" w:space="0" w:color="000000"/>
              <w:left w:val="single" w:sz="4" w:space="0" w:color="000000"/>
              <w:bottom w:val="single" w:sz="4" w:space="0" w:color="000000"/>
              <w:right w:val="single" w:sz="4" w:space="0" w:color="000000"/>
            </w:tcBorders>
          </w:tcPr>
          <w:p w14:paraId="12DBB42A"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Component 1</w:t>
            </w:r>
          </w:p>
          <w:p w14:paraId="119B6EF3"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Organisational Culture:</w:t>
            </w:r>
          </w:p>
          <w:p w14:paraId="12FC22E4"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Individual Report</w:t>
            </w:r>
          </w:p>
          <w:p w14:paraId="6DD34AA9"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p>
        </w:tc>
        <w:tc>
          <w:tcPr>
            <w:tcW w:w="2268" w:type="dxa"/>
            <w:tcBorders>
              <w:top w:val="single" w:sz="4" w:space="0" w:color="000000"/>
              <w:left w:val="single" w:sz="4" w:space="0" w:color="000000"/>
              <w:bottom w:val="single" w:sz="4" w:space="0" w:color="000000"/>
              <w:right w:val="single" w:sz="4" w:space="0" w:color="000000"/>
            </w:tcBorders>
            <w:hideMark/>
          </w:tcPr>
          <w:p w14:paraId="5DE41A52"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Word</w:t>
            </w:r>
            <w:r w:rsidRPr="00DA0C2B">
              <w:rPr>
                <w:rFonts w:ascii="Times New Roman" w:eastAsia="Times New Roman" w:hAnsi="Times New Roman" w:cs="Times New Roman"/>
                <w:b/>
                <w:bCs/>
                <w:kern w:val="36"/>
                <w:sz w:val="24"/>
                <w:szCs w:val="24"/>
                <w:lang w:val="en-GB"/>
              </w:rPr>
              <w:tab/>
              <w:t>count</w:t>
            </w:r>
            <w:r w:rsidRPr="00DA0C2B">
              <w:rPr>
                <w:rFonts w:ascii="Times New Roman" w:eastAsia="Times New Roman" w:hAnsi="Times New Roman" w:cs="Times New Roman"/>
                <w:b/>
                <w:bCs/>
                <w:kern w:val="36"/>
                <w:sz w:val="24"/>
                <w:szCs w:val="24"/>
                <w:lang w:val="en-GB"/>
              </w:rPr>
              <w:tab/>
              <w:t>(or equivalent):</w:t>
            </w:r>
          </w:p>
        </w:tc>
        <w:tc>
          <w:tcPr>
            <w:tcW w:w="2268" w:type="dxa"/>
            <w:tcBorders>
              <w:top w:val="single" w:sz="4" w:space="0" w:color="000000"/>
              <w:left w:val="single" w:sz="4" w:space="0" w:color="000000"/>
              <w:bottom w:val="single" w:sz="4" w:space="0" w:color="000000"/>
              <w:right w:val="single" w:sz="4" w:space="0" w:color="000000"/>
            </w:tcBorders>
          </w:tcPr>
          <w:p w14:paraId="12D2AF68"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3,000 ±10%</w:t>
            </w:r>
          </w:p>
          <w:p w14:paraId="379FE6AC"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words</w:t>
            </w:r>
          </w:p>
          <w:p w14:paraId="0C612FAD"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p>
        </w:tc>
      </w:tr>
      <w:tr w:rsidR="00DA0C2B" w:rsidRPr="00DA0C2B" w14:paraId="475C55FD" w14:textId="77777777" w:rsidTr="00DA0C2B">
        <w:trPr>
          <w:trHeight w:val="1127"/>
        </w:trPr>
        <w:tc>
          <w:tcPr>
            <w:tcW w:w="2096" w:type="dxa"/>
            <w:tcBorders>
              <w:top w:val="single" w:sz="4" w:space="0" w:color="000000"/>
              <w:left w:val="single" w:sz="4" w:space="0" w:color="000000"/>
              <w:bottom w:val="single" w:sz="4" w:space="0" w:color="000000"/>
              <w:right w:val="single" w:sz="4" w:space="0" w:color="000000"/>
            </w:tcBorders>
            <w:hideMark/>
          </w:tcPr>
          <w:p w14:paraId="3D35A513"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Submission deadline:</w:t>
            </w:r>
          </w:p>
        </w:tc>
        <w:tc>
          <w:tcPr>
            <w:tcW w:w="3293" w:type="dxa"/>
            <w:tcBorders>
              <w:top w:val="single" w:sz="4" w:space="0" w:color="000000"/>
              <w:left w:val="single" w:sz="4" w:space="0" w:color="000000"/>
              <w:bottom w:val="single" w:sz="4" w:space="0" w:color="000000"/>
              <w:right w:val="single" w:sz="4" w:space="0" w:color="000000"/>
            </w:tcBorders>
            <w:hideMark/>
          </w:tcPr>
          <w:p w14:paraId="4E0A9EDF"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Weekdays/Weekends</w:t>
            </w:r>
          </w:p>
          <w:p w14:paraId="087DAA1B"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rPr>
            </w:pPr>
            <w:r w:rsidRPr="00DA0C2B">
              <w:rPr>
                <w:rFonts w:ascii="Times New Roman" w:eastAsia="Times New Roman" w:hAnsi="Times New Roman" w:cs="Times New Roman"/>
                <w:b/>
                <w:bCs/>
                <w:kern w:val="36"/>
                <w:sz w:val="24"/>
                <w:szCs w:val="24"/>
                <w:lang w:val="en-GB"/>
              </w:rPr>
              <w:t>13/07/2026</w:t>
            </w:r>
          </w:p>
          <w:p w14:paraId="57F38029"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14:00 (2PM)</w:t>
            </w:r>
          </w:p>
        </w:tc>
        <w:tc>
          <w:tcPr>
            <w:tcW w:w="2268" w:type="dxa"/>
            <w:tcBorders>
              <w:top w:val="single" w:sz="4" w:space="0" w:color="000000"/>
              <w:left w:val="single" w:sz="4" w:space="0" w:color="000000"/>
              <w:bottom w:val="single" w:sz="4" w:space="0" w:color="000000"/>
              <w:right w:val="single" w:sz="4" w:space="0" w:color="000000"/>
            </w:tcBorders>
            <w:hideMark/>
          </w:tcPr>
          <w:p w14:paraId="33888122"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kern w:val="36"/>
                <w:sz w:val="24"/>
                <w:szCs w:val="24"/>
                <w:lang w:val="en-GB"/>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14:paraId="16CEBFD5"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p>
          <w:p w14:paraId="14A216FD"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lang w:val="en-GB"/>
              </w:rPr>
            </w:pPr>
          </w:p>
          <w:p w14:paraId="29589BC3" w14:textId="77777777" w:rsidR="00DA0C2B" w:rsidRPr="00DA0C2B" w:rsidRDefault="00DA0C2B" w:rsidP="00DA0C2B">
            <w:pPr>
              <w:spacing w:line="360" w:lineRule="auto"/>
              <w:jc w:val="center"/>
              <w:rPr>
                <w:rFonts w:ascii="Times New Roman" w:eastAsia="Times New Roman" w:hAnsi="Times New Roman" w:cs="Times New Roman"/>
                <w:b/>
                <w:bCs/>
                <w:kern w:val="36"/>
                <w:sz w:val="24"/>
                <w:szCs w:val="24"/>
              </w:rPr>
            </w:pPr>
            <w:r w:rsidRPr="00DA0C2B">
              <w:rPr>
                <w:rFonts w:ascii="Times New Roman" w:eastAsia="Times New Roman" w:hAnsi="Times New Roman" w:cs="Times New Roman"/>
                <w:b/>
                <w:bCs/>
                <w:kern w:val="36"/>
                <w:sz w:val="24"/>
                <w:szCs w:val="24"/>
                <w:lang w:val="en-GB"/>
              </w:rPr>
              <w:t>18/08/2026</w:t>
            </w:r>
          </w:p>
        </w:tc>
      </w:tr>
    </w:tbl>
    <w:p w14:paraId="2B230CFB" w14:textId="2A76D229" w:rsidR="00DA0C2B" w:rsidRPr="00DA0C2B" w:rsidRDefault="00DA0C2B" w:rsidP="00DA0C2B">
      <w:pPr>
        <w:spacing w:line="360" w:lineRule="auto"/>
        <w:rPr>
          <w:rFonts w:ascii="Times New Roman" w:eastAsia="Times New Roman" w:hAnsi="Times New Roman" w:cs="Times New Roman"/>
          <w:b/>
          <w:bCs/>
          <w:kern w:val="36"/>
          <w:sz w:val="24"/>
          <w:szCs w:val="24"/>
          <w:lang w:val="en-GB"/>
        </w:rPr>
      </w:pPr>
      <w:r w:rsidRPr="00DA0C2B">
        <w:rPr>
          <w:rFonts w:ascii="Times New Roman" w:eastAsia="Times New Roman" w:hAnsi="Times New Roman" w:cs="Times New Roman"/>
          <w:b/>
          <w:bCs/>
          <w:noProof/>
          <w:kern w:val="36"/>
          <w:sz w:val="24"/>
          <w:szCs w:val="24"/>
        </w:rPr>
        <mc:AlternateContent>
          <mc:Choice Requires="wps">
            <w:drawing>
              <wp:anchor distT="0" distB="0" distL="0" distR="0" simplePos="0" relativeHeight="251659264" behindDoc="1" locked="0" layoutInCell="1" allowOverlap="1" wp14:anchorId="678E7CF7" wp14:editId="6AC42277">
                <wp:simplePos x="0" y="0"/>
                <wp:positionH relativeFrom="page">
                  <wp:posOffset>708660</wp:posOffset>
                </wp:positionH>
                <wp:positionV relativeFrom="paragraph">
                  <wp:posOffset>150495</wp:posOffset>
                </wp:positionV>
                <wp:extent cx="6303010" cy="451485"/>
                <wp:effectExtent l="0" t="0" r="21590" b="24765"/>
                <wp:wrapTopAndBottom/>
                <wp:docPr id="1487366490"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6C811DC5" w14:textId="77777777" w:rsidR="00DA0C2B" w:rsidRDefault="00DA0C2B" w:rsidP="00DA0C2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Overflow="clip" horzOverflow="clip"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78E7CF7" id="_x0000_t202" coordsize="21600,21600" o:spt="202" path="m,l,21600r21600,l21600,xe">
                <v:stroke joinstyle="miter"/>
                <v:path gradientshapeok="t" o:connecttype="rect"/>
              </v:shapetype>
              <v:shape id="Text Box 8" o:spid="_x0000_s1026" type="#_x0000_t202" style="position:absolute;margin-left:55.8pt;margin-top:11.8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" fillcolor="silver" strokeweight=".48pt">
                <v:textbox inset="0,0,0,0">
                  <w:txbxContent>
                    <w:p w14:paraId="6C811DC5" w14:textId="77777777" w:rsidR="00DA0C2B" w:rsidRDefault="00DA0C2B" w:rsidP="00DA0C2B">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723BD282"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7C07C93F"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sdt>
      <w:sdtPr>
        <w:rPr>
          <w:rFonts w:ascii="Times New Roman" w:eastAsia="Calibri" w:hAnsi="Times New Roman" w:cs="Times New Roman"/>
          <w:b/>
          <w:bCs/>
          <w:color w:val="auto"/>
          <w:sz w:val="22"/>
          <w:szCs w:val="22"/>
        </w:rPr>
        <w:id w:val="76718448"/>
        <w:docPartObj>
          <w:docPartGallery w:val="Table of Contents"/>
          <w:docPartUnique/>
        </w:docPartObj>
      </w:sdtPr>
      <w:sdtEndPr>
        <w:rPr>
          <w:noProof/>
        </w:rPr>
      </w:sdtEndPr>
      <w:sdtContent>
        <w:p w14:paraId="7C3017AF" w14:textId="255B193C" w:rsidR="00DA0C2B" w:rsidRPr="00DA0C2B" w:rsidRDefault="00DA0C2B">
          <w:pPr>
            <w:pStyle w:val="TOCHeading"/>
            <w:rPr>
              <w:rFonts w:ascii="Times New Roman" w:hAnsi="Times New Roman" w:cs="Times New Roman"/>
              <w:b/>
              <w:bCs/>
            </w:rPr>
          </w:pPr>
          <w:r w:rsidRPr="00DA0C2B">
            <w:rPr>
              <w:rFonts w:ascii="Times New Roman" w:hAnsi="Times New Roman" w:cs="Times New Roman"/>
              <w:b/>
              <w:bCs/>
            </w:rPr>
            <w:t>Table of Contents</w:t>
          </w:r>
        </w:p>
        <w:p w14:paraId="39EA8C8C" w14:textId="79CD1B60" w:rsidR="00DA0C2B" w:rsidRPr="00DA0C2B" w:rsidRDefault="00DA0C2B">
          <w:pPr>
            <w:pStyle w:val="TOC1"/>
            <w:tabs>
              <w:tab w:val="right" w:leader="dot" w:pos="9350"/>
            </w:tabs>
            <w:rPr>
              <w:rFonts w:ascii="Times New Roman" w:hAnsi="Times New Roman" w:cs="Times New Roman"/>
              <w:b/>
              <w:bCs/>
              <w:noProof/>
            </w:rPr>
          </w:pPr>
          <w:r w:rsidRPr="00DA0C2B">
            <w:rPr>
              <w:rFonts w:ascii="Times New Roman" w:hAnsi="Times New Roman" w:cs="Times New Roman"/>
              <w:b/>
              <w:bCs/>
            </w:rPr>
            <w:fldChar w:fldCharType="begin"/>
          </w:r>
          <w:r w:rsidRPr="00DA0C2B">
            <w:rPr>
              <w:rFonts w:ascii="Times New Roman" w:hAnsi="Times New Roman" w:cs="Times New Roman"/>
              <w:b/>
              <w:bCs/>
            </w:rPr>
            <w:instrText xml:space="preserve"> TOC \o "1-3" \h \z \u </w:instrText>
          </w:r>
          <w:r w:rsidRPr="00DA0C2B">
            <w:rPr>
              <w:rFonts w:ascii="Times New Roman" w:hAnsi="Times New Roman" w:cs="Times New Roman"/>
              <w:b/>
              <w:bCs/>
            </w:rPr>
            <w:fldChar w:fldCharType="separate"/>
          </w:r>
          <w:hyperlink w:anchor="_Toc234789460" w:history="1">
            <w:r w:rsidRPr="00DA0C2B">
              <w:rPr>
                <w:rStyle w:val="Hyperlink"/>
                <w:rFonts w:ascii="Times New Roman" w:hAnsi="Times New Roman" w:cs="Times New Roman"/>
                <w:b/>
                <w:bCs/>
                <w:noProof/>
              </w:rPr>
              <w:t>1. Introduction</w:t>
            </w:r>
            <w:r w:rsidRPr="00DA0C2B">
              <w:rPr>
                <w:rFonts w:ascii="Times New Roman" w:hAnsi="Times New Roman" w:cs="Times New Roman"/>
                <w:b/>
                <w:bCs/>
                <w:noProof/>
                <w:webHidden/>
              </w:rPr>
              <w:tab/>
            </w:r>
            <w:r w:rsidRPr="00DA0C2B">
              <w:rPr>
                <w:rFonts w:ascii="Times New Roman" w:hAnsi="Times New Roman" w:cs="Times New Roman"/>
                <w:b/>
                <w:bCs/>
                <w:noProof/>
                <w:webHidden/>
              </w:rPr>
              <w:fldChar w:fldCharType="begin"/>
            </w:r>
            <w:r w:rsidRPr="00DA0C2B">
              <w:rPr>
                <w:rFonts w:ascii="Times New Roman" w:hAnsi="Times New Roman" w:cs="Times New Roman"/>
                <w:b/>
                <w:bCs/>
                <w:noProof/>
                <w:webHidden/>
              </w:rPr>
              <w:instrText xml:space="preserve"> PAGEREF _Toc234789460 \h </w:instrText>
            </w:r>
            <w:r w:rsidRPr="00DA0C2B">
              <w:rPr>
                <w:rFonts w:ascii="Times New Roman" w:hAnsi="Times New Roman" w:cs="Times New Roman"/>
                <w:b/>
                <w:bCs/>
                <w:noProof/>
                <w:webHidden/>
              </w:rPr>
            </w:r>
            <w:r w:rsidRPr="00DA0C2B">
              <w:rPr>
                <w:rFonts w:ascii="Times New Roman" w:hAnsi="Times New Roman" w:cs="Times New Roman"/>
                <w:b/>
                <w:bCs/>
                <w:noProof/>
                <w:webHidden/>
              </w:rPr>
              <w:fldChar w:fldCharType="separate"/>
            </w:r>
            <w:r w:rsidRPr="00DA0C2B">
              <w:rPr>
                <w:rFonts w:ascii="Times New Roman" w:hAnsi="Times New Roman" w:cs="Times New Roman"/>
                <w:b/>
                <w:bCs/>
                <w:noProof/>
                <w:webHidden/>
              </w:rPr>
              <w:t>2</w:t>
            </w:r>
            <w:r w:rsidRPr="00DA0C2B">
              <w:rPr>
                <w:rFonts w:ascii="Times New Roman" w:hAnsi="Times New Roman" w:cs="Times New Roman"/>
                <w:b/>
                <w:bCs/>
                <w:noProof/>
                <w:webHidden/>
              </w:rPr>
              <w:fldChar w:fldCharType="end"/>
            </w:r>
          </w:hyperlink>
        </w:p>
        <w:p w14:paraId="761EAA7A" w14:textId="37C2459E" w:rsidR="00DA0C2B" w:rsidRPr="00DA0C2B" w:rsidRDefault="00DA0C2B">
          <w:pPr>
            <w:pStyle w:val="TOC1"/>
            <w:tabs>
              <w:tab w:val="right" w:leader="dot" w:pos="9350"/>
            </w:tabs>
            <w:rPr>
              <w:rFonts w:ascii="Times New Roman" w:hAnsi="Times New Roman" w:cs="Times New Roman"/>
              <w:b/>
              <w:bCs/>
              <w:noProof/>
            </w:rPr>
          </w:pPr>
          <w:hyperlink w:anchor="_Toc234789461" w:history="1">
            <w:r w:rsidRPr="00DA0C2B">
              <w:rPr>
                <w:rStyle w:val="Hyperlink"/>
                <w:rFonts w:ascii="Times New Roman" w:hAnsi="Times New Roman" w:cs="Times New Roman"/>
                <w:b/>
                <w:bCs/>
                <w:noProof/>
              </w:rPr>
              <w:t>2. Analysis of the influence of culture on structure and decision making</w:t>
            </w:r>
            <w:r w:rsidRPr="00DA0C2B">
              <w:rPr>
                <w:rFonts w:ascii="Times New Roman" w:hAnsi="Times New Roman" w:cs="Times New Roman"/>
                <w:b/>
                <w:bCs/>
                <w:noProof/>
                <w:webHidden/>
              </w:rPr>
              <w:tab/>
            </w:r>
            <w:r w:rsidRPr="00DA0C2B">
              <w:rPr>
                <w:rFonts w:ascii="Times New Roman" w:hAnsi="Times New Roman" w:cs="Times New Roman"/>
                <w:b/>
                <w:bCs/>
                <w:noProof/>
                <w:webHidden/>
              </w:rPr>
              <w:fldChar w:fldCharType="begin"/>
            </w:r>
            <w:r w:rsidRPr="00DA0C2B">
              <w:rPr>
                <w:rFonts w:ascii="Times New Roman" w:hAnsi="Times New Roman" w:cs="Times New Roman"/>
                <w:b/>
                <w:bCs/>
                <w:noProof/>
                <w:webHidden/>
              </w:rPr>
              <w:instrText xml:space="preserve"> PAGEREF _Toc234789461 \h </w:instrText>
            </w:r>
            <w:r w:rsidRPr="00DA0C2B">
              <w:rPr>
                <w:rFonts w:ascii="Times New Roman" w:hAnsi="Times New Roman" w:cs="Times New Roman"/>
                <w:b/>
                <w:bCs/>
                <w:noProof/>
                <w:webHidden/>
              </w:rPr>
            </w:r>
            <w:r w:rsidRPr="00DA0C2B">
              <w:rPr>
                <w:rFonts w:ascii="Times New Roman" w:hAnsi="Times New Roman" w:cs="Times New Roman"/>
                <w:b/>
                <w:bCs/>
                <w:noProof/>
                <w:webHidden/>
              </w:rPr>
              <w:fldChar w:fldCharType="separate"/>
            </w:r>
            <w:r w:rsidRPr="00DA0C2B">
              <w:rPr>
                <w:rFonts w:ascii="Times New Roman" w:hAnsi="Times New Roman" w:cs="Times New Roman"/>
                <w:b/>
                <w:bCs/>
                <w:noProof/>
                <w:webHidden/>
              </w:rPr>
              <w:t>3</w:t>
            </w:r>
            <w:r w:rsidRPr="00DA0C2B">
              <w:rPr>
                <w:rFonts w:ascii="Times New Roman" w:hAnsi="Times New Roman" w:cs="Times New Roman"/>
                <w:b/>
                <w:bCs/>
                <w:noProof/>
                <w:webHidden/>
              </w:rPr>
              <w:fldChar w:fldCharType="end"/>
            </w:r>
          </w:hyperlink>
        </w:p>
        <w:p w14:paraId="117EFF70" w14:textId="12BE8F42" w:rsidR="00DA0C2B" w:rsidRPr="00DA0C2B" w:rsidRDefault="00DA0C2B">
          <w:pPr>
            <w:pStyle w:val="TOC1"/>
            <w:tabs>
              <w:tab w:val="right" w:leader="dot" w:pos="9350"/>
            </w:tabs>
            <w:rPr>
              <w:rFonts w:ascii="Times New Roman" w:hAnsi="Times New Roman" w:cs="Times New Roman"/>
              <w:b/>
              <w:bCs/>
              <w:noProof/>
            </w:rPr>
          </w:pPr>
          <w:hyperlink w:anchor="_Toc234789462" w:history="1">
            <w:r w:rsidRPr="00DA0C2B">
              <w:rPr>
                <w:rStyle w:val="Hyperlink"/>
                <w:rFonts w:ascii="Times New Roman" w:hAnsi="Times New Roman" w:cs="Times New Roman"/>
                <w:b/>
                <w:bCs/>
                <w:noProof/>
              </w:rPr>
              <w:t>3. Application of Theoretical Frameworks to Identify Toyota's Culture</w:t>
            </w:r>
            <w:r w:rsidRPr="00DA0C2B">
              <w:rPr>
                <w:rFonts w:ascii="Times New Roman" w:hAnsi="Times New Roman" w:cs="Times New Roman"/>
                <w:b/>
                <w:bCs/>
                <w:noProof/>
                <w:webHidden/>
              </w:rPr>
              <w:tab/>
            </w:r>
            <w:r w:rsidRPr="00DA0C2B">
              <w:rPr>
                <w:rFonts w:ascii="Times New Roman" w:hAnsi="Times New Roman" w:cs="Times New Roman"/>
                <w:b/>
                <w:bCs/>
                <w:noProof/>
                <w:webHidden/>
              </w:rPr>
              <w:fldChar w:fldCharType="begin"/>
            </w:r>
            <w:r w:rsidRPr="00DA0C2B">
              <w:rPr>
                <w:rFonts w:ascii="Times New Roman" w:hAnsi="Times New Roman" w:cs="Times New Roman"/>
                <w:b/>
                <w:bCs/>
                <w:noProof/>
                <w:webHidden/>
              </w:rPr>
              <w:instrText xml:space="preserve"> PAGEREF _Toc234789462 \h </w:instrText>
            </w:r>
            <w:r w:rsidRPr="00DA0C2B">
              <w:rPr>
                <w:rFonts w:ascii="Times New Roman" w:hAnsi="Times New Roman" w:cs="Times New Roman"/>
                <w:b/>
                <w:bCs/>
                <w:noProof/>
                <w:webHidden/>
              </w:rPr>
            </w:r>
            <w:r w:rsidRPr="00DA0C2B">
              <w:rPr>
                <w:rFonts w:ascii="Times New Roman" w:hAnsi="Times New Roman" w:cs="Times New Roman"/>
                <w:b/>
                <w:bCs/>
                <w:noProof/>
                <w:webHidden/>
              </w:rPr>
              <w:fldChar w:fldCharType="separate"/>
            </w:r>
            <w:r w:rsidRPr="00DA0C2B">
              <w:rPr>
                <w:rFonts w:ascii="Times New Roman" w:hAnsi="Times New Roman" w:cs="Times New Roman"/>
                <w:b/>
                <w:bCs/>
                <w:noProof/>
                <w:webHidden/>
              </w:rPr>
              <w:t>4</w:t>
            </w:r>
            <w:r w:rsidRPr="00DA0C2B">
              <w:rPr>
                <w:rFonts w:ascii="Times New Roman" w:hAnsi="Times New Roman" w:cs="Times New Roman"/>
                <w:b/>
                <w:bCs/>
                <w:noProof/>
                <w:webHidden/>
              </w:rPr>
              <w:fldChar w:fldCharType="end"/>
            </w:r>
          </w:hyperlink>
        </w:p>
        <w:p w14:paraId="501A1B91" w14:textId="65E86A8F" w:rsidR="00DA0C2B" w:rsidRPr="00DA0C2B" w:rsidRDefault="00DA0C2B">
          <w:pPr>
            <w:pStyle w:val="TOC1"/>
            <w:tabs>
              <w:tab w:val="right" w:leader="dot" w:pos="9350"/>
            </w:tabs>
            <w:rPr>
              <w:rFonts w:ascii="Times New Roman" w:hAnsi="Times New Roman" w:cs="Times New Roman"/>
              <w:b/>
              <w:bCs/>
              <w:noProof/>
            </w:rPr>
          </w:pPr>
          <w:hyperlink w:anchor="_Toc234789463" w:history="1">
            <w:r w:rsidRPr="00DA0C2B">
              <w:rPr>
                <w:rStyle w:val="Hyperlink"/>
                <w:rFonts w:ascii="Times New Roman" w:hAnsi="Times New Roman" w:cs="Times New Roman"/>
                <w:b/>
                <w:bCs/>
                <w:noProof/>
              </w:rPr>
              <w:t>5. The cultural impacts on performance will be evaluated and recommendations will be made for improvement</w:t>
            </w:r>
            <w:r w:rsidRPr="00DA0C2B">
              <w:rPr>
                <w:rFonts w:ascii="Times New Roman" w:hAnsi="Times New Roman" w:cs="Times New Roman"/>
                <w:b/>
                <w:bCs/>
                <w:noProof/>
                <w:webHidden/>
              </w:rPr>
              <w:tab/>
            </w:r>
            <w:r w:rsidRPr="00DA0C2B">
              <w:rPr>
                <w:rFonts w:ascii="Times New Roman" w:hAnsi="Times New Roman" w:cs="Times New Roman"/>
                <w:b/>
                <w:bCs/>
                <w:noProof/>
                <w:webHidden/>
              </w:rPr>
              <w:fldChar w:fldCharType="begin"/>
            </w:r>
            <w:r w:rsidRPr="00DA0C2B">
              <w:rPr>
                <w:rFonts w:ascii="Times New Roman" w:hAnsi="Times New Roman" w:cs="Times New Roman"/>
                <w:b/>
                <w:bCs/>
                <w:noProof/>
                <w:webHidden/>
              </w:rPr>
              <w:instrText xml:space="preserve"> PAGEREF _Toc234789463 \h </w:instrText>
            </w:r>
            <w:r w:rsidRPr="00DA0C2B">
              <w:rPr>
                <w:rFonts w:ascii="Times New Roman" w:hAnsi="Times New Roman" w:cs="Times New Roman"/>
                <w:b/>
                <w:bCs/>
                <w:noProof/>
                <w:webHidden/>
              </w:rPr>
            </w:r>
            <w:r w:rsidRPr="00DA0C2B">
              <w:rPr>
                <w:rFonts w:ascii="Times New Roman" w:hAnsi="Times New Roman" w:cs="Times New Roman"/>
                <w:b/>
                <w:bCs/>
                <w:noProof/>
                <w:webHidden/>
              </w:rPr>
              <w:fldChar w:fldCharType="separate"/>
            </w:r>
            <w:r w:rsidRPr="00DA0C2B">
              <w:rPr>
                <w:rFonts w:ascii="Times New Roman" w:hAnsi="Times New Roman" w:cs="Times New Roman"/>
                <w:b/>
                <w:bCs/>
                <w:noProof/>
                <w:webHidden/>
              </w:rPr>
              <w:t>10</w:t>
            </w:r>
            <w:r w:rsidRPr="00DA0C2B">
              <w:rPr>
                <w:rFonts w:ascii="Times New Roman" w:hAnsi="Times New Roman" w:cs="Times New Roman"/>
                <w:b/>
                <w:bCs/>
                <w:noProof/>
                <w:webHidden/>
              </w:rPr>
              <w:fldChar w:fldCharType="end"/>
            </w:r>
          </w:hyperlink>
        </w:p>
        <w:p w14:paraId="14A06624" w14:textId="4097D182" w:rsidR="00DA0C2B" w:rsidRPr="00DA0C2B" w:rsidRDefault="00DA0C2B">
          <w:pPr>
            <w:pStyle w:val="TOC1"/>
            <w:tabs>
              <w:tab w:val="right" w:leader="dot" w:pos="9350"/>
            </w:tabs>
            <w:rPr>
              <w:rFonts w:ascii="Times New Roman" w:hAnsi="Times New Roman" w:cs="Times New Roman"/>
              <w:b/>
              <w:bCs/>
              <w:noProof/>
            </w:rPr>
          </w:pPr>
          <w:hyperlink w:anchor="_Toc234789464" w:history="1">
            <w:r w:rsidRPr="00DA0C2B">
              <w:rPr>
                <w:rStyle w:val="Hyperlink"/>
                <w:rFonts w:ascii="Times New Roman" w:hAnsi="Times New Roman" w:cs="Times New Roman"/>
                <w:b/>
                <w:bCs/>
                <w:noProof/>
              </w:rPr>
              <w:t>6. Conclusion</w:t>
            </w:r>
            <w:r w:rsidRPr="00DA0C2B">
              <w:rPr>
                <w:rFonts w:ascii="Times New Roman" w:hAnsi="Times New Roman" w:cs="Times New Roman"/>
                <w:b/>
                <w:bCs/>
                <w:noProof/>
                <w:webHidden/>
              </w:rPr>
              <w:tab/>
            </w:r>
            <w:r w:rsidRPr="00DA0C2B">
              <w:rPr>
                <w:rFonts w:ascii="Times New Roman" w:hAnsi="Times New Roman" w:cs="Times New Roman"/>
                <w:b/>
                <w:bCs/>
                <w:noProof/>
                <w:webHidden/>
              </w:rPr>
              <w:fldChar w:fldCharType="begin"/>
            </w:r>
            <w:r w:rsidRPr="00DA0C2B">
              <w:rPr>
                <w:rFonts w:ascii="Times New Roman" w:hAnsi="Times New Roman" w:cs="Times New Roman"/>
                <w:b/>
                <w:bCs/>
                <w:noProof/>
                <w:webHidden/>
              </w:rPr>
              <w:instrText xml:space="preserve"> PAGEREF _Toc234789464 \h </w:instrText>
            </w:r>
            <w:r w:rsidRPr="00DA0C2B">
              <w:rPr>
                <w:rFonts w:ascii="Times New Roman" w:hAnsi="Times New Roman" w:cs="Times New Roman"/>
                <w:b/>
                <w:bCs/>
                <w:noProof/>
                <w:webHidden/>
              </w:rPr>
            </w:r>
            <w:r w:rsidRPr="00DA0C2B">
              <w:rPr>
                <w:rFonts w:ascii="Times New Roman" w:hAnsi="Times New Roman" w:cs="Times New Roman"/>
                <w:b/>
                <w:bCs/>
                <w:noProof/>
                <w:webHidden/>
              </w:rPr>
              <w:fldChar w:fldCharType="separate"/>
            </w:r>
            <w:r w:rsidRPr="00DA0C2B">
              <w:rPr>
                <w:rFonts w:ascii="Times New Roman" w:hAnsi="Times New Roman" w:cs="Times New Roman"/>
                <w:b/>
                <w:bCs/>
                <w:noProof/>
                <w:webHidden/>
              </w:rPr>
              <w:t>12</w:t>
            </w:r>
            <w:r w:rsidRPr="00DA0C2B">
              <w:rPr>
                <w:rFonts w:ascii="Times New Roman" w:hAnsi="Times New Roman" w:cs="Times New Roman"/>
                <w:b/>
                <w:bCs/>
                <w:noProof/>
                <w:webHidden/>
              </w:rPr>
              <w:fldChar w:fldCharType="end"/>
            </w:r>
          </w:hyperlink>
        </w:p>
        <w:p w14:paraId="687B2C19" w14:textId="7BE40F41" w:rsidR="00DA0C2B" w:rsidRPr="00DA0C2B" w:rsidRDefault="00DA0C2B">
          <w:pPr>
            <w:pStyle w:val="TOC1"/>
            <w:tabs>
              <w:tab w:val="right" w:leader="dot" w:pos="9350"/>
            </w:tabs>
            <w:rPr>
              <w:rFonts w:ascii="Times New Roman" w:hAnsi="Times New Roman" w:cs="Times New Roman"/>
              <w:b/>
              <w:bCs/>
              <w:noProof/>
            </w:rPr>
          </w:pPr>
          <w:hyperlink w:anchor="_Toc234789465" w:history="1">
            <w:r w:rsidRPr="00DA0C2B">
              <w:rPr>
                <w:rStyle w:val="Hyperlink"/>
                <w:rFonts w:ascii="Times New Roman" w:hAnsi="Times New Roman" w:cs="Times New Roman"/>
                <w:b/>
                <w:bCs/>
                <w:noProof/>
                <w:shd w:val="clear" w:color="auto" w:fill="FFFFFF"/>
              </w:rPr>
              <w:t>7. Reference</w:t>
            </w:r>
            <w:r w:rsidRPr="00DA0C2B">
              <w:rPr>
                <w:rFonts w:ascii="Times New Roman" w:hAnsi="Times New Roman" w:cs="Times New Roman"/>
                <w:b/>
                <w:bCs/>
                <w:noProof/>
                <w:webHidden/>
              </w:rPr>
              <w:tab/>
            </w:r>
            <w:r w:rsidRPr="00DA0C2B">
              <w:rPr>
                <w:rFonts w:ascii="Times New Roman" w:hAnsi="Times New Roman" w:cs="Times New Roman"/>
                <w:b/>
                <w:bCs/>
                <w:noProof/>
                <w:webHidden/>
              </w:rPr>
              <w:fldChar w:fldCharType="begin"/>
            </w:r>
            <w:r w:rsidRPr="00DA0C2B">
              <w:rPr>
                <w:rFonts w:ascii="Times New Roman" w:hAnsi="Times New Roman" w:cs="Times New Roman"/>
                <w:b/>
                <w:bCs/>
                <w:noProof/>
                <w:webHidden/>
              </w:rPr>
              <w:instrText xml:space="preserve"> PAGEREF _Toc234789465 \h </w:instrText>
            </w:r>
            <w:r w:rsidRPr="00DA0C2B">
              <w:rPr>
                <w:rFonts w:ascii="Times New Roman" w:hAnsi="Times New Roman" w:cs="Times New Roman"/>
                <w:b/>
                <w:bCs/>
                <w:noProof/>
                <w:webHidden/>
              </w:rPr>
            </w:r>
            <w:r w:rsidRPr="00DA0C2B">
              <w:rPr>
                <w:rFonts w:ascii="Times New Roman" w:hAnsi="Times New Roman" w:cs="Times New Roman"/>
                <w:b/>
                <w:bCs/>
                <w:noProof/>
                <w:webHidden/>
              </w:rPr>
              <w:fldChar w:fldCharType="separate"/>
            </w:r>
            <w:r w:rsidRPr="00DA0C2B">
              <w:rPr>
                <w:rFonts w:ascii="Times New Roman" w:hAnsi="Times New Roman" w:cs="Times New Roman"/>
                <w:b/>
                <w:bCs/>
                <w:noProof/>
                <w:webHidden/>
              </w:rPr>
              <w:t>12</w:t>
            </w:r>
            <w:r w:rsidRPr="00DA0C2B">
              <w:rPr>
                <w:rFonts w:ascii="Times New Roman" w:hAnsi="Times New Roman" w:cs="Times New Roman"/>
                <w:b/>
                <w:bCs/>
                <w:noProof/>
                <w:webHidden/>
              </w:rPr>
              <w:fldChar w:fldCharType="end"/>
            </w:r>
          </w:hyperlink>
        </w:p>
        <w:p w14:paraId="5C098F15" w14:textId="772A1B02" w:rsidR="00DA0C2B" w:rsidRPr="00DA0C2B" w:rsidRDefault="00DA0C2B">
          <w:pPr>
            <w:rPr>
              <w:rFonts w:ascii="Times New Roman" w:hAnsi="Times New Roman" w:cs="Times New Roman"/>
              <w:b/>
              <w:bCs/>
            </w:rPr>
          </w:pPr>
          <w:r w:rsidRPr="00DA0C2B">
            <w:rPr>
              <w:rFonts w:ascii="Times New Roman" w:hAnsi="Times New Roman" w:cs="Times New Roman"/>
              <w:b/>
              <w:bCs/>
              <w:noProof/>
            </w:rPr>
            <w:fldChar w:fldCharType="end"/>
          </w:r>
        </w:p>
      </w:sdtContent>
    </w:sdt>
    <w:p w14:paraId="51C07830" w14:textId="77777777" w:rsidR="00E5389C" w:rsidRPr="00DA0C2B" w:rsidRDefault="00E5389C" w:rsidP="00DA0C2B">
      <w:pPr>
        <w:spacing w:line="360" w:lineRule="auto"/>
        <w:rPr>
          <w:rFonts w:ascii="Times New Roman" w:eastAsia="Times New Roman" w:hAnsi="Times New Roman" w:cs="Times New Roman"/>
          <w:b/>
          <w:bCs/>
          <w:kern w:val="36"/>
          <w:sz w:val="24"/>
          <w:szCs w:val="24"/>
        </w:rPr>
      </w:pPr>
    </w:p>
    <w:p w14:paraId="5FCF9E7B"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3AFFB4BE"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7EC5B19D" w14:textId="77777777" w:rsidR="00E5389C" w:rsidRPr="00DA0C2B" w:rsidRDefault="00E5389C">
      <w:pPr>
        <w:spacing w:line="360" w:lineRule="auto"/>
        <w:jc w:val="both"/>
        <w:rPr>
          <w:rFonts w:ascii="Times New Roman" w:eastAsia="Times New Roman" w:hAnsi="Times New Roman" w:cs="Times New Roman"/>
          <w:sz w:val="24"/>
          <w:szCs w:val="24"/>
        </w:rPr>
      </w:pPr>
    </w:p>
    <w:p w14:paraId="6FB4550B"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742F87B9"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5E76ABD5"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09AAEC50"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7D387C0C"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7AFBC108"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272946AB"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7588E436"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1FA7E082"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065C9C7E"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29EC4945"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68C39815"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32AE4A6D"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636A078B" w14:textId="77777777" w:rsidR="00E5389C" w:rsidRPr="00DA0C2B" w:rsidRDefault="00E5389C">
      <w:pPr>
        <w:spacing w:line="360" w:lineRule="auto"/>
        <w:jc w:val="center"/>
        <w:rPr>
          <w:rFonts w:ascii="Times New Roman" w:eastAsia="Times New Roman" w:hAnsi="Times New Roman" w:cs="Times New Roman"/>
          <w:b/>
          <w:bCs/>
          <w:kern w:val="36"/>
          <w:sz w:val="24"/>
          <w:szCs w:val="24"/>
        </w:rPr>
      </w:pPr>
    </w:p>
    <w:p w14:paraId="75B0586D" w14:textId="36439257" w:rsidR="00E5389C" w:rsidRPr="00DA0C2B" w:rsidRDefault="00DA0C2B" w:rsidP="00DA0C2B">
      <w:pPr>
        <w:pStyle w:val="Heading1"/>
        <w:rPr>
          <w:b w:val="0"/>
          <w:bCs w:val="0"/>
          <w:sz w:val="24"/>
          <w:szCs w:val="24"/>
        </w:rPr>
      </w:pPr>
      <w:bookmarkStart w:id="0" w:name="_Toc234789460"/>
      <w:r w:rsidRPr="00DA0C2B">
        <w:rPr>
          <w:b w:val="0"/>
          <w:bCs w:val="0"/>
          <w:sz w:val="24"/>
          <w:szCs w:val="24"/>
        </w:rPr>
        <w:t xml:space="preserve">1. </w:t>
      </w:r>
      <w:r w:rsidRPr="00DA0C2B">
        <w:rPr>
          <w:sz w:val="24"/>
          <w:szCs w:val="24"/>
        </w:rPr>
        <w:t>Introduction</w:t>
      </w:r>
      <w:bookmarkEnd w:id="0"/>
    </w:p>
    <w:p w14:paraId="093D543F"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Organisational culture is an all-pervasive influence of culture on modern enterprises, as described by Mullins and Christy (2016): "how things are done around here" is so much a part of culture. The case of Toyota Motor Corporation is an illustration of this observation that is of great interest. An organization's culture, and its philosophies, are perhaps best documented in the case of the Toyota Production System and The Toyota Way (Liker, 2004). This report investigates Toyota's organisational culture, how it is related to structure and decision making processes, identifies the dominant characteristics of the culture with theoretical lenses, how it reacts to external pressures on the organisation and whether it is positively or negatively impacting the functioning of the organisation and offers theory informed recommendations for change.</w:t>
      </w:r>
    </w:p>
    <w:p w14:paraId="10D5B81A" w14:textId="068E8774" w:rsidR="00E5389C" w:rsidRPr="00DA0C2B" w:rsidRDefault="00DA0C2B" w:rsidP="00DA0C2B">
      <w:pPr>
        <w:pStyle w:val="Heading1"/>
        <w:rPr>
          <w:b w:val="0"/>
          <w:sz w:val="24"/>
          <w:szCs w:val="24"/>
        </w:rPr>
      </w:pPr>
      <w:bookmarkStart w:id="1" w:name="_Toc234789461"/>
      <w:r w:rsidRPr="00DA0C2B">
        <w:rPr>
          <w:b w:val="0"/>
          <w:sz w:val="24"/>
          <w:szCs w:val="24"/>
        </w:rPr>
        <w:t xml:space="preserve">2. </w:t>
      </w:r>
      <w:r w:rsidRPr="00DA0C2B">
        <w:rPr>
          <w:sz w:val="24"/>
          <w:szCs w:val="24"/>
        </w:rPr>
        <w:t>Analysis of the influence of culture on structure and decision making</w:t>
      </w:r>
      <w:bookmarkEnd w:id="1"/>
    </w:p>
    <w:p w14:paraId="72046E4C"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Toyota's organisational culture is not just limited to its structures; it also pervades the entire organisational landscape, influencing the decision making process, and in so doing, it creates an integrated system where organisational structures are manifested by cultural values. Cultural norms influence choices of structure and structure helps to reinforce cultural norms, so there is a bi-directional relationship between culture and structure at Toyota (Ondeng, n.d.). A reciprocal dynamic is evident in the Japanese style of hierarchy, which is very different from the norm in Japanese corporations but still possesses some of the cultural elements.</w:t>
      </w:r>
    </w:p>
    <w:p w14:paraId="2F0843EF"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The most obvious structural implications of Toyota's culture are that of its attempts to achieve what might be called "decentralised centralisation". The power that Toyota gives to the decision making is deliberately extended down the hierarchy, the lowest.The power to make decisions is carefully delegated to the most peripheral level of the Toyota hierarchy where frontline employees are expected to take decisions with regard to the process of work (Liker, 2004). This structural option represents the cultural values that are based upon respect for the person and the idea that people with firsthand knowledge of the problem should have the best knowledge of the solution. One such example are the operations of the Andon system whereby any employee can stop the production line in the event that they notice there is a problem with the quality. The literature indicates that Toyota has created a company culture of “Stopping to Fix Problems” to produce </w:t>
      </w:r>
      <w:r w:rsidRPr="00DA0C2B">
        <w:rPr>
          <w:rFonts w:ascii="Times New Roman" w:eastAsia="Times New Roman" w:hAnsi="Times New Roman" w:cs="Times New Roman"/>
          <w:sz w:val="24"/>
          <w:szCs w:val="24"/>
        </w:rPr>
        <w:lastRenderedPageBreak/>
        <w:t>quality first time every time (Liker, 2004) which demands a company structure that provides the employees with the authority and responsibility to carry out this practice.</w:t>
      </w:r>
    </w:p>
    <w:p w14:paraId="6B22F812"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However, there are also significant centralising pressures in this decentralisation: strategic direction and following the philosophy. There is a lack of central authority but principles of The Toyota Way are a general guideline that is followed at every level – coherence and consistency (Liker, 2004). This organizational structure might be termed “cultural control”; it is an organisation in which there is no formal hierarchy, but attitudes are shared and a uniform way of solving problems. It's fascinating to see how this compares with its competitor, Hyundai. Toyota's research showed that they design their planning and work systems to cope with the outside turbulence and have the objective of stability as their top priority, whereas the research conducted at Hyundai revealed that they play a competitive game and accept environmental uncertainty and risk as the main parts of their work. This fundamental difference in direction is also manifested as a difference in the cultural orientations that leads to the different structural configurations. </w:t>
      </w:r>
    </w:p>
    <w:p w14:paraId="3793B8FC"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Toyota's decision making processes demonstrate unique features that stem from cultural assumptions. Nemawashi is a Japanese cultural way to make decisions slowly, by consensus, and implement decisions rapidly (Liker, 2004). This entails a great deal of discussion and information exchange prior to decisions being made and ensures that any opinions are listened to and that implementation runs smoothly once any consensus is reached. A method that differs significantly from that of the West, which tends to make decisions quickly and superficially, but works well in Toyota's context. This patient oriented decision making by consensus, as described by Liker (2004), is one of the elements of The Toyota Way as a quality example of how culture directly influences organizational processes.</w:t>
      </w:r>
    </w:p>
    <w:p w14:paraId="392C6B7F"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In addition, cultural influences can be seen in the idea of genchi genbutsu ("go and see for yourself") which requires decision makers to go to the place where the problem lies to draw conclusions (Liker, 2004). This idea is a cultural embrace of living experience and a practical approach as opposed to theorizing or distant control. This has organisational implications, because this principle requires structures that allow and facilitate such direct observation, such as relatively flat hierarchical structures that do not shield the leaders from the reality on the ground. On the other hand, when it is not upheld, Toyota's consequences can be extreme, as in recent Toyota management certification scandals, which it admitted that it was not aware of what was actually </w:t>
      </w:r>
      <w:r w:rsidRPr="00DA0C2B">
        <w:rPr>
          <w:rFonts w:ascii="Times New Roman" w:eastAsia="Times New Roman" w:hAnsi="Times New Roman" w:cs="Times New Roman"/>
          <w:sz w:val="24"/>
          <w:szCs w:val="24"/>
        </w:rPr>
        <w:lastRenderedPageBreak/>
        <w:t>happening on the ground (Yahoo Autos, 2025). Such an admission demonstrates cultural values of reflection and transparency; that is, Toyota's leadership, even if it means taking the responsibility public.Such an admission itself demonstrates cultural values of reflection and transparency; that is, Toyota's leadership, even if it means it accepts responsibility publically, instead of deflecting it.</w:t>
      </w:r>
    </w:p>
    <w:p w14:paraId="7824B9B4" w14:textId="562D605B" w:rsidR="00E5389C" w:rsidRPr="00DA0C2B" w:rsidRDefault="00DA0C2B" w:rsidP="00DA0C2B">
      <w:pPr>
        <w:pStyle w:val="Heading1"/>
        <w:rPr>
          <w:b w:val="0"/>
          <w:sz w:val="24"/>
          <w:szCs w:val="24"/>
        </w:rPr>
      </w:pPr>
      <w:bookmarkStart w:id="2" w:name="_Toc234789462"/>
      <w:r w:rsidRPr="00DA0C2B">
        <w:rPr>
          <w:b w:val="0"/>
          <w:sz w:val="24"/>
          <w:szCs w:val="24"/>
        </w:rPr>
        <w:t xml:space="preserve">3. </w:t>
      </w:r>
      <w:r w:rsidRPr="00DA0C2B">
        <w:rPr>
          <w:sz w:val="24"/>
          <w:szCs w:val="24"/>
        </w:rPr>
        <w:t>Application of Theoretical Frameworks to Identify Toyota's Culture</w:t>
      </w:r>
      <w:bookmarkEnd w:id="2"/>
    </w:p>
    <w:p w14:paraId="33F5350A"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This influential model of organisational culture by Edgar Schein is very useful for analysing the cultural characteristics of Toyota in terms of three levels: artefacts, espoused values, and underlying assumptions. The culture of Toyota is expressed on the level of artefacts in many visible forms that signal the culture to its own members and to those in the outside world. Toyota factories have a physical structure that embeds cultural values concerning quality, transparency and continuous improvement (Liker, 2004), such as visual controls and standardised workstations and clearly visible andon cords. The widespread use of kanban cards and other visual management practices also reflects the culture of flow and elimination of waste. The artefacts are not only functional but also symbolic, and serve to strengthen cultural norms in a daily fashion.</w:t>
      </w:r>
    </w:p>
    <w:p w14:paraId="610083D8"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The Toyota Way, a formally-stated set of values, is where Toyota's culture is reflected at the espoused values level. The five core values of The Toyota Way - Challenge, Kaizen, Genchi Genbutsu, Respect and Teamwork - are the organisation's clear articulation of its cultural priorities (Liker, 2004). These espoused values pattern actions and allow for decision making and action evaluation. Kaizen, or continuous improvement, is an example of how espoused values manifest in the everyday processes of organisations, and the formal structures and systems of quality circles and suggestion systems institutionalise incremental improvement. Likewise, respect for people is not confined to words, but is expressed through things like lifetime employment, much training, and participatory decision making.</w:t>
      </w:r>
    </w:p>
    <w:p w14:paraId="6BCECCAF"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But, the most important aspect of Schein's model is at the most basic level of underlying assumptions, these are the beliefs taken for granted which guide behaviour without being conscious of them. At this lowest level, the Toyota culture is based on assumptions, which differ from many Western organisations. One such assumption is the link between people and processes – Toyota expects process to be the root cause of problems, not people, and expects to focus on </w:t>
      </w:r>
      <w:r w:rsidRPr="00DA0C2B">
        <w:rPr>
          <w:rFonts w:ascii="Times New Roman" w:eastAsia="Times New Roman" w:hAnsi="Times New Roman" w:cs="Times New Roman"/>
          <w:sz w:val="24"/>
          <w:szCs w:val="24"/>
        </w:rPr>
        <w:lastRenderedPageBreak/>
        <w:t>systems in order to improve. This assumption is what enables the practice of halting production to deal with quality problems without any negative consequences, which might not be possible in cultures where blame is the norm for any problems. Another of Toyota's basic assumptions is in the field of knowledge and learning: Toyota's fundamental doctrine is that learning takes place mainly through doing and improvement through practical action, not theory.</w:t>
      </w:r>
    </w:p>
    <w:p w14:paraId="778F3FE5"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In addition, there are some other insights in Hofstede's framework of analysing national culture and organisational culture, which also give Toyota's cultural features insight, especially on Toyota's specific organisational culture and the intersection of Japanese national culture and Toyota's specific organisational culture. One aspect of power distance is the acceptance of hierarchical power, as seen in the Toyota's hierarchy and decision making. Toyota's embodiment of this dimension is special: hierarchy is present, it is respected and the organisation makes a point of minimising power distance, for example by implementing the Andon system and participative decision-making (Brunet-Thornton et al., 2016). It is a kind of cultural compromise that takes into account hierarchy and at the same time gives power to the individuals. The individualism collectivism dimension shows that Toyota's collectivist orientation is in line with the broader Japanese culture. The Toyota culture is one that values working as part of a team, collective responsibility, and group harmony and individual achievement is valued most in the context of teamwork. This collectivist view is reflected in, for example, methods of problem-solving within a team and group consensus in decision-making.</w:t>
      </w:r>
    </w:p>
    <w:p w14:paraId="4D932ACD"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Another way of understanding the characteristics of Toyota's culture is through Charles Handy's typology of organisational cultures. According to Handy, there are four cultural types, power culture, role culture, task culture and person culture. The elements of task culture and other culture types can be found in Toyota's culture, but the most common is the task culture. The task culture focuses on the goal and the teamwork and problem solving approach to it, with decision making power depending on knowledge. This orientation is reflected in Toyota's team-based approach, quality circles, and the Kanban that the best ideas come from anywhere. Toyota, however, has aspects of role culture also, especially when it comes to having a standardisation and clear procedures. The task culture is complemented by the role culture, defined as having formal rules, procedures and clearly defined responsibilities, that gives stability and predictability on the task and that is necessary to have efficient operations. These cultural types have been integrated in </w:t>
      </w:r>
      <w:r w:rsidRPr="00DA0C2B">
        <w:rPr>
          <w:rFonts w:ascii="Times New Roman" w:eastAsia="Times New Roman" w:hAnsi="Times New Roman" w:cs="Times New Roman"/>
          <w:sz w:val="24"/>
          <w:szCs w:val="24"/>
        </w:rPr>
        <w:lastRenderedPageBreak/>
        <w:t>Toyota, which has proved to have some skills on cultural synthesis: the combination of various cultural elements in a strategic way to meet various organizational needs.</w:t>
      </w:r>
    </w:p>
    <w:p w14:paraId="21DDE8FE"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It is very important to analyze the cultural leverage in adapting to external environmental influences.The analysis of cultural leverage in adapting to external environmental influences is very important.</w:t>
      </w:r>
    </w:p>
    <w:p w14:paraId="59402F0A"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Toyota's organisational culture is not just a constraint, rather it is a process that affords flexibility and allows Toyota to respond to the external environments. This ability to adapt is a combination of base cultural values and practical to environmental pressures responsiveness. The organisation's policy of globalisation offers especially valuable illustrations of adaptation and transfer of culture(s).</w:t>
      </w:r>
    </w:p>
    <w:p w14:paraId="0E597983"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Navigating cultural differences and keeping Toyota's organisation in order has been a challenge for the company as it expands into international markets. The NUMMI GM joint venture in the United States is a case in point of the adaptable process the company has used to set up operations in the U.S. In NUMMI, Toyota had to adapt and adopt to the American labour relations practices and cultural expectations, as it is not a familiar environment (KCI, 2025). Of particular importance, however, was the restructuring of practices, like night shift rotation or seniority pay systems, which reflected Japanese cultural norms, away from or adapted to the American context. The principles of The Toyota Way were, however, kept, and the organisation is able to see the difference between what is needed in the culture and what is culturally specific. The success of this adaptation eventually resulted in the systemisation of The Toyota Way as a standard worldwide, and the development of the cultural adaptation as a way to enhance the organisational culture (KCI, 2025).</w:t>
      </w:r>
    </w:p>
    <w:p w14:paraId="19975921"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Likewise, Toyota's business in Thailand via Toyota Motor Thailand are an example of cultural adaptations to the developing country contexts. The company applied the essence of Toyota's production system, making some changes to the practices, at TMT. For example, while the central concept of the Just-in-Time system is to have minimum inventory, the Thai application had more inventory buffers, due to the limitations of infrastructure and supply chains in Thailand (KCI, 2025). This practical adaptation is an example of cultural flexure with retention of core values. Importantly, TMT eventually named a Thai national as CEO, thus promoting cultural integration that retains organisational cohesiveness while also promoting local leadership.</w:t>
      </w:r>
    </w:p>
    <w:p w14:paraId="5E4305DA"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lastRenderedPageBreak/>
        <w:t>Toyota's cultural system has contributed to their ability to respond adaptively to the technological disruption and changing market dynamics. The organisation's strategy on the use of EVs offers a good example of the influence of culture on strategic adaptation. This was an approach that Toyota would take – to play it safe, while competitors were focused on building new all-electric cars, Toyota took a more measured approach that is in keeping with its cultural ethos of thinking in the long term and thoroughly considering all options (Yahoo Autos, 2025). The company's own ‘1:6:90 rule' – assuming the battery materials used in one long-range electric car would be much better applied to building six electric plug-in hybrid cars, or ninety regular hybrid cars – is a good example of the cultural focus that puts emphasis on efficiency of resources and long-term sustainability instead of short-term market positioning. At the time, this seemed like a somewhat conservative strategy, which could prove to be a threat to Toyota's competitive edge as rivals responded to EVs. But, cultural dedication to long term philosophy was foresighted, because by the time the market realities and resource constraints began to bear out Toyota's measured approach, it was a fact. This is an adaptive resource that helps you do strategic.</w:t>
      </w:r>
    </w:p>
    <w:p w14:paraId="4C44653F"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Toyota's culture has been especially useful in the process of learning from failure, and adjusting to external shocks. The disruptions of the 2011 Tōhoku disaster to Toyota's supply chain is a fascinating example of cultural adaptation. This crisis led to the organisation transforming the way it would respond for the future, thereby embodying its culture of continuous improvement and learning from its experiences. Toyota took the opportunity to learn from the earthquake and make its supply chains more resilient (Yahoo Autos, 2025). As supplies and demands fluctuated, the company identified key parts such as semiconductors, and set up buffer stocks, making Toyota more ready to cope with the next disruption. The adaptive response is a reflection of the cultural principles of relentless reflection and kaizen (continuous improvement) methodology which is used in supply chain management.</w:t>
      </w:r>
    </w:p>
    <w:p w14:paraId="76ECEEAF"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The scandal of certifications issued by both Toyota and its subsidiaries, Hino and Daihatsu, more recently provides examples of the power of culture to be controlled as well as the capacity of the organisation to adapt. The facts of falsification of emission data and crash tests are examples of cultural shortcomings like genchi genbutsu and respect for people. There was a failure in management that was clearly admitted by Toyota management: management didn't understand what was really happening on the ground (Yahoo Autos, 2025). The organisation's response to </w:t>
      </w:r>
      <w:r w:rsidRPr="00DA0C2B">
        <w:rPr>
          <w:rFonts w:ascii="Times New Roman" w:eastAsia="Times New Roman" w:hAnsi="Times New Roman" w:cs="Times New Roman"/>
          <w:sz w:val="24"/>
          <w:szCs w:val="24"/>
        </w:rPr>
        <w:lastRenderedPageBreak/>
        <w:t>these scandals did show cultural adaptation, however, in that Toyota suspended shipments, publicly reflected and took responsibility for the issues. This is a reflection of the culture of transparency and on going improvement, even if the situation is very damaging.</w:t>
      </w:r>
    </w:p>
    <w:p w14:paraId="7A8DB6BE" w14:textId="7A053D84" w:rsidR="00E5389C" w:rsidRPr="00DA0C2B" w:rsidRDefault="00DA0C2B">
      <w:pPr>
        <w:spacing w:line="360" w:lineRule="auto"/>
        <w:jc w:val="both"/>
        <w:rPr>
          <w:rFonts w:ascii="Times New Roman" w:eastAsia="Times New Roman" w:hAnsi="Times New Roman" w:cs="Times New Roman"/>
          <w:b/>
          <w:sz w:val="24"/>
          <w:szCs w:val="24"/>
        </w:rPr>
      </w:pPr>
      <w:r w:rsidRPr="00DA0C2B">
        <w:rPr>
          <w:rFonts w:ascii="Times New Roman" w:eastAsia="Times New Roman" w:hAnsi="Times New Roman" w:cs="Times New Roman"/>
          <w:b/>
          <w:sz w:val="24"/>
          <w:szCs w:val="24"/>
        </w:rPr>
        <w:t>4. Analysis of Cultural Leverage in Adapting to External Environmental Influences</w:t>
      </w:r>
    </w:p>
    <w:p w14:paraId="29A88AF0"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It is important to recognise that there are both positive and negative aspects of the Toyota organisation's culture and to evaluate them with nuance to assess whether the culture is a barrier or an enabler to effective organisational functioning. The evidence indicates that Toyota's culture is largely enabling – it gives them excellent resources for organisational effectiveness – and is also a potential obstacle which needs constant management attention. This ambivalent nature is an intrinsic one for strong cultures that will give coherence and direction but can also restrict certain aspects of adaptability or introduce blind spots.</w:t>
      </w:r>
    </w:p>
    <w:p w14:paraId="41E6F307"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Toyota's culture is effective in multiple ways to support the functioning of the organisation. Firstly, a culture that can offer a clear framework for decision making and action, which can support consistency of individual behaviours with organisational goals. The 14 principles of The Toyota Way provide employees at every level straight-forward direction to work with, eliminating ambiguity, and ensuring that they respond consistently to different situations, but the principles are not a set of rules to follow (Liker, 2004). This cultural unity allows Toyota to operate in excellence in all countries and contexts, with the basic assumptions of quality, improvement and respect shared by everyone working in the company. Second, Toyota's culture fosters a learning environment and a culture of constant improvement through institutionalisation of learning and improvement processes like kaizen, quality circles and systematic problem solving. They involve cultural practices which integrate learning into the day to day activities of the organisation, allowing for it to develop in increments while addressing new challenges as they arise. Toyota's organisational skills are the focus of research and are highlighted as the ability to ensure that the company's values, thinking and behaviour remain uniform throughout the organisation, allowing continuous improvement to be made. Thirdly, Toyota's culture allows for flexible adaptation in changing situations and coherence in the organisation. The company's international presence illustrates the ability to cross cultural boundaries with the transfer of some culture and the adoption of others specific to the new environment. Fourth, Toyota's culture allows long-term strategic thinking, as opposed to the short-term thinking which is fairly common in organizations. The </w:t>
      </w:r>
      <w:r w:rsidRPr="00DA0C2B">
        <w:rPr>
          <w:rFonts w:ascii="Times New Roman" w:eastAsia="Times New Roman" w:hAnsi="Times New Roman" w:cs="Times New Roman"/>
          <w:sz w:val="24"/>
          <w:szCs w:val="24"/>
        </w:rPr>
        <w:lastRenderedPageBreak/>
        <w:t>cultural norm of investing in people, processes, and relationships that will result in long-term competitive advantage (Liker, 2004) is achieved by making decisions based on long-term cultural philosophy instead of short-term financial objectives.</w:t>
      </w:r>
    </w:p>
    <w:p w14:paraId="54062537"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However, Toyota's culture can be a hindrance in some instances, having mainly enabling attributes. The one major barrier which exists is cultural rigidity and resistance towards a fundamental change. In cases of more radical change, Toyota's culture can limit its ability to adapt and change radically – especially if the context changes such that it has to break significantly from its usual ways of doing things. This is a potential vulnerability, given the company's measured approach to EVs, where cultural values that place a premium on careful thinking and consensus can impede the pace of response to technological change. The slower response was the risk of competitive displacement, although the eventual approach was right on track. Another barrier relates to cultural blind spots in which common understanding can lead to missing the emerging issues or other solutions. The certification scandals regarding emissions and how the cars have performed in the crash tests show this weakness, as it's been going on for a long time and there was no discovery or fixing of the problems within Toyota subsidiaries. Toyota management openly admitted this is true, saying that management could not fully grasp what was taking place on the ground (Yahoo Autos, 2025). Also, Toyota's culture and values could be a challenge for integration of diverse perspectives, especially because the company is working in a global group of diverse employees. The company has tried to make the Toyota Way more culturally relevant to other countries, but the core, Japanese cultural roots of The Toyota Way can hinder its applicability to other cultural backgrounds. Cultural differences between Czech and Japanese employees were cited as a reason why they needed to be managed and that the values related to work were not always enough to avoid conflict in Toyota's Czech operations (Brunet-Thornton et al., 2016).</w:t>
      </w:r>
    </w:p>
    <w:p w14:paraId="0ACE8860" w14:textId="569CD28A" w:rsidR="00E5389C" w:rsidRPr="00DA0C2B" w:rsidRDefault="00DA0C2B" w:rsidP="00DA0C2B">
      <w:pPr>
        <w:pStyle w:val="Heading1"/>
        <w:rPr>
          <w:b w:val="0"/>
          <w:sz w:val="24"/>
          <w:szCs w:val="24"/>
        </w:rPr>
      </w:pPr>
      <w:bookmarkStart w:id="3" w:name="_Toc234789463"/>
      <w:r w:rsidRPr="00DA0C2B">
        <w:rPr>
          <w:b w:val="0"/>
          <w:sz w:val="24"/>
          <w:szCs w:val="24"/>
        </w:rPr>
        <w:t xml:space="preserve">5. </w:t>
      </w:r>
      <w:r w:rsidRPr="00DA0C2B">
        <w:rPr>
          <w:sz w:val="24"/>
          <w:szCs w:val="24"/>
        </w:rPr>
        <w:t>The cultural impacts on performance will be evaluated and recommendations will be made for improvement</w:t>
      </w:r>
      <w:bookmarkEnd w:id="3"/>
    </w:p>
    <w:p w14:paraId="305272BD"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The organisational culture of Toyota has proven to have a beneficial impact on the organisational performance of the company, which lends credibility to the company's reputation for quality, operational excellence and long term competitive advantage. The cultural aspects of The Toyota Way are well known as a source of competitive advantage as Toyota achieves productivity and </w:t>
      </w:r>
      <w:r w:rsidRPr="00DA0C2B">
        <w:rPr>
          <w:rFonts w:ascii="Times New Roman" w:eastAsia="Times New Roman" w:hAnsi="Times New Roman" w:cs="Times New Roman"/>
          <w:sz w:val="24"/>
          <w:szCs w:val="24"/>
        </w:rPr>
        <w:lastRenderedPageBreak/>
        <w:t>quality that other companies can't match. The results of Toyota illustrates the real value of cultural fitment to operational needs.</w:t>
      </w:r>
    </w:p>
    <w:p w14:paraId="66088869"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Toyota's culture is well-known to be a significant determinant of its quality performance. A commitment to quality at source, to stopping to rectify issues and to continual improvements has led to a consistent good quality rating and customer satisfaction. Toyota plants are regularly awarded for their quality and the Toyota plant in Canada has won a number of Gold Quality Awards for the production of their Lexus (Yahoo Autos, 2025). These quality measures equate to customer satisfaction, positive reputation and higher prices which ensure competitive advantage. The cultural factors are also important to operational efficiency. It is the Toyota Production System, with its strong cultural focus on eliminating waste, continuous flow and pull production, that have brought about outstanding productivity and cost performance. Just in Time production, standardised work and visual control results in less waste, less inventory and fast response to the varying demands. The cultural aspects of innovation are more complicated. Toyota's culture promotes incremental innovations by continuous improvement, with a lot of small innovations that will add up to improve the performance. But the consensus-seeking, thorough approach may also hamper radical innovation and first-mover advantage – it continues to be a challenge.</w:t>
      </w:r>
    </w:p>
    <w:p w14:paraId="7066167C" w14:textId="77777777" w:rsidR="00E5389C" w:rsidRPr="00DA0C2B" w:rsidRDefault="00000000">
      <w:pPr>
        <w:spacing w:line="360" w:lineRule="auto"/>
        <w:jc w:val="both"/>
        <w:rPr>
          <w:rFonts w:ascii="Times New Roman" w:eastAsia="Times New Roman" w:hAnsi="Times New Roman" w:cs="Times New Roman"/>
          <w:sz w:val="24"/>
          <w:szCs w:val="24"/>
        </w:rPr>
      </w:pPr>
      <w:r w:rsidRPr="00DA0C2B">
        <w:rPr>
          <w:rFonts w:ascii="Times New Roman" w:eastAsia="Times New Roman" w:hAnsi="Times New Roman" w:cs="Times New Roman"/>
          <w:sz w:val="24"/>
          <w:szCs w:val="24"/>
        </w:rPr>
        <w:t xml:space="preserve">There are a number of recommendations that could be made for cultural development that would improve an organisation's performance. First, Toyota needs to improve the culture detection and the culture solution mechanisms, especially in its subsidiaries. The scandals for certification showed that the organisation's capabilities were deficient in providing cultural alignment worldwide. Based on the cultural embedding mechanisms touched upon by Schein, Toyota needs to improve its leadership communications, periodic reviews of the subsidiaries, and arrangement for escalating issues. This would strengthen the cultural principle of genchi genbutsu where senior management would have first-hand knowledge of the prevailing situation in the organisation. Second, Toyota needs to build up cultural agility for quicker adaptation to technological disruption and keep its strong analytical capability. Adopting the principles of organisational learning theory, Toyota could create a rapid response team of employees to try out new approaches and technologies and provide experiential learning to complement the more deliberative process of consensus building. Third, Toyota needs to further culture integration to its more diverse global operations. The Hofstede's model implies that there needs to be some consideration of national </w:t>
      </w:r>
      <w:r w:rsidRPr="00DA0C2B">
        <w:rPr>
          <w:rFonts w:ascii="Times New Roman" w:eastAsia="Times New Roman" w:hAnsi="Times New Roman" w:cs="Times New Roman"/>
          <w:sz w:val="24"/>
          <w:szCs w:val="24"/>
        </w:rPr>
        <w:lastRenderedPageBreak/>
        <w:t>differences in the form of values and expectations in cultural adaptation. Toyota needs to come up with more advanced methods for integrating culture, which seek to apply the concept to the local level, but retain the philosophical integrity. Fourth, there is a need for both some incremental innovation and some radical innovation and Toyota needs to have more explicit mechanisms to balance them. Toyota might have created distinct organisational units or processes for radical innovation that are not part of the day-to-day operations, or, perhaps, distinct business units.Based on the ambidexterity theory, Toyota could have created separate organisational units or processes for radical innovation that are not part of the day-to-day operations, or perhaps even distinct business units. Finally, Toyota has to pay more attention to employee well-being in the company's culture, continue to hold employees accountable for their performance, improve its support systems, provide flexible working options, and monitor employees' work-life balance.</w:t>
      </w:r>
    </w:p>
    <w:p w14:paraId="177973EF" w14:textId="7E8877E2" w:rsidR="00E5389C" w:rsidRPr="00DA0C2B" w:rsidRDefault="00DA0C2B" w:rsidP="00DA0C2B">
      <w:pPr>
        <w:pStyle w:val="Heading1"/>
        <w:rPr>
          <w:b w:val="0"/>
          <w:sz w:val="24"/>
          <w:szCs w:val="24"/>
        </w:rPr>
      </w:pPr>
      <w:bookmarkStart w:id="4" w:name="_Toc234789464"/>
      <w:r w:rsidRPr="00DA0C2B">
        <w:rPr>
          <w:b w:val="0"/>
          <w:sz w:val="24"/>
          <w:szCs w:val="24"/>
        </w:rPr>
        <w:t xml:space="preserve">6. </w:t>
      </w:r>
      <w:r w:rsidRPr="00DA0C2B">
        <w:rPr>
          <w:sz w:val="24"/>
          <w:szCs w:val="24"/>
        </w:rPr>
        <w:t>Conclusion</w:t>
      </w:r>
      <w:bookmarkEnd w:id="4"/>
    </w:p>
    <w:p w14:paraId="2961460F"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eastAsia="Times New Roman" w:hAnsi="Times New Roman" w:cs="Times New Roman"/>
          <w:sz w:val="24"/>
          <w:szCs w:val="24"/>
        </w:rPr>
        <w:t>Organisations have a profound influence on their culture, as shown by Toyota Motor Corporation, which influences the decision making process, adaptation and performance in the organisation. The analysis shows that the culture of Toyota, as expressed in The Toyota Way and as demonstrated in the Toyota Production System is mainly intended to make the organisation effective and has some potential challenges which demand continuous management. The result of the application of the three level model of Schein, the cultural dimensions of Hofstede and the cultural types of Handy is an advanced cultural model, giving coherence and allowing adaptation. The Toyota culture allows it to set up effective organizational setups and decision-making processes that utilize participation and continuous improvement of its employees and keep the strategy on track. Maintaining the core of the principles and practising them pragmatically is the support of the culture for adapting to external environmental influences and achieving a global success while retaining the organisation's identity. The influence that the cultural framework has on performance is clearly felt and is positive, in terms of quality, efficiency, resilience and sustainability. Finally, Toyota's experience shows the power of organisational culture as a strategic asset, and also highlights the need for continued efforts to sustain and evolve cultural (sociological) structures in shifting contexts, as cultural management for competitive success.</w:t>
      </w:r>
    </w:p>
    <w:p w14:paraId="13C963B3" w14:textId="4CFC50BB" w:rsidR="00E5389C" w:rsidRPr="00DA0C2B" w:rsidRDefault="00DA0C2B" w:rsidP="00DA0C2B">
      <w:pPr>
        <w:pStyle w:val="Heading1"/>
        <w:rPr>
          <w:b w:val="0"/>
          <w:sz w:val="24"/>
          <w:szCs w:val="24"/>
          <w:shd w:val="clear" w:color="auto" w:fill="FFFFFF"/>
        </w:rPr>
      </w:pPr>
      <w:bookmarkStart w:id="5" w:name="_Toc234789465"/>
      <w:r w:rsidRPr="00DA0C2B">
        <w:rPr>
          <w:b w:val="0"/>
          <w:sz w:val="24"/>
          <w:szCs w:val="24"/>
          <w:shd w:val="clear" w:color="auto" w:fill="FFFFFF"/>
        </w:rPr>
        <w:t xml:space="preserve">7. </w:t>
      </w:r>
      <w:r w:rsidRPr="00DA0C2B">
        <w:rPr>
          <w:sz w:val="24"/>
          <w:szCs w:val="24"/>
          <w:shd w:val="clear" w:color="auto" w:fill="FFFFFF"/>
        </w:rPr>
        <w:t>Reference</w:t>
      </w:r>
      <w:bookmarkEnd w:id="5"/>
    </w:p>
    <w:p w14:paraId="300290FC"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lastRenderedPageBreak/>
        <w:t>Ondeng, T.O., Case Study Critical Analysis for Toyota Motor Corporate Strategy.</w:t>
      </w:r>
      <w:r w:rsidRPr="00DA0C2B">
        <w:rPr>
          <w:rFonts w:ascii="Times New Roman" w:hAnsi="Times New Roman" w:cs="Times New Roman"/>
          <w:sz w:val="24"/>
          <w:szCs w:val="24"/>
        </w:rPr>
        <w:t xml:space="preserve"> </w:t>
      </w:r>
      <w:hyperlink r:id="rId6" w:history="1">
        <w:r w:rsidR="00E5389C" w:rsidRPr="00DA0C2B">
          <w:rPr>
            <w:rStyle w:val="Hyperlink"/>
            <w:rFonts w:ascii="Times New Roman" w:hAnsi="Times New Roman" w:cs="Times New Roman"/>
            <w:color w:val="auto"/>
            <w:sz w:val="24"/>
            <w:szCs w:val="24"/>
            <w:shd w:val="clear" w:color="auto" w:fill="FFFFFF"/>
          </w:rPr>
          <w:t>https://www.researchgate.net/profile/Tonny-Ondeng/publication/363659699_Case_Study_Critical_Analysis_for_Toyota_Motor_Corporate_Strategy/links/63287c8f071ea12e36467016/Case-Study-Critical-Analysis-for-Toyota-Motor-Corporate-Strategy.pdf</w:t>
        </w:r>
      </w:hyperlink>
    </w:p>
    <w:p w14:paraId="6D80EDE8"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OYLUM, E., 2024. Corporate cultures in companies: Values and understanding, participation, learning and innovation culture: ŞİRKETLERDE KURUMSAL KÜLTÜRLER: DEĞERLER VE ANLAYIŞ, katilimci, ÖĞRENME VE yenİlİk KÜLTÜRÜ. </w:t>
      </w:r>
      <w:r w:rsidRPr="00DA0C2B">
        <w:rPr>
          <w:rFonts w:ascii="Times New Roman" w:hAnsi="Times New Roman" w:cs="Times New Roman"/>
          <w:i/>
          <w:iCs/>
          <w:sz w:val="24"/>
          <w:szCs w:val="24"/>
          <w:shd w:val="clear" w:color="auto" w:fill="FFFFFF"/>
        </w:rPr>
        <w:t>Socrates Journal of Interdisciplinary Social Researches</w:t>
      </w:r>
      <w:r w:rsidRPr="00DA0C2B">
        <w:rPr>
          <w:rFonts w:ascii="Times New Roman" w:hAnsi="Times New Roman" w:cs="Times New Roman"/>
          <w:sz w:val="24"/>
          <w:szCs w:val="24"/>
          <w:shd w:val="clear" w:color="auto" w:fill="FFFFFF"/>
        </w:rPr>
        <w:t>, </w:t>
      </w:r>
      <w:r w:rsidRPr="00DA0C2B">
        <w:rPr>
          <w:rFonts w:ascii="Times New Roman" w:hAnsi="Times New Roman" w:cs="Times New Roman"/>
          <w:i/>
          <w:iCs/>
          <w:sz w:val="24"/>
          <w:szCs w:val="24"/>
          <w:shd w:val="clear" w:color="auto" w:fill="FFFFFF"/>
        </w:rPr>
        <w:t>10</w:t>
      </w:r>
      <w:r w:rsidRPr="00DA0C2B">
        <w:rPr>
          <w:rFonts w:ascii="Times New Roman" w:hAnsi="Times New Roman" w:cs="Times New Roman"/>
          <w:sz w:val="24"/>
          <w:szCs w:val="24"/>
          <w:shd w:val="clear" w:color="auto" w:fill="FFFFFF"/>
        </w:rPr>
        <w:t>(47), pp.87-99.</w:t>
      </w:r>
      <w:r w:rsidRPr="00DA0C2B">
        <w:rPr>
          <w:rFonts w:ascii="Times New Roman" w:hAnsi="Times New Roman" w:cs="Times New Roman"/>
          <w:sz w:val="24"/>
          <w:szCs w:val="24"/>
        </w:rPr>
        <w:t xml:space="preserve"> </w:t>
      </w:r>
      <w:hyperlink r:id="rId7" w:history="1">
        <w:r w:rsidR="00E5389C" w:rsidRPr="00DA0C2B">
          <w:rPr>
            <w:rStyle w:val="Hyperlink"/>
            <w:rFonts w:ascii="Times New Roman" w:hAnsi="Times New Roman" w:cs="Times New Roman"/>
            <w:color w:val="auto"/>
            <w:sz w:val="24"/>
            <w:szCs w:val="24"/>
            <w:shd w:val="clear" w:color="auto" w:fill="FFFFFF"/>
          </w:rPr>
          <w:t>https://socratesjournal.org/index.php/pub/article/view/446</w:t>
        </w:r>
      </w:hyperlink>
    </w:p>
    <w:p w14:paraId="0633DFBC"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El Masri, J.A. and Matkó, A., 2022. The importance of Toyota Kata in organizational development and sustainable improvement.</w:t>
      </w:r>
      <w:r w:rsidRPr="00DA0C2B">
        <w:rPr>
          <w:rFonts w:ascii="Times New Roman" w:hAnsi="Times New Roman" w:cs="Times New Roman"/>
          <w:sz w:val="24"/>
          <w:szCs w:val="24"/>
        </w:rPr>
        <w:t xml:space="preserve"> </w:t>
      </w:r>
      <w:hyperlink r:id="rId8" w:history="1">
        <w:r w:rsidR="00E5389C" w:rsidRPr="00DA0C2B">
          <w:rPr>
            <w:rStyle w:val="Hyperlink"/>
            <w:rFonts w:ascii="Times New Roman" w:hAnsi="Times New Roman" w:cs="Times New Roman"/>
            <w:color w:val="auto"/>
            <w:sz w:val="24"/>
            <w:szCs w:val="24"/>
            <w:shd w:val="clear" w:color="auto" w:fill="FFFFFF"/>
          </w:rPr>
          <w:t>https://www.ceeol.com/search/article-detail?id=1194884</w:t>
        </w:r>
      </w:hyperlink>
    </w:p>
    <w:p w14:paraId="0F1AEBEB"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Benkara, A., 2025. Organizational Memory: An Important Resource for Organizations. A Reading On TOYOTA's Practices. </w:t>
      </w:r>
      <w:r w:rsidRPr="00DA0C2B">
        <w:rPr>
          <w:rFonts w:ascii="Tahoma" w:hAnsi="Tahoma" w:cs="Tahoma"/>
          <w:i/>
          <w:iCs/>
          <w:sz w:val="24"/>
          <w:szCs w:val="24"/>
          <w:shd w:val="clear" w:color="auto" w:fill="FFFFFF"/>
        </w:rPr>
        <w:t>مجلة</w:t>
      </w:r>
      <w:r w:rsidRPr="00DA0C2B">
        <w:rPr>
          <w:rFonts w:ascii="Times New Roman" w:hAnsi="Times New Roman" w:cs="Times New Roman"/>
          <w:i/>
          <w:iCs/>
          <w:sz w:val="24"/>
          <w:szCs w:val="24"/>
          <w:shd w:val="clear" w:color="auto" w:fill="FFFFFF"/>
        </w:rPr>
        <w:t xml:space="preserve"> </w:t>
      </w:r>
      <w:r w:rsidRPr="00DA0C2B">
        <w:rPr>
          <w:rFonts w:ascii="Tahoma" w:hAnsi="Tahoma" w:cs="Tahoma"/>
          <w:i/>
          <w:iCs/>
          <w:sz w:val="24"/>
          <w:szCs w:val="24"/>
          <w:shd w:val="clear" w:color="auto" w:fill="FFFFFF"/>
        </w:rPr>
        <w:t>الميادين</w:t>
      </w:r>
      <w:r w:rsidRPr="00DA0C2B">
        <w:rPr>
          <w:rFonts w:ascii="Times New Roman" w:hAnsi="Times New Roman" w:cs="Times New Roman"/>
          <w:i/>
          <w:iCs/>
          <w:sz w:val="24"/>
          <w:szCs w:val="24"/>
          <w:shd w:val="clear" w:color="auto" w:fill="FFFFFF"/>
        </w:rPr>
        <w:t xml:space="preserve"> </w:t>
      </w:r>
      <w:r w:rsidRPr="00DA0C2B">
        <w:rPr>
          <w:rFonts w:ascii="Tahoma" w:hAnsi="Tahoma" w:cs="Tahoma"/>
          <w:i/>
          <w:iCs/>
          <w:sz w:val="24"/>
          <w:szCs w:val="24"/>
          <w:shd w:val="clear" w:color="auto" w:fill="FFFFFF"/>
        </w:rPr>
        <w:t>الإقتصادية</w:t>
      </w:r>
      <w:r w:rsidRPr="00DA0C2B">
        <w:rPr>
          <w:rFonts w:ascii="Times New Roman" w:hAnsi="Times New Roman" w:cs="Times New Roman"/>
          <w:sz w:val="24"/>
          <w:szCs w:val="24"/>
          <w:shd w:val="clear" w:color="auto" w:fill="FFFFFF"/>
        </w:rPr>
        <w:t>, </w:t>
      </w:r>
      <w:r w:rsidRPr="00DA0C2B">
        <w:rPr>
          <w:rFonts w:ascii="Times New Roman" w:hAnsi="Times New Roman" w:cs="Times New Roman"/>
          <w:i/>
          <w:iCs/>
          <w:sz w:val="24"/>
          <w:szCs w:val="24"/>
          <w:shd w:val="clear" w:color="auto" w:fill="FFFFFF"/>
        </w:rPr>
        <w:t>8</w:t>
      </w:r>
      <w:r w:rsidRPr="00DA0C2B">
        <w:rPr>
          <w:rFonts w:ascii="Times New Roman" w:hAnsi="Times New Roman" w:cs="Times New Roman"/>
          <w:sz w:val="24"/>
          <w:szCs w:val="24"/>
          <w:shd w:val="clear" w:color="auto" w:fill="FFFFFF"/>
        </w:rPr>
        <w:t>(1), pp.353-366.</w:t>
      </w:r>
      <w:r w:rsidRPr="00DA0C2B">
        <w:rPr>
          <w:rFonts w:ascii="Times New Roman" w:hAnsi="Times New Roman" w:cs="Times New Roman"/>
          <w:sz w:val="24"/>
          <w:szCs w:val="24"/>
        </w:rPr>
        <w:t xml:space="preserve"> </w:t>
      </w:r>
      <w:hyperlink r:id="rId9" w:history="1">
        <w:r w:rsidR="00E5389C" w:rsidRPr="00DA0C2B">
          <w:rPr>
            <w:rStyle w:val="Hyperlink"/>
            <w:rFonts w:ascii="Times New Roman" w:hAnsi="Times New Roman" w:cs="Times New Roman"/>
            <w:color w:val="auto"/>
            <w:sz w:val="24"/>
            <w:szCs w:val="24"/>
            <w:shd w:val="clear" w:color="auto" w:fill="FFFFFF"/>
          </w:rPr>
          <w:t>https://asjp.cerist.dz/en/article/284295</w:t>
        </w:r>
      </w:hyperlink>
    </w:p>
    <w:p w14:paraId="16D947D4"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Solthong, S., 2022. </w:t>
      </w:r>
      <w:r w:rsidRPr="00DA0C2B">
        <w:rPr>
          <w:rFonts w:ascii="Times New Roman" w:hAnsi="Times New Roman" w:cs="Times New Roman"/>
          <w:i/>
          <w:iCs/>
          <w:sz w:val="24"/>
          <w:szCs w:val="24"/>
          <w:shd w:val="clear" w:color="auto" w:fill="FFFFFF"/>
        </w:rPr>
        <w:t>Improvement of the learning organization culture and customer experience performance of the car dealers of one US automotive company in Thailand using organizational coaching interventions</w:t>
      </w:r>
      <w:r w:rsidRPr="00DA0C2B">
        <w:rPr>
          <w:rFonts w:ascii="Times New Roman" w:hAnsi="Times New Roman" w:cs="Times New Roman"/>
          <w:sz w:val="24"/>
          <w:szCs w:val="24"/>
          <w:shd w:val="clear" w:color="auto" w:fill="FFFFFF"/>
        </w:rPr>
        <w:t> (Doctoral dissertation, Bangkok University).</w:t>
      </w:r>
      <w:r w:rsidRPr="00DA0C2B">
        <w:rPr>
          <w:rFonts w:ascii="Times New Roman" w:hAnsi="Times New Roman" w:cs="Times New Roman"/>
          <w:sz w:val="24"/>
          <w:szCs w:val="24"/>
        </w:rPr>
        <w:t xml:space="preserve"> </w:t>
      </w:r>
      <w:hyperlink r:id="rId10" w:history="1">
        <w:r w:rsidR="00E5389C" w:rsidRPr="00DA0C2B">
          <w:rPr>
            <w:rStyle w:val="Hyperlink"/>
            <w:rFonts w:ascii="Times New Roman" w:hAnsi="Times New Roman" w:cs="Times New Roman"/>
            <w:color w:val="auto"/>
            <w:sz w:val="24"/>
            <w:szCs w:val="24"/>
            <w:shd w:val="clear" w:color="auto" w:fill="FFFFFF"/>
          </w:rPr>
          <w:t>http://dspace.bu.ac.th/handle/123456789/5282</w:t>
        </w:r>
      </w:hyperlink>
    </w:p>
    <w:p w14:paraId="28A53EFF"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Abbas, M., Saleem, M.Q., Mufti, N.A. and Hussain, A., 2025. Exploring organisational culture: assessing readiness for lean production implementation–an empirical study. </w:t>
      </w:r>
      <w:r w:rsidRPr="00DA0C2B">
        <w:rPr>
          <w:rFonts w:ascii="Times New Roman" w:hAnsi="Times New Roman" w:cs="Times New Roman"/>
          <w:i/>
          <w:iCs/>
          <w:sz w:val="24"/>
          <w:szCs w:val="24"/>
          <w:shd w:val="clear" w:color="auto" w:fill="FFFFFF"/>
        </w:rPr>
        <w:t>International Journal of Lean Six Sigma</w:t>
      </w:r>
      <w:r w:rsidRPr="00DA0C2B">
        <w:rPr>
          <w:rFonts w:ascii="Times New Roman" w:hAnsi="Times New Roman" w:cs="Times New Roman"/>
          <w:sz w:val="24"/>
          <w:szCs w:val="24"/>
          <w:shd w:val="clear" w:color="auto" w:fill="FFFFFF"/>
        </w:rPr>
        <w:t>, </w:t>
      </w:r>
      <w:r w:rsidRPr="00DA0C2B">
        <w:rPr>
          <w:rFonts w:ascii="Times New Roman" w:hAnsi="Times New Roman" w:cs="Times New Roman"/>
          <w:i/>
          <w:iCs/>
          <w:sz w:val="24"/>
          <w:szCs w:val="24"/>
          <w:shd w:val="clear" w:color="auto" w:fill="FFFFFF"/>
        </w:rPr>
        <w:t>16</w:t>
      </w:r>
      <w:r w:rsidRPr="00DA0C2B">
        <w:rPr>
          <w:rFonts w:ascii="Times New Roman" w:hAnsi="Times New Roman" w:cs="Times New Roman"/>
          <w:sz w:val="24"/>
          <w:szCs w:val="24"/>
          <w:shd w:val="clear" w:color="auto" w:fill="FFFFFF"/>
        </w:rPr>
        <w:t>(3), pp.686-722.</w:t>
      </w:r>
      <w:r w:rsidRPr="00DA0C2B">
        <w:rPr>
          <w:rFonts w:ascii="Times New Roman" w:hAnsi="Times New Roman" w:cs="Times New Roman"/>
          <w:sz w:val="24"/>
          <w:szCs w:val="24"/>
        </w:rPr>
        <w:t xml:space="preserve"> </w:t>
      </w:r>
      <w:hyperlink r:id="rId11" w:history="1">
        <w:r w:rsidR="00E5389C" w:rsidRPr="00DA0C2B">
          <w:rPr>
            <w:rStyle w:val="Hyperlink"/>
            <w:rFonts w:ascii="Times New Roman" w:hAnsi="Times New Roman" w:cs="Times New Roman"/>
            <w:color w:val="auto"/>
            <w:sz w:val="24"/>
            <w:szCs w:val="24"/>
            <w:shd w:val="clear" w:color="auto" w:fill="FFFFFF"/>
          </w:rPr>
          <w:t>https://www.emerald.com/ijlss/article/16/3/686/1246717</w:t>
        </w:r>
      </w:hyperlink>
    </w:p>
    <w:p w14:paraId="666E9234"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Khan, M.R. and Pervin, M.T., 2024. Technology disruption and its application in organisational management theories: A case study on Toyota Motor Corporation. </w:t>
      </w:r>
      <w:r w:rsidRPr="00DA0C2B">
        <w:rPr>
          <w:rFonts w:ascii="Times New Roman" w:hAnsi="Times New Roman" w:cs="Times New Roman"/>
          <w:i/>
          <w:iCs/>
          <w:sz w:val="24"/>
          <w:szCs w:val="24"/>
          <w:shd w:val="clear" w:color="auto" w:fill="FFFFFF"/>
        </w:rPr>
        <w:t>International Journal of Services and Operations Management</w:t>
      </w:r>
      <w:r w:rsidRPr="00DA0C2B">
        <w:rPr>
          <w:rFonts w:ascii="Times New Roman" w:hAnsi="Times New Roman" w:cs="Times New Roman"/>
          <w:sz w:val="24"/>
          <w:szCs w:val="24"/>
          <w:shd w:val="clear" w:color="auto" w:fill="FFFFFF"/>
        </w:rPr>
        <w:t>, </w:t>
      </w:r>
      <w:r w:rsidRPr="00DA0C2B">
        <w:rPr>
          <w:rFonts w:ascii="Times New Roman" w:hAnsi="Times New Roman" w:cs="Times New Roman"/>
          <w:i/>
          <w:iCs/>
          <w:sz w:val="24"/>
          <w:szCs w:val="24"/>
          <w:shd w:val="clear" w:color="auto" w:fill="FFFFFF"/>
        </w:rPr>
        <w:t>49</w:t>
      </w:r>
      <w:r w:rsidRPr="00DA0C2B">
        <w:rPr>
          <w:rFonts w:ascii="Times New Roman" w:hAnsi="Times New Roman" w:cs="Times New Roman"/>
          <w:sz w:val="24"/>
          <w:szCs w:val="24"/>
          <w:shd w:val="clear" w:color="auto" w:fill="FFFFFF"/>
        </w:rPr>
        <w:t>(2), pp.198-220.</w:t>
      </w:r>
      <w:r w:rsidRPr="00DA0C2B">
        <w:rPr>
          <w:rFonts w:ascii="Times New Roman" w:hAnsi="Times New Roman" w:cs="Times New Roman"/>
          <w:sz w:val="24"/>
          <w:szCs w:val="24"/>
        </w:rPr>
        <w:t xml:space="preserve"> </w:t>
      </w:r>
      <w:hyperlink r:id="rId12" w:history="1">
        <w:r w:rsidR="00E5389C" w:rsidRPr="00DA0C2B">
          <w:rPr>
            <w:rStyle w:val="Hyperlink"/>
            <w:rFonts w:ascii="Times New Roman" w:hAnsi="Times New Roman" w:cs="Times New Roman"/>
            <w:color w:val="auto"/>
            <w:sz w:val="24"/>
            <w:szCs w:val="24"/>
            <w:shd w:val="clear" w:color="auto" w:fill="FFFFFF"/>
          </w:rPr>
          <w:t>https://www.inderscienceonline.com/doi/abs/10.1504/IJSOM.2024.141998</w:t>
        </w:r>
      </w:hyperlink>
    </w:p>
    <w:p w14:paraId="3AEBBF5D"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Ghaleb, B.D.S. and Dahiam, B., 2024. The importance of organizational culture for business success. </w:t>
      </w:r>
      <w:r w:rsidRPr="00DA0C2B">
        <w:rPr>
          <w:rFonts w:ascii="Times New Roman" w:hAnsi="Times New Roman" w:cs="Times New Roman"/>
          <w:i/>
          <w:iCs/>
          <w:sz w:val="24"/>
          <w:szCs w:val="24"/>
          <w:shd w:val="clear" w:color="auto" w:fill="FFFFFF"/>
        </w:rPr>
        <w:t>Jurnal Riset Multidisiplin Dan Inovasi Teknologi</w:t>
      </w:r>
      <w:r w:rsidRPr="00DA0C2B">
        <w:rPr>
          <w:rFonts w:ascii="Times New Roman" w:hAnsi="Times New Roman" w:cs="Times New Roman"/>
          <w:sz w:val="24"/>
          <w:szCs w:val="24"/>
          <w:shd w:val="clear" w:color="auto" w:fill="FFFFFF"/>
        </w:rPr>
        <w:t>, </w:t>
      </w:r>
      <w:r w:rsidRPr="00DA0C2B">
        <w:rPr>
          <w:rFonts w:ascii="Times New Roman" w:hAnsi="Times New Roman" w:cs="Times New Roman"/>
          <w:i/>
          <w:iCs/>
          <w:sz w:val="24"/>
          <w:szCs w:val="24"/>
          <w:shd w:val="clear" w:color="auto" w:fill="FFFFFF"/>
        </w:rPr>
        <w:t>2</w:t>
      </w:r>
      <w:r w:rsidRPr="00DA0C2B">
        <w:rPr>
          <w:rFonts w:ascii="Times New Roman" w:hAnsi="Times New Roman" w:cs="Times New Roman"/>
          <w:sz w:val="24"/>
          <w:szCs w:val="24"/>
          <w:shd w:val="clear" w:color="auto" w:fill="FFFFFF"/>
        </w:rPr>
        <w:t>(03), pp.727-735.</w:t>
      </w:r>
      <w:r w:rsidRPr="00DA0C2B">
        <w:rPr>
          <w:rFonts w:ascii="Times New Roman" w:hAnsi="Times New Roman" w:cs="Times New Roman"/>
          <w:sz w:val="24"/>
          <w:szCs w:val="24"/>
        </w:rPr>
        <w:t xml:space="preserve"> </w:t>
      </w:r>
      <w:hyperlink r:id="rId13" w:history="1">
        <w:r w:rsidR="00E5389C" w:rsidRPr="00DA0C2B">
          <w:rPr>
            <w:rStyle w:val="Hyperlink"/>
            <w:rFonts w:ascii="Times New Roman" w:hAnsi="Times New Roman" w:cs="Times New Roman"/>
            <w:color w:val="auto"/>
            <w:sz w:val="24"/>
            <w:szCs w:val="24"/>
            <w:shd w:val="clear" w:color="auto" w:fill="FFFFFF"/>
          </w:rPr>
          <w:t>https://pdfs.semanticscholar.org/892b/1661646066d5d5cf9d7e86f933c14402f16d.pdf</w:t>
        </w:r>
      </w:hyperlink>
    </w:p>
    <w:p w14:paraId="011930E6"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lastRenderedPageBreak/>
        <w:t>Chen, C.H., 2022. The mediating effect of corporate culture on the relationship between business model innovation and corporate social responsibility: A perspective from small-and medium-sized enterprises. </w:t>
      </w:r>
      <w:r w:rsidRPr="00DA0C2B">
        <w:rPr>
          <w:rFonts w:ascii="Times New Roman" w:hAnsi="Times New Roman" w:cs="Times New Roman"/>
          <w:i/>
          <w:iCs/>
          <w:sz w:val="24"/>
          <w:szCs w:val="24"/>
          <w:shd w:val="clear" w:color="auto" w:fill="FFFFFF"/>
        </w:rPr>
        <w:t>Asia Pacific Management Review</w:t>
      </w:r>
      <w:r w:rsidRPr="00DA0C2B">
        <w:rPr>
          <w:rFonts w:ascii="Times New Roman" w:hAnsi="Times New Roman" w:cs="Times New Roman"/>
          <w:sz w:val="24"/>
          <w:szCs w:val="24"/>
          <w:shd w:val="clear" w:color="auto" w:fill="FFFFFF"/>
        </w:rPr>
        <w:t>, </w:t>
      </w:r>
      <w:r w:rsidRPr="00DA0C2B">
        <w:rPr>
          <w:rFonts w:ascii="Times New Roman" w:hAnsi="Times New Roman" w:cs="Times New Roman"/>
          <w:i/>
          <w:iCs/>
          <w:sz w:val="24"/>
          <w:szCs w:val="24"/>
          <w:shd w:val="clear" w:color="auto" w:fill="FFFFFF"/>
        </w:rPr>
        <w:t>27</w:t>
      </w:r>
      <w:r w:rsidRPr="00DA0C2B">
        <w:rPr>
          <w:rFonts w:ascii="Times New Roman" w:hAnsi="Times New Roman" w:cs="Times New Roman"/>
          <w:sz w:val="24"/>
          <w:szCs w:val="24"/>
          <w:shd w:val="clear" w:color="auto" w:fill="FFFFFF"/>
        </w:rPr>
        <w:t>(4), pp.312-319.</w:t>
      </w:r>
      <w:r w:rsidRPr="00DA0C2B">
        <w:rPr>
          <w:rFonts w:ascii="Times New Roman" w:hAnsi="Times New Roman" w:cs="Times New Roman"/>
          <w:sz w:val="24"/>
          <w:szCs w:val="24"/>
        </w:rPr>
        <w:t xml:space="preserve"> </w:t>
      </w:r>
      <w:hyperlink r:id="rId14" w:history="1">
        <w:r w:rsidR="00E5389C" w:rsidRPr="00DA0C2B">
          <w:rPr>
            <w:rStyle w:val="Hyperlink"/>
            <w:rFonts w:ascii="Times New Roman" w:hAnsi="Times New Roman" w:cs="Times New Roman"/>
            <w:color w:val="auto"/>
            <w:sz w:val="24"/>
            <w:szCs w:val="24"/>
            <w:shd w:val="clear" w:color="auto" w:fill="FFFFFF"/>
          </w:rPr>
          <w:t>https://www.sciencedirect.com/science/article/pii/S102931322200001X</w:t>
        </w:r>
      </w:hyperlink>
    </w:p>
    <w:p w14:paraId="3E75A06D" w14:textId="77777777" w:rsidR="00E5389C" w:rsidRPr="00DA0C2B" w:rsidRDefault="00000000">
      <w:pPr>
        <w:spacing w:line="360" w:lineRule="auto"/>
        <w:jc w:val="both"/>
        <w:rPr>
          <w:rFonts w:ascii="Times New Roman" w:hAnsi="Times New Roman" w:cs="Times New Roman"/>
          <w:sz w:val="24"/>
          <w:szCs w:val="24"/>
          <w:shd w:val="clear" w:color="auto" w:fill="FFFFFF"/>
        </w:rPr>
      </w:pPr>
      <w:r w:rsidRPr="00DA0C2B">
        <w:rPr>
          <w:rFonts w:ascii="Times New Roman" w:hAnsi="Times New Roman" w:cs="Times New Roman"/>
          <w:sz w:val="24"/>
          <w:szCs w:val="24"/>
          <w:shd w:val="clear" w:color="auto" w:fill="FFFFFF"/>
        </w:rPr>
        <w:t>Minh, D.H., Phuong, P.T.T. and Cuong, T., 2025. The relationship between organizational culture and lean manufacturing in manufacturing SMEs in Vietnam: Exploring the moderating role of sustainable leadership. </w:t>
      </w:r>
      <w:r w:rsidRPr="00DA0C2B">
        <w:rPr>
          <w:rFonts w:ascii="Times New Roman" w:hAnsi="Times New Roman" w:cs="Times New Roman"/>
          <w:i/>
          <w:iCs/>
          <w:sz w:val="24"/>
          <w:szCs w:val="24"/>
          <w:shd w:val="clear" w:color="auto" w:fill="FFFFFF"/>
        </w:rPr>
        <w:t>Journal of the International Council for Small Business</w:t>
      </w:r>
      <w:r w:rsidRPr="00DA0C2B">
        <w:rPr>
          <w:rFonts w:ascii="Times New Roman" w:hAnsi="Times New Roman" w:cs="Times New Roman"/>
          <w:sz w:val="24"/>
          <w:szCs w:val="24"/>
          <w:shd w:val="clear" w:color="auto" w:fill="FFFFFF"/>
        </w:rPr>
        <w:t>, pp.1-20.</w:t>
      </w:r>
      <w:r w:rsidRPr="00DA0C2B">
        <w:rPr>
          <w:rFonts w:ascii="Times New Roman" w:hAnsi="Times New Roman" w:cs="Times New Roman"/>
          <w:sz w:val="24"/>
          <w:szCs w:val="24"/>
        </w:rPr>
        <w:t xml:space="preserve"> </w:t>
      </w:r>
      <w:hyperlink r:id="rId15" w:history="1">
        <w:r w:rsidR="00E5389C" w:rsidRPr="00DA0C2B">
          <w:rPr>
            <w:rStyle w:val="Hyperlink"/>
            <w:rFonts w:ascii="Times New Roman" w:hAnsi="Times New Roman" w:cs="Times New Roman"/>
            <w:color w:val="auto"/>
            <w:sz w:val="24"/>
            <w:szCs w:val="24"/>
            <w:shd w:val="clear" w:color="auto" w:fill="FFFFFF"/>
          </w:rPr>
          <w:t>https://www.tandfonline.com/doi/abs/10.1080/26437015.2025.2568923</w:t>
        </w:r>
      </w:hyperlink>
    </w:p>
    <w:p w14:paraId="41984A45" w14:textId="77777777" w:rsidR="00E5389C" w:rsidRPr="00DA0C2B" w:rsidRDefault="00E5389C">
      <w:pPr>
        <w:spacing w:line="360" w:lineRule="auto"/>
        <w:jc w:val="both"/>
        <w:rPr>
          <w:rFonts w:ascii="Times New Roman" w:hAnsi="Times New Roman" w:cs="Times New Roman"/>
          <w:sz w:val="24"/>
          <w:szCs w:val="24"/>
        </w:rPr>
      </w:pPr>
    </w:p>
    <w:sectPr w:rsidR="00E5389C" w:rsidRPr="00DA0C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89C"/>
    <w:rsid w:val="0009726C"/>
    <w:rsid w:val="00DA0C2B"/>
    <w:rsid w:val="00DB613D"/>
    <w:rsid w:val="00E5389C"/>
    <w:rsid w:val="00F767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51BB3"/>
  <w15:docId w15:val="{354960D3-589F-422B-A188-E59E49C0A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semiHidden/>
    <w:unhideWhenUsed/>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Pr>
      <w:rFonts w:ascii="Times New Roman" w:eastAsia="Times New Roman" w:hAnsi="Times New Roman" w:cs="Times New Roman"/>
      <w:b/>
      <w:bCs/>
      <w:sz w:val="36"/>
      <w:szCs w:val="36"/>
    </w:rPr>
  </w:style>
  <w:style w:type="paragraph" w:customStyle="1" w:styleId="ds-markdown-paragraph">
    <w:name w:val="ds-markdown-paragraph"/>
    <w:basedOn w:val="Normal"/>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Pr>
      <w:i/>
      <w:iCs/>
    </w:rPr>
  </w:style>
  <w:style w:type="paragraph" w:styleId="ListParagraph">
    <w:name w:val="List Paragraph"/>
    <w:basedOn w:val="Normal"/>
    <w:uiPriority w:val="34"/>
    <w:qFormat/>
    <w:rsid w:val="00DA0C2B"/>
    <w:pPr>
      <w:ind w:left="720"/>
      <w:contextualSpacing/>
    </w:pPr>
  </w:style>
  <w:style w:type="paragraph" w:styleId="TOCHeading">
    <w:name w:val="TOC Heading"/>
    <w:basedOn w:val="Heading1"/>
    <w:next w:val="Normal"/>
    <w:uiPriority w:val="39"/>
    <w:unhideWhenUsed/>
    <w:qFormat/>
    <w:rsid w:val="00DA0C2B"/>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DA0C2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eeol.com/search/article-detail?id=1194884" TargetMode="External"/><Relationship Id="rId13" Type="http://schemas.openxmlformats.org/officeDocument/2006/relationships/hyperlink" Target="https://pdfs.semanticscholar.org/892b/1661646066d5d5cf9d7e86f933c14402f16d.pdf" TargetMode="External"/><Relationship Id="rId3" Type="http://schemas.openxmlformats.org/officeDocument/2006/relationships/settings" Target="settings.xml"/><Relationship Id="rId7" Type="http://schemas.openxmlformats.org/officeDocument/2006/relationships/hyperlink" Target="https://socratesjournal.org/index.php/pub/article/view/446" TargetMode="External"/><Relationship Id="rId12" Type="http://schemas.openxmlformats.org/officeDocument/2006/relationships/hyperlink" Target="https://www.inderscienceonline.com/doi/abs/10.1504/IJSOM.2024.14199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researchgate.net/profile/Tonny-Ondeng/publication/363659699_Case_Study_Critical_Analysis_for_Toyota_Motor_Corporate_Strategy/links/63287c8f071ea12e36467016/Case-Study-Critical-Analysis-for-Toyota-Motor-Corporate-Strategy.pdf" TargetMode="External"/><Relationship Id="rId11" Type="http://schemas.openxmlformats.org/officeDocument/2006/relationships/hyperlink" Target="https://www.emerald.com/ijlss/article/16/3/686/1246717" TargetMode="External"/><Relationship Id="rId5" Type="http://schemas.openxmlformats.org/officeDocument/2006/relationships/image" Target="media/image1.png"/><Relationship Id="rId15" Type="http://schemas.openxmlformats.org/officeDocument/2006/relationships/hyperlink" Target="https://www.tandfonline.com/doi/abs/10.1080/26437015.2025.2568923" TargetMode="External"/><Relationship Id="rId10" Type="http://schemas.openxmlformats.org/officeDocument/2006/relationships/hyperlink" Target="http://dspace.bu.ac.th/handle/123456789/5282" TargetMode="External"/><Relationship Id="rId4" Type="http://schemas.openxmlformats.org/officeDocument/2006/relationships/webSettings" Target="webSettings.xml"/><Relationship Id="rId9" Type="http://schemas.openxmlformats.org/officeDocument/2006/relationships/hyperlink" Target="https://asjp.cerist.dz/en/article/284295" TargetMode="External"/><Relationship Id="rId14" Type="http://schemas.openxmlformats.org/officeDocument/2006/relationships/hyperlink" Target="https://www.sciencedirect.com/science/article/pii/S10293132220000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95724-0A3E-427B-8AB1-18D9FD10E8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4800</Words>
  <Characters>27361</Characters>
  <Application>Microsoft Office Word</Application>
  <DocSecurity>0</DocSecurity>
  <Lines>228</Lines>
  <Paragraphs>64</Paragraphs>
  <ScaleCrop>false</ScaleCrop>
  <Company/>
  <LinksUpToDate>false</LinksUpToDate>
  <CharactersWithSpaces>32097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Zayn Hussain (2407010)</cp:lastModifiedBy>
  <cp:revision>3</cp:revision>
  <dcterms:created xsi:type="dcterms:W3CDTF">2026-07-12T14:08:00Z</dcterms:created>
  <dcterms:modified xsi:type="dcterms:W3CDTF">2026-07-12T19:05:00Z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9313a07ba4d94ff6a2066734341ea066_23</vt:lpwstr>
  </property>
</Properties>
</file>