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F6903" w14:textId="77777777" w:rsidR="004B30AE" w:rsidRPr="00385F78" w:rsidRDefault="004B30AE" w:rsidP="004B30AE">
      <w:pPr>
        <w:spacing w:line="360" w:lineRule="auto"/>
        <w:jc w:val="center"/>
        <w:rPr>
          <w:rFonts w:ascii="Arial" w:hAnsi="Arial" w:cs="Arial"/>
          <w:b/>
          <w:bCs/>
          <w:u w:val="single"/>
        </w:rPr>
      </w:pPr>
      <w:r w:rsidRPr="00385F78">
        <w:rPr>
          <w:rFonts w:ascii="Arial" w:hAnsi="Arial" w:cs="Arial"/>
          <w:noProof/>
        </w:rPr>
        <w:drawing>
          <wp:inline distT="0" distB="0" distL="0" distR="0" wp14:anchorId="763D71CF" wp14:editId="2E4411F4">
            <wp:extent cx="899160" cy="872251"/>
            <wp:effectExtent l="0" t="0" r="0" b="4445"/>
            <wp:docPr id="1028" name="Picture 4" descr="UWTSD : School of Applied Computing | Swansea">
              <a:extLst xmlns:a="http://schemas.openxmlformats.org/drawingml/2006/main">
                <a:ext uri="{FF2B5EF4-FFF2-40B4-BE49-F238E27FC236}">
                  <a16:creationId xmlns:a16="http://schemas.microsoft.com/office/drawing/2014/main" id="{B98646DB-9A73-8710-3134-993E63456C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WTSD : School of Applied Computing | Swansea">
                      <a:extLst>
                        <a:ext uri="{FF2B5EF4-FFF2-40B4-BE49-F238E27FC236}">
                          <a16:creationId xmlns:a16="http://schemas.microsoft.com/office/drawing/2014/main" id="{B98646DB-9A73-8710-3134-993E63456C0A}"/>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07224" cy="880074"/>
                    </a:xfrm>
                    <a:prstGeom prst="rect">
                      <a:avLst/>
                    </a:prstGeom>
                    <a:noFill/>
                  </pic:spPr>
                </pic:pic>
              </a:graphicData>
            </a:graphic>
          </wp:inline>
        </w:drawing>
      </w:r>
    </w:p>
    <w:p w14:paraId="434C4AE4" w14:textId="77777777" w:rsidR="004B30AE" w:rsidRPr="00385F78" w:rsidRDefault="004B30AE" w:rsidP="004B30AE">
      <w:pPr>
        <w:spacing w:line="360" w:lineRule="auto"/>
        <w:jc w:val="center"/>
        <w:rPr>
          <w:rFonts w:ascii="Arial" w:hAnsi="Arial" w:cs="Arial"/>
          <w:b/>
          <w:bCs/>
          <w:u w:val="single"/>
        </w:rPr>
      </w:pPr>
    </w:p>
    <w:p w14:paraId="60E1EC83" w14:textId="77777777" w:rsidR="004B30AE" w:rsidRPr="00385F78" w:rsidRDefault="004B30AE" w:rsidP="004B30AE">
      <w:pPr>
        <w:spacing w:line="360" w:lineRule="auto"/>
        <w:jc w:val="center"/>
        <w:rPr>
          <w:rFonts w:ascii="Arial" w:hAnsi="Arial" w:cs="Arial"/>
          <w:b/>
          <w:bCs/>
          <w:u w:val="single"/>
        </w:rPr>
      </w:pPr>
      <w:r w:rsidRPr="00385F78">
        <w:rPr>
          <w:rFonts w:ascii="Arial" w:hAnsi="Arial" w:cs="Arial"/>
          <w:b/>
          <w:bCs/>
          <w:u w:val="single"/>
        </w:rPr>
        <w:t>UNIVERSITY OF WALES TRINITY SAINT DAVID</w:t>
      </w:r>
    </w:p>
    <w:p w14:paraId="563B35B4" w14:textId="77777777" w:rsidR="004B30AE" w:rsidRPr="00385F78" w:rsidRDefault="004B30AE" w:rsidP="004B30AE">
      <w:pPr>
        <w:spacing w:line="360" w:lineRule="auto"/>
        <w:jc w:val="center"/>
        <w:rPr>
          <w:rFonts w:ascii="Arial" w:hAnsi="Arial" w:cs="Arial"/>
          <w:b/>
          <w:bCs/>
          <w:u w:val="single"/>
        </w:rPr>
      </w:pPr>
    </w:p>
    <w:p w14:paraId="38882B9C" w14:textId="77777777" w:rsidR="004B30AE" w:rsidRPr="00385F78" w:rsidRDefault="004B30AE" w:rsidP="004B30AE">
      <w:pPr>
        <w:spacing w:line="360" w:lineRule="auto"/>
        <w:jc w:val="center"/>
        <w:rPr>
          <w:rFonts w:ascii="Arial" w:hAnsi="Arial" w:cs="Arial"/>
          <w:b/>
          <w:bCs/>
          <w:u w:val="single"/>
        </w:rPr>
      </w:pPr>
      <w:r w:rsidRPr="00385F78">
        <w:rPr>
          <w:rFonts w:ascii="Arial" w:hAnsi="Arial" w:cs="Arial"/>
          <w:b/>
          <w:bCs/>
          <w:u w:val="single"/>
        </w:rPr>
        <w:t>COMMUNITY ENGAGEMENT (LCBB4002)</w:t>
      </w:r>
    </w:p>
    <w:p w14:paraId="5AFDC4C1" w14:textId="77777777" w:rsidR="004B30AE" w:rsidRPr="00385F78" w:rsidRDefault="004B30AE" w:rsidP="004B30AE">
      <w:pPr>
        <w:spacing w:line="360" w:lineRule="auto"/>
        <w:jc w:val="center"/>
        <w:rPr>
          <w:rFonts w:ascii="Arial" w:hAnsi="Arial" w:cs="Arial"/>
        </w:rPr>
      </w:pPr>
    </w:p>
    <w:p w14:paraId="54720C16" w14:textId="77777777" w:rsidR="004B30AE" w:rsidRPr="00385F78" w:rsidRDefault="004B30AE" w:rsidP="004B30AE">
      <w:pPr>
        <w:spacing w:line="360" w:lineRule="auto"/>
        <w:jc w:val="center"/>
        <w:rPr>
          <w:rFonts w:ascii="Arial" w:hAnsi="Arial" w:cs="Arial"/>
          <w:b/>
          <w:bCs/>
          <w:u w:val="single"/>
        </w:rPr>
      </w:pPr>
      <w:r w:rsidRPr="00385F78">
        <w:rPr>
          <w:rFonts w:ascii="Arial" w:hAnsi="Arial" w:cs="Arial"/>
          <w:b/>
          <w:bCs/>
          <w:u w:val="single"/>
        </w:rPr>
        <w:t>LECTURER – DR. NADEEM MIRZA</w:t>
      </w:r>
    </w:p>
    <w:p w14:paraId="36467804" w14:textId="77777777" w:rsidR="004B30AE" w:rsidRPr="00385F78" w:rsidRDefault="004B30AE" w:rsidP="004B30AE">
      <w:pPr>
        <w:spacing w:line="360" w:lineRule="auto"/>
        <w:jc w:val="center"/>
        <w:rPr>
          <w:rFonts w:ascii="Arial" w:hAnsi="Arial" w:cs="Arial"/>
          <w:b/>
          <w:bCs/>
          <w:u w:val="single"/>
        </w:rPr>
      </w:pPr>
    </w:p>
    <w:p w14:paraId="48770AFE" w14:textId="77777777" w:rsidR="004B30AE" w:rsidRPr="00385F78" w:rsidRDefault="004B30AE" w:rsidP="004B30AE">
      <w:pPr>
        <w:spacing w:line="360" w:lineRule="auto"/>
        <w:jc w:val="center"/>
        <w:rPr>
          <w:rFonts w:ascii="Arial" w:hAnsi="Arial" w:cs="Arial"/>
          <w:b/>
          <w:bCs/>
          <w:u w:val="single"/>
        </w:rPr>
      </w:pPr>
      <w:r w:rsidRPr="00385F78">
        <w:rPr>
          <w:rFonts w:ascii="Arial" w:hAnsi="Arial" w:cs="Arial"/>
          <w:b/>
          <w:bCs/>
          <w:u w:val="single"/>
        </w:rPr>
        <w:t>STUDENT NAME – TSONYO TODOROV</w:t>
      </w:r>
    </w:p>
    <w:p w14:paraId="19ED8E70" w14:textId="77777777" w:rsidR="004B30AE" w:rsidRPr="00385F78" w:rsidRDefault="004B30AE" w:rsidP="004B30AE">
      <w:pPr>
        <w:spacing w:line="360" w:lineRule="auto"/>
        <w:jc w:val="center"/>
        <w:rPr>
          <w:rFonts w:ascii="Arial" w:hAnsi="Arial" w:cs="Arial"/>
          <w:b/>
          <w:bCs/>
          <w:u w:val="single"/>
        </w:rPr>
      </w:pPr>
    </w:p>
    <w:p w14:paraId="497E2233" w14:textId="77777777" w:rsidR="004B30AE" w:rsidRPr="00385F78" w:rsidRDefault="004B30AE" w:rsidP="004B30AE">
      <w:pPr>
        <w:spacing w:line="360" w:lineRule="auto"/>
        <w:jc w:val="center"/>
        <w:rPr>
          <w:rFonts w:ascii="Arial" w:hAnsi="Arial" w:cs="Arial"/>
          <w:b/>
          <w:bCs/>
          <w:u w:val="single"/>
        </w:rPr>
      </w:pPr>
      <w:r w:rsidRPr="00385F78">
        <w:rPr>
          <w:rFonts w:ascii="Arial" w:hAnsi="Arial" w:cs="Arial"/>
          <w:b/>
          <w:bCs/>
          <w:u w:val="single"/>
        </w:rPr>
        <w:t>STUDENT ID – 2021609</w:t>
      </w:r>
    </w:p>
    <w:p w14:paraId="06F2CB42" w14:textId="77777777" w:rsidR="004B30AE" w:rsidRPr="00385F78" w:rsidRDefault="004B30AE" w:rsidP="004B30AE">
      <w:pPr>
        <w:spacing w:line="360" w:lineRule="auto"/>
        <w:jc w:val="center"/>
        <w:rPr>
          <w:rFonts w:ascii="Arial" w:hAnsi="Arial" w:cs="Arial"/>
          <w:b/>
          <w:bCs/>
          <w:u w:val="single"/>
        </w:rPr>
      </w:pPr>
    </w:p>
    <w:p w14:paraId="2B6C5674" w14:textId="13126F46" w:rsidR="004B30AE" w:rsidRDefault="004B30AE" w:rsidP="004B30AE">
      <w:pPr>
        <w:spacing w:line="360" w:lineRule="auto"/>
        <w:jc w:val="center"/>
        <w:rPr>
          <w:rFonts w:ascii="Arial" w:hAnsi="Arial" w:cs="Arial"/>
          <w:b/>
          <w:bCs/>
          <w:u w:val="single"/>
        </w:rPr>
      </w:pPr>
      <w:r w:rsidRPr="00385F78">
        <w:rPr>
          <w:rFonts w:ascii="Arial" w:hAnsi="Arial" w:cs="Arial"/>
          <w:b/>
          <w:bCs/>
          <w:u w:val="single"/>
        </w:rPr>
        <w:t xml:space="preserve">ASSINGMENT </w:t>
      </w:r>
      <w:r>
        <w:rPr>
          <w:rFonts w:ascii="Arial" w:hAnsi="Arial" w:cs="Arial"/>
          <w:b/>
          <w:bCs/>
          <w:u w:val="single"/>
        </w:rPr>
        <w:t>2</w:t>
      </w:r>
    </w:p>
    <w:p w14:paraId="3137A6B8" w14:textId="77777777" w:rsidR="004B30AE" w:rsidRDefault="004B30AE" w:rsidP="004B30AE">
      <w:pPr>
        <w:spacing w:line="360" w:lineRule="auto"/>
        <w:jc w:val="center"/>
        <w:rPr>
          <w:rFonts w:ascii="Arial" w:hAnsi="Arial" w:cs="Arial"/>
          <w:b/>
          <w:bCs/>
          <w:u w:val="single"/>
        </w:rPr>
      </w:pPr>
    </w:p>
    <w:p w14:paraId="4D3609C7" w14:textId="570CB7CC" w:rsidR="004B30AE" w:rsidRPr="00385F78" w:rsidRDefault="004B30AE" w:rsidP="004B30AE">
      <w:pPr>
        <w:spacing w:line="360" w:lineRule="auto"/>
        <w:jc w:val="center"/>
        <w:rPr>
          <w:rFonts w:ascii="Arial" w:hAnsi="Arial" w:cs="Arial"/>
          <w:b/>
          <w:bCs/>
          <w:u w:val="single"/>
        </w:rPr>
      </w:pPr>
      <w:r>
        <w:rPr>
          <w:rFonts w:ascii="Arial" w:hAnsi="Arial" w:cs="Arial"/>
          <w:b/>
          <w:bCs/>
          <w:u w:val="single"/>
        </w:rPr>
        <w:t>COMMUNITY ENGAGEMENT - REFLECTIVE EVALUATION</w:t>
      </w:r>
    </w:p>
    <w:p w14:paraId="5AB64644" w14:textId="77777777" w:rsidR="00331E4B" w:rsidRDefault="00331E4B" w:rsidP="004B30AE"/>
    <w:p w14:paraId="5E845B22" w14:textId="77777777" w:rsidR="004B30AE" w:rsidRDefault="004B30AE" w:rsidP="004B30AE"/>
    <w:p w14:paraId="6E37B41B" w14:textId="77777777" w:rsidR="004B30AE" w:rsidRDefault="004B30AE" w:rsidP="004B30AE"/>
    <w:p w14:paraId="6C20066C" w14:textId="77777777" w:rsidR="004B30AE" w:rsidRDefault="004B30AE" w:rsidP="004B30AE"/>
    <w:p w14:paraId="4BFF921F" w14:textId="77777777" w:rsidR="004B30AE" w:rsidRDefault="004B30AE" w:rsidP="004B30AE"/>
    <w:p w14:paraId="548AFBA8" w14:textId="77777777" w:rsidR="004B30AE" w:rsidRDefault="004B30AE" w:rsidP="004B30AE"/>
    <w:p w14:paraId="5E75DC00" w14:textId="77777777" w:rsidR="004B30AE" w:rsidRDefault="004B30AE" w:rsidP="004B30AE"/>
    <w:p w14:paraId="2C6D7377" w14:textId="77777777" w:rsidR="004B30AE" w:rsidRDefault="004B30AE" w:rsidP="004B30AE"/>
    <w:p w14:paraId="45D9FE22" w14:textId="77777777" w:rsidR="004B30AE" w:rsidRDefault="004B30AE" w:rsidP="004B30AE"/>
    <w:sdt>
      <w:sdtPr>
        <w:rPr>
          <w:rFonts w:ascii="Times New Roman" w:eastAsia="Times New Roman" w:hAnsi="Times New Roman" w:cs="Times New Roman"/>
          <w:color w:val="auto"/>
          <w:sz w:val="24"/>
          <w:szCs w:val="22"/>
          <w:lang w:val="en-GB"/>
        </w:rPr>
        <w:id w:val="-899824156"/>
        <w:docPartObj>
          <w:docPartGallery w:val="Table of Contents"/>
          <w:docPartUnique/>
        </w:docPartObj>
      </w:sdtPr>
      <w:sdtEndPr>
        <w:rPr>
          <w:rFonts w:asciiTheme="minorHAnsi" w:eastAsiaTheme="minorHAnsi" w:hAnsiTheme="minorHAnsi" w:cstheme="minorBidi"/>
          <w:b/>
          <w:bCs/>
          <w:noProof/>
          <w:sz w:val="22"/>
          <w:lang w:val="en-US"/>
        </w:rPr>
      </w:sdtEndPr>
      <w:sdtContent>
        <w:p w14:paraId="1E767EE1" w14:textId="77777777" w:rsidR="004B30AE" w:rsidRPr="004B30AE" w:rsidRDefault="004B30AE" w:rsidP="004B30AE">
          <w:pPr>
            <w:pStyle w:val="TOCHeading"/>
            <w:spacing w:line="360" w:lineRule="auto"/>
            <w:jc w:val="center"/>
            <w:rPr>
              <w:rFonts w:ascii="Arial" w:hAnsi="Arial" w:cs="Arial"/>
              <w:b/>
              <w:bCs/>
              <w:color w:val="auto"/>
              <w:sz w:val="22"/>
              <w:szCs w:val="22"/>
            </w:rPr>
          </w:pPr>
          <w:r w:rsidRPr="004B30AE">
            <w:rPr>
              <w:rFonts w:ascii="Arial" w:hAnsi="Arial" w:cs="Arial"/>
              <w:b/>
              <w:bCs/>
              <w:color w:val="auto"/>
              <w:sz w:val="22"/>
              <w:szCs w:val="22"/>
            </w:rPr>
            <w:t>Table of Contents</w:t>
          </w:r>
        </w:p>
        <w:p w14:paraId="42EE4DB0" w14:textId="3CA56719" w:rsidR="004B30AE" w:rsidRPr="004B30AE" w:rsidRDefault="004B30AE" w:rsidP="004B30AE">
          <w:pPr>
            <w:pStyle w:val="TOC1"/>
            <w:tabs>
              <w:tab w:val="right" w:leader="dot" w:pos="9350"/>
            </w:tabs>
            <w:rPr>
              <w:rFonts w:ascii="Arial" w:hAnsi="Arial" w:cs="Arial"/>
              <w:noProof/>
              <w:sz w:val="22"/>
            </w:rPr>
          </w:pPr>
          <w:r w:rsidRPr="004B30AE">
            <w:rPr>
              <w:rFonts w:ascii="Arial" w:hAnsi="Arial" w:cs="Arial"/>
              <w:sz w:val="22"/>
            </w:rPr>
            <w:fldChar w:fldCharType="begin"/>
          </w:r>
          <w:r w:rsidRPr="004B30AE">
            <w:rPr>
              <w:rFonts w:ascii="Arial" w:hAnsi="Arial" w:cs="Arial"/>
              <w:sz w:val="22"/>
            </w:rPr>
            <w:instrText xml:space="preserve"> TOC \o "1-3" \h \z \u </w:instrText>
          </w:r>
          <w:r w:rsidRPr="004B30AE">
            <w:rPr>
              <w:rFonts w:ascii="Arial" w:hAnsi="Arial" w:cs="Arial"/>
              <w:sz w:val="22"/>
            </w:rPr>
            <w:fldChar w:fldCharType="separate"/>
          </w:r>
          <w:hyperlink w:anchor="_Toc129937204" w:history="1">
            <w:r w:rsidRPr="004B30AE">
              <w:rPr>
                <w:rStyle w:val="Hyperlink"/>
                <w:rFonts w:ascii="Arial" w:hAnsi="Arial" w:cs="Arial"/>
                <w:noProof/>
                <w:color w:val="auto"/>
                <w:sz w:val="22"/>
              </w:rPr>
              <w:t>Introduction</w:t>
            </w:r>
            <w:r w:rsidRPr="004B30AE">
              <w:rPr>
                <w:rFonts w:ascii="Arial" w:hAnsi="Arial" w:cs="Arial"/>
                <w:noProof/>
                <w:webHidden/>
                <w:sz w:val="22"/>
              </w:rPr>
              <w:tab/>
            </w:r>
            <w:r w:rsidR="00907A05">
              <w:rPr>
                <w:rFonts w:ascii="Arial" w:hAnsi="Arial" w:cs="Arial"/>
                <w:noProof/>
                <w:webHidden/>
                <w:sz w:val="22"/>
              </w:rPr>
              <w:t>2</w:t>
            </w:r>
          </w:hyperlink>
        </w:p>
        <w:p w14:paraId="4B272B82" w14:textId="77593CD8" w:rsidR="004B30AE" w:rsidRPr="004B30AE" w:rsidRDefault="00000000" w:rsidP="004B30AE">
          <w:pPr>
            <w:pStyle w:val="TOC1"/>
            <w:tabs>
              <w:tab w:val="right" w:leader="dot" w:pos="9350"/>
            </w:tabs>
            <w:rPr>
              <w:rFonts w:ascii="Arial" w:hAnsi="Arial" w:cs="Arial"/>
              <w:noProof/>
              <w:sz w:val="22"/>
            </w:rPr>
          </w:pPr>
          <w:hyperlink w:anchor="_Toc129937205" w:history="1">
            <w:r w:rsidR="004B30AE" w:rsidRPr="004B30AE">
              <w:rPr>
                <w:rStyle w:val="Hyperlink"/>
                <w:rFonts w:ascii="Arial" w:hAnsi="Arial" w:cs="Arial"/>
                <w:noProof/>
                <w:color w:val="auto"/>
                <w:sz w:val="22"/>
              </w:rPr>
              <w:t>Analysis</w:t>
            </w:r>
            <w:r w:rsidR="00B56715">
              <w:rPr>
                <w:rStyle w:val="Hyperlink"/>
                <w:rFonts w:ascii="Arial" w:hAnsi="Arial" w:cs="Arial"/>
                <w:noProof/>
                <w:color w:val="auto"/>
                <w:sz w:val="22"/>
              </w:rPr>
              <w:t xml:space="preserve"> and Evaluation</w:t>
            </w:r>
            <w:r w:rsidR="004B30AE" w:rsidRPr="004B30AE">
              <w:rPr>
                <w:rFonts w:ascii="Arial" w:hAnsi="Arial" w:cs="Arial"/>
                <w:noProof/>
                <w:webHidden/>
                <w:sz w:val="22"/>
              </w:rPr>
              <w:tab/>
            </w:r>
            <w:r w:rsidR="00907A05">
              <w:rPr>
                <w:rFonts w:ascii="Arial" w:hAnsi="Arial" w:cs="Arial"/>
                <w:noProof/>
                <w:webHidden/>
                <w:sz w:val="22"/>
              </w:rPr>
              <w:t>3</w:t>
            </w:r>
          </w:hyperlink>
        </w:p>
        <w:p w14:paraId="38BCFA83" w14:textId="2BC88D2F" w:rsidR="004B30AE" w:rsidRPr="004B30AE" w:rsidRDefault="00000000" w:rsidP="004B30AE">
          <w:pPr>
            <w:pStyle w:val="TOC2"/>
            <w:tabs>
              <w:tab w:val="right" w:leader="dot" w:pos="9350"/>
            </w:tabs>
            <w:rPr>
              <w:rFonts w:ascii="Arial" w:hAnsi="Arial" w:cs="Arial"/>
              <w:noProof/>
              <w:sz w:val="22"/>
            </w:rPr>
          </w:pPr>
          <w:hyperlink w:anchor="_Toc129937206" w:history="1">
            <w:r w:rsidR="004B30AE" w:rsidRPr="004B30AE">
              <w:rPr>
                <w:rStyle w:val="Hyperlink"/>
                <w:rFonts w:ascii="Arial" w:hAnsi="Arial" w:cs="Arial"/>
                <w:noProof/>
                <w:color w:val="auto"/>
                <w:sz w:val="22"/>
              </w:rPr>
              <w:t>Community engagement principles used by Hammersmith and Fulham Council</w:t>
            </w:r>
            <w:r w:rsidR="004B30AE" w:rsidRPr="004B30AE">
              <w:rPr>
                <w:rFonts w:ascii="Arial" w:hAnsi="Arial" w:cs="Arial"/>
                <w:noProof/>
                <w:webHidden/>
                <w:sz w:val="22"/>
              </w:rPr>
              <w:tab/>
            </w:r>
            <w:r w:rsidR="00907A05">
              <w:rPr>
                <w:rFonts w:ascii="Arial" w:hAnsi="Arial" w:cs="Arial"/>
                <w:noProof/>
                <w:webHidden/>
                <w:sz w:val="22"/>
              </w:rPr>
              <w:t>3</w:t>
            </w:r>
          </w:hyperlink>
        </w:p>
        <w:p w14:paraId="44E336BA" w14:textId="3530D23D" w:rsidR="004B30AE" w:rsidRPr="004B30AE" w:rsidRDefault="00000000" w:rsidP="004B30AE">
          <w:pPr>
            <w:pStyle w:val="TOC2"/>
            <w:tabs>
              <w:tab w:val="right" w:leader="dot" w:pos="9350"/>
            </w:tabs>
            <w:rPr>
              <w:rFonts w:ascii="Arial" w:hAnsi="Arial" w:cs="Arial"/>
              <w:noProof/>
              <w:sz w:val="22"/>
            </w:rPr>
          </w:pPr>
          <w:hyperlink w:anchor="_Toc129937207" w:history="1">
            <w:r w:rsidR="004B30AE" w:rsidRPr="004B30AE">
              <w:rPr>
                <w:rStyle w:val="Hyperlink"/>
                <w:rFonts w:ascii="Arial" w:hAnsi="Arial" w:cs="Arial"/>
                <w:noProof/>
                <w:color w:val="auto"/>
                <w:sz w:val="22"/>
              </w:rPr>
              <w:t>Community engagement standards used by Hammersmith and Fulham Council</w:t>
            </w:r>
            <w:r w:rsidR="004B30AE" w:rsidRPr="004B30AE">
              <w:rPr>
                <w:rFonts w:ascii="Arial" w:hAnsi="Arial" w:cs="Arial"/>
                <w:noProof/>
                <w:webHidden/>
                <w:sz w:val="22"/>
              </w:rPr>
              <w:tab/>
            </w:r>
            <w:r w:rsidR="00E649C8">
              <w:rPr>
                <w:rFonts w:ascii="Arial" w:hAnsi="Arial" w:cs="Arial"/>
                <w:noProof/>
                <w:webHidden/>
                <w:sz w:val="22"/>
              </w:rPr>
              <w:t>5</w:t>
            </w:r>
          </w:hyperlink>
        </w:p>
        <w:p w14:paraId="5BB74DD1" w14:textId="0492B2AD" w:rsidR="004B30AE" w:rsidRPr="004B30AE" w:rsidRDefault="00000000" w:rsidP="004B30AE">
          <w:pPr>
            <w:pStyle w:val="TOC2"/>
            <w:tabs>
              <w:tab w:val="right" w:leader="dot" w:pos="9350"/>
            </w:tabs>
            <w:rPr>
              <w:rFonts w:ascii="Arial" w:hAnsi="Arial" w:cs="Arial"/>
              <w:noProof/>
              <w:sz w:val="22"/>
            </w:rPr>
          </w:pPr>
          <w:hyperlink w:anchor="_Toc129937208" w:history="1">
            <w:r w:rsidR="004B30AE" w:rsidRPr="004B30AE">
              <w:rPr>
                <w:rStyle w:val="Hyperlink"/>
                <w:rFonts w:ascii="Arial" w:hAnsi="Arial" w:cs="Arial"/>
                <w:noProof/>
                <w:color w:val="auto"/>
                <w:sz w:val="22"/>
              </w:rPr>
              <w:t>Community engagement strategies used by Hammersmith and Fulham Council</w:t>
            </w:r>
            <w:r w:rsidR="004B30AE" w:rsidRPr="004B30AE">
              <w:rPr>
                <w:rFonts w:ascii="Arial" w:hAnsi="Arial" w:cs="Arial"/>
                <w:noProof/>
                <w:webHidden/>
                <w:sz w:val="22"/>
              </w:rPr>
              <w:tab/>
            </w:r>
            <w:r w:rsidR="00457D14">
              <w:rPr>
                <w:rFonts w:ascii="Arial" w:hAnsi="Arial" w:cs="Arial"/>
                <w:noProof/>
                <w:webHidden/>
                <w:sz w:val="22"/>
              </w:rPr>
              <w:t>6</w:t>
            </w:r>
          </w:hyperlink>
        </w:p>
        <w:p w14:paraId="2231395F" w14:textId="15D06E03" w:rsidR="004B30AE" w:rsidRPr="004B30AE" w:rsidRDefault="00000000" w:rsidP="004B30AE">
          <w:pPr>
            <w:pStyle w:val="TOC1"/>
            <w:tabs>
              <w:tab w:val="right" w:leader="dot" w:pos="9350"/>
            </w:tabs>
            <w:rPr>
              <w:rFonts w:ascii="Arial" w:hAnsi="Arial" w:cs="Arial"/>
              <w:noProof/>
              <w:sz w:val="22"/>
            </w:rPr>
          </w:pPr>
          <w:hyperlink w:anchor="_Toc129937209" w:history="1">
            <w:r w:rsidR="004B30AE" w:rsidRPr="004B30AE">
              <w:rPr>
                <w:rStyle w:val="Hyperlink"/>
                <w:rFonts w:ascii="Arial" w:hAnsi="Arial" w:cs="Arial"/>
                <w:noProof/>
                <w:color w:val="auto"/>
                <w:sz w:val="22"/>
              </w:rPr>
              <w:t>Conclusion and Recommendations</w:t>
            </w:r>
            <w:r w:rsidR="004B30AE" w:rsidRPr="004B30AE">
              <w:rPr>
                <w:rFonts w:ascii="Arial" w:hAnsi="Arial" w:cs="Arial"/>
                <w:noProof/>
                <w:webHidden/>
                <w:sz w:val="22"/>
              </w:rPr>
              <w:tab/>
            </w:r>
            <w:r w:rsidR="00475180">
              <w:rPr>
                <w:rFonts w:ascii="Arial" w:hAnsi="Arial" w:cs="Arial"/>
                <w:noProof/>
                <w:webHidden/>
                <w:sz w:val="22"/>
              </w:rPr>
              <w:t>8</w:t>
            </w:r>
          </w:hyperlink>
        </w:p>
        <w:p w14:paraId="5572C14F" w14:textId="1F984DAF" w:rsidR="004B30AE" w:rsidRPr="004B30AE" w:rsidRDefault="00000000" w:rsidP="004B30AE">
          <w:pPr>
            <w:pStyle w:val="TOC1"/>
            <w:tabs>
              <w:tab w:val="right" w:leader="dot" w:pos="9350"/>
            </w:tabs>
            <w:rPr>
              <w:rFonts w:ascii="Arial" w:hAnsi="Arial" w:cs="Arial"/>
              <w:noProof/>
              <w:sz w:val="22"/>
            </w:rPr>
          </w:pPr>
          <w:hyperlink w:anchor="_Toc129937210" w:history="1">
            <w:r w:rsidR="004B30AE" w:rsidRPr="004B30AE">
              <w:rPr>
                <w:rStyle w:val="Hyperlink"/>
                <w:rFonts w:ascii="Arial" w:hAnsi="Arial" w:cs="Arial"/>
                <w:noProof/>
                <w:color w:val="auto"/>
                <w:sz w:val="22"/>
              </w:rPr>
              <w:t>References</w:t>
            </w:r>
            <w:r w:rsidR="004B30AE" w:rsidRPr="004B30AE">
              <w:rPr>
                <w:rFonts w:ascii="Arial" w:hAnsi="Arial" w:cs="Arial"/>
                <w:noProof/>
                <w:webHidden/>
                <w:sz w:val="22"/>
              </w:rPr>
              <w:tab/>
            </w:r>
            <w:r w:rsidR="004B30AE" w:rsidRPr="004B30AE">
              <w:rPr>
                <w:rFonts w:ascii="Arial" w:hAnsi="Arial" w:cs="Arial"/>
                <w:noProof/>
                <w:webHidden/>
                <w:sz w:val="22"/>
              </w:rPr>
              <w:fldChar w:fldCharType="begin"/>
            </w:r>
            <w:r w:rsidR="004B30AE" w:rsidRPr="004B30AE">
              <w:rPr>
                <w:rFonts w:ascii="Arial" w:hAnsi="Arial" w:cs="Arial"/>
                <w:noProof/>
                <w:webHidden/>
                <w:sz w:val="22"/>
              </w:rPr>
              <w:instrText xml:space="preserve"> PAGEREF _Toc129937210 \h </w:instrText>
            </w:r>
            <w:r w:rsidR="004B30AE" w:rsidRPr="004B30AE">
              <w:rPr>
                <w:rFonts w:ascii="Arial" w:hAnsi="Arial" w:cs="Arial"/>
                <w:noProof/>
                <w:webHidden/>
                <w:sz w:val="22"/>
              </w:rPr>
            </w:r>
            <w:r w:rsidR="004B30AE" w:rsidRPr="004B30AE">
              <w:rPr>
                <w:rFonts w:ascii="Arial" w:hAnsi="Arial" w:cs="Arial"/>
                <w:noProof/>
                <w:webHidden/>
                <w:sz w:val="22"/>
              </w:rPr>
              <w:fldChar w:fldCharType="separate"/>
            </w:r>
            <w:r w:rsidR="004B30AE" w:rsidRPr="004B30AE">
              <w:rPr>
                <w:rFonts w:ascii="Arial" w:hAnsi="Arial" w:cs="Arial"/>
                <w:noProof/>
                <w:webHidden/>
                <w:sz w:val="22"/>
              </w:rPr>
              <w:t>1</w:t>
            </w:r>
            <w:r w:rsidR="00945400">
              <w:rPr>
                <w:rFonts w:ascii="Arial" w:hAnsi="Arial" w:cs="Arial"/>
                <w:noProof/>
                <w:webHidden/>
                <w:sz w:val="22"/>
              </w:rPr>
              <w:t>0</w:t>
            </w:r>
            <w:r w:rsidR="004B30AE" w:rsidRPr="004B30AE">
              <w:rPr>
                <w:rFonts w:ascii="Arial" w:hAnsi="Arial" w:cs="Arial"/>
                <w:noProof/>
                <w:webHidden/>
                <w:sz w:val="22"/>
              </w:rPr>
              <w:fldChar w:fldCharType="end"/>
            </w:r>
          </w:hyperlink>
        </w:p>
        <w:p w14:paraId="2E6EDEB3" w14:textId="77777777" w:rsidR="004B30AE" w:rsidRDefault="004B30AE" w:rsidP="004B30AE">
          <w:pPr>
            <w:widowControl w:val="0"/>
            <w:autoSpaceDE w:val="0"/>
            <w:autoSpaceDN w:val="0"/>
            <w:spacing w:after="0" w:line="360" w:lineRule="auto"/>
            <w:jc w:val="both"/>
            <w:rPr>
              <w:b/>
              <w:bCs/>
              <w:noProof/>
            </w:rPr>
          </w:pPr>
          <w:r w:rsidRPr="004B30AE">
            <w:rPr>
              <w:rFonts w:ascii="Arial" w:hAnsi="Arial" w:cs="Arial"/>
              <w:b/>
              <w:bCs/>
              <w:noProof/>
            </w:rPr>
            <w:fldChar w:fldCharType="end"/>
          </w:r>
        </w:p>
      </w:sdtContent>
    </w:sdt>
    <w:p w14:paraId="7C2E4E70" w14:textId="77777777" w:rsidR="004B30AE" w:rsidRDefault="004B30AE" w:rsidP="004B30AE"/>
    <w:p w14:paraId="21EA487C" w14:textId="77777777" w:rsidR="009C1242" w:rsidRDefault="009C1242" w:rsidP="004B30AE"/>
    <w:p w14:paraId="6EE60132" w14:textId="77777777" w:rsidR="009C1242" w:rsidRDefault="009C1242" w:rsidP="004B30AE"/>
    <w:p w14:paraId="1BA5E18F" w14:textId="77777777" w:rsidR="009C1242" w:rsidRDefault="009C1242" w:rsidP="004B30AE"/>
    <w:p w14:paraId="1236F39C" w14:textId="77777777" w:rsidR="009C1242" w:rsidRDefault="009C1242" w:rsidP="004B30AE"/>
    <w:p w14:paraId="7F2461CA" w14:textId="77777777" w:rsidR="009C1242" w:rsidRDefault="009C1242" w:rsidP="004B30AE"/>
    <w:p w14:paraId="75071DA5" w14:textId="77777777" w:rsidR="009C1242" w:rsidRDefault="009C1242" w:rsidP="004B30AE"/>
    <w:p w14:paraId="5844CA0C" w14:textId="77777777" w:rsidR="009C1242" w:rsidRDefault="009C1242" w:rsidP="004B30AE"/>
    <w:p w14:paraId="6869071F" w14:textId="77777777" w:rsidR="009C1242" w:rsidRDefault="009C1242" w:rsidP="004B30AE"/>
    <w:p w14:paraId="49349E9B" w14:textId="77777777" w:rsidR="009C1242" w:rsidRDefault="009C1242" w:rsidP="004B30AE"/>
    <w:p w14:paraId="06EAF7AE" w14:textId="77777777" w:rsidR="009C1242" w:rsidRDefault="009C1242" w:rsidP="004B30AE"/>
    <w:p w14:paraId="686711E3" w14:textId="77777777" w:rsidR="009C1242" w:rsidRDefault="009C1242" w:rsidP="004B30AE"/>
    <w:p w14:paraId="32C85BC3" w14:textId="77777777" w:rsidR="009C1242" w:rsidRDefault="009C1242" w:rsidP="004B30AE"/>
    <w:p w14:paraId="67E49E85" w14:textId="77777777" w:rsidR="009C1242" w:rsidRDefault="009C1242" w:rsidP="004B30AE"/>
    <w:p w14:paraId="11F0F946" w14:textId="77777777" w:rsidR="009C1242" w:rsidRDefault="009C1242" w:rsidP="004B30AE"/>
    <w:p w14:paraId="2A2EB6A9" w14:textId="77777777" w:rsidR="009C1242" w:rsidRDefault="009C1242" w:rsidP="004B30AE"/>
    <w:p w14:paraId="048832AF" w14:textId="77777777" w:rsidR="009C1242" w:rsidRDefault="009C1242" w:rsidP="004B30AE"/>
    <w:p w14:paraId="299BDB00" w14:textId="77777777" w:rsidR="009C1242" w:rsidRDefault="009C1242" w:rsidP="004B30AE"/>
    <w:p w14:paraId="03718B09" w14:textId="4423DF9F" w:rsidR="009C1242" w:rsidRPr="009C1242" w:rsidRDefault="009C1242" w:rsidP="009C1242">
      <w:pPr>
        <w:spacing w:line="360" w:lineRule="auto"/>
        <w:jc w:val="center"/>
        <w:rPr>
          <w:rFonts w:ascii="Arial" w:hAnsi="Arial" w:cs="Arial"/>
          <w:b/>
          <w:bCs/>
          <w:u w:val="single"/>
        </w:rPr>
      </w:pPr>
      <w:r w:rsidRPr="009C1242">
        <w:rPr>
          <w:rFonts w:ascii="Arial" w:hAnsi="Arial" w:cs="Arial"/>
          <w:b/>
          <w:bCs/>
          <w:u w:val="single"/>
        </w:rPr>
        <w:lastRenderedPageBreak/>
        <w:t>INTRODUCTION</w:t>
      </w:r>
    </w:p>
    <w:p w14:paraId="744A7DBF" w14:textId="1F15EF26" w:rsidR="009C1242" w:rsidRDefault="009C1242" w:rsidP="009C1242">
      <w:pPr>
        <w:spacing w:line="360" w:lineRule="auto"/>
        <w:jc w:val="both"/>
        <w:rPr>
          <w:rFonts w:ascii="Arial" w:hAnsi="Arial" w:cs="Arial"/>
        </w:rPr>
      </w:pPr>
      <w:r>
        <w:rPr>
          <w:rFonts w:ascii="Arial" w:hAnsi="Arial" w:cs="Arial"/>
        </w:rPr>
        <w:t xml:space="preserve">During my research I find out that the </w:t>
      </w:r>
      <w:r w:rsidRPr="009C1242">
        <w:rPr>
          <w:rFonts w:ascii="Arial" w:hAnsi="Arial" w:cs="Arial"/>
        </w:rPr>
        <w:t>Local government body Hammersmith and Fulham Council understands the value of including stakeholders in decision-making processes. The council uses a variety of community involvement norms and principles to encourage openness, responsibility, and inclusivity. Transparency, accountability, and inclusivity are the guiding principles of the council</w:t>
      </w:r>
      <w:r>
        <w:rPr>
          <w:rFonts w:ascii="Arial" w:hAnsi="Arial" w:cs="Arial"/>
        </w:rPr>
        <w:t>’</w:t>
      </w:r>
      <w:r w:rsidRPr="009C1242">
        <w:rPr>
          <w:rFonts w:ascii="Arial" w:hAnsi="Arial" w:cs="Arial"/>
        </w:rPr>
        <w:t>s community involvement approach, which involves engaging stakeholders through a range of consultation techniques, such as open forums, online polls, focus groups, and workshops. Despite the council</w:t>
      </w:r>
      <w:r>
        <w:rPr>
          <w:rFonts w:ascii="Arial" w:hAnsi="Arial" w:cs="Arial"/>
        </w:rPr>
        <w:t>’</w:t>
      </w:r>
      <w:r w:rsidRPr="009C1242">
        <w:rPr>
          <w:rFonts w:ascii="Arial" w:hAnsi="Arial" w:cs="Arial"/>
        </w:rPr>
        <w:t xml:space="preserve">s admirable efforts to interact with the community, there is always space for improvement. In this reflective review, </w:t>
      </w:r>
      <w:r>
        <w:rPr>
          <w:rFonts w:ascii="Arial" w:hAnsi="Arial" w:cs="Arial"/>
        </w:rPr>
        <w:t>I</w:t>
      </w:r>
      <w:r w:rsidRPr="009C1242">
        <w:rPr>
          <w:rFonts w:ascii="Arial" w:hAnsi="Arial" w:cs="Arial"/>
        </w:rPr>
        <w:t xml:space="preserve"> will evaluate the many standards, guidelines, and tactics currently used by Hammersmith and Fulham Council and make suggestions for how the council may enhance its community participation. </w:t>
      </w:r>
      <w:r>
        <w:rPr>
          <w:rFonts w:ascii="Arial" w:hAnsi="Arial" w:cs="Arial"/>
        </w:rPr>
        <w:t xml:space="preserve">I will also </w:t>
      </w:r>
      <w:r w:rsidRPr="009C1242">
        <w:rPr>
          <w:rFonts w:ascii="Arial" w:hAnsi="Arial" w:cs="Arial"/>
        </w:rPr>
        <w:t>offer suggestions to help the council enhance its engagement activities and advance openness, accountability, and diversity in decision-making by analyzing the advantages and disadvantages of the council</w:t>
      </w:r>
      <w:r>
        <w:rPr>
          <w:rFonts w:ascii="Arial" w:hAnsi="Arial" w:cs="Arial"/>
        </w:rPr>
        <w:t>’</w:t>
      </w:r>
      <w:r w:rsidRPr="009C1242">
        <w:rPr>
          <w:rFonts w:ascii="Arial" w:hAnsi="Arial" w:cs="Arial"/>
        </w:rPr>
        <w:t>s approach to community participation.</w:t>
      </w:r>
    </w:p>
    <w:p w14:paraId="541DDA7A" w14:textId="77777777" w:rsidR="00A64BA7" w:rsidRDefault="00A64BA7" w:rsidP="009C1242">
      <w:pPr>
        <w:spacing w:line="360" w:lineRule="auto"/>
        <w:jc w:val="both"/>
        <w:rPr>
          <w:rFonts w:ascii="Arial" w:hAnsi="Arial" w:cs="Arial"/>
        </w:rPr>
      </w:pPr>
    </w:p>
    <w:p w14:paraId="4231D020" w14:textId="77777777" w:rsidR="00907A05" w:rsidRDefault="00907A05" w:rsidP="00A64BA7">
      <w:pPr>
        <w:spacing w:line="360" w:lineRule="auto"/>
        <w:jc w:val="center"/>
        <w:rPr>
          <w:rFonts w:ascii="Arial" w:hAnsi="Arial" w:cs="Arial"/>
          <w:b/>
          <w:bCs/>
          <w:u w:val="single"/>
        </w:rPr>
      </w:pPr>
    </w:p>
    <w:p w14:paraId="7D5EB729" w14:textId="77777777" w:rsidR="00907A05" w:rsidRDefault="00907A05" w:rsidP="00A64BA7">
      <w:pPr>
        <w:spacing w:line="360" w:lineRule="auto"/>
        <w:jc w:val="center"/>
        <w:rPr>
          <w:rFonts w:ascii="Arial" w:hAnsi="Arial" w:cs="Arial"/>
          <w:b/>
          <w:bCs/>
          <w:u w:val="single"/>
        </w:rPr>
      </w:pPr>
    </w:p>
    <w:p w14:paraId="2C0D4713" w14:textId="77777777" w:rsidR="00907A05" w:rsidRDefault="00907A05" w:rsidP="00A64BA7">
      <w:pPr>
        <w:spacing w:line="360" w:lineRule="auto"/>
        <w:jc w:val="center"/>
        <w:rPr>
          <w:rFonts w:ascii="Arial" w:hAnsi="Arial" w:cs="Arial"/>
          <w:b/>
          <w:bCs/>
          <w:u w:val="single"/>
        </w:rPr>
      </w:pPr>
    </w:p>
    <w:p w14:paraId="1F186B1B" w14:textId="77777777" w:rsidR="00907A05" w:rsidRDefault="00907A05" w:rsidP="00A64BA7">
      <w:pPr>
        <w:spacing w:line="360" w:lineRule="auto"/>
        <w:jc w:val="center"/>
        <w:rPr>
          <w:rFonts w:ascii="Arial" w:hAnsi="Arial" w:cs="Arial"/>
          <w:b/>
          <w:bCs/>
          <w:u w:val="single"/>
        </w:rPr>
      </w:pPr>
    </w:p>
    <w:p w14:paraId="352D6B9D" w14:textId="77777777" w:rsidR="00907A05" w:rsidRDefault="00907A05" w:rsidP="00A64BA7">
      <w:pPr>
        <w:spacing w:line="360" w:lineRule="auto"/>
        <w:jc w:val="center"/>
        <w:rPr>
          <w:rFonts w:ascii="Arial" w:hAnsi="Arial" w:cs="Arial"/>
          <w:b/>
          <w:bCs/>
          <w:u w:val="single"/>
        </w:rPr>
      </w:pPr>
    </w:p>
    <w:p w14:paraId="76FA97D6" w14:textId="77777777" w:rsidR="00907A05" w:rsidRDefault="00907A05" w:rsidP="00A64BA7">
      <w:pPr>
        <w:spacing w:line="360" w:lineRule="auto"/>
        <w:jc w:val="center"/>
        <w:rPr>
          <w:rFonts w:ascii="Arial" w:hAnsi="Arial" w:cs="Arial"/>
          <w:b/>
          <w:bCs/>
          <w:u w:val="single"/>
        </w:rPr>
      </w:pPr>
    </w:p>
    <w:p w14:paraId="3C8EDCE9" w14:textId="77777777" w:rsidR="00907A05" w:rsidRDefault="00907A05" w:rsidP="00A64BA7">
      <w:pPr>
        <w:spacing w:line="360" w:lineRule="auto"/>
        <w:jc w:val="center"/>
        <w:rPr>
          <w:rFonts w:ascii="Arial" w:hAnsi="Arial" w:cs="Arial"/>
          <w:b/>
          <w:bCs/>
          <w:u w:val="single"/>
        </w:rPr>
      </w:pPr>
    </w:p>
    <w:p w14:paraId="3B02F867" w14:textId="77777777" w:rsidR="00907A05" w:rsidRDefault="00907A05" w:rsidP="00A64BA7">
      <w:pPr>
        <w:spacing w:line="360" w:lineRule="auto"/>
        <w:jc w:val="center"/>
        <w:rPr>
          <w:rFonts w:ascii="Arial" w:hAnsi="Arial" w:cs="Arial"/>
          <w:b/>
          <w:bCs/>
          <w:u w:val="single"/>
        </w:rPr>
      </w:pPr>
    </w:p>
    <w:p w14:paraId="32167B63" w14:textId="77777777" w:rsidR="00907A05" w:rsidRDefault="00907A05" w:rsidP="00A64BA7">
      <w:pPr>
        <w:spacing w:line="360" w:lineRule="auto"/>
        <w:jc w:val="center"/>
        <w:rPr>
          <w:rFonts w:ascii="Arial" w:hAnsi="Arial" w:cs="Arial"/>
          <w:b/>
          <w:bCs/>
          <w:u w:val="single"/>
        </w:rPr>
      </w:pPr>
    </w:p>
    <w:p w14:paraId="40ACE1E4" w14:textId="77777777" w:rsidR="00907A05" w:rsidRDefault="00907A05" w:rsidP="00A64BA7">
      <w:pPr>
        <w:spacing w:line="360" w:lineRule="auto"/>
        <w:jc w:val="center"/>
        <w:rPr>
          <w:rFonts w:ascii="Arial" w:hAnsi="Arial" w:cs="Arial"/>
          <w:b/>
          <w:bCs/>
          <w:u w:val="single"/>
        </w:rPr>
      </w:pPr>
    </w:p>
    <w:p w14:paraId="3B7673C8" w14:textId="77777777" w:rsidR="00907A05" w:rsidRDefault="00907A05" w:rsidP="00A64BA7">
      <w:pPr>
        <w:spacing w:line="360" w:lineRule="auto"/>
        <w:jc w:val="center"/>
        <w:rPr>
          <w:rFonts w:ascii="Arial" w:hAnsi="Arial" w:cs="Arial"/>
          <w:b/>
          <w:bCs/>
          <w:u w:val="single"/>
        </w:rPr>
      </w:pPr>
    </w:p>
    <w:p w14:paraId="431801F3" w14:textId="77777777" w:rsidR="00907A05" w:rsidRDefault="00907A05" w:rsidP="00A64BA7">
      <w:pPr>
        <w:spacing w:line="360" w:lineRule="auto"/>
        <w:jc w:val="center"/>
        <w:rPr>
          <w:rFonts w:ascii="Arial" w:hAnsi="Arial" w:cs="Arial"/>
          <w:b/>
          <w:bCs/>
          <w:u w:val="single"/>
        </w:rPr>
      </w:pPr>
    </w:p>
    <w:p w14:paraId="70FE1512" w14:textId="77777777" w:rsidR="00907A05" w:rsidRDefault="00907A05" w:rsidP="00A64BA7">
      <w:pPr>
        <w:spacing w:line="360" w:lineRule="auto"/>
        <w:jc w:val="center"/>
        <w:rPr>
          <w:rFonts w:ascii="Arial" w:hAnsi="Arial" w:cs="Arial"/>
          <w:b/>
          <w:bCs/>
          <w:u w:val="single"/>
        </w:rPr>
      </w:pPr>
    </w:p>
    <w:p w14:paraId="69187B41" w14:textId="353639E1" w:rsidR="00A64BA7" w:rsidRPr="00A64BA7" w:rsidRDefault="00A64BA7" w:rsidP="00A64BA7">
      <w:pPr>
        <w:spacing w:line="360" w:lineRule="auto"/>
        <w:jc w:val="center"/>
        <w:rPr>
          <w:rFonts w:ascii="Arial" w:hAnsi="Arial" w:cs="Arial"/>
          <w:b/>
          <w:bCs/>
          <w:u w:val="single"/>
        </w:rPr>
      </w:pPr>
      <w:r w:rsidRPr="00A64BA7">
        <w:rPr>
          <w:rFonts w:ascii="Arial" w:hAnsi="Arial" w:cs="Arial"/>
          <w:b/>
          <w:bCs/>
          <w:u w:val="single"/>
        </w:rPr>
        <w:lastRenderedPageBreak/>
        <w:t>ANALYSIS</w:t>
      </w:r>
      <w:r w:rsidR="00B56715">
        <w:rPr>
          <w:rFonts w:ascii="Arial" w:hAnsi="Arial" w:cs="Arial"/>
          <w:b/>
          <w:bCs/>
          <w:u w:val="single"/>
        </w:rPr>
        <w:t xml:space="preserve"> AND EVALUATION</w:t>
      </w:r>
    </w:p>
    <w:p w14:paraId="4252979C" w14:textId="758F150F" w:rsidR="00A64BA7" w:rsidRPr="00A64BA7" w:rsidRDefault="00A64BA7" w:rsidP="00A64BA7">
      <w:pPr>
        <w:spacing w:line="360" w:lineRule="auto"/>
        <w:jc w:val="center"/>
        <w:rPr>
          <w:rFonts w:ascii="Arial" w:hAnsi="Arial" w:cs="Arial"/>
          <w:b/>
          <w:bCs/>
          <w:u w:val="single"/>
        </w:rPr>
      </w:pPr>
      <w:bookmarkStart w:id="0" w:name="_Toc129937206"/>
      <w:r w:rsidRPr="00A64BA7">
        <w:rPr>
          <w:rFonts w:ascii="Arial" w:hAnsi="Arial" w:cs="Arial"/>
          <w:b/>
          <w:bCs/>
          <w:u w:val="single"/>
        </w:rPr>
        <w:t>Community engagement principles used by Hammersmith and Fulham Council</w:t>
      </w:r>
      <w:bookmarkEnd w:id="0"/>
    </w:p>
    <w:p w14:paraId="5029968E" w14:textId="7B5905C8" w:rsidR="00A64BA7" w:rsidRPr="00A64BA7" w:rsidRDefault="00A64BA7" w:rsidP="00A64BA7">
      <w:pPr>
        <w:spacing w:line="360" w:lineRule="auto"/>
        <w:jc w:val="both"/>
        <w:rPr>
          <w:rFonts w:ascii="Arial" w:hAnsi="Arial" w:cs="Arial"/>
        </w:rPr>
      </w:pPr>
      <w:r w:rsidRPr="00A64BA7">
        <w:rPr>
          <w:rFonts w:ascii="Arial" w:hAnsi="Arial" w:cs="Arial"/>
        </w:rPr>
        <w:t xml:space="preserve">The Hammersmith and Fulham Council has adopted several principles to direct its engagement efforts because it understands the value of community involvement (Redman, 2022). These guidelines are essential for encouraging openness, responsibility, and diversity in the decision-making process. Some of the guidelines for community involvement that Hammersmith and Fulham Council use </w:t>
      </w:r>
      <w:r w:rsidR="00907A05">
        <w:rPr>
          <w:rFonts w:ascii="Arial" w:hAnsi="Arial" w:cs="Arial"/>
        </w:rPr>
        <w:t xml:space="preserve">I have </w:t>
      </w:r>
      <w:r w:rsidRPr="00A64BA7">
        <w:rPr>
          <w:rFonts w:ascii="Arial" w:hAnsi="Arial" w:cs="Arial"/>
        </w:rPr>
        <w:t>listed below:</w:t>
      </w:r>
    </w:p>
    <w:p w14:paraId="0DF0AA53" w14:textId="7A0E11C5" w:rsidR="00A64BA7" w:rsidRPr="00907A05" w:rsidRDefault="00A64BA7" w:rsidP="00A64BA7">
      <w:pPr>
        <w:pStyle w:val="ListParagraph"/>
        <w:numPr>
          <w:ilvl w:val="0"/>
          <w:numId w:val="1"/>
        </w:numPr>
        <w:spacing w:line="360" w:lineRule="auto"/>
        <w:jc w:val="both"/>
        <w:rPr>
          <w:rFonts w:ascii="Arial" w:hAnsi="Arial" w:cs="Arial"/>
        </w:rPr>
      </w:pPr>
      <w:r w:rsidRPr="00A64BA7">
        <w:rPr>
          <w:rFonts w:ascii="Arial" w:hAnsi="Arial" w:cs="Arial"/>
          <w:b/>
        </w:rPr>
        <w:t>Transparency:</w:t>
      </w:r>
      <w:r w:rsidRPr="00A64BA7">
        <w:rPr>
          <w:rFonts w:ascii="Arial" w:hAnsi="Arial" w:cs="Arial"/>
        </w:rPr>
        <w:t xml:space="preserve"> To uphold this objective, the council must be transparent about all of its engagement-related activities (Patel, 2019). The council should make sure that participants are aware of the objectives, parameters, and anticipated results of engagement activities. The council ought to detail how the opinions of stakeholders will be taken into account when making decisions. Transparency ensures that stakeholders are informed and builds trust between the council and them.</w:t>
      </w:r>
    </w:p>
    <w:p w14:paraId="1F48B7A1" w14:textId="4C24AC63" w:rsidR="00A64BA7" w:rsidRPr="00A64BA7" w:rsidRDefault="00A64BA7" w:rsidP="00A64BA7">
      <w:pPr>
        <w:pStyle w:val="ListParagraph"/>
        <w:numPr>
          <w:ilvl w:val="0"/>
          <w:numId w:val="1"/>
        </w:numPr>
        <w:spacing w:line="360" w:lineRule="auto"/>
        <w:jc w:val="both"/>
        <w:rPr>
          <w:rFonts w:ascii="Arial" w:hAnsi="Arial" w:cs="Arial"/>
        </w:rPr>
      </w:pPr>
      <w:r w:rsidRPr="00A64BA7">
        <w:rPr>
          <w:rFonts w:ascii="Arial" w:hAnsi="Arial" w:cs="Arial"/>
          <w:b/>
        </w:rPr>
        <w:t>Inclusivity:</w:t>
      </w:r>
      <w:r w:rsidRPr="00A64BA7">
        <w:rPr>
          <w:rFonts w:ascii="Arial" w:hAnsi="Arial" w:cs="Arial"/>
        </w:rPr>
        <w:t xml:space="preserve"> The council must engage with all stakeholders, especially those who are typically marginalized or underrepresented, to uphold the inclusiveness principle (Pang et al., 2019). No matter their age, gender, ethnicity, or social standing, all stakeholders should be able to participate in engagement events, and the council should make sure of that. To reach stakeholders who are unable to attend open meetings or workshops, the council should also offer alternate involvement mechanisms, such as online surveys.</w:t>
      </w:r>
    </w:p>
    <w:p w14:paraId="43B95868" w14:textId="4CF73B56" w:rsidR="00A64BA7" w:rsidRPr="00A64BA7" w:rsidRDefault="00A64BA7" w:rsidP="00A64BA7">
      <w:pPr>
        <w:pStyle w:val="ListParagraph"/>
        <w:numPr>
          <w:ilvl w:val="0"/>
          <w:numId w:val="1"/>
        </w:numPr>
        <w:spacing w:line="360" w:lineRule="auto"/>
        <w:jc w:val="both"/>
        <w:rPr>
          <w:rFonts w:ascii="Arial" w:hAnsi="Arial" w:cs="Arial"/>
        </w:rPr>
      </w:pPr>
      <w:r w:rsidRPr="00A64BA7">
        <w:rPr>
          <w:rFonts w:ascii="Arial" w:hAnsi="Arial" w:cs="Arial"/>
          <w:b/>
        </w:rPr>
        <w:t>Accountability:</w:t>
      </w:r>
      <w:r w:rsidRPr="00A64BA7">
        <w:rPr>
          <w:rFonts w:ascii="Arial" w:hAnsi="Arial" w:cs="Arial"/>
        </w:rPr>
        <w:t xml:space="preserve"> According to this idea,</w:t>
      </w:r>
      <w:r w:rsidR="00907A05">
        <w:rPr>
          <w:rFonts w:ascii="Arial" w:hAnsi="Arial" w:cs="Arial"/>
        </w:rPr>
        <w:t xml:space="preserve"> I would say that</w:t>
      </w:r>
      <w:r w:rsidRPr="00A64BA7">
        <w:rPr>
          <w:rFonts w:ascii="Arial" w:hAnsi="Arial" w:cs="Arial"/>
        </w:rPr>
        <w:t xml:space="preserve"> the council must accept accountability for its deeds and decisions. The council should be answerable to the populace and make sure that the opinions of stakeholders are taken into account when making decisions (Marsh, 2018). The council ought to inform the parties involved how their opinions were taken into account when making decisions.</w:t>
      </w:r>
    </w:p>
    <w:p w14:paraId="38815B1C" w14:textId="77777777" w:rsidR="00A64BA7" w:rsidRDefault="00A64BA7" w:rsidP="00A64BA7">
      <w:pPr>
        <w:pStyle w:val="ListParagraph"/>
        <w:numPr>
          <w:ilvl w:val="0"/>
          <w:numId w:val="1"/>
        </w:numPr>
        <w:spacing w:line="360" w:lineRule="auto"/>
        <w:jc w:val="both"/>
        <w:rPr>
          <w:rFonts w:ascii="Arial" w:hAnsi="Arial" w:cs="Arial"/>
        </w:rPr>
      </w:pPr>
      <w:r w:rsidRPr="00A64BA7">
        <w:rPr>
          <w:rFonts w:ascii="Arial" w:hAnsi="Arial" w:cs="Arial"/>
          <w:b/>
        </w:rPr>
        <w:t>Timeliness:</w:t>
      </w:r>
      <w:r w:rsidRPr="00A64BA7">
        <w:rPr>
          <w:rFonts w:ascii="Arial" w:hAnsi="Arial" w:cs="Arial"/>
        </w:rPr>
        <w:t xml:space="preserve"> The council must involve stakeholders as soon as possible following this concept (Lucy, 2019). The council should make sure that stakeholders are involved in decision-making processes at the appropriate time. Instead of giving feedback after decisions have been taken, early engagement enables stakeholders to offer input as decisions are being made.</w:t>
      </w:r>
    </w:p>
    <w:p w14:paraId="19A533C3" w14:textId="77777777" w:rsidR="00907A05" w:rsidRDefault="00907A05" w:rsidP="00907A05">
      <w:pPr>
        <w:spacing w:line="360" w:lineRule="auto"/>
        <w:jc w:val="both"/>
        <w:rPr>
          <w:rFonts w:ascii="Arial" w:hAnsi="Arial" w:cs="Arial"/>
        </w:rPr>
      </w:pPr>
    </w:p>
    <w:p w14:paraId="5CFC0AF4" w14:textId="77777777" w:rsidR="00907A05" w:rsidRPr="00907A05" w:rsidRDefault="00907A05" w:rsidP="00907A05">
      <w:pPr>
        <w:spacing w:line="360" w:lineRule="auto"/>
        <w:jc w:val="both"/>
        <w:rPr>
          <w:rFonts w:ascii="Arial" w:hAnsi="Arial" w:cs="Arial"/>
        </w:rPr>
      </w:pPr>
    </w:p>
    <w:p w14:paraId="55910608" w14:textId="77777777" w:rsidR="00A64BA7" w:rsidRPr="00A64BA7" w:rsidRDefault="00A64BA7" w:rsidP="00A64BA7">
      <w:pPr>
        <w:pStyle w:val="ListParagraph"/>
        <w:numPr>
          <w:ilvl w:val="0"/>
          <w:numId w:val="1"/>
        </w:numPr>
        <w:spacing w:line="360" w:lineRule="auto"/>
        <w:jc w:val="both"/>
        <w:rPr>
          <w:rFonts w:ascii="Arial" w:hAnsi="Arial" w:cs="Arial"/>
        </w:rPr>
      </w:pPr>
      <w:r w:rsidRPr="00A64BA7">
        <w:rPr>
          <w:rFonts w:ascii="Arial" w:hAnsi="Arial" w:cs="Arial"/>
          <w:b/>
        </w:rPr>
        <w:lastRenderedPageBreak/>
        <w:t>Flexibility:</w:t>
      </w:r>
      <w:r w:rsidRPr="00A64BA7">
        <w:rPr>
          <w:rFonts w:ascii="Arial" w:hAnsi="Arial" w:cs="Arial"/>
        </w:rPr>
        <w:t xml:space="preserve"> This principle calls for the council to modify its stakeholder engagement strategies to meet their demands. The council should take into account the requirements of various stakeholders and offer alternative methods of participation that meet those requirements (Li et al., 2023). For instance, the council ought to think about employing various languages or offering translation services to interact with stakeholders who do not know English.</w:t>
      </w:r>
    </w:p>
    <w:p w14:paraId="37A137F9" w14:textId="77777777" w:rsidR="00A64BA7" w:rsidRPr="00A64BA7" w:rsidRDefault="00A64BA7" w:rsidP="00A64BA7">
      <w:pPr>
        <w:pStyle w:val="ListParagraph"/>
        <w:numPr>
          <w:ilvl w:val="0"/>
          <w:numId w:val="1"/>
        </w:numPr>
        <w:spacing w:line="360" w:lineRule="auto"/>
        <w:jc w:val="both"/>
        <w:rPr>
          <w:rFonts w:ascii="Arial" w:hAnsi="Arial" w:cs="Arial"/>
        </w:rPr>
      </w:pPr>
      <w:r w:rsidRPr="00A64BA7">
        <w:rPr>
          <w:rFonts w:ascii="Arial" w:hAnsi="Arial" w:cs="Arial"/>
          <w:b/>
        </w:rPr>
        <w:t>Feedback:</w:t>
      </w:r>
      <w:r w:rsidRPr="00A64BA7">
        <w:rPr>
          <w:rFonts w:ascii="Arial" w:hAnsi="Arial" w:cs="Arial"/>
        </w:rPr>
        <w:t xml:space="preserve"> Following this concept, the council must inform all interested parties of how their opinions have been taken into account. Stakeholders should be informed by the council of the results of engagement initiatives and how their opinions were taken into account (Haldane et al., 2019). Feedback encourages accountability and openness while making sure that all stakeholders are respected and heard.</w:t>
      </w:r>
    </w:p>
    <w:p w14:paraId="1B8EB8DC" w14:textId="68F3A7F6" w:rsidR="009C1242" w:rsidRDefault="00907A05" w:rsidP="00907A05">
      <w:pPr>
        <w:spacing w:line="360" w:lineRule="auto"/>
        <w:jc w:val="center"/>
        <w:rPr>
          <w:rFonts w:ascii="Arial" w:hAnsi="Arial" w:cs="Arial"/>
        </w:rPr>
      </w:pPr>
      <w:r w:rsidRPr="00907A05">
        <w:rPr>
          <w:rFonts w:ascii="Times New Roman" w:eastAsia="Times New Roman" w:hAnsi="Times New Roman" w:cs="Times New Roman"/>
          <w:noProof/>
          <w:sz w:val="24"/>
          <w14:ligatures w14:val="none"/>
        </w:rPr>
        <w:drawing>
          <wp:inline distT="0" distB="0" distL="0" distR="0" wp14:anchorId="667F81F9" wp14:editId="6E96E0F7">
            <wp:extent cx="5471160" cy="3398520"/>
            <wp:effectExtent l="0" t="38100" r="0" b="4953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05196D0" w14:textId="3E9C779E" w:rsidR="00907A05" w:rsidRDefault="00907A05" w:rsidP="00907A05">
      <w:pPr>
        <w:spacing w:line="360" w:lineRule="auto"/>
        <w:jc w:val="center"/>
        <w:rPr>
          <w:rFonts w:ascii="Arial" w:hAnsi="Arial" w:cs="Arial"/>
        </w:rPr>
      </w:pPr>
      <w:r w:rsidRPr="00907A05">
        <w:rPr>
          <w:rFonts w:ascii="Arial" w:hAnsi="Arial" w:cs="Arial"/>
        </w:rPr>
        <w:t>Fig</w:t>
      </w:r>
      <w:r>
        <w:rPr>
          <w:rFonts w:ascii="Arial" w:hAnsi="Arial" w:cs="Arial"/>
        </w:rPr>
        <w:t>.1</w:t>
      </w:r>
      <w:r w:rsidRPr="00907A05">
        <w:rPr>
          <w:rFonts w:ascii="Arial" w:hAnsi="Arial" w:cs="Arial"/>
        </w:rPr>
        <w:t>: Community engagement principles (Lucy, 2019)</w:t>
      </w:r>
    </w:p>
    <w:p w14:paraId="3BC6F1A5" w14:textId="77777777" w:rsidR="00E649C8" w:rsidRDefault="00E649C8" w:rsidP="00907A05">
      <w:pPr>
        <w:spacing w:line="360" w:lineRule="auto"/>
        <w:jc w:val="center"/>
        <w:rPr>
          <w:rFonts w:ascii="Arial" w:hAnsi="Arial" w:cs="Arial"/>
        </w:rPr>
      </w:pPr>
    </w:p>
    <w:p w14:paraId="583EF9A9" w14:textId="562A891A" w:rsidR="00907A05" w:rsidRDefault="00E649C8" w:rsidP="00E649C8">
      <w:pPr>
        <w:spacing w:line="360" w:lineRule="auto"/>
        <w:jc w:val="both"/>
        <w:rPr>
          <w:rFonts w:ascii="Arial" w:hAnsi="Arial" w:cs="Arial"/>
        </w:rPr>
      </w:pPr>
      <w:r w:rsidRPr="00E649C8">
        <w:rPr>
          <w:rFonts w:ascii="Arial" w:hAnsi="Arial" w:cs="Arial"/>
        </w:rPr>
        <w:t>Generally,</w:t>
      </w:r>
      <w:r>
        <w:rPr>
          <w:rFonts w:ascii="Arial" w:hAnsi="Arial" w:cs="Arial"/>
        </w:rPr>
        <w:t xml:space="preserve"> I would say that the</w:t>
      </w:r>
      <w:r w:rsidRPr="00E649C8">
        <w:rPr>
          <w:rFonts w:ascii="Arial" w:hAnsi="Arial" w:cs="Arial"/>
        </w:rPr>
        <w:t xml:space="preserve"> Hammersmith and Fulham Council</w:t>
      </w:r>
      <w:r>
        <w:rPr>
          <w:rFonts w:ascii="Arial" w:hAnsi="Arial" w:cs="Arial"/>
        </w:rPr>
        <w:t>’</w:t>
      </w:r>
      <w:r w:rsidRPr="00E649C8">
        <w:rPr>
          <w:rFonts w:ascii="Arial" w:hAnsi="Arial" w:cs="Arial"/>
        </w:rPr>
        <w:t>s community participation guidelines encourage openness, responsibility, and diversity in decision-making. These guidelines guarantee that all relevant parties are informed, involved, and given a voice in decisions that have an impact on their daily life.</w:t>
      </w:r>
    </w:p>
    <w:p w14:paraId="267BE7FC" w14:textId="77777777" w:rsidR="00E649C8" w:rsidRPr="00E649C8" w:rsidRDefault="00E649C8" w:rsidP="00E649C8">
      <w:pPr>
        <w:spacing w:line="360" w:lineRule="auto"/>
        <w:jc w:val="center"/>
        <w:rPr>
          <w:rFonts w:ascii="Arial" w:hAnsi="Arial" w:cs="Arial"/>
          <w:b/>
          <w:bCs/>
          <w:u w:val="single"/>
        </w:rPr>
      </w:pPr>
      <w:bookmarkStart w:id="1" w:name="_Toc129937207"/>
      <w:r w:rsidRPr="00E649C8">
        <w:rPr>
          <w:rFonts w:ascii="Arial" w:hAnsi="Arial" w:cs="Arial"/>
          <w:b/>
          <w:bCs/>
          <w:u w:val="single"/>
        </w:rPr>
        <w:lastRenderedPageBreak/>
        <w:t>Community engagement standards used by Hammersmith and Fulham Council</w:t>
      </w:r>
      <w:bookmarkEnd w:id="1"/>
    </w:p>
    <w:p w14:paraId="7A7F865C" w14:textId="3B68020B" w:rsidR="00E649C8" w:rsidRPr="00E649C8" w:rsidRDefault="00E649C8" w:rsidP="00E649C8">
      <w:pPr>
        <w:spacing w:line="360" w:lineRule="auto"/>
        <w:jc w:val="both"/>
        <w:rPr>
          <w:rFonts w:ascii="Arial" w:hAnsi="Arial" w:cs="Arial"/>
        </w:rPr>
      </w:pPr>
      <w:r w:rsidRPr="00E649C8">
        <w:rPr>
          <w:rFonts w:ascii="Arial" w:hAnsi="Arial" w:cs="Arial"/>
        </w:rPr>
        <w:t>To direct its community involvement initiatives, Hammersmith and Fulham Council have developed several community engagement guidelines (Gilmore et al., 2020). These guidelines are meant to make sure that the council</w:t>
      </w:r>
      <w:r w:rsidR="0081015E">
        <w:rPr>
          <w:rFonts w:ascii="Arial" w:hAnsi="Arial" w:cs="Arial"/>
        </w:rPr>
        <w:t>’</w:t>
      </w:r>
      <w:r w:rsidRPr="00E649C8">
        <w:rPr>
          <w:rFonts w:ascii="Arial" w:hAnsi="Arial" w:cs="Arial"/>
        </w:rPr>
        <w:t>s community engagement efforts are efficient, moral, and consistent with industry best practices.</w:t>
      </w:r>
      <w:r w:rsidR="0081015E" w:rsidRPr="0081015E">
        <w:t xml:space="preserve"> </w:t>
      </w:r>
      <w:r w:rsidR="0081015E">
        <w:rPr>
          <w:rFonts w:ascii="Arial" w:hAnsi="Arial" w:cs="Arial"/>
        </w:rPr>
        <w:t>T</w:t>
      </w:r>
      <w:r w:rsidR="0081015E" w:rsidRPr="0081015E">
        <w:rPr>
          <w:rFonts w:ascii="Arial" w:hAnsi="Arial" w:cs="Arial"/>
        </w:rPr>
        <w:t>hroughout</w:t>
      </w:r>
      <w:r w:rsidR="0081015E">
        <w:rPr>
          <w:rFonts w:ascii="Arial" w:hAnsi="Arial" w:cs="Arial"/>
        </w:rPr>
        <w:t xml:space="preserve"> my research I found out that </w:t>
      </w:r>
      <w:r w:rsidR="0081015E" w:rsidRPr="00E649C8">
        <w:rPr>
          <w:rFonts w:ascii="Arial" w:hAnsi="Arial" w:cs="Arial"/>
        </w:rPr>
        <w:t>the</w:t>
      </w:r>
      <w:r w:rsidRPr="00E649C8">
        <w:rPr>
          <w:rFonts w:ascii="Arial" w:hAnsi="Arial" w:cs="Arial"/>
        </w:rPr>
        <w:t xml:space="preserve"> council uses the following standards for community engagement:</w:t>
      </w:r>
    </w:p>
    <w:p w14:paraId="09527EA2" w14:textId="46A6B366" w:rsidR="00E649C8" w:rsidRPr="00E649C8" w:rsidRDefault="0081015E" w:rsidP="00E649C8">
      <w:pPr>
        <w:pStyle w:val="ListParagraph"/>
        <w:numPr>
          <w:ilvl w:val="0"/>
          <w:numId w:val="2"/>
        </w:numPr>
        <w:spacing w:line="360" w:lineRule="auto"/>
        <w:jc w:val="both"/>
        <w:rPr>
          <w:rFonts w:ascii="Arial" w:hAnsi="Arial" w:cs="Arial"/>
        </w:rPr>
      </w:pPr>
      <w:r>
        <w:rPr>
          <w:rFonts w:ascii="Arial" w:hAnsi="Arial" w:cs="Arial"/>
          <w:b/>
        </w:rPr>
        <w:t>“</w:t>
      </w:r>
      <w:r w:rsidR="00E649C8" w:rsidRPr="00E649C8">
        <w:rPr>
          <w:rFonts w:ascii="Arial" w:hAnsi="Arial" w:cs="Arial"/>
          <w:b/>
        </w:rPr>
        <w:t>The International Association for Public Participation (IAP2) Spectrum of Public Participation</w:t>
      </w:r>
      <w:r>
        <w:rPr>
          <w:rFonts w:ascii="Arial" w:hAnsi="Arial" w:cs="Arial"/>
          <w:b/>
        </w:rPr>
        <w:t>”</w:t>
      </w:r>
      <w:r w:rsidR="00E649C8" w:rsidRPr="00E649C8">
        <w:rPr>
          <w:rFonts w:ascii="Arial" w:hAnsi="Arial" w:cs="Arial"/>
          <w:b/>
        </w:rPr>
        <w:t xml:space="preserve">:  </w:t>
      </w:r>
      <w:r w:rsidR="00E649C8" w:rsidRPr="00E649C8">
        <w:rPr>
          <w:rFonts w:ascii="Arial" w:hAnsi="Arial" w:cs="Arial"/>
        </w:rPr>
        <w:t>A paradigm known as the IAP2 Spectrum of Public Participation covers many stages of public participation, from educating the public to empowering them (Fitzgerald and Primavera, 2013).</w:t>
      </w:r>
      <w:r>
        <w:rPr>
          <w:rFonts w:ascii="Arial" w:hAnsi="Arial" w:cs="Arial"/>
        </w:rPr>
        <w:t xml:space="preserve"> I have discovered that</w:t>
      </w:r>
      <w:r w:rsidR="00E649C8" w:rsidRPr="00E649C8">
        <w:rPr>
          <w:rFonts w:ascii="Arial" w:hAnsi="Arial" w:cs="Arial"/>
        </w:rPr>
        <w:t xml:space="preserve"> </w:t>
      </w:r>
      <w:r w:rsidR="005C3871">
        <w:rPr>
          <w:rFonts w:ascii="Arial" w:hAnsi="Arial" w:cs="Arial"/>
        </w:rPr>
        <w:t>t</w:t>
      </w:r>
      <w:r w:rsidR="00E649C8" w:rsidRPr="00E649C8">
        <w:rPr>
          <w:rFonts w:ascii="Arial" w:hAnsi="Arial" w:cs="Arial"/>
        </w:rPr>
        <w:t>his framework is used by Hammersmith and Fulham Council to direct its community engagement initiatives, ensuring that stakeholders are included at various levels of participation. The council, for instance, educates the public by letting them know about its activities, consults with them by requesting their opinions, and involves them by working with them to make decisions.</w:t>
      </w:r>
    </w:p>
    <w:p w14:paraId="3CD0CAD1" w14:textId="1A29AB43" w:rsidR="00E649C8" w:rsidRPr="00E649C8" w:rsidRDefault="0081015E" w:rsidP="00E649C8">
      <w:pPr>
        <w:pStyle w:val="ListParagraph"/>
        <w:numPr>
          <w:ilvl w:val="0"/>
          <w:numId w:val="2"/>
        </w:numPr>
        <w:spacing w:line="360" w:lineRule="auto"/>
        <w:jc w:val="both"/>
        <w:rPr>
          <w:rFonts w:ascii="Arial" w:hAnsi="Arial" w:cs="Arial"/>
        </w:rPr>
      </w:pPr>
      <w:r>
        <w:rPr>
          <w:rFonts w:ascii="Arial" w:hAnsi="Arial" w:cs="Arial"/>
          <w:b/>
        </w:rPr>
        <w:t>“</w:t>
      </w:r>
      <w:r w:rsidR="00E649C8" w:rsidRPr="00E649C8">
        <w:rPr>
          <w:rFonts w:ascii="Arial" w:hAnsi="Arial" w:cs="Arial"/>
          <w:b/>
        </w:rPr>
        <w:t>The National Association of Local Councils (NALC) Model Code of Conduct for Local Councils</w:t>
      </w:r>
      <w:r>
        <w:rPr>
          <w:rFonts w:ascii="Arial" w:hAnsi="Arial" w:cs="Arial"/>
          <w:b/>
        </w:rPr>
        <w:t>”</w:t>
      </w:r>
      <w:r w:rsidR="00E649C8" w:rsidRPr="00E649C8">
        <w:rPr>
          <w:rFonts w:ascii="Arial" w:hAnsi="Arial" w:cs="Arial"/>
          <w:b/>
        </w:rPr>
        <w:t xml:space="preserve">: </w:t>
      </w:r>
      <w:r w:rsidR="00E649C8" w:rsidRPr="00E649C8">
        <w:rPr>
          <w:rFonts w:ascii="Arial" w:hAnsi="Arial" w:cs="Arial"/>
        </w:rPr>
        <w:t xml:space="preserve"> Local councils can </w:t>
      </w:r>
      <w:r w:rsidRPr="00E649C8">
        <w:rPr>
          <w:rFonts w:ascii="Arial" w:hAnsi="Arial" w:cs="Arial"/>
        </w:rPr>
        <w:t>utilize</w:t>
      </w:r>
      <w:r w:rsidR="00E649C8" w:rsidRPr="00E649C8">
        <w:rPr>
          <w:rFonts w:ascii="Arial" w:hAnsi="Arial" w:cs="Arial"/>
        </w:rPr>
        <w:t xml:space="preserve"> the NALC Model Code of Conduct for Local Councils as a set of rules to make sure that their community engagement activities are carried out with ethics and integrity (</w:t>
      </w:r>
      <w:proofErr w:type="spellStart"/>
      <w:r w:rsidR="00E649C8" w:rsidRPr="00E649C8">
        <w:rPr>
          <w:rFonts w:ascii="Arial" w:hAnsi="Arial" w:cs="Arial"/>
        </w:rPr>
        <w:t>Dolgon</w:t>
      </w:r>
      <w:proofErr w:type="spellEnd"/>
      <w:r w:rsidR="00E649C8" w:rsidRPr="00E649C8">
        <w:rPr>
          <w:rFonts w:ascii="Arial" w:hAnsi="Arial" w:cs="Arial"/>
        </w:rPr>
        <w:t xml:space="preserve">, Mitchell and </w:t>
      </w:r>
      <w:proofErr w:type="spellStart"/>
      <w:r w:rsidR="00E649C8" w:rsidRPr="00E649C8">
        <w:rPr>
          <w:rFonts w:ascii="Arial" w:hAnsi="Arial" w:cs="Arial"/>
        </w:rPr>
        <w:t>Eatman</w:t>
      </w:r>
      <w:proofErr w:type="spellEnd"/>
      <w:r w:rsidR="00E649C8" w:rsidRPr="00E649C8">
        <w:rPr>
          <w:rFonts w:ascii="Arial" w:hAnsi="Arial" w:cs="Arial"/>
        </w:rPr>
        <w:t>, 2019). This code of conduct has been established by Hammersmith and Fulham Council to guarantee that all of its community involvement initiatives are carried out in a way that is open, accountable, and consistent with best practices.</w:t>
      </w:r>
    </w:p>
    <w:p w14:paraId="31019615" w14:textId="6271605F" w:rsidR="00E649C8" w:rsidRPr="00E649C8" w:rsidRDefault="0081015E" w:rsidP="00E649C8">
      <w:pPr>
        <w:pStyle w:val="ListParagraph"/>
        <w:numPr>
          <w:ilvl w:val="0"/>
          <w:numId w:val="2"/>
        </w:numPr>
        <w:spacing w:line="360" w:lineRule="auto"/>
        <w:jc w:val="both"/>
        <w:rPr>
          <w:rFonts w:ascii="Arial" w:hAnsi="Arial" w:cs="Arial"/>
        </w:rPr>
      </w:pPr>
      <w:r>
        <w:rPr>
          <w:rFonts w:ascii="Arial" w:hAnsi="Arial" w:cs="Arial"/>
          <w:b/>
        </w:rPr>
        <w:t>“</w:t>
      </w:r>
      <w:r w:rsidR="00E649C8" w:rsidRPr="00E649C8">
        <w:rPr>
          <w:rFonts w:ascii="Arial" w:hAnsi="Arial" w:cs="Arial"/>
          <w:b/>
        </w:rPr>
        <w:t>The Chartered Institute of Public Relations (CIPR) Code of Conduct</w:t>
      </w:r>
      <w:r>
        <w:rPr>
          <w:rFonts w:ascii="Arial" w:hAnsi="Arial" w:cs="Arial"/>
          <w:b/>
        </w:rPr>
        <w:t>”</w:t>
      </w:r>
      <w:r w:rsidR="00E649C8" w:rsidRPr="00E649C8">
        <w:rPr>
          <w:rFonts w:ascii="Arial" w:hAnsi="Arial" w:cs="Arial"/>
          <w:b/>
        </w:rPr>
        <w:t>:</w:t>
      </w:r>
      <w:r w:rsidR="00E649C8" w:rsidRPr="00E649C8">
        <w:rPr>
          <w:rFonts w:ascii="Arial" w:hAnsi="Arial" w:cs="Arial"/>
        </w:rPr>
        <w:t xml:space="preserve"> Public relations professionals can </w:t>
      </w:r>
      <w:r w:rsidRPr="00E649C8">
        <w:rPr>
          <w:rFonts w:ascii="Arial" w:hAnsi="Arial" w:cs="Arial"/>
        </w:rPr>
        <w:t>utilize</w:t>
      </w:r>
      <w:r w:rsidR="00E649C8" w:rsidRPr="00E649C8">
        <w:rPr>
          <w:rFonts w:ascii="Arial" w:hAnsi="Arial" w:cs="Arial"/>
        </w:rPr>
        <w:t xml:space="preserve"> the CIPR Code of Conduct as a set of rules to make sure that their actions are morally and honestly carried out (Redman, 2022).</w:t>
      </w:r>
      <w:r>
        <w:rPr>
          <w:rFonts w:ascii="Arial" w:hAnsi="Arial" w:cs="Arial"/>
        </w:rPr>
        <w:t xml:space="preserve"> I also found out that</w:t>
      </w:r>
      <w:r w:rsidR="00E649C8" w:rsidRPr="00E649C8">
        <w:rPr>
          <w:rFonts w:ascii="Arial" w:hAnsi="Arial" w:cs="Arial"/>
        </w:rPr>
        <w:t xml:space="preserve"> </w:t>
      </w:r>
      <w:r>
        <w:rPr>
          <w:rFonts w:ascii="Arial" w:hAnsi="Arial" w:cs="Arial"/>
        </w:rPr>
        <w:t>t</w:t>
      </w:r>
      <w:r w:rsidR="00E649C8" w:rsidRPr="00E649C8">
        <w:rPr>
          <w:rFonts w:ascii="Arial" w:hAnsi="Arial" w:cs="Arial"/>
        </w:rPr>
        <w:t>his code of conduct has been established by Hammersmith and Fulham Council to guarantee that all of its community involvement initiatives are carried out in a way that is open, accountable, and consistent with best practices.</w:t>
      </w:r>
    </w:p>
    <w:p w14:paraId="24E77B86" w14:textId="22BB8D08" w:rsidR="00E649C8" w:rsidRPr="00E649C8" w:rsidRDefault="00E649C8" w:rsidP="00E649C8">
      <w:pPr>
        <w:pStyle w:val="ListParagraph"/>
        <w:numPr>
          <w:ilvl w:val="0"/>
          <w:numId w:val="2"/>
        </w:numPr>
        <w:spacing w:line="360" w:lineRule="auto"/>
        <w:jc w:val="both"/>
        <w:rPr>
          <w:rFonts w:ascii="Arial" w:hAnsi="Arial" w:cs="Arial"/>
        </w:rPr>
      </w:pPr>
      <w:r w:rsidRPr="00E649C8">
        <w:rPr>
          <w:rFonts w:ascii="Arial" w:hAnsi="Arial" w:cs="Arial"/>
          <w:b/>
        </w:rPr>
        <w:t>The Equality Act - 2010:</w:t>
      </w:r>
      <w:r w:rsidRPr="00E649C8">
        <w:rPr>
          <w:rFonts w:ascii="Arial" w:hAnsi="Arial" w:cs="Arial"/>
        </w:rPr>
        <w:t xml:space="preserve"> The UK</w:t>
      </w:r>
      <w:r w:rsidR="0081015E">
        <w:rPr>
          <w:rFonts w:ascii="Arial" w:hAnsi="Arial" w:cs="Arial"/>
        </w:rPr>
        <w:t>’</w:t>
      </w:r>
      <w:r w:rsidRPr="00E649C8">
        <w:rPr>
          <w:rFonts w:ascii="Arial" w:hAnsi="Arial" w:cs="Arial"/>
        </w:rPr>
        <w:t>s Equality Act of 2010 forbids discrimination on the grounds of several factors, including age, gender, race, and disability (Coulter, 2018). This rule has been approved by Hammersmith and Fulham Council to make sure that all stakeholders are included in all of the council</w:t>
      </w:r>
      <w:r w:rsidR="006671F1">
        <w:rPr>
          <w:rFonts w:ascii="Arial" w:hAnsi="Arial" w:cs="Arial"/>
        </w:rPr>
        <w:t>’</w:t>
      </w:r>
      <w:r w:rsidRPr="00E649C8">
        <w:rPr>
          <w:rFonts w:ascii="Arial" w:hAnsi="Arial" w:cs="Arial"/>
        </w:rPr>
        <w:t>s community engagement initiatives.</w:t>
      </w:r>
    </w:p>
    <w:p w14:paraId="5F7A79A0" w14:textId="77777777" w:rsidR="00E649C8" w:rsidRPr="00E649C8" w:rsidRDefault="00E649C8" w:rsidP="00E649C8">
      <w:pPr>
        <w:spacing w:line="360" w:lineRule="auto"/>
        <w:jc w:val="both"/>
        <w:rPr>
          <w:rFonts w:ascii="Arial" w:hAnsi="Arial" w:cs="Arial"/>
        </w:rPr>
      </w:pPr>
    </w:p>
    <w:p w14:paraId="7898E6EF" w14:textId="29CADEE9" w:rsidR="00E649C8" w:rsidRPr="00E649C8" w:rsidRDefault="006671F1" w:rsidP="00E649C8">
      <w:pPr>
        <w:pStyle w:val="ListParagraph"/>
        <w:numPr>
          <w:ilvl w:val="0"/>
          <w:numId w:val="2"/>
        </w:numPr>
        <w:spacing w:line="360" w:lineRule="auto"/>
        <w:jc w:val="both"/>
        <w:rPr>
          <w:rFonts w:ascii="Arial" w:hAnsi="Arial" w:cs="Arial"/>
        </w:rPr>
      </w:pPr>
      <w:r>
        <w:rPr>
          <w:rFonts w:ascii="Arial" w:hAnsi="Arial" w:cs="Arial"/>
          <w:b/>
        </w:rPr>
        <w:lastRenderedPageBreak/>
        <w:t>“</w:t>
      </w:r>
      <w:r w:rsidR="00E649C8" w:rsidRPr="00E649C8">
        <w:rPr>
          <w:rFonts w:ascii="Arial" w:hAnsi="Arial" w:cs="Arial"/>
          <w:b/>
        </w:rPr>
        <w:t>The Local Government Association (LGA) Code of Practice for Local Authority Publicity</w:t>
      </w:r>
      <w:r>
        <w:rPr>
          <w:rFonts w:ascii="Arial" w:hAnsi="Arial" w:cs="Arial"/>
          <w:b/>
        </w:rPr>
        <w:t>”</w:t>
      </w:r>
      <w:r w:rsidR="00E649C8" w:rsidRPr="00E649C8">
        <w:rPr>
          <w:rFonts w:ascii="Arial" w:hAnsi="Arial" w:cs="Arial"/>
          <w:b/>
        </w:rPr>
        <w:t xml:space="preserve">:  </w:t>
      </w:r>
      <w:r w:rsidR="00E649C8" w:rsidRPr="00E649C8">
        <w:rPr>
          <w:rFonts w:ascii="Arial" w:hAnsi="Arial" w:cs="Arial"/>
        </w:rPr>
        <w:t>Local authorities can use the LGA Code of Practice for Local Government Publicity as a set of rules to make sure that their communication initiatives are carried out morally and honestly (Patel, 2019). This code of conduct has been established by Hammersmith and Fulham Council to guarantee that all of its community involvement initiatives are carried out in a transparent, accountable, and best-practices-compliant way.</w:t>
      </w:r>
    </w:p>
    <w:p w14:paraId="1CE049AD" w14:textId="21CE1652" w:rsidR="00E649C8" w:rsidRDefault="006671F1" w:rsidP="00E649C8">
      <w:pPr>
        <w:spacing w:line="360" w:lineRule="auto"/>
        <w:jc w:val="both"/>
        <w:rPr>
          <w:rFonts w:ascii="Arial" w:hAnsi="Arial" w:cs="Arial"/>
        </w:rPr>
      </w:pPr>
      <w:r>
        <w:rPr>
          <w:rFonts w:ascii="Arial" w:hAnsi="Arial" w:cs="Arial"/>
        </w:rPr>
        <w:t>I have realized that, to</w:t>
      </w:r>
      <w:r w:rsidR="00E649C8" w:rsidRPr="00E649C8">
        <w:rPr>
          <w:rFonts w:ascii="Arial" w:hAnsi="Arial" w:cs="Arial"/>
        </w:rPr>
        <w:t xml:space="preserve"> make sure that its community involvement initiatives are successful, moral, and in line with best practices, Hammersmith and Fulham Council have set several community engagement criteria. These guidelines make sure that stakeholders are involved at various levels of involvement in the council</w:t>
      </w:r>
      <w:r w:rsidR="00457D14">
        <w:rPr>
          <w:rFonts w:ascii="Arial" w:hAnsi="Arial" w:cs="Arial"/>
        </w:rPr>
        <w:t>’</w:t>
      </w:r>
      <w:r w:rsidR="00E649C8" w:rsidRPr="00E649C8">
        <w:rPr>
          <w:rFonts w:ascii="Arial" w:hAnsi="Arial" w:cs="Arial"/>
        </w:rPr>
        <w:t>s community engagement initiatives and that they are inclusive, transparent, and responsible.</w:t>
      </w:r>
    </w:p>
    <w:p w14:paraId="59FC46B4" w14:textId="77777777" w:rsidR="00457D14" w:rsidRPr="00457D14" w:rsidRDefault="00457D14" w:rsidP="00457D14">
      <w:pPr>
        <w:spacing w:line="360" w:lineRule="auto"/>
        <w:jc w:val="center"/>
        <w:rPr>
          <w:rFonts w:ascii="Arial" w:hAnsi="Arial" w:cs="Arial"/>
          <w:b/>
          <w:bCs/>
          <w:u w:val="single"/>
        </w:rPr>
      </w:pPr>
      <w:bookmarkStart w:id="2" w:name="_Toc129937208"/>
      <w:r w:rsidRPr="00457D14">
        <w:rPr>
          <w:rFonts w:ascii="Arial" w:hAnsi="Arial" w:cs="Arial"/>
          <w:b/>
          <w:bCs/>
          <w:u w:val="single"/>
        </w:rPr>
        <w:t>Community engagement strategies used by Hammersmith and Fulham Council</w:t>
      </w:r>
      <w:bookmarkEnd w:id="2"/>
    </w:p>
    <w:p w14:paraId="3E3149D9" w14:textId="0CABB5F1" w:rsidR="00457D14" w:rsidRPr="00457D14" w:rsidRDefault="00457D14" w:rsidP="00457D14">
      <w:pPr>
        <w:spacing w:line="360" w:lineRule="auto"/>
        <w:jc w:val="both"/>
        <w:rPr>
          <w:rFonts w:ascii="Arial" w:hAnsi="Arial" w:cs="Arial"/>
        </w:rPr>
      </w:pPr>
      <w:r w:rsidRPr="00457D14">
        <w:rPr>
          <w:rFonts w:ascii="Arial" w:hAnsi="Arial" w:cs="Arial"/>
        </w:rPr>
        <w:t xml:space="preserve">The Hammersmith and Fulham Council uses several different approaches to community participation to encourage transparency, accountability, and inclusivity in the decision-making process. </w:t>
      </w:r>
      <w:r w:rsidR="00B56715">
        <w:rPr>
          <w:rFonts w:ascii="Arial" w:hAnsi="Arial" w:cs="Arial"/>
        </w:rPr>
        <w:t>I have listed t</w:t>
      </w:r>
      <w:r w:rsidRPr="00457D14">
        <w:rPr>
          <w:rFonts w:ascii="Arial" w:hAnsi="Arial" w:cs="Arial"/>
        </w:rPr>
        <w:t xml:space="preserve">hese various tactics </w:t>
      </w:r>
      <w:r w:rsidR="00B56715">
        <w:rPr>
          <w:rFonts w:ascii="Arial" w:hAnsi="Arial" w:cs="Arial"/>
        </w:rPr>
        <w:t>below</w:t>
      </w:r>
      <w:r w:rsidRPr="00457D14">
        <w:rPr>
          <w:rFonts w:ascii="Arial" w:hAnsi="Arial" w:cs="Arial"/>
        </w:rPr>
        <w:t xml:space="preserve"> as follows:</w:t>
      </w:r>
    </w:p>
    <w:p w14:paraId="03EAD73D" w14:textId="77777777" w:rsidR="00457D14" w:rsidRPr="00457D14" w:rsidRDefault="00457D14" w:rsidP="00457D14">
      <w:pPr>
        <w:pStyle w:val="ListParagraph"/>
        <w:numPr>
          <w:ilvl w:val="0"/>
          <w:numId w:val="3"/>
        </w:numPr>
        <w:spacing w:line="360" w:lineRule="auto"/>
        <w:jc w:val="both"/>
        <w:rPr>
          <w:rFonts w:ascii="Arial" w:hAnsi="Arial" w:cs="Arial"/>
        </w:rPr>
      </w:pPr>
      <w:r w:rsidRPr="00457D14">
        <w:rPr>
          <w:rFonts w:ascii="Arial" w:hAnsi="Arial" w:cs="Arial"/>
          <w:b/>
        </w:rPr>
        <w:t>Public meetings:</w:t>
      </w:r>
      <w:r w:rsidRPr="00457D14">
        <w:rPr>
          <w:rFonts w:ascii="Arial" w:hAnsi="Arial" w:cs="Arial"/>
        </w:rPr>
        <w:t xml:space="preserve"> The council maintains a schedule of routine public meetings to involve interested parties in the deliberation and decision-making processes (Pang et al., 2019). Residents will have the opportunity to voice any complaints or comments they may have and will also receive input from the council during these meetings.</w:t>
      </w:r>
    </w:p>
    <w:p w14:paraId="634FE49F" w14:textId="77777777" w:rsidR="00457D14" w:rsidRPr="00457D14" w:rsidRDefault="00457D14" w:rsidP="00457D14">
      <w:pPr>
        <w:pStyle w:val="ListParagraph"/>
        <w:numPr>
          <w:ilvl w:val="0"/>
          <w:numId w:val="3"/>
        </w:numPr>
        <w:spacing w:line="360" w:lineRule="auto"/>
        <w:jc w:val="both"/>
        <w:rPr>
          <w:rFonts w:ascii="Arial" w:hAnsi="Arial" w:cs="Arial"/>
        </w:rPr>
      </w:pPr>
      <w:r w:rsidRPr="00457D14">
        <w:rPr>
          <w:rFonts w:ascii="Arial" w:hAnsi="Arial" w:cs="Arial"/>
          <w:b/>
        </w:rPr>
        <w:t>Online surveys:</w:t>
      </w:r>
      <w:r w:rsidRPr="00457D14">
        <w:rPr>
          <w:rFonts w:ascii="Arial" w:hAnsi="Arial" w:cs="Arial"/>
        </w:rPr>
        <w:t xml:space="preserve"> The council invites stakeholders who are unable to attend public meetings to participate in online surveys so that they can still have their voices heard. Internet surveys are available to a more diverse set of stakeholders and can communicate with a greater number of individuals (Marsh, 2018). The input gathered from these surveys is used by the council to help them make informed decisions and improve the services they provide.</w:t>
      </w:r>
    </w:p>
    <w:p w14:paraId="26422A04" w14:textId="2EF72588" w:rsidR="00B56715" w:rsidRDefault="00457D14" w:rsidP="00B56715">
      <w:pPr>
        <w:pStyle w:val="ListParagraph"/>
        <w:numPr>
          <w:ilvl w:val="0"/>
          <w:numId w:val="3"/>
        </w:numPr>
        <w:spacing w:line="360" w:lineRule="auto"/>
        <w:jc w:val="both"/>
        <w:rPr>
          <w:rFonts w:ascii="Arial" w:hAnsi="Arial" w:cs="Arial"/>
        </w:rPr>
      </w:pPr>
      <w:r w:rsidRPr="00457D14">
        <w:rPr>
          <w:rFonts w:ascii="Arial" w:hAnsi="Arial" w:cs="Arial"/>
          <w:b/>
        </w:rPr>
        <w:t>Focus groups:</w:t>
      </w:r>
      <w:r w:rsidRPr="00457D14">
        <w:rPr>
          <w:rFonts w:ascii="Arial" w:hAnsi="Arial" w:cs="Arial"/>
        </w:rPr>
        <w:t xml:space="preserve"> Focus groups are smaller, more intimate gatherings in which stakeholders are allowed to offer their perspectives in a setting that is less formal (Lucy, 2019). Focus groups are particularly beneficial for engaging certain groups of stakeholders, such as youth or senior residents, and can provide more in-depth </w:t>
      </w:r>
      <w:r w:rsidR="00B56715" w:rsidRPr="00457D14">
        <w:rPr>
          <w:rFonts w:ascii="Arial" w:hAnsi="Arial" w:cs="Arial"/>
        </w:rPr>
        <w:t>feedback.</w:t>
      </w:r>
      <w:r w:rsidR="00B56715">
        <w:rPr>
          <w:rFonts w:ascii="Arial" w:hAnsi="Arial" w:cs="Arial"/>
        </w:rPr>
        <w:t xml:space="preserve"> I would say </w:t>
      </w:r>
      <w:r w:rsidR="00B56715" w:rsidRPr="00457D14">
        <w:rPr>
          <w:rFonts w:ascii="Arial" w:hAnsi="Arial" w:cs="Arial"/>
        </w:rPr>
        <w:t>one</w:t>
      </w:r>
      <w:r w:rsidRPr="00457D14">
        <w:rPr>
          <w:rFonts w:ascii="Arial" w:hAnsi="Arial" w:cs="Arial"/>
        </w:rPr>
        <w:t xml:space="preserve"> example of this </w:t>
      </w:r>
      <w:r w:rsidR="00B56715">
        <w:rPr>
          <w:rFonts w:ascii="Arial" w:hAnsi="Arial" w:cs="Arial"/>
        </w:rPr>
        <w:t>can</w:t>
      </w:r>
      <w:r w:rsidRPr="00457D14">
        <w:rPr>
          <w:rFonts w:ascii="Arial" w:hAnsi="Arial" w:cs="Arial"/>
        </w:rPr>
        <w:t xml:space="preserve"> be a youth or elderly resident focus group.</w:t>
      </w:r>
    </w:p>
    <w:p w14:paraId="55FD01EC" w14:textId="77777777" w:rsidR="00B56715" w:rsidRPr="00B56715" w:rsidRDefault="00B56715" w:rsidP="00B56715">
      <w:pPr>
        <w:spacing w:line="360" w:lineRule="auto"/>
        <w:jc w:val="both"/>
        <w:rPr>
          <w:rFonts w:ascii="Arial" w:hAnsi="Arial" w:cs="Arial"/>
        </w:rPr>
      </w:pPr>
    </w:p>
    <w:p w14:paraId="7EEA0C4C" w14:textId="08640A2A" w:rsidR="00457D14" w:rsidRPr="00457D14" w:rsidRDefault="00457D14" w:rsidP="00457D14">
      <w:pPr>
        <w:pStyle w:val="ListParagraph"/>
        <w:numPr>
          <w:ilvl w:val="0"/>
          <w:numId w:val="3"/>
        </w:numPr>
        <w:spacing w:line="360" w:lineRule="auto"/>
        <w:jc w:val="both"/>
        <w:rPr>
          <w:rFonts w:ascii="Arial" w:hAnsi="Arial" w:cs="Arial"/>
        </w:rPr>
      </w:pPr>
      <w:r w:rsidRPr="00457D14">
        <w:rPr>
          <w:rFonts w:ascii="Arial" w:hAnsi="Arial" w:cs="Arial"/>
          <w:b/>
        </w:rPr>
        <w:lastRenderedPageBreak/>
        <w:t>Workshops:</w:t>
      </w:r>
      <w:r w:rsidRPr="00457D14">
        <w:rPr>
          <w:rFonts w:ascii="Arial" w:hAnsi="Arial" w:cs="Arial"/>
        </w:rPr>
        <w:t xml:space="preserve"> Workshops are interactive sessions where stakeholders can learn about certain topics and contribute their ideas (Li et al., 2023).</w:t>
      </w:r>
      <w:r w:rsidR="00C061EB">
        <w:rPr>
          <w:rFonts w:ascii="Arial" w:hAnsi="Arial" w:cs="Arial"/>
        </w:rPr>
        <w:t xml:space="preserve"> I have realized that</w:t>
      </w:r>
      <w:r w:rsidRPr="00457D14">
        <w:rPr>
          <w:rFonts w:ascii="Arial" w:hAnsi="Arial" w:cs="Arial"/>
        </w:rPr>
        <w:t xml:space="preserve"> </w:t>
      </w:r>
      <w:r w:rsidR="00C061EB">
        <w:rPr>
          <w:rFonts w:ascii="Arial" w:hAnsi="Arial" w:cs="Arial"/>
        </w:rPr>
        <w:t>p</w:t>
      </w:r>
      <w:r w:rsidR="00B56715" w:rsidRPr="00B56715">
        <w:rPr>
          <w:rFonts w:ascii="Arial" w:hAnsi="Arial" w:cs="Arial"/>
        </w:rPr>
        <w:t>articipants can work more cooperatively during workshops, and the council can utilize the input obtained to guide decision-making after the workshop.</w:t>
      </w:r>
    </w:p>
    <w:p w14:paraId="73E6BADD" w14:textId="196722F7" w:rsidR="00457D14" w:rsidRPr="00457D14" w:rsidRDefault="00457D14" w:rsidP="00457D14">
      <w:pPr>
        <w:pStyle w:val="ListParagraph"/>
        <w:numPr>
          <w:ilvl w:val="0"/>
          <w:numId w:val="3"/>
        </w:numPr>
        <w:spacing w:line="360" w:lineRule="auto"/>
        <w:jc w:val="both"/>
        <w:rPr>
          <w:rFonts w:ascii="Arial" w:hAnsi="Arial" w:cs="Arial"/>
        </w:rPr>
      </w:pPr>
      <w:r w:rsidRPr="00457D14">
        <w:rPr>
          <w:rFonts w:ascii="Arial" w:hAnsi="Arial" w:cs="Arial"/>
          <w:b/>
        </w:rPr>
        <w:t>Social media:</w:t>
      </w:r>
      <w:r w:rsidRPr="00457D14">
        <w:rPr>
          <w:rFonts w:ascii="Arial" w:hAnsi="Arial" w:cs="Arial"/>
        </w:rPr>
        <w:t xml:space="preserve"> The council engages with local communities and provides information on engagement initiatives through the use of social media platforms such as Facebook and Twitter (Haldane et al., 2019). </w:t>
      </w:r>
      <w:r w:rsidR="00C061EB">
        <w:rPr>
          <w:rFonts w:ascii="Arial" w:hAnsi="Arial" w:cs="Arial"/>
        </w:rPr>
        <w:t>I would say p</w:t>
      </w:r>
      <w:r w:rsidRPr="00457D14">
        <w:rPr>
          <w:rFonts w:ascii="Arial" w:hAnsi="Arial" w:cs="Arial"/>
        </w:rPr>
        <w:t>latforms that are part of social media can be especially helpful for engaging younger stakeholders, and they can also assist the council in reaching a wider audience.</w:t>
      </w:r>
    </w:p>
    <w:p w14:paraId="759BA8D8" w14:textId="77777777" w:rsidR="00457D14" w:rsidRPr="00457D14" w:rsidRDefault="00457D14" w:rsidP="00457D14">
      <w:pPr>
        <w:pStyle w:val="ListParagraph"/>
        <w:numPr>
          <w:ilvl w:val="0"/>
          <w:numId w:val="3"/>
        </w:numPr>
        <w:spacing w:line="360" w:lineRule="auto"/>
        <w:jc w:val="both"/>
        <w:rPr>
          <w:rFonts w:ascii="Arial" w:hAnsi="Arial" w:cs="Arial"/>
        </w:rPr>
      </w:pPr>
      <w:r w:rsidRPr="00457D14">
        <w:rPr>
          <w:rFonts w:ascii="Arial" w:hAnsi="Arial" w:cs="Arial"/>
          <w:b/>
        </w:rPr>
        <w:t>Community events:</w:t>
      </w:r>
      <w:r w:rsidRPr="00457D14">
        <w:rPr>
          <w:rFonts w:ascii="Arial" w:hAnsi="Arial" w:cs="Arial"/>
        </w:rPr>
        <w:t xml:space="preserve"> The council attends and takes part in several different community events, such as fairs and festivals, to interact with locals and encourage community participation in decision-making processes (Gilmore et al., 2020). Because of these activities, the council will have the chance to engage in conversation with locals in an atmosphere that is less professional and more casual.</w:t>
      </w:r>
    </w:p>
    <w:p w14:paraId="6FA94A58" w14:textId="77777777" w:rsidR="00457D14" w:rsidRPr="00457D14" w:rsidRDefault="00457D14" w:rsidP="00457D14">
      <w:pPr>
        <w:pStyle w:val="ListParagraph"/>
        <w:numPr>
          <w:ilvl w:val="0"/>
          <w:numId w:val="3"/>
        </w:numPr>
        <w:spacing w:line="360" w:lineRule="auto"/>
        <w:jc w:val="both"/>
        <w:rPr>
          <w:rFonts w:ascii="Arial" w:hAnsi="Arial" w:cs="Arial"/>
        </w:rPr>
      </w:pPr>
      <w:r w:rsidRPr="00457D14">
        <w:rPr>
          <w:rFonts w:ascii="Arial" w:hAnsi="Arial" w:cs="Arial"/>
          <w:b/>
        </w:rPr>
        <w:t>Documents for consultation:</w:t>
      </w:r>
      <w:r w:rsidRPr="00457D14">
        <w:rPr>
          <w:rFonts w:ascii="Arial" w:hAnsi="Arial" w:cs="Arial"/>
        </w:rPr>
        <w:t xml:space="preserve"> The council publishes documents for a consultation to inform stakeholders about impending decisions and request feedback from those stakeholders (Fitzgerald and Primavera, 2013). The option for stakeholders to evaluate and comment on plans is provided by these documents, which are available both online and in print formats.</w:t>
      </w:r>
    </w:p>
    <w:p w14:paraId="0632DFE4" w14:textId="097B8E3D" w:rsidR="006671F1" w:rsidRPr="00457D14" w:rsidRDefault="00C061EB" w:rsidP="00C061EB">
      <w:pPr>
        <w:spacing w:line="360" w:lineRule="auto"/>
        <w:jc w:val="center"/>
        <w:rPr>
          <w:rFonts w:ascii="Arial" w:hAnsi="Arial" w:cs="Arial"/>
        </w:rPr>
      </w:pPr>
      <w:r w:rsidRPr="00095B84">
        <w:rPr>
          <w:noProof/>
        </w:rPr>
        <w:drawing>
          <wp:inline distT="0" distB="0" distL="0" distR="0" wp14:anchorId="640C76A1" wp14:editId="4D2FDF5C">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1C8DF62" w14:textId="1F560BE8" w:rsidR="00907A05" w:rsidRPr="00457D14" w:rsidRDefault="00C061EB" w:rsidP="00C061EB">
      <w:pPr>
        <w:spacing w:line="360" w:lineRule="auto"/>
        <w:jc w:val="center"/>
        <w:rPr>
          <w:rFonts w:ascii="Arial" w:hAnsi="Arial" w:cs="Arial"/>
        </w:rPr>
      </w:pPr>
      <w:r w:rsidRPr="00C061EB">
        <w:rPr>
          <w:rFonts w:ascii="Arial" w:hAnsi="Arial" w:cs="Arial"/>
        </w:rPr>
        <w:t>Fig</w:t>
      </w:r>
      <w:r>
        <w:rPr>
          <w:rFonts w:ascii="Arial" w:hAnsi="Arial" w:cs="Arial"/>
        </w:rPr>
        <w:t>.2</w:t>
      </w:r>
      <w:r w:rsidRPr="00C061EB">
        <w:rPr>
          <w:rFonts w:ascii="Arial" w:hAnsi="Arial" w:cs="Arial"/>
        </w:rPr>
        <w:t>: Community engagement strategies (Li et al., 2023)</w:t>
      </w:r>
    </w:p>
    <w:p w14:paraId="4C8FCD97" w14:textId="35D6988E" w:rsidR="00907A05" w:rsidRDefault="00623525" w:rsidP="00623525">
      <w:pPr>
        <w:spacing w:line="360" w:lineRule="auto"/>
        <w:jc w:val="both"/>
        <w:rPr>
          <w:rFonts w:ascii="Arial" w:hAnsi="Arial" w:cs="Arial"/>
        </w:rPr>
      </w:pPr>
      <w:r>
        <w:rPr>
          <w:rFonts w:ascii="Arial" w:hAnsi="Arial" w:cs="Arial"/>
        </w:rPr>
        <w:lastRenderedPageBreak/>
        <w:t>I now understand that c</w:t>
      </w:r>
      <w:r w:rsidRPr="00623525">
        <w:rPr>
          <w:rFonts w:ascii="Arial" w:hAnsi="Arial" w:cs="Arial"/>
        </w:rPr>
        <w:t>ommunity engagement methods developed by Hammersmith and Fulham Council are intended to reach a diverse group of stakeholders and to enhance inclusiveness in the council</w:t>
      </w:r>
      <w:r>
        <w:rPr>
          <w:rFonts w:ascii="Arial" w:hAnsi="Arial" w:cs="Arial"/>
        </w:rPr>
        <w:t>’</w:t>
      </w:r>
      <w:r w:rsidRPr="00623525">
        <w:rPr>
          <w:rFonts w:ascii="Arial" w:hAnsi="Arial" w:cs="Arial"/>
        </w:rPr>
        <w:t>s decision-making processes. The council is in a position to ensure that all parties involved have the opportunity to participate and that their opinions are heard by employing a wide range of participation strategies (</w:t>
      </w:r>
      <w:proofErr w:type="spellStart"/>
      <w:r w:rsidRPr="00623525">
        <w:rPr>
          <w:rFonts w:ascii="Arial" w:hAnsi="Arial" w:cs="Arial"/>
        </w:rPr>
        <w:t>Dolgon</w:t>
      </w:r>
      <w:proofErr w:type="spellEnd"/>
      <w:r w:rsidRPr="00623525">
        <w:rPr>
          <w:rFonts w:ascii="Arial" w:hAnsi="Arial" w:cs="Arial"/>
        </w:rPr>
        <w:t xml:space="preserve">, Mitchell and </w:t>
      </w:r>
      <w:proofErr w:type="spellStart"/>
      <w:r w:rsidRPr="00623525">
        <w:rPr>
          <w:rFonts w:ascii="Arial" w:hAnsi="Arial" w:cs="Arial"/>
        </w:rPr>
        <w:t>Eatman</w:t>
      </w:r>
      <w:proofErr w:type="spellEnd"/>
      <w:r w:rsidRPr="00623525">
        <w:rPr>
          <w:rFonts w:ascii="Arial" w:hAnsi="Arial" w:cs="Arial"/>
        </w:rPr>
        <w:t>, 2019). In addition, the engagement tactics used by the council take into account the requirements of a variety of subgroups, such as young people, women, and persons with disabilities. By the use of these tactics, the council will be able to foster trust with the community while also fostering transparency, accountability, and inclusivity within the decision-making processes.</w:t>
      </w:r>
    </w:p>
    <w:p w14:paraId="02FD36FE" w14:textId="378F77CA" w:rsidR="00475180" w:rsidRPr="00475180" w:rsidRDefault="00475180" w:rsidP="00475180">
      <w:pPr>
        <w:spacing w:line="360" w:lineRule="auto"/>
        <w:jc w:val="center"/>
        <w:rPr>
          <w:rFonts w:ascii="Arial" w:hAnsi="Arial" w:cs="Arial"/>
          <w:b/>
          <w:bCs/>
          <w:u w:val="single"/>
        </w:rPr>
      </w:pPr>
      <w:r w:rsidRPr="00475180">
        <w:rPr>
          <w:rFonts w:ascii="Arial" w:hAnsi="Arial" w:cs="Arial"/>
          <w:b/>
          <w:bCs/>
          <w:u w:val="single"/>
        </w:rPr>
        <w:t>CONCLUSION AND RECOMMENDATIONS</w:t>
      </w:r>
    </w:p>
    <w:p w14:paraId="47336ABE" w14:textId="0594D2EC" w:rsidR="00475180" w:rsidRPr="00475180" w:rsidRDefault="00475180" w:rsidP="00475180">
      <w:pPr>
        <w:spacing w:line="360" w:lineRule="auto"/>
        <w:jc w:val="both"/>
        <w:rPr>
          <w:rFonts w:ascii="Arial" w:hAnsi="Arial" w:cs="Arial"/>
        </w:rPr>
      </w:pPr>
      <w:r>
        <w:rPr>
          <w:rFonts w:ascii="Arial" w:hAnsi="Arial" w:cs="Arial"/>
        </w:rPr>
        <w:t>To conclude, in my opinion the</w:t>
      </w:r>
      <w:r w:rsidRPr="00475180">
        <w:rPr>
          <w:rFonts w:ascii="Arial" w:hAnsi="Arial" w:cs="Arial"/>
        </w:rPr>
        <w:t xml:space="preserve"> Hammersmith and Fulham Council</w:t>
      </w:r>
      <w:r>
        <w:rPr>
          <w:rFonts w:ascii="Arial" w:hAnsi="Arial" w:cs="Arial"/>
        </w:rPr>
        <w:t>’</w:t>
      </w:r>
      <w:r w:rsidRPr="00475180">
        <w:rPr>
          <w:rFonts w:ascii="Arial" w:hAnsi="Arial" w:cs="Arial"/>
        </w:rPr>
        <w:t>s values, standards, and policies show a dedication to community participation. The council has used a variety of consultation techniques to involve stakeholders because it understands how important it is for decision-making processes to be open, accountable, and inclusive. The council</w:t>
      </w:r>
      <w:r>
        <w:rPr>
          <w:rFonts w:ascii="Arial" w:hAnsi="Arial" w:cs="Arial"/>
        </w:rPr>
        <w:t>’</w:t>
      </w:r>
      <w:r w:rsidRPr="00475180">
        <w:rPr>
          <w:rFonts w:ascii="Arial" w:hAnsi="Arial" w:cs="Arial"/>
        </w:rPr>
        <w:t xml:space="preserve">s attempts to engage the community, meanwhile, can yet be improved. Some of how it can be done include: </w:t>
      </w:r>
    </w:p>
    <w:p w14:paraId="1A92C4E8" w14:textId="2947B2D8" w:rsidR="00475180" w:rsidRPr="00475180" w:rsidRDefault="00475180" w:rsidP="00475180">
      <w:pPr>
        <w:pStyle w:val="ListParagraph"/>
        <w:numPr>
          <w:ilvl w:val="0"/>
          <w:numId w:val="5"/>
        </w:numPr>
        <w:spacing w:line="360" w:lineRule="auto"/>
        <w:jc w:val="both"/>
        <w:rPr>
          <w:rFonts w:ascii="Arial" w:hAnsi="Arial" w:cs="Arial"/>
        </w:rPr>
      </w:pPr>
      <w:r w:rsidRPr="00475180">
        <w:rPr>
          <w:rFonts w:ascii="Arial" w:hAnsi="Arial" w:cs="Arial"/>
        </w:rPr>
        <w:t>The council should make sure that all stakeholders have access to pertinent information and that engagement activities are accessible to all stakeholders, including those who are unable to attend public meetings or workshops, to increase community involvement (Coulter, 2018). To strengthen its engagement efforts over time, the council should also assess the results of engagement activities. The council should also think of fresh and creative approaches to include stakeholders, such as social media and online polls.</w:t>
      </w:r>
    </w:p>
    <w:p w14:paraId="0B98C683" w14:textId="42C6EE8A" w:rsidR="00475180" w:rsidRPr="00475180" w:rsidRDefault="00475180" w:rsidP="00475180">
      <w:pPr>
        <w:pStyle w:val="ListParagraph"/>
        <w:numPr>
          <w:ilvl w:val="0"/>
          <w:numId w:val="5"/>
        </w:numPr>
        <w:spacing w:line="360" w:lineRule="auto"/>
        <w:jc w:val="both"/>
        <w:rPr>
          <w:rFonts w:ascii="Arial" w:hAnsi="Arial" w:cs="Arial"/>
        </w:rPr>
      </w:pPr>
      <w:r w:rsidRPr="00475180">
        <w:rPr>
          <w:rFonts w:ascii="Arial" w:hAnsi="Arial" w:cs="Arial"/>
        </w:rPr>
        <w:t>To ensure that underrepresented groups, such as low-income people and ethnic minorities, have a voice in decision-making processes, the council should give engagement with these group</w:t>
      </w:r>
      <w:r>
        <w:rPr>
          <w:rFonts w:ascii="Arial" w:hAnsi="Arial" w:cs="Arial"/>
        </w:rPr>
        <w:t>’</w:t>
      </w:r>
      <w:r w:rsidRPr="00475180">
        <w:rPr>
          <w:rFonts w:ascii="Arial" w:hAnsi="Arial" w:cs="Arial"/>
        </w:rPr>
        <w:t>s top priority (Redman, 2022). The council ought to offer specially designed engagement programs that consider the unique requirements and expectations of these groups.</w:t>
      </w:r>
    </w:p>
    <w:p w14:paraId="7F0434FA" w14:textId="627186D2" w:rsidR="00475180" w:rsidRDefault="00475180" w:rsidP="00475180">
      <w:pPr>
        <w:pStyle w:val="ListParagraph"/>
        <w:numPr>
          <w:ilvl w:val="0"/>
          <w:numId w:val="5"/>
        </w:numPr>
        <w:spacing w:line="360" w:lineRule="auto"/>
        <w:jc w:val="both"/>
        <w:rPr>
          <w:rFonts w:ascii="Arial" w:hAnsi="Arial" w:cs="Arial"/>
        </w:rPr>
      </w:pPr>
      <w:r w:rsidRPr="00475180">
        <w:rPr>
          <w:rFonts w:ascii="Arial" w:hAnsi="Arial" w:cs="Arial"/>
        </w:rPr>
        <w:t>Another suggestion is that the council include stakeholders sooner in the decision-making process to make sure that their opinions are taken into account (Patel, 2019). This would necessitate a change from consultation as a means of information-sharing to a co-production model where participants are actively involved in decision-making.</w:t>
      </w:r>
    </w:p>
    <w:p w14:paraId="0EB4177A" w14:textId="77777777" w:rsidR="00475180" w:rsidRPr="00475180" w:rsidRDefault="00475180" w:rsidP="00475180">
      <w:pPr>
        <w:spacing w:line="360" w:lineRule="auto"/>
        <w:jc w:val="both"/>
        <w:rPr>
          <w:rFonts w:ascii="Arial" w:hAnsi="Arial" w:cs="Arial"/>
        </w:rPr>
      </w:pPr>
    </w:p>
    <w:p w14:paraId="5F714D29" w14:textId="0A05A29F" w:rsidR="00475180" w:rsidRPr="00475180" w:rsidRDefault="00475180" w:rsidP="00475180">
      <w:pPr>
        <w:pStyle w:val="ListParagraph"/>
        <w:numPr>
          <w:ilvl w:val="0"/>
          <w:numId w:val="5"/>
        </w:numPr>
        <w:spacing w:line="360" w:lineRule="auto"/>
        <w:jc w:val="both"/>
        <w:rPr>
          <w:rFonts w:ascii="Arial" w:hAnsi="Arial" w:cs="Arial"/>
        </w:rPr>
      </w:pPr>
      <w:r w:rsidRPr="00475180">
        <w:rPr>
          <w:rFonts w:ascii="Arial" w:hAnsi="Arial" w:cs="Arial"/>
        </w:rPr>
        <w:lastRenderedPageBreak/>
        <w:t>The council should also make sure that there is a clear feedback mechanism in place so that stakeholders may be informed of the results of engagement efforts (Pang et al., 2019). This will increase accountability and openness while showing stakeholders that their input is respected and taken into consideration.</w:t>
      </w:r>
    </w:p>
    <w:p w14:paraId="76C3ACB0" w14:textId="7A76D977" w:rsidR="00907A05" w:rsidRDefault="00074E26" w:rsidP="00475180">
      <w:pPr>
        <w:spacing w:line="360" w:lineRule="auto"/>
        <w:jc w:val="both"/>
        <w:rPr>
          <w:rFonts w:ascii="Arial" w:hAnsi="Arial" w:cs="Arial"/>
        </w:rPr>
      </w:pPr>
      <w:r>
        <w:rPr>
          <w:rFonts w:ascii="Arial" w:hAnsi="Arial" w:cs="Arial"/>
        </w:rPr>
        <w:t>To finalize I can say that</w:t>
      </w:r>
      <w:r w:rsidRPr="00475180">
        <w:rPr>
          <w:rFonts w:ascii="Arial" w:hAnsi="Arial" w:cs="Arial"/>
        </w:rPr>
        <w:t xml:space="preserve"> Hammersmith</w:t>
      </w:r>
      <w:r w:rsidR="00475180" w:rsidRPr="00475180">
        <w:rPr>
          <w:rFonts w:ascii="Arial" w:hAnsi="Arial" w:cs="Arial"/>
        </w:rPr>
        <w:t xml:space="preserve"> and Fulham Council can strengthen its community involvement initiatives, encourage transparency and accountability, and make sure that local services are responsive to people</w:t>
      </w:r>
      <w:r>
        <w:rPr>
          <w:rFonts w:ascii="Arial" w:hAnsi="Arial" w:cs="Arial"/>
        </w:rPr>
        <w:t>’</w:t>
      </w:r>
      <w:r w:rsidR="00475180" w:rsidRPr="00475180">
        <w:rPr>
          <w:rFonts w:ascii="Arial" w:hAnsi="Arial" w:cs="Arial"/>
        </w:rPr>
        <w:t>s demands by putting the aforementioned recommendations into practice. The council</w:t>
      </w:r>
      <w:r>
        <w:rPr>
          <w:rFonts w:ascii="Arial" w:hAnsi="Arial" w:cs="Arial"/>
        </w:rPr>
        <w:t>’</w:t>
      </w:r>
      <w:r w:rsidR="00475180" w:rsidRPr="00475180">
        <w:rPr>
          <w:rFonts w:ascii="Arial" w:hAnsi="Arial" w:cs="Arial"/>
        </w:rPr>
        <w:t>s community involvement initiatives can promote a more diverse and lively neighborhood where citizens actively participate in reshaping their neighborhood.</w:t>
      </w:r>
    </w:p>
    <w:p w14:paraId="4195D5F9" w14:textId="77777777" w:rsidR="00945400" w:rsidRDefault="00945400" w:rsidP="00475180">
      <w:pPr>
        <w:spacing w:line="360" w:lineRule="auto"/>
        <w:jc w:val="both"/>
        <w:rPr>
          <w:rFonts w:ascii="Arial" w:hAnsi="Arial" w:cs="Arial"/>
        </w:rPr>
      </w:pPr>
    </w:p>
    <w:p w14:paraId="73F770DC" w14:textId="77777777" w:rsidR="00945400" w:rsidRDefault="00945400" w:rsidP="00475180">
      <w:pPr>
        <w:spacing w:line="360" w:lineRule="auto"/>
        <w:jc w:val="both"/>
        <w:rPr>
          <w:rFonts w:ascii="Arial" w:hAnsi="Arial" w:cs="Arial"/>
        </w:rPr>
      </w:pPr>
    </w:p>
    <w:p w14:paraId="16FC1747" w14:textId="77777777" w:rsidR="00945400" w:rsidRDefault="00945400" w:rsidP="00475180">
      <w:pPr>
        <w:spacing w:line="360" w:lineRule="auto"/>
        <w:jc w:val="both"/>
        <w:rPr>
          <w:rFonts w:ascii="Arial" w:hAnsi="Arial" w:cs="Arial"/>
        </w:rPr>
      </w:pPr>
    </w:p>
    <w:p w14:paraId="3AF1D7E9" w14:textId="77777777" w:rsidR="00945400" w:rsidRDefault="00945400" w:rsidP="00475180">
      <w:pPr>
        <w:spacing w:line="360" w:lineRule="auto"/>
        <w:jc w:val="both"/>
        <w:rPr>
          <w:rFonts w:ascii="Arial" w:hAnsi="Arial" w:cs="Arial"/>
        </w:rPr>
      </w:pPr>
    </w:p>
    <w:p w14:paraId="50D216D6" w14:textId="77777777" w:rsidR="00945400" w:rsidRDefault="00945400" w:rsidP="00475180">
      <w:pPr>
        <w:spacing w:line="360" w:lineRule="auto"/>
        <w:jc w:val="both"/>
        <w:rPr>
          <w:rFonts w:ascii="Arial" w:hAnsi="Arial" w:cs="Arial"/>
        </w:rPr>
      </w:pPr>
    </w:p>
    <w:p w14:paraId="204836A1" w14:textId="77777777" w:rsidR="00945400" w:rsidRDefault="00945400" w:rsidP="00475180">
      <w:pPr>
        <w:spacing w:line="360" w:lineRule="auto"/>
        <w:jc w:val="both"/>
        <w:rPr>
          <w:rFonts w:ascii="Arial" w:hAnsi="Arial" w:cs="Arial"/>
        </w:rPr>
      </w:pPr>
    </w:p>
    <w:p w14:paraId="62C81324" w14:textId="77777777" w:rsidR="00945400" w:rsidRDefault="00945400" w:rsidP="00475180">
      <w:pPr>
        <w:spacing w:line="360" w:lineRule="auto"/>
        <w:jc w:val="both"/>
        <w:rPr>
          <w:rFonts w:ascii="Arial" w:hAnsi="Arial" w:cs="Arial"/>
        </w:rPr>
      </w:pPr>
    </w:p>
    <w:p w14:paraId="19EE655A" w14:textId="77777777" w:rsidR="00945400" w:rsidRDefault="00945400" w:rsidP="00475180">
      <w:pPr>
        <w:spacing w:line="360" w:lineRule="auto"/>
        <w:jc w:val="both"/>
        <w:rPr>
          <w:rFonts w:ascii="Arial" w:hAnsi="Arial" w:cs="Arial"/>
        </w:rPr>
      </w:pPr>
    </w:p>
    <w:p w14:paraId="130FB1A3" w14:textId="77777777" w:rsidR="00945400" w:rsidRDefault="00945400" w:rsidP="00475180">
      <w:pPr>
        <w:spacing w:line="360" w:lineRule="auto"/>
        <w:jc w:val="both"/>
        <w:rPr>
          <w:rFonts w:ascii="Arial" w:hAnsi="Arial" w:cs="Arial"/>
        </w:rPr>
      </w:pPr>
    </w:p>
    <w:p w14:paraId="16127499" w14:textId="77777777" w:rsidR="00945400" w:rsidRDefault="00945400" w:rsidP="00475180">
      <w:pPr>
        <w:spacing w:line="360" w:lineRule="auto"/>
        <w:jc w:val="both"/>
        <w:rPr>
          <w:rFonts w:ascii="Arial" w:hAnsi="Arial" w:cs="Arial"/>
        </w:rPr>
      </w:pPr>
    </w:p>
    <w:p w14:paraId="4101E261" w14:textId="77777777" w:rsidR="00945400" w:rsidRDefault="00945400" w:rsidP="00475180">
      <w:pPr>
        <w:spacing w:line="360" w:lineRule="auto"/>
        <w:jc w:val="both"/>
        <w:rPr>
          <w:rFonts w:ascii="Arial" w:hAnsi="Arial" w:cs="Arial"/>
        </w:rPr>
      </w:pPr>
    </w:p>
    <w:p w14:paraId="12342C7E" w14:textId="77777777" w:rsidR="00945400" w:rsidRDefault="00945400" w:rsidP="00475180">
      <w:pPr>
        <w:spacing w:line="360" w:lineRule="auto"/>
        <w:jc w:val="both"/>
        <w:rPr>
          <w:rFonts w:ascii="Arial" w:hAnsi="Arial" w:cs="Arial"/>
        </w:rPr>
      </w:pPr>
    </w:p>
    <w:p w14:paraId="4811F072" w14:textId="77777777" w:rsidR="00945400" w:rsidRDefault="00945400" w:rsidP="00475180">
      <w:pPr>
        <w:spacing w:line="360" w:lineRule="auto"/>
        <w:jc w:val="both"/>
        <w:rPr>
          <w:rFonts w:ascii="Arial" w:hAnsi="Arial" w:cs="Arial"/>
        </w:rPr>
      </w:pPr>
    </w:p>
    <w:p w14:paraId="4BAD072A" w14:textId="77777777" w:rsidR="00945400" w:rsidRDefault="00945400" w:rsidP="00475180">
      <w:pPr>
        <w:spacing w:line="360" w:lineRule="auto"/>
        <w:jc w:val="both"/>
        <w:rPr>
          <w:rFonts w:ascii="Arial" w:hAnsi="Arial" w:cs="Arial"/>
        </w:rPr>
      </w:pPr>
    </w:p>
    <w:p w14:paraId="2918914F" w14:textId="77777777" w:rsidR="00945400" w:rsidRDefault="00945400" w:rsidP="00475180">
      <w:pPr>
        <w:spacing w:line="360" w:lineRule="auto"/>
        <w:jc w:val="both"/>
        <w:rPr>
          <w:rFonts w:ascii="Arial" w:hAnsi="Arial" w:cs="Arial"/>
        </w:rPr>
      </w:pPr>
    </w:p>
    <w:p w14:paraId="320F1A23" w14:textId="77777777" w:rsidR="00945400" w:rsidRDefault="00945400" w:rsidP="00475180">
      <w:pPr>
        <w:spacing w:line="360" w:lineRule="auto"/>
        <w:jc w:val="both"/>
        <w:rPr>
          <w:rFonts w:ascii="Arial" w:hAnsi="Arial" w:cs="Arial"/>
        </w:rPr>
      </w:pPr>
    </w:p>
    <w:p w14:paraId="76C5E41F" w14:textId="77777777" w:rsidR="00945400" w:rsidRDefault="00945400" w:rsidP="00475180">
      <w:pPr>
        <w:spacing w:line="360" w:lineRule="auto"/>
        <w:jc w:val="both"/>
        <w:rPr>
          <w:rFonts w:ascii="Arial" w:hAnsi="Arial" w:cs="Arial"/>
        </w:rPr>
      </w:pPr>
    </w:p>
    <w:p w14:paraId="2E6564CF" w14:textId="41DB0B64" w:rsidR="00F74F77" w:rsidRPr="00F74F77" w:rsidRDefault="00945400" w:rsidP="00F74F77">
      <w:pPr>
        <w:spacing w:line="360" w:lineRule="auto"/>
        <w:jc w:val="center"/>
        <w:rPr>
          <w:rFonts w:ascii="Arial" w:hAnsi="Arial" w:cs="Arial"/>
          <w:b/>
          <w:bCs/>
          <w:u w:val="single"/>
        </w:rPr>
      </w:pPr>
      <w:r w:rsidRPr="00945400">
        <w:rPr>
          <w:rFonts w:ascii="Arial" w:hAnsi="Arial" w:cs="Arial"/>
          <w:b/>
          <w:bCs/>
          <w:u w:val="single"/>
        </w:rPr>
        <w:lastRenderedPageBreak/>
        <w:t>REFERENCES</w:t>
      </w:r>
    </w:p>
    <w:p w14:paraId="02D9234F" w14:textId="77777777" w:rsidR="00F74F77" w:rsidRPr="00F74F77" w:rsidRDefault="00F74F77" w:rsidP="00F74F77">
      <w:pPr>
        <w:widowControl w:val="0"/>
        <w:autoSpaceDE w:val="0"/>
        <w:autoSpaceDN w:val="0"/>
        <w:spacing w:after="0" w:line="360" w:lineRule="auto"/>
        <w:jc w:val="both"/>
        <w:rPr>
          <w:rFonts w:ascii="Arial" w:eastAsia="Times New Roman" w:hAnsi="Arial" w:cs="Arial"/>
          <w:lang w:val="en-GB"/>
          <w14:ligatures w14:val="none"/>
        </w:rPr>
      </w:pPr>
    </w:p>
    <w:p w14:paraId="5F2C3376" w14:textId="77777777" w:rsidR="00F74F77" w:rsidRPr="00F74F77" w:rsidRDefault="00F74F77" w:rsidP="00F74F77">
      <w:pPr>
        <w:widowControl w:val="0"/>
        <w:numPr>
          <w:ilvl w:val="0"/>
          <w:numId w:val="6"/>
        </w:numPr>
        <w:autoSpaceDE w:val="0"/>
        <w:autoSpaceDN w:val="0"/>
        <w:spacing w:after="240" w:line="360" w:lineRule="auto"/>
        <w:jc w:val="both"/>
        <w:rPr>
          <w:rFonts w:ascii="Arial" w:eastAsia="Times New Roman" w:hAnsi="Arial" w:cs="Arial"/>
          <w:lang w:val="en-GB" w:eastAsia="en-GB"/>
          <w14:ligatures w14:val="none"/>
        </w:rPr>
      </w:pPr>
      <w:bookmarkStart w:id="3" w:name="_Hlk131434205"/>
      <w:r w:rsidRPr="00F74F77">
        <w:rPr>
          <w:rFonts w:ascii="Arial" w:eastAsia="Times New Roman" w:hAnsi="Arial" w:cs="Arial"/>
          <w:lang w:val="en-GB" w:eastAsia="en-GB"/>
          <w14:ligatures w14:val="none"/>
        </w:rPr>
        <w:t xml:space="preserve">Coulter, B. (2018). </w:t>
      </w:r>
      <w:r w:rsidRPr="00F74F77">
        <w:rPr>
          <w:rFonts w:ascii="Arial" w:eastAsia="Times New Roman" w:hAnsi="Arial" w:cs="Arial"/>
          <w:i/>
          <w:iCs/>
          <w:lang w:val="en-GB" w:eastAsia="en-GB"/>
          <w14:ligatures w14:val="none"/>
        </w:rPr>
        <w:t>Building kids’ citizenship through community engagement</w:t>
      </w:r>
      <w:r w:rsidRPr="00F74F77">
        <w:rPr>
          <w:rFonts w:ascii="Arial" w:eastAsia="Times New Roman" w:hAnsi="Arial" w:cs="Arial"/>
          <w:lang w:val="en-GB" w:eastAsia="en-GB"/>
          <w14:ligatures w14:val="none"/>
        </w:rPr>
        <w:t>. New York, Peter Lang Publishing, Inc.</w:t>
      </w:r>
    </w:p>
    <w:p w14:paraId="3DBF24B0" w14:textId="77777777" w:rsidR="00F74F77" w:rsidRPr="00F74F77" w:rsidRDefault="00F74F77" w:rsidP="00F74F77">
      <w:pPr>
        <w:widowControl w:val="0"/>
        <w:numPr>
          <w:ilvl w:val="0"/>
          <w:numId w:val="6"/>
        </w:numPr>
        <w:autoSpaceDE w:val="0"/>
        <w:autoSpaceDN w:val="0"/>
        <w:spacing w:after="240" w:line="360" w:lineRule="auto"/>
        <w:jc w:val="both"/>
        <w:rPr>
          <w:rFonts w:ascii="Arial" w:eastAsia="Times New Roman" w:hAnsi="Arial" w:cs="Arial"/>
          <w:lang w:val="en-GB" w:eastAsia="en-GB"/>
          <w14:ligatures w14:val="none"/>
        </w:rPr>
      </w:pPr>
      <w:proofErr w:type="spellStart"/>
      <w:r w:rsidRPr="00F74F77">
        <w:rPr>
          <w:rFonts w:ascii="Arial" w:eastAsia="Times New Roman" w:hAnsi="Arial" w:cs="Arial"/>
          <w:lang w:val="en-GB" w:eastAsia="en-GB"/>
          <w14:ligatures w14:val="none"/>
        </w:rPr>
        <w:t>Dolgon</w:t>
      </w:r>
      <w:proofErr w:type="spellEnd"/>
      <w:r w:rsidRPr="00F74F77">
        <w:rPr>
          <w:rFonts w:ascii="Arial" w:eastAsia="Times New Roman" w:hAnsi="Arial" w:cs="Arial"/>
          <w:lang w:val="en-GB" w:eastAsia="en-GB"/>
          <w14:ligatures w14:val="none"/>
        </w:rPr>
        <w:t xml:space="preserve">, C., Mitchell, T.D. and </w:t>
      </w:r>
      <w:proofErr w:type="spellStart"/>
      <w:r w:rsidRPr="00F74F77">
        <w:rPr>
          <w:rFonts w:ascii="Arial" w:eastAsia="Times New Roman" w:hAnsi="Arial" w:cs="Arial"/>
          <w:lang w:val="en-GB" w:eastAsia="en-GB"/>
          <w14:ligatures w14:val="none"/>
        </w:rPr>
        <w:t>Eatman</w:t>
      </w:r>
      <w:proofErr w:type="spellEnd"/>
      <w:r w:rsidRPr="00F74F77">
        <w:rPr>
          <w:rFonts w:ascii="Arial" w:eastAsia="Times New Roman" w:hAnsi="Arial" w:cs="Arial"/>
          <w:lang w:val="en-GB" w:eastAsia="en-GB"/>
          <w14:ligatures w14:val="none"/>
        </w:rPr>
        <w:t xml:space="preserve">, T.K. (2019). </w:t>
      </w:r>
      <w:r w:rsidRPr="00F74F77">
        <w:rPr>
          <w:rFonts w:ascii="Arial" w:eastAsia="Times New Roman" w:hAnsi="Arial" w:cs="Arial"/>
          <w:i/>
          <w:iCs/>
          <w:lang w:val="en-GB" w:eastAsia="en-GB"/>
          <w14:ligatures w14:val="none"/>
        </w:rPr>
        <w:t>The Cambridge handbook of service learning and community engagement</w:t>
      </w:r>
      <w:r w:rsidRPr="00F74F77">
        <w:rPr>
          <w:rFonts w:ascii="Arial" w:eastAsia="Times New Roman" w:hAnsi="Arial" w:cs="Arial"/>
          <w:lang w:val="en-GB" w:eastAsia="en-GB"/>
          <w14:ligatures w14:val="none"/>
        </w:rPr>
        <w:t>. Cambridge: Cambridge University Press.</w:t>
      </w:r>
    </w:p>
    <w:p w14:paraId="68EF5737" w14:textId="77777777" w:rsidR="00F74F77" w:rsidRPr="00F74F77" w:rsidRDefault="00F74F77" w:rsidP="00F74F77">
      <w:pPr>
        <w:widowControl w:val="0"/>
        <w:numPr>
          <w:ilvl w:val="0"/>
          <w:numId w:val="6"/>
        </w:numPr>
        <w:autoSpaceDE w:val="0"/>
        <w:autoSpaceDN w:val="0"/>
        <w:spacing w:after="240" w:line="360" w:lineRule="auto"/>
        <w:jc w:val="both"/>
        <w:rPr>
          <w:rFonts w:ascii="Arial" w:eastAsia="Times New Roman" w:hAnsi="Arial" w:cs="Arial"/>
          <w:lang w:val="en-GB" w:eastAsia="en-GB"/>
          <w14:ligatures w14:val="none"/>
        </w:rPr>
      </w:pPr>
      <w:r w:rsidRPr="00F74F77">
        <w:rPr>
          <w:rFonts w:ascii="Arial" w:eastAsia="Times New Roman" w:hAnsi="Arial" w:cs="Arial"/>
          <w:lang w:val="en-GB" w:eastAsia="en-GB"/>
          <w14:ligatures w14:val="none"/>
        </w:rPr>
        <w:t xml:space="preserve">Fitzgerald, H.E. and Primavera, J. (2013). </w:t>
      </w:r>
      <w:r w:rsidRPr="00F74F77">
        <w:rPr>
          <w:rFonts w:ascii="Arial" w:eastAsia="Times New Roman" w:hAnsi="Arial" w:cs="Arial"/>
          <w:i/>
          <w:iCs/>
          <w:lang w:val="en-GB" w:eastAsia="en-GB"/>
          <w14:ligatures w14:val="none"/>
        </w:rPr>
        <w:t>Going public: civic and community engagement</w:t>
      </w:r>
      <w:r w:rsidRPr="00F74F77">
        <w:rPr>
          <w:rFonts w:ascii="Arial" w:eastAsia="Times New Roman" w:hAnsi="Arial" w:cs="Arial"/>
          <w:lang w:val="en-GB" w:eastAsia="en-GB"/>
          <w14:ligatures w14:val="none"/>
        </w:rPr>
        <w:t>. East Lansing: Michigan State University Press.</w:t>
      </w:r>
    </w:p>
    <w:p w14:paraId="40F1CCAC" w14:textId="63118405" w:rsidR="00F74F77" w:rsidRPr="00F74F77" w:rsidRDefault="00F74F77" w:rsidP="00F74F77">
      <w:pPr>
        <w:widowControl w:val="0"/>
        <w:numPr>
          <w:ilvl w:val="0"/>
          <w:numId w:val="6"/>
        </w:numPr>
        <w:autoSpaceDE w:val="0"/>
        <w:autoSpaceDN w:val="0"/>
        <w:spacing w:after="240" w:line="360" w:lineRule="auto"/>
        <w:jc w:val="both"/>
        <w:rPr>
          <w:rFonts w:ascii="Arial" w:eastAsia="Times New Roman" w:hAnsi="Arial" w:cs="Arial"/>
          <w:lang w:val="en-GB" w:eastAsia="en-GB"/>
          <w14:ligatures w14:val="none"/>
        </w:rPr>
      </w:pPr>
      <w:r w:rsidRPr="00F74F77">
        <w:rPr>
          <w:rFonts w:ascii="Arial" w:eastAsia="Times New Roman" w:hAnsi="Arial" w:cs="Arial"/>
          <w:lang w:val="en-GB" w:eastAsia="en-GB"/>
          <w14:ligatures w14:val="none"/>
        </w:rPr>
        <w:t xml:space="preserve">Gilmore, B., </w:t>
      </w:r>
      <w:proofErr w:type="spellStart"/>
      <w:r w:rsidRPr="00F74F77">
        <w:rPr>
          <w:rFonts w:ascii="Arial" w:eastAsia="Times New Roman" w:hAnsi="Arial" w:cs="Arial"/>
          <w:lang w:val="en-GB" w:eastAsia="en-GB"/>
          <w14:ligatures w14:val="none"/>
        </w:rPr>
        <w:t>Ndejjo</w:t>
      </w:r>
      <w:proofErr w:type="spellEnd"/>
      <w:r w:rsidRPr="00F74F77">
        <w:rPr>
          <w:rFonts w:ascii="Arial" w:eastAsia="Times New Roman" w:hAnsi="Arial" w:cs="Arial"/>
          <w:lang w:val="en-GB" w:eastAsia="en-GB"/>
          <w14:ligatures w14:val="none"/>
        </w:rPr>
        <w:t xml:space="preserve">, R., </w:t>
      </w:r>
      <w:proofErr w:type="spellStart"/>
      <w:r w:rsidRPr="00F74F77">
        <w:rPr>
          <w:rFonts w:ascii="Arial" w:eastAsia="Times New Roman" w:hAnsi="Arial" w:cs="Arial"/>
          <w:lang w:val="en-GB" w:eastAsia="en-GB"/>
          <w14:ligatures w14:val="none"/>
        </w:rPr>
        <w:t>Tchetchia</w:t>
      </w:r>
      <w:proofErr w:type="spellEnd"/>
      <w:r w:rsidRPr="00F74F77">
        <w:rPr>
          <w:rFonts w:ascii="Arial" w:eastAsia="Times New Roman" w:hAnsi="Arial" w:cs="Arial"/>
          <w:lang w:val="en-GB" w:eastAsia="en-GB"/>
          <w14:ligatures w14:val="none"/>
        </w:rPr>
        <w:t xml:space="preserve">, A., de Claro, V., Mago, E., Diallo, A.A., Lopes, C. and Bhattacharyya, S. (2020). ‘Community engagement for COVID-19 prevention and control: rapid evidence synthesis’. </w:t>
      </w:r>
      <w:r w:rsidRPr="00F74F77">
        <w:rPr>
          <w:rFonts w:ascii="Arial" w:eastAsia="Times New Roman" w:hAnsi="Arial" w:cs="Arial"/>
          <w:i/>
          <w:iCs/>
          <w:lang w:val="en-GB" w:eastAsia="en-GB"/>
          <w14:ligatures w14:val="none"/>
        </w:rPr>
        <w:t>BMJ global health</w:t>
      </w:r>
      <w:r w:rsidRPr="00F74F77">
        <w:rPr>
          <w:rFonts w:ascii="Arial" w:eastAsia="Times New Roman" w:hAnsi="Arial" w:cs="Arial"/>
          <w:lang w:val="en-GB" w:eastAsia="en-GB"/>
          <w14:ligatures w14:val="none"/>
        </w:rPr>
        <w:t xml:space="preserve">, 5(10). Available at: </w:t>
      </w:r>
      <w:hyperlink r:id="rId18" w:history="1">
        <w:r w:rsidRPr="00F74F77">
          <w:rPr>
            <w:rFonts w:ascii="Arial" w:eastAsia="Times New Roman" w:hAnsi="Arial" w:cs="Arial"/>
            <w:lang w:val="en-GB" w:eastAsia="en-GB"/>
            <w14:ligatures w14:val="none"/>
          </w:rPr>
          <w:t>https://pubmed.ncbi.nlm.nih.gov/33051285/</w:t>
        </w:r>
      </w:hyperlink>
      <w:r w:rsidRPr="00F74F77">
        <w:rPr>
          <w:rFonts w:ascii="Arial" w:eastAsia="Times New Roman" w:hAnsi="Arial" w:cs="Arial"/>
          <w:lang w:val="en-GB" w:eastAsia="en-GB"/>
          <w14:ligatures w14:val="none"/>
        </w:rPr>
        <w:t xml:space="preserve"> (Accessed 2</w:t>
      </w:r>
      <w:r>
        <w:rPr>
          <w:rFonts w:ascii="Arial" w:eastAsia="Times New Roman" w:hAnsi="Arial" w:cs="Arial"/>
          <w:lang w:val="en-GB" w:eastAsia="en-GB"/>
          <w14:ligatures w14:val="none"/>
        </w:rPr>
        <w:t>0th</w:t>
      </w:r>
      <w:r>
        <w:rPr>
          <w:rFonts w:ascii="Arial" w:eastAsia="Times New Roman" w:hAnsi="Arial" w:cs="Arial"/>
          <w:vertAlign w:val="superscript"/>
          <w:lang w:val="en-GB" w:eastAsia="en-GB"/>
          <w14:ligatures w14:val="none"/>
        </w:rPr>
        <w:t xml:space="preserve"> </w:t>
      </w:r>
      <w:r>
        <w:rPr>
          <w:rFonts w:ascii="Arial" w:eastAsia="Times New Roman" w:hAnsi="Arial" w:cs="Arial"/>
          <w:lang w:val="en-GB" w:eastAsia="en-GB"/>
          <w14:ligatures w14:val="none"/>
        </w:rPr>
        <w:t>April</w:t>
      </w:r>
      <w:r w:rsidRPr="00F74F77">
        <w:rPr>
          <w:rFonts w:ascii="Arial" w:eastAsia="Times New Roman" w:hAnsi="Arial" w:cs="Arial"/>
          <w:lang w:val="en-GB" w:eastAsia="en-GB"/>
          <w14:ligatures w14:val="none"/>
        </w:rPr>
        <w:t xml:space="preserve"> 2023).</w:t>
      </w:r>
    </w:p>
    <w:p w14:paraId="1745A759" w14:textId="6046548E" w:rsidR="00F74F77" w:rsidRPr="00F74F77" w:rsidRDefault="00F74F77" w:rsidP="00F74F77">
      <w:pPr>
        <w:widowControl w:val="0"/>
        <w:numPr>
          <w:ilvl w:val="0"/>
          <w:numId w:val="6"/>
        </w:numPr>
        <w:autoSpaceDE w:val="0"/>
        <w:autoSpaceDN w:val="0"/>
        <w:spacing w:after="240" w:line="360" w:lineRule="auto"/>
        <w:jc w:val="both"/>
        <w:rPr>
          <w:rFonts w:ascii="Arial" w:eastAsia="Times New Roman" w:hAnsi="Arial" w:cs="Arial"/>
          <w:lang w:val="en-GB" w:eastAsia="en-GB"/>
          <w14:ligatures w14:val="none"/>
        </w:rPr>
      </w:pPr>
      <w:r w:rsidRPr="00F74F77">
        <w:rPr>
          <w:rFonts w:ascii="Arial" w:eastAsia="Times New Roman" w:hAnsi="Arial" w:cs="Arial"/>
          <w:lang w:val="en-GB" w:eastAsia="en-GB"/>
          <w14:ligatures w14:val="none"/>
        </w:rPr>
        <w:t xml:space="preserve">Haldane, V., </w:t>
      </w:r>
      <w:proofErr w:type="spellStart"/>
      <w:r w:rsidRPr="00F74F77">
        <w:rPr>
          <w:rFonts w:ascii="Arial" w:eastAsia="Times New Roman" w:hAnsi="Arial" w:cs="Arial"/>
          <w:lang w:val="en-GB" w:eastAsia="en-GB"/>
          <w14:ligatures w14:val="none"/>
        </w:rPr>
        <w:t>Chuah</w:t>
      </w:r>
      <w:proofErr w:type="spellEnd"/>
      <w:r w:rsidRPr="00F74F77">
        <w:rPr>
          <w:rFonts w:ascii="Arial" w:eastAsia="Times New Roman" w:hAnsi="Arial" w:cs="Arial"/>
          <w:lang w:val="en-GB" w:eastAsia="en-GB"/>
          <w14:ligatures w14:val="none"/>
        </w:rPr>
        <w:t xml:space="preserve">, F.L.H., Srivastava, A., Singh, S.R., Koh, G.C.H., Seng, C.K. and </w:t>
      </w:r>
      <w:proofErr w:type="spellStart"/>
      <w:r w:rsidRPr="00F74F77">
        <w:rPr>
          <w:rFonts w:ascii="Arial" w:eastAsia="Times New Roman" w:hAnsi="Arial" w:cs="Arial"/>
          <w:lang w:val="en-GB" w:eastAsia="en-GB"/>
          <w14:ligatures w14:val="none"/>
        </w:rPr>
        <w:t>Legido</w:t>
      </w:r>
      <w:proofErr w:type="spellEnd"/>
      <w:r w:rsidRPr="00F74F77">
        <w:rPr>
          <w:rFonts w:ascii="Arial" w:eastAsia="Times New Roman" w:hAnsi="Arial" w:cs="Arial"/>
          <w:lang w:val="en-GB" w:eastAsia="en-GB"/>
          <w14:ligatures w14:val="none"/>
        </w:rPr>
        <w:t xml:space="preserve">-Quigley, H. (2019). ‘Community participation in health services development, implementation, and evaluation: A systematic review of empowerment, health, community, and process outcomes’. </w:t>
      </w:r>
      <w:r w:rsidRPr="00F74F77">
        <w:rPr>
          <w:rFonts w:ascii="Arial" w:eastAsia="Times New Roman" w:hAnsi="Arial" w:cs="Arial"/>
          <w:i/>
          <w:iCs/>
          <w:lang w:val="en-GB" w:eastAsia="en-GB"/>
          <w14:ligatures w14:val="none"/>
        </w:rPr>
        <w:t>PLOS ONE</w:t>
      </w:r>
      <w:r w:rsidRPr="00F74F77">
        <w:rPr>
          <w:rFonts w:ascii="Arial" w:eastAsia="Times New Roman" w:hAnsi="Arial" w:cs="Arial"/>
          <w:lang w:val="en-GB" w:eastAsia="en-GB"/>
          <w14:ligatures w14:val="none"/>
        </w:rPr>
        <w:t>, 14(5). Available at: https://journals.plos.org/plosone/article?id=10.1371/journal.pone.0216112 (Accessed 1</w:t>
      </w:r>
      <w:r>
        <w:rPr>
          <w:rFonts w:ascii="Arial" w:eastAsia="Times New Roman" w:hAnsi="Arial" w:cs="Arial"/>
          <w:lang w:val="en-GB" w:eastAsia="en-GB"/>
          <w14:ligatures w14:val="none"/>
        </w:rPr>
        <w:t>9</w:t>
      </w:r>
      <w:r>
        <w:rPr>
          <w:rFonts w:ascii="Arial" w:eastAsia="Times New Roman" w:hAnsi="Arial" w:cs="Arial"/>
          <w:vertAlign w:val="superscript"/>
          <w:lang w:val="en-GB" w:eastAsia="en-GB"/>
          <w14:ligatures w14:val="none"/>
        </w:rPr>
        <w:t xml:space="preserve">th </w:t>
      </w:r>
      <w:r w:rsidRPr="00F74F77">
        <w:rPr>
          <w:rFonts w:ascii="Arial" w:eastAsia="Times New Roman" w:hAnsi="Arial" w:cs="Arial"/>
          <w:lang w:val="en-GB" w:eastAsia="en-GB"/>
          <w14:ligatures w14:val="none"/>
        </w:rPr>
        <w:t>April 2023).</w:t>
      </w:r>
    </w:p>
    <w:p w14:paraId="6631B209" w14:textId="0FD9B798" w:rsidR="00F74F77" w:rsidRPr="00F74F77" w:rsidRDefault="00F74F77" w:rsidP="00F74F77">
      <w:pPr>
        <w:widowControl w:val="0"/>
        <w:numPr>
          <w:ilvl w:val="0"/>
          <w:numId w:val="6"/>
        </w:numPr>
        <w:autoSpaceDE w:val="0"/>
        <w:autoSpaceDN w:val="0"/>
        <w:spacing w:after="240" w:line="360" w:lineRule="auto"/>
        <w:jc w:val="both"/>
        <w:rPr>
          <w:rFonts w:ascii="Arial" w:eastAsia="Times New Roman" w:hAnsi="Arial" w:cs="Arial"/>
          <w:lang w:val="en-GB" w:eastAsia="en-GB"/>
          <w14:ligatures w14:val="none"/>
        </w:rPr>
      </w:pPr>
      <w:r w:rsidRPr="00F74F77">
        <w:rPr>
          <w:rFonts w:ascii="Arial" w:eastAsia="Times New Roman" w:hAnsi="Arial" w:cs="Arial"/>
          <w:lang w:val="en-GB" w:eastAsia="en-GB"/>
          <w14:ligatures w14:val="none"/>
        </w:rPr>
        <w:t xml:space="preserve">Li, C., </w:t>
      </w:r>
      <w:proofErr w:type="spellStart"/>
      <w:r w:rsidRPr="00F74F77">
        <w:rPr>
          <w:rFonts w:ascii="Arial" w:eastAsia="Times New Roman" w:hAnsi="Arial" w:cs="Arial"/>
          <w:lang w:val="en-GB" w:eastAsia="en-GB"/>
          <w14:ligatures w14:val="none"/>
        </w:rPr>
        <w:t>Rajgopal</w:t>
      </w:r>
      <w:proofErr w:type="spellEnd"/>
      <w:r w:rsidRPr="00F74F77">
        <w:rPr>
          <w:rFonts w:ascii="Arial" w:eastAsia="Times New Roman" w:hAnsi="Arial" w:cs="Arial"/>
          <w:lang w:val="en-GB" w:eastAsia="en-GB"/>
          <w14:ligatures w14:val="none"/>
        </w:rPr>
        <w:t xml:space="preserve">, A., Shah, S. and </w:t>
      </w:r>
      <w:proofErr w:type="spellStart"/>
      <w:r w:rsidRPr="00F74F77">
        <w:rPr>
          <w:rFonts w:ascii="Arial" w:eastAsia="Times New Roman" w:hAnsi="Arial" w:cs="Arial"/>
          <w:lang w:val="en-GB" w:eastAsia="en-GB"/>
          <w14:ligatures w14:val="none"/>
        </w:rPr>
        <w:t>Rockson</w:t>
      </w:r>
      <w:proofErr w:type="spellEnd"/>
      <w:r w:rsidRPr="00F74F77">
        <w:rPr>
          <w:rFonts w:ascii="Arial" w:eastAsia="Times New Roman" w:hAnsi="Arial" w:cs="Arial"/>
          <w:lang w:val="en-GB" w:eastAsia="en-GB"/>
          <w14:ligatures w14:val="none"/>
        </w:rPr>
        <w:t xml:space="preserve">, A. (2023). </w:t>
      </w:r>
      <w:r w:rsidRPr="00F74F77">
        <w:rPr>
          <w:rFonts w:ascii="Arial" w:eastAsia="Times New Roman" w:hAnsi="Arial" w:cs="Arial"/>
          <w:i/>
          <w:iCs/>
          <w:lang w:val="en-GB" w:eastAsia="en-GB"/>
          <w14:ligatures w14:val="none"/>
        </w:rPr>
        <w:t>An analysis of community provision to support the mental health of children and young people (0-25 years) of the African diaspora</w:t>
      </w:r>
      <w:r w:rsidRPr="00F74F77">
        <w:rPr>
          <w:rFonts w:ascii="Arial" w:eastAsia="Times New Roman" w:hAnsi="Arial" w:cs="Arial"/>
          <w:lang w:val="en-GB" w:eastAsia="en-GB"/>
          <w14:ligatures w14:val="none"/>
        </w:rPr>
        <w:t xml:space="preserve">. [online] Available at: https://yhff.org.uk/images/downloads/ypfWebsite/An-analysis-of-community-provision-to-support-the-mental-health-of-Children-Young-People-0-25-years-from-the-African-Diaspora.pdf (Accessed </w:t>
      </w:r>
      <w:r>
        <w:rPr>
          <w:rFonts w:ascii="Arial" w:eastAsia="Times New Roman" w:hAnsi="Arial" w:cs="Arial"/>
          <w:lang w:val="en-GB" w:eastAsia="en-GB"/>
          <w14:ligatures w14:val="none"/>
        </w:rPr>
        <w:t>18</w:t>
      </w:r>
      <w:r>
        <w:rPr>
          <w:rFonts w:ascii="Arial" w:eastAsia="Times New Roman" w:hAnsi="Arial" w:cs="Arial"/>
          <w:vertAlign w:val="superscript"/>
          <w:lang w:val="en-GB" w:eastAsia="en-GB"/>
          <w14:ligatures w14:val="none"/>
        </w:rPr>
        <w:t>th</w:t>
      </w:r>
      <w:r w:rsidRPr="00F74F77">
        <w:rPr>
          <w:rFonts w:ascii="Arial" w:eastAsia="Times New Roman" w:hAnsi="Arial" w:cs="Arial"/>
          <w:lang w:val="en-GB" w:eastAsia="en-GB"/>
          <w14:ligatures w14:val="none"/>
        </w:rPr>
        <w:t xml:space="preserve"> </w:t>
      </w:r>
      <w:r>
        <w:rPr>
          <w:rFonts w:ascii="Arial" w:eastAsia="Times New Roman" w:hAnsi="Arial" w:cs="Arial"/>
          <w:lang w:val="en-GB" w:eastAsia="en-GB"/>
          <w14:ligatures w14:val="none"/>
        </w:rPr>
        <w:t>April</w:t>
      </w:r>
      <w:r w:rsidRPr="00F74F77">
        <w:rPr>
          <w:rFonts w:ascii="Arial" w:eastAsia="Times New Roman" w:hAnsi="Arial" w:cs="Arial"/>
          <w:lang w:val="en-GB" w:eastAsia="en-GB"/>
          <w14:ligatures w14:val="none"/>
        </w:rPr>
        <w:t xml:space="preserve"> 2023).</w:t>
      </w:r>
    </w:p>
    <w:p w14:paraId="1B87DFA9" w14:textId="4B557F7A" w:rsidR="00F74F77" w:rsidRDefault="00F74F77" w:rsidP="00F74F77">
      <w:pPr>
        <w:widowControl w:val="0"/>
        <w:numPr>
          <w:ilvl w:val="0"/>
          <w:numId w:val="6"/>
        </w:numPr>
        <w:autoSpaceDE w:val="0"/>
        <w:autoSpaceDN w:val="0"/>
        <w:spacing w:after="240" w:line="360" w:lineRule="auto"/>
        <w:jc w:val="both"/>
        <w:rPr>
          <w:rFonts w:ascii="Arial" w:eastAsia="Times New Roman" w:hAnsi="Arial" w:cs="Arial"/>
          <w:lang w:val="en-GB" w:eastAsia="en-GB"/>
          <w14:ligatures w14:val="none"/>
        </w:rPr>
      </w:pPr>
      <w:r w:rsidRPr="00F74F77">
        <w:rPr>
          <w:rFonts w:ascii="Arial" w:eastAsia="Times New Roman" w:hAnsi="Arial" w:cs="Arial"/>
          <w:lang w:val="en-GB" w:eastAsia="en-GB"/>
          <w14:ligatures w14:val="none"/>
        </w:rPr>
        <w:t xml:space="preserve">Lucy, B. (2019). </w:t>
      </w:r>
      <w:r w:rsidRPr="00F74F77">
        <w:rPr>
          <w:rFonts w:ascii="Arial" w:eastAsia="Times New Roman" w:hAnsi="Arial" w:cs="Arial"/>
          <w:i/>
          <w:iCs/>
          <w:lang w:val="en-GB" w:eastAsia="en-GB"/>
          <w14:ligatures w14:val="none"/>
        </w:rPr>
        <w:t xml:space="preserve">Hammersmith &amp; </w:t>
      </w:r>
      <w:proofErr w:type="spellStart"/>
      <w:r w:rsidRPr="00F74F77">
        <w:rPr>
          <w:rFonts w:ascii="Arial" w:eastAsia="Times New Roman" w:hAnsi="Arial" w:cs="Arial"/>
          <w:i/>
          <w:iCs/>
          <w:lang w:val="en-GB" w:eastAsia="en-GB"/>
          <w14:ligatures w14:val="none"/>
        </w:rPr>
        <w:t>Gulham</w:t>
      </w:r>
      <w:proofErr w:type="spellEnd"/>
      <w:r w:rsidRPr="00F74F77">
        <w:rPr>
          <w:rFonts w:ascii="Arial" w:eastAsia="Times New Roman" w:hAnsi="Arial" w:cs="Arial"/>
          <w:i/>
          <w:iCs/>
          <w:lang w:val="en-GB" w:eastAsia="en-GB"/>
          <w14:ligatures w14:val="none"/>
        </w:rPr>
        <w:t xml:space="preserve"> Council Statement of Accounts 2018-19 Audited</w:t>
      </w:r>
      <w:r w:rsidRPr="00F74F77">
        <w:rPr>
          <w:rFonts w:ascii="Arial" w:eastAsia="Times New Roman" w:hAnsi="Arial" w:cs="Arial"/>
          <w:lang w:val="en-GB" w:eastAsia="en-GB"/>
          <w14:ligatures w14:val="none"/>
        </w:rPr>
        <w:t xml:space="preserve">. [online] Policycommons.net. Available at: https://policycommons.net/artifacts/2648269/hammersmith-gulham-council-statement-of-accounts-2018-19-audited/3671116/ (Accessed </w:t>
      </w:r>
      <w:r>
        <w:rPr>
          <w:rFonts w:ascii="Arial" w:eastAsia="Times New Roman" w:hAnsi="Arial" w:cs="Arial"/>
          <w:lang w:val="en-GB" w:eastAsia="en-GB"/>
          <w14:ligatures w14:val="none"/>
        </w:rPr>
        <w:t>20</w:t>
      </w:r>
      <w:r w:rsidRPr="00F74F77">
        <w:rPr>
          <w:rFonts w:ascii="Arial" w:eastAsia="Times New Roman" w:hAnsi="Arial" w:cs="Arial"/>
          <w:vertAlign w:val="superscript"/>
          <w:lang w:val="en-GB" w:eastAsia="en-GB"/>
          <w14:ligatures w14:val="none"/>
        </w:rPr>
        <w:t>th</w:t>
      </w:r>
      <w:r w:rsidRPr="00F74F77">
        <w:rPr>
          <w:rFonts w:ascii="Arial" w:eastAsia="Times New Roman" w:hAnsi="Arial" w:cs="Arial"/>
          <w:lang w:val="en-GB" w:eastAsia="en-GB"/>
          <w14:ligatures w14:val="none"/>
        </w:rPr>
        <w:t xml:space="preserve"> </w:t>
      </w:r>
      <w:r>
        <w:rPr>
          <w:rFonts w:ascii="Arial" w:eastAsia="Times New Roman" w:hAnsi="Arial" w:cs="Arial"/>
          <w:lang w:val="en-GB" w:eastAsia="en-GB"/>
          <w14:ligatures w14:val="none"/>
        </w:rPr>
        <w:t>April</w:t>
      </w:r>
      <w:r w:rsidRPr="00F74F77">
        <w:rPr>
          <w:rFonts w:ascii="Arial" w:eastAsia="Times New Roman" w:hAnsi="Arial" w:cs="Arial"/>
          <w:lang w:val="en-GB" w:eastAsia="en-GB"/>
          <w14:ligatures w14:val="none"/>
        </w:rPr>
        <w:t xml:space="preserve"> 2023).</w:t>
      </w:r>
    </w:p>
    <w:p w14:paraId="35BE536D" w14:textId="77777777" w:rsidR="00F74F77" w:rsidRDefault="00F74F77" w:rsidP="00F74F77">
      <w:pPr>
        <w:widowControl w:val="0"/>
        <w:autoSpaceDE w:val="0"/>
        <w:autoSpaceDN w:val="0"/>
        <w:spacing w:after="240" w:line="360" w:lineRule="auto"/>
        <w:jc w:val="both"/>
        <w:rPr>
          <w:rFonts w:ascii="Arial" w:eastAsia="Times New Roman" w:hAnsi="Arial" w:cs="Arial"/>
          <w:lang w:val="en-GB" w:eastAsia="en-GB"/>
          <w14:ligatures w14:val="none"/>
        </w:rPr>
      </w:pPr>
    </w:p>
    <w:p w14:paraId="5E14FE13" w14:textId="77777777" w:rsidR="00F74F77" w:rsidRPr="00F74F77" w:rsidRDefault="00F74F77" w:rsidP="00F74F77">
      <w:pPr>
        <w:widowControl w:val="0"/>
        <w:autoSpaceDE w:val="0"/>
        <w:autoSpaceDN w:val="0"/>
        <w:spacing w:after="240" w:line="360" w:lineRule="auto"/>
        <w:jc w:val="both"/>
        <w:rPr>
          <w:rFonts w:ascii="Arial" w:eastAsia="Times New Roman" w:hAnsi="Arial" w:cs="Arial"/>
          <w:lang w:val="en-GB" w:eastAsia="en-GB"/>
          <w14:ligatures w14:val="none"/>
        </w:rPr>
      </w:pPr>
    </w:p>
    <w:p w14:paraId="469C0872" w14:textId="77777777" w:rsidR="00F74F77" w:rsidRPr="00F74F77" w:rsidRDefault="00F74F77" w:rsidP="00F74F77">
      <w:pPr>
        <w:widowControl w:val="0"/>
        <w:numPr>
          <w:ilvl w:val="0"/>
          <w:numId w:val="6"/>
        </w:numPr>
        <w:autoSpaceDE w:val="0"/>
        <w:autoSpaceDN w:val="0"/>
        <w:spacing w:after="240" w:line="360" w:lineRule="auto"/>
        <w:jc w:val="both"/>
        <w:rPr>
          <w:rFonts w:ascii="Arial" w:eastAsia="Times New Roman" w:hAnsi="Arial" w:cs="Arial"/>
          <w:lang w:val="en-GB" w:eastAsia="en-GB"/>
          <w14:ligatures w14:val="none"/>
        </w:rPr>
      </w:pPr>
      <w:r w:rsidRPr="00F74F77">
        <w:rPr>
          <w:rFonts w:ascii="Arial" w:eastAsia="Times New Roman" w:hAnsi="Arial" w:cs="Arial"/>
          <w:lang w:val="en-GB" w:eastAsia="en-GB"/>
          <w14:ligatures w14:val="none"/>
        </w:rPr>
        <w:lastRenderedPageBreak/>
        <w:t xml:space="preserve">Marsh, G., Ahmed, I., Mulligan, M., Donovan, J. and Barton, S. (2018). </w:t>
      </w:r>
      <w:r w:rsidRPr="00F74F77">
        <w:rPr>
          <w:rFonts w:ascii="Arial" w:eastAsia="Times New Roman" w:hAnsi="Arial" w:cs="Arial"/>
          <w:i/>
          <w:iCs/>
          <w:lang w:val="en-GB" w:eastAsia="en-GB"/>
          <w14:ligatures w14:val="none"/>
        </w:rPr>
        <w:t>Community engagement in post-disaster recovery</w:t>
      </w:r>
      <w:r w:rsidRPr="00F74F77">
        <w:rPr>
          <w:rFonts w:ascii="Arial" w:eastAsia="Times New Roman" w:hAnsi="Arial" w:cs="Arial"/>
          <w:lang w:val="en-GB" w:eastAsia="en-GB"/>
          <w14:ligatures w14:val="none"/>
        </w:rPr>
        <w:t xml:space="preserve">. Abingdon, Oxon: Routledge. </w:t>
      </w:r>
    </w:p>
    <w:p w14:paraId="6AFCE423" w14:textId="082811D1" w:rsidR="00F74F77" w:rsidRPr="00F74F77" w:rsidRDefault="00F74F77" w:rsidP="00F74F77">
      <w:pPr>
        <w:widowControl w:val="0"/>
        <w:numPr>
          <w:ilvl w:val="0"/>
          <w:numId w:val="6"/>
        </w:numPr>
        <w:autoSpaceDE w:val="0"/>
        <w:autoSpaceDN w:val="0"/>
        <w:spacing w:after="240" w:line="360" w:lineRule="auto"/>
        <w:jc w:val="both"/>
        <w:rPr>
          <w:rFonts w:ascii="Arial" w:eastAsia="Times New Roman" w:hAnsi="Arial" w:cs="Arial"/>
          <w:lang w:val="en-GB" w:eastAsia="en-GB"/>
          <w14:ligatures w14:val="none"/>
        </w:rPr>
      </w:pPr>
      <w:r w:rsidRPr="00F74F77">
        <w:rPr>
          <w:rFonts w:ascii="Arial" w:eastAsia="Times New Roman" w:hAnsi="Arial" w:cs="Arial"/>
          <w:lang w:val="en-GB" w:eastAsia="en-GB"/>
          <w14:ligatures w14:val="none"/>
        </w:rPr>
        <w:t xml:space="preserve">Pang, H.Y., </w:t>
      </w:r>
      <w:proofErr w:type="spellStart"/>
      <w:r w:rsidRPr="00F74F77">
        <w:rPr>
          <w:rFonts w:ascii="Arial" w:eastAsia="Times New Roman" w:hAnsi="Arial" w:cs="Arial"/>
          <w:lang w:val="en-GB" w:eastAsia="en-GB"/>
          <w14:ligatures w14:val="none"/>
        </w:rPr>
        <w:t>Bakhet</w:t>
      </w:r>
      <w:proofErr w:type="spellEnd"/>
      <w:r w:rsidRPr="00F74F77">
        <w:rPr>
          <w:rFonts w:ascii="Arial" w:eastAsia="Times New Roman" w:hAnsi="Arial" w:cs="Arial"/>
          <w:lang w:val="en-GB" w:eastAsia="en-GB"/>
          <w14:ligatures w14:val="none"/>
        </w:rPr>
        <w:t xml:space="preserve">, M., </w:t>
      </w:r>
      <w:proofErr w:type="spellStart"/>
      <w:r w:rsidRPr="00F74F77">
        <w:rPr>
          <w:rFonts w:ascii="Arial" w:eastAsia="Times New Roman" w:hAnsi="Arial" w:cs="Arial"/>
          <w:lang w:val="en-GB" w:eastAsia="en-GB"/>
          <w14:ligatures w14:val="none"/>
        </w:rPr>
        <w:t>Gnani</w:t>
      </w:r>
      <w:proofErr w:type="spellEnd"/>
      <w:r w:rsidRPr="00F74F77">
        <w:rPr>
          <w:rFonts w:ascii="Arial" w:eastAsia="Times New Roman" w:hAnsi="Arial" w:cs="Arial"/>
          <w:lang w:val="en-GB" w:eastAsia="en-GB"/>
          <w14:ligatures w14:val="none"/>
        </w:rPr>
        <w:t>, S., Majeed, A. and El-</w:t>
      </w:r>
      <w:proofErr w:type="spellStart"/>
      <w:r w:rsidRPr="00F74F77">
        <w:rPr>
          <w:rFonts w:ascii="Arial" w:eastAsia="Times New Roman" w:hAnsi="Arial" w:cs="Arial"/>
          <w:lang w:val="en-GB" w:eastAsia="en-GB"/>
          <w14:ligatures w14:val="none"/>
        </w:rPr>
        <w:t>Osta</w:t>
      </w:r>
      <w:proofErr w:type="spellEnd"/>
      <w:r w:rsidRPr="00F74F77">
        <w:rPr>
          <w:rFonts w:ascii="Arial" w:eastAsia="Times New Roman" w:hAnsi="Arial" w:cs="Arial"/>
          <w:lang w:val="en-GB" w:eastAsia="en-GB"/>
          <w14:ligatures w14:val="none"/>
        </w:rPr>
        <w:t xml:space="preserve">, A. (2019). </w:t>
      </w:r>
      <w:r w:rsidRPr="00F74F77">
        <w:rPr>
          <w:rFonts w:ascii="Arial" w:eastAsia="Times New Roman" w:hAnsi="Arial" w:cs="Arial"/>
          <w:i/>
          <w:iCs/>
          <w:lang w:val="en-GB" w:eastAsia="en-GB"/>
          <w14:ligatures w14:val="none"/>
        </w:rPr>
        <w:t>Leveraging community assets to tackle social isolation and loneliness: a needs assessment of the London Borough of Hammersmith &amp; Fulham</w:t>
      </w:r>
      <w:r w:rsidRPr="00F74F77">
        <w:rPr>
          <w:rFonts w:ascii="Arial" w:eastAsia="Times New Roman" w:hAnsi="Arial" w:cs="Arial"/>
          <w:lang w:val="en-GB" w:eastAsia="en-GB"/>
          <w14:ligatures w14:val="none"/>
        </w:rPr>
        <w:t>. [online] spiral.imperial.ac.uk. Available at: https://spiral.imperial.ac.uk/handle/10044/1/80602 (Accessed 30</w:t>
      </w:r>
      <w:r w:rsidRPr="00F74F77">
        <w:rPr>
          <w:rFonts w:ascii="Arial" w:eastAsia="Times New Roman" w:hAnsi="Arial" w:cs="Arial"/>
          <w:vertAlign w:val="superscript"/>
          <w:lang w:val="en-GB" w:eastAsia="en-GB"/>
          <w14:ligatures w14:val="none"/>
        </w:rPr>
        <w:t>th</w:t>
      </w:r>
      <w:r w:rsidRPr="00F74F77">
        <w:rPr>
          <w:rFonts w:ascii="Arial" w:eastAsia="Times New Roman" w:hAnsi="Arial" w:cs="Arial"/>
          <w:lang w:val="en-GB" w:eastAsia="en-GB"/>
          <w14:ligatures w14:val="none"/>
        </w:rPr>
        <w:t xml:space="preserve"> </w:t>
      </w:r>
      <w:r>
        <w:rPr>
          <w:rFonts w:ascii="Arial" w:eastAsia="Times New Roman" w:hAnsi="Arial" w:cs="Arial"/>
          <w:lang w:val="en-GB" w:eastAsia="en-GB"/>
          <w14:ligatures w14:val="none"/>
        </w:rPr>
        <w:t>April</w:t>
      </w:r>
      <w:r w:rsidRPr="00F74F77">
        <w:rPr>
          <w:rFonts w:ascii="Arial" w:eastAsia="Times New Roman" w:hAnsi="Arial" w:cs="Arial"/>
          <w:lang w:val="en-GB" w:eastAsia="en-GB"/>
          <w14:ligatures w14:val="none"/>
        </w:rPr>
        <w:t xml:space="preserve"> 2023).</w:t>
      </w:r>
    </w:p>
    <w:p w14:paraId="02C9140C" w14:textId="5B44629F" w:rsidR="00F74F77" w:rsidRPr="00F74F77" w:rsidRDefault="00F74F77" w:rsidP="00F74F77">
      <w:pPr>
        <w:widowControl w:val="0"/>
        <w:numPr>
          <w:ilvl w:val="0"/>
          <w:numId w:val="6"/>
        </w:numPr>
        <w:autoSpaceDE w:val="0"/>
        <w:autoSpaceDN w:val="0"/>
        <w:spacing w:after="240" w:line="360" w:lineRule="auto"/>
        <w:jc w:val="both"/>
        <w:rPr>
          <w:rFonts w:ascii="Arial" w:eastAsia="Times New Roman" w:hAnsi="Arial" w:cs="Arial"/>
          <w:lang w:val="en-GB" w:eastAsia="en-GB"/>
          <w14:ligatures w14:val="none"/>
        </w:rPr>
      </w:pPr>
      <w:r w:rsidRPr="00F74F77">
        <w:rPr>
          <w:rFonts w:ascii="Arial" w:eastAsia="Times New Roman" w:hAnsi="Arial" w:cs="Arial"/>
          <w:lang w:val="en-GB" w:eastAsia="en-GB"/>
          <w14:ligatures w14:val="none"/>
        </w:rPr>
        <w:t xml:space="preserve">Patel, A. (2019). </w:t>
      </w:r>
      <w:r w:rsidRPr="00F74F77">
        <w:rPr>
          <w:rFonts w:ascii="Arial" w:eastAsia="Times New Roman" w:hAnsi="Arial" w:cs="Arial"/>
          <w:i/>
          <w:iCs/>
          <w:lang w:val="en-GB" w:eastAsia="en-GB"/>
          <w14:ligatures w14:val="none"/>
        </w:rPr>
        <w:t>Multi-agency analysis of serious youth violence and strategies to reduce offending and reoffending and increase opportunities for young people in Hammersmith and Fulham</w:t>
      </w:r>
      <w:r w:rsidRPr="00F74F77">
        <w:rPr>
          <w:rFonts w:ascii="Arial" w:eastAsia="Times New Roman" w:hAnsi="Arial" w:cs="Arial"/>
          <w:lang w:val="en-GB" w:eastAsia="en-GB"/>
          <w14:ligatures w14:val="none"/>
        </w:rPr>
        <w:t>. [online] Available at: https://vip.org.uk/wp-content/uploads/2020/07/Project.pdf (Accessed 28</w:t>
      </w:r>
      <w:r w:rsidRPr="00F74F77">
        <w:rPr>
          <w:rFonts w:ascii="Arial" w:eastAsia="Times New Roman" w:hAnsi="Arial" w:cs="Arial"/>
          <w:vertAlign w:val="superscript"/>
          <w:lang w:val="en-GB" w:eastAsia="en-GB"/>
          <w14:ligatures w14:val="none"/>
        </w:rPr>
        <w:t>th</w:t>
      </w:r>
      <w:r w:rsidRPr="00F74F77">
        <w:rPr>
          <w:rFonts w:ascii="Arial" w:eastAsia="Times New Roman" w:hAnsi="Arial" w:cs="Arial"/>
          <w:lang w:val="en-GB" w:eastAsia="en-GB"/>
          <w14:ligatures w14:val="none"/>
        </w:rPr>
        <w:t xml:space="preserve"> </w:t>
      </w:r>
      <w:r>
        <w:rPr>
          <w:rFonts w:ascii="Arial" w:eastAsia="Times New Roman" w:hAnsi="Arial" w:cs="Arial"/>
          <w:lang w:val="en-GB" w:eastAsia="en-GB"/>
          <w14:ligatures w14:val="none"/>
        </w:rPr>
        <w:t>April</w:t>
      </w:r>
      <w:r w:rsidRPr="00F74F77">
        <w:rPr>
          <w:rFonts w:ascii="Arial" w:eastAsia="Times New Roman" w:hAnsi="Arial" w:cs="Arial"/>
          <w:lang w:val="en-GB" w:eastAsia="en-GB"/>
          <w14:ligatures w14:val="none"/>
        </w:rPr>
        <w:t xml:space="preserve"> 2023).</w:t>
      </w:r>
    </w:p>
    <w:p w14:paraId="7712B140" w14:textId="09481ED5" w:rsidR="00F74F77" w:rsidRPr="00F74F77" w:rsidRDefault="00F74F77" w:rsidP="00F74F77">
      <w:pPr>
        <w:widowControl w:val="0"/>
        <w:numPr>
          <w:ilvl w:val="0"/>
          <w:numId w:val="6"/>
        </w:numPr>
        <w:autoSpaceDE w:val="0"/>
        <w:autoSpaceDN w:val="0"/>
        <w:spacing w:after="240" w:line="360" w:lineRule="auto"/>
        <w:jc w:val="both"/>
        <w:rPr>
          <w:rFonts w:ascii="Arial" w:eastAsia="Times New Roman" w:hAnsi="Arial" w:cs="Arial"/>
          <w:lang w:val="en-GB" w:eastAsia="en-GB"/>
          <w14:ligatures w14:val="none"/>
        </w:rPr>
      </w:pPr>
      <w:r w:rsidRPr="00F74F77">
        <w:rPr>
          <w:rFonts w:ascii="Arial" w:eastAsia="Times New Roman" w:hAnsi="Arial" w:cs="Arial"/>
          <w:lang w:val="en-GB" w:eastAsia="en-GB"/>
          <w14:ligatures w14:val="none"/>
        </w:rPr>
        <w:t xml:space="preserve">Redman, D. (2022). </w:t>
      </w:r>
      <w:r w:rsidRPr="00F74F77">
        <w:rPr>
          <w:rFonts w:ascii="Arial" w:eastAsia="Times New Roman" w:hAnsi="Arial" w:cs="Arial"/>
          <w:i/>
          <w:iCs/>
          <w:lang w:val="en-GB" w:eastAsia="en-GB"/>
          <w14:ligatures w14:val="none"/>
        </w:rPr>
        <w:t>Hammersmith and Fulham: Prosperity score 54.6 (126th)</w:t>
      </w:r>
      <w:r w:rsidRPr="00F74F77">
        <w:rPr>
          <w:rFonts w:ascii="Arial" w:eastAsia="Times New Roman" w:hAnsi="Arial" w:cs="Arial"/>
          <w:lang w:val="en-GB" w:eastAsia="en-GB"/>
          <w14:ligatures w14:val="none"/>
        </w:rPr>
        <w:t>. [online] Policycommons.net. Available at: https://policycommons.net/artifacts/3134408/hammersmith-and-fulham/3927641/ (Accessed 29</w:t>
      </w:r>
      <w:r w:rsidRPr="00F74F77">
        <w:rPr>
          <w:rFonts w:ascii="Arial" w:eastAsia="Times New Roman" w:hAnsi="Arial" w:cs="Arial"/>
          <w:vertAlign w:val="superscript"/>
          <w:lang w:val="en-GB" w:eastAsia="en-GB"/>
          <w14:ligatures w14:val="none"/>
        </w:rPr>
        <w:t>th</w:t>
      </w:r>
      <w:r w:rsidRPr="00F74F77">
        <w:rPr>
          <w:rFonts w:ascii="Arial" w:eastAsia="Times New Roman" w:hAnsi="Arial" w:cs="Arial"/>
          <w:lang w:val="en-GB" w:eastAsia="en-GB"/>
          <w14:ligatures w14:val="none"/>
        </w:rPr>
        <w:t xml:space="preserve"> </w:t>
      </w:r>
      <w:r>
        <w:rPr>
          <w:rFonts w:ascii="Arial" w:eastAsia="Times New Roman" w:hAnsi="Arial" w:cs="Arial"/>
          <w:lang w:val="en-GB" w:eastAsia="en-GB"/>
          <w14:ligatures w14:val="none"/>
        </w:rPr>
        <w:t>April</w:t>
      </w:r>
      <w:r w:rsidRPr="00F74F77">
        <w:rPr>
          <w:rFonts w:ascii="Arial" w:eastAsia="Times New Roman" w:hAnsi="Arial" w:cs="Arial"/>
          <w:lang w:val="en-GB" w:eastAsia="en-GB"/>
          <w14:ligatures w14:val="none"/>
        </w:rPr>
        <w:t xml:space="preserve"> 2023).</w:t>
      </w:r>
      <w:bookmarkEnd w:id="3"/>
    </w:p>
    <w:p w14:paraId="1F4077BB" w14:textId="77777777" w:rsidR="00F74F77" w:rsidRPr="00945400" w:rsidRDefault="00F74F77" w:rsidP="00945400">
      <w:pPr>
        <w:spacing w:line="360" w:lineRule="auto"/>
        <w:jc w:val="center"/>
        <w:rPr>
          <w:rFonts w:ascii="Arial" w:hAnsi="Arial" w:cs="Arial"/>
          <w:b/>
          <w:bCs/>
          <w:u w:val="single"/>
        </w:rPr>
      </w:pPr>
    </w:p>
    <w:sectPr w:rsidR="00F74F77" w:rsidRPr="00945400" w:rsidSect="004B30AE">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5D78B" w14:textId="77777777" w:rsidR="002E1773" w:rsidRDefault="002E1773" w:rsidP="004B30AE">
      <w:pPr>
        <w:spacing w:after="0" w:line="240" w:lineRule="auto"/>
      </w:pPr>
      <w:r>
        <w:separator/>
      </w:r>
    </w:p>
  </w:endnote>
  <w:endnote w:type="continuationSeparator" w:id="0">
    <w:p w14:paraId="7C462497" w14:textId="77777777" w:rsidR="002E1773" w:rsidRDefault="002E1773" w:rsidP="004B3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96546" w14:textId="77777777" w:rsidR="004B30AE" w:rsidRDefault="004B30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6764399"/>
      <w:docPartObj>
        <w:docPartGallery w:val="Page Numbers (Bottom of Page)"/>
        <w:docPartUnique/>
      </w:docPartObj>
    </w:sdtPr>
    <w:sdtEndPr>
      <w:rPr>
        <w:noProof/>
      </w:rPr>
    </w:sdtEndPr>
    <w:sdtContent>
      <w:p w14:paraId="3360F020" w14:textId="06AB4F68" w:rsidR="004B30AE" w:rsidRDefault="004B30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BD996C" w14:textId="77777777" w:rsidR="004B30AE" w:rsidRDefault="004B30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06789" w14:textId="77777777" w:rsidR="004B30AE" w:rsidRDefault="004B3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618DA" w14:textId="77777777" w:rsidR="002E1773" w:rsidRDefault="002E1773" w:rsidP="004B30AE">
      <w:pPr>
        <w:spacing w:after="0" w:line="240" w:lineRule="auto"/>
      </w:pPr>
      <w:r>
        <w:separator/>
      </w:r>
    </w:p>
  </w:footnote>
  <w:footnote w:type="continuationSeparator" w:id="0">
    <w:p w14:paraId="5CF23AFF" w14:textId="77777777" w:rsidR="002E1773" w:rsidRDefault="002E1773" w:rsidP="004B30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20C8EE" w14:textId="77777777" w:rsidR="004B30AE" w:rsidRDefault="004B30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2E693B" w14:textId="77777777" w:rsidR="004B30AE" w:rsidRDefault="004B30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53AFE" w14:textId="77777777" w:rsidR="004B30AE" w:rsidRDefault="004B30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958FC"/>
    <w:multiLevelType w:val="hybridMultilevel"/>
    <w:tmpl w:val="2C4CD0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681A94"/>
    <w:multiLevelType w:val="hybridMultilevel"/>
    <w:tmpl w:val="245895F8"/>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8465F68"/>
    <w:multiLevelType w:val="hybridMultilevel"/>
    <w:tmpl w:val="09F445F2"/>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56567F"/>
    <w:multiLevelType w:val="hybridMultilevel"/>
    <w:tmpl w:val="F4227B9A"/>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2C24B0"/>
    <w:multiLevelType w:val="hybridMultilevel"/>
    <w:tmpl w:val="5B38CDFC"/>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6103A79"/>
    <w:multiLevelType w:val="hybridMultilevel"/>
    <w:tmpl w:val="170C6DD6"/>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0788820">
    <w:abstractNumId w:val="3"/>
  </w:num>
  <w:num w:numId="2" w16cid:durableId="1447313294">
    <w:abstractNumId w:val="4"/>
  </w:num>
  <w:num w:numId="3" w16cid:durableId="1643996008">
    <w:abstractNumId w:val="2"/>
  </w:num>
  <w:num w:numId="4" w16cid:durableId="1433821887">
    <w:abstractNumId w:val="0"/>
  </w:num>
  <w:num w:numId="5" w16cid:durableId="2065523801">
    <w:abstractNumId w:val="5"/>
  </w:num>
  <w:num w:numId="6" w16cid:durableId="1387342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B30AE"/>
    <w:rsid w:val="00074E26"/>
    <w:rsid w:val="00291BEA"/>
    <w:rsid w:val="002E1773"/>
    <w:rsid w:val="00331E4B"/>
    <w:rsid w:val="00363401"/>
    <w:rsid w:val="00374D4D"/>
    <w:rsid w:val="00441B16"/>
    <w:rsid w:val="00457D14"/>
    <w:rsid w:val="00475180"/>
    <w:rsid w:val="004B30AE"/>
    <w:rsid w:val="005C3871"/>
    <w:rsid w:val="00623525"/>
    <w:rsid w:val="00660AEE"/>
    <w:rsid w:val="006671F1"/>
    <w:rsid w:val="007E19E5"/>
    <w:rsid w:val="0081015E"/>
    <w:rsid w:val="008C3111"/>
    <w:rsid w:val="00907A05"/>
    <w:rsid w:val="00945400"/>
    <w:rsid w:val="00954689"/>
    <w:rsid w:val="009C1242"/>
    <w:rsid w:val="00A64BA7"/>
    <w:rsid w:val="00B56715"/>
    <w:rsid w:val="00C061EB"/>
    <w:rsid w:val="00E649C8"/>
    <w:rsid w:val="00F74F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426AA"/>
  <w15:chartTrackingRefBased/>
  <w15:docId w15:val="{E1C43AF8-72E9-4273-9D97-3FB7C8CC7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0AE"/>
    <w:rPr>
      <w:kern w:val="0"/>
    </w:rPr>
  </w:style>
  <w:style w:type="paragraph" w:styleId="Heading1">
    <w:name w:val="heading 1"/>
    <w:basedOn w:val="Normal"/>
    <w:next w:val="Normal"/>
    <w:link w:val="Heading1Char"/>
    <w:uiPriority w:val="9"/>
    <w:qFormat/>
    <w:rsid w:val="004B30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64B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30AE"/>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4B30AE"/>
    <w:rPr>
      <w:rFonts w:eastAsiaTheme="minorEastAsia"/>
      <w:kern w:val="0"/>
    </w:rPr>
  </w:style>
  <w:style w:type="character" w:customStyle="1" w:styleId="Heading1Char">
    <w:name w:val="Heading 1 Char"/>
    <w:basedOn w:val="DefaultParagraphFont"/>
    <w:link w:val="Heading1"/>
    <w:uiPriority w:val="9"/>
    <w:rsid w:val="004B30AE"/>
    <w:rPr>
      <w:rFonts w:asciiTheme="majorHAnsi" w:eastAsiaTheme="majorEastAsia" w:hAnsiTheme="majorHAnsi" w:cstheme="majorBidi"/>
      <w:color w:val="2F5496" w:themeColor="accent1" w:themeShade="BF"/>
      <w:kern w:val="0"/>
      <w:sz w:val="32"/>
      <w:szCs w:val="32"/>
    </w:rPr>
  </w:style>
  <w:style w:type="paragraph" w:styleId="TOCHeading">
    <w:name w:val="TOC Heading"/>
    <w:basedOn w:val="Heading1"/>
    <w:next w:val="Normal"/>
    <w:uiPriority w:val="39"/>
    <w:unhideWhenUsed/>
    <w:qFormat/>
    <w:rsid w:val="004B30AE"/>
    <w:pPr>
      <w:outlineLvl w:val="9"/>
    </w:pPr>
  </w:style>
  <w:style w:type="paragraph" w:styleId="TOC1">
    <w:name w:val="toc 1"/>
    <w:basedOn w:val="Normal"/>
    <w:next w:val="Normal"/>
    <w:autoRedefine/>
    <w:uiPriority w:val="39"/>
    <w:unhideWhenUsed/>
    <w:rsid w:val="004B30AE"/>
    <w:pPr>
      <w:widowControl w:val="0"/>
      <w:autoSpaceDE w:val="0"/>
      <w:autoSpaceDN w:val="0"/>
      <w:spacing w:after="100" w:line="360" w:lineRule="auto"/>
      <w:jc w:val="both"/>
    </w:pPr>
    <w:rPr>
      <w:rFonts w:ascii="Times New Roman" w:eastAsia="Times New Roman" w:hAnsi="Times New Roman" w:cs="Times New Roman"/>
      <w:sz w:val="24"/>
      <w:lang w:val="en-GB"/>
    </w:rPr>
  </w:style>
  <w:style w:type="paragraph" w:styleId="TOC2">
    <w:name w:val="toc 2"/>
    <w:basedOn w:val="Normal"/>
    <w:next w:val="Normal"/>
    <w:autoRedefine/>
    <w:uiPriority w:val="39"/>
    <w:unhideWhenUsed/>
    <w:rsid w:val="004B30AE"/>
    <w:pPr>
      <w:widowControl w:val="0"/>
      <w:autoSpaceDE w:val="0"/>
      <w:autoSpaceDN w:val="0"/>
      <w:spacing w:after="100" w:line="360" w:lineRule="auto"/>
      <w:ind w:left="240"/>
      <w:jc w:val="both"/>
    </w:pPr>
    <w:rPr>
      <w:rFonts w:ascii="Times New Roman" w:eastAsia="Times New Roman" w:hAnsi="Times New Roman" w:cs="Times New Roman"/>
      <w:sz w:val="24"/>
      <w:lang w:val="en-GB"/>
    </w:rPr>
  </w:style>
  <w:style w:type="character" w:styleId="Hyperlink">
    <w:name w:val="Hyperlink"/>
    <w:basedOn w:val="DefaultParagraphFont"/>
    <w:uiPriority w:val="99"/>
    <w:unhideWhenUsed/>
    <w:rsid w:val="004B30AE"/>
    <w:rPr>
      <w:color w:val="0563C1" w:themeColor="hyperlink"/>
      <w:u w:val="single"/>
    </w:rPr>
  </w:style>
  <w:style w:type="paragraph" w:styleId="Header">
    <w:name w:val="header"/>
    <w:basedOn w:val="Normal"/>
    <w:link w:val="HeaderChar"/>
    <w:uiPriority w:val="99"/>
    <w:unhideWhenUsed/>
    <w:rsid w:val="004B30AE"/>
    <w:pPr>
      <w:tabs>
        <w:tab w:val="center" w:pos="4703"/>
        <w:tab w:val="right" w:pos="9406"/>
      </w:tabs>
      <w:spacing w:after="0" w:line="240" w:lineRule="auto"/>
    </w:pPr>
  </w:style>
  <w:style w:type="character" w:customStyle="1" w:styleId="HeaderChar">
    <w:name w:val="Header Char"/>
    <w:basedOn w:val="DefaultParagraphFont"/>
    <w:link w:val="Header"/>
    <w:uiPriority w:val="99"/>
    <w:rsid w:val="004B30AE"/>
    <w:rPr>
      <w:kern w:val="0"/>
    </w:rPr>
  </w:style>
  <w:style w:type="paragraph" w:styleId="Footer">
    <w:name w:val="footer"/>
    <w:basedOn w:val="Normal"/>
    <w:link w:val="FooterChar"/>
    <w:uiPriority w:val="99"/>
    <w:unhideWhenUsed/>
    <w:rsid w:val="004B30AE"/>
    <w:pPr>
      <w:tabs>
        <w:tab w:val="center" w:pos="4703"/>
        <w:tab w:val="right" w:pos="9406"/>
      </w:tabs>
      <w:spacing w:after="0" w:line="240" w:lineRule="auto"/>
    </w:pPr>
  </w:style>
  <w:style w:type="character" w:customStyle="1" w:styleId="FooterChar">
    <w:name w:val="Footer Char"/>
    <w:basedOn w:val="DefaultParagraphFont"/>
    <w:link w:val="Footer"/>
    <w:uiPriority w:val="99"/>
    <w:rsid w:val="004B30AE"/>
    <w:rPr>
      <w:kern w:val="0"/>
    </w:rPr>
  </w:style>
  <w:style w:type="character" w:customStyle="1" w:styleId="Heading2Char">
    <w:name w:val="Heading 2 Char"/>
    <w:basedOn w:val="DefaultParagraphFont"/>
    <w:link w:val="Heading2"/>
    <w:uiPriority w:val="9"/>
    <w:semiHidden/>
    <w:rsid w:val="00A64BA7"/>
    <w:rPr>
      <w:rFonts w:asciiTheme="majorHAnsi" w:eastAsiaTheme="majorEastAsia" w:hAnsiTheme="majorHAnsi" w:cstheme="majorBidi"/>
      <w:color w:val="2F5496" w:themeColor="accent1" w:themeShade="BF"/>
      <w:kern w:val="0"/>
      <w:sz w:val="26"/>
      <w:szCs w:val="26"/>
    </w:rPr>
  </w:style>
  <w:style w:type="paragraph" w:styleId="ListParagraph">
    <w:name w:val="List Paragraph"/>
    <w:basedOn w:val="Normal"/>
    <w:uiPriority w:val="34"/>
    <w:qFormat/>
    <w:rsid w:val="00A64B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003453">
      <w:bodyDiv w:val="1"/>
      <w:marLeft w:val="0"/>
      <w:marRight w:val="0"/>
      <w:marTop w:val="0"/>
      <w:marBottom w:val="0"/>
      <w:divBdr>
        <w:top w:val="none" w:sz="0" w:space="0" w:color="auto"/>
        <w:left w:val="none" w:sz="0" w:space="0" w:color="auto"/>
        <w:bottom w:val="none" w:sz="0" w:space="0" w:color="auto"/>
        <w:right w:val="none" w:sz="0" w:space="0" w:color="auto"/>
      </w:divBdr>
      <w:divsChild>
        <w:div w:id="1642690297">
          <w:marLeft w:val="0"/>
          <w:marRight w:val="240"/>
          <w:marTop w:val="0"/>
          <w:marBottom w:val="0"/>
          <w:divBdr>
            <w:top w:val="none" w:sz="0" w:space="0" w:color="auto"/>
            <w:left w:val="none" w:sz="0" w:space="0" w:color="auto"/>
            <w:bottom w:val="none" w:sz="0" w:space="0" w:color="auto"/>
            <w:right w:val="none" w:sz="0" w:space="0" w:color="auto"/>
          </w:divBdr>
          <w:divsChild>
            <w:div w:id="1066680310">
              <w:marLeft w:val="0"/>
              <w:marRight w:val="0"/>
              <w:marTop w:val="0"/>
              <w:marBottom w:val="0"/>
              <w:divBdr>
                <w:top w:val="none" w:sz="0" w:space="0" w:color="auto"/>
                <w:left w:val="none" w:sz="0" w:space="0" w:color="auto"/>
                <w:bottom w:val="none" w:sz="0" w:space="0" w:color="auto"/>
                <w:right w:val="none" w:sz="0" w:space="0" w:color="auto"/>
              </w:divBdr>
              <w:divsChild>
                <w:div w:id="40832926">
                  <w:marLeft w:val="0"/>
                  <w:marRight w:val="0"/>
                  <w:marTop w:val="0"/>
                  <w:marBottom w:val="0"/>
                  <w:divBdr>
                    <w:top w:val="none" w:sz="0" w:space="0" w:color="auto"/>
                    <w:left w:val="none" w:sz="0" w:space="0" w:color="auto"/>
                    <w:bottom w:val="none" w:sz="0" w:space="0" w:color="auto"/>
                    <w:right w:val="none" w:sz="0" w:space="0" w:color="auto"/>
                  </w:divBdr>
                  <w:divsChild>
                    <w:div w:id="2090229320">
                      <w:marLeft w:val="0"/>
                      <w:marRight w:val="0"/>
                      <w:marTop w:val="0"/>
                      <w:marBottom w:val="0"/>
                      <w:divBdr>
                        <w:top w:val="none" w:sz="0" w:space="0" w:color="auto"/>
                        <w:left w:val="none" w:sz="0" w:space="0" w:color="auto"/>
                        <w:bottom w:val="none" w:sz="0" w:space="0" w:color="auto"/>
                        <w:right w:val="none" w:sz="0" w:space="0" w:color="auto"/>
                      </w:divBdr>
                      <w:divsChild>
                        <w:div w:id="803546511">
                          <w:marLeft w:val="0"/>
                          <w:marRight w:val="0"/>
                          <w:marTop w:val="0"/>
                          <w:marBottom w:val="0"/>
                          <w:divBdr>
                            <w:top w:val="none" w:sz="0" w:space="0" w:color="auto"/>
                            <w:left w:val="none" w:sz="0" w:space="0" w:color="auto"/>
                            <w:bottom w:val="none" w:sz="0" w:space="0" w:color="auto"/>
                            <w:right w:val="none" w:sz="0" w:space="0" w:color="auto"/>
                          </w:divBdr>
                          <w:divsChild>
                            <w:div w:id="1793936107">
                              <w:marLeft w:val="0"/>
                              <w:marRight w:val="0"/>
                              <w:marTop w:val="0"/>
                              <w:marBottom w:val="0"/>
                              <w:divBdr>
                                <w:top w:val="none" w:sz="0" w:space="0" w:color="auto"/>
                                <w:left w:val="none" w:sz="0" w:space="0" w:color="auto"/>
                                <w:bottom w:val="none" w:sz="0" w:space="0" w:color="auto"/>
                                <w:right w:val="none" w:sz="0" w:space="0" w:color="auto"/>
                              </w:divBdr>
                              <w:divsChild>
                                <w:div w:id="71592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s://pubmed.ncbi.nlm.nih.gov/33051285/"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header" Target="header3.xml"/><Relationship Id="rId10" Type="http://schemas.openxmlformats.org/officeDocument/2006/relationships/diagramQuickStyle" Target="diagrams/quickStyle1.xm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E463E8-FD79-4C10-BA35-51B4FF60DD28}" type="doc">
      <dgm:prSet loTypeId="urn:microsoft.com/office/officeart/2005/8/layout/radial3" loCatId="cycle" qsTypeId="urn:microsoft.com/office/officeart/2005/8/quickstyle/simple5" qsCatId="simple" csTypeId="urn:microsoft.com/office/officeart/2005/8/colors/colorful3" csCatId="colorful" phldr="1"/>
      <dgm:spPr/>
      <dgm:t>
        <a:bodyPr/>
        <a:lstStyle/>
        <a:p>
          <a:endParaRPr lang="en-GB"/>
        </a:p>
      </dgm:t>
    </dgm:pt>
    <dgm:pt modelId="{ED2B3F60-4BF5-47BA-BF51-F66245EDA30C}">
      <dgm:prSet phldrT="[Text]"/>
      <dgm:spPr>
        <a:xfrm>
          <a:off x="1855589" y="712589"/>
          <a:ext cx="1775221" cy="1775221"/>
        </a:xfrm>
        <a:prstGeom prst="ellipse">
          <a:avLst/>
        </a:prstGeom>
        <a:gradFill rotWithShape="0">
          <a:gsLst>
            <a:gs pos="0">
              <a:srgbClr val="A5A5A5">
                <a:alpha val="50000"/>
                <a:hueOff val="0"/>
                <a:satOff val="0"/>
                <a:lumOff val="0"/>
                <a:alphaOff val="0"/>
                <a:satMod val="103000"/>
                <a:lumMod val="102000"/>
                <a:tint val="94000"/>
              </a:srgbClr>
            </a:gs>
            <a:gs pos="50000">
              <a:srgbClr val="A5A5A5">
                <a:alpha val="50000"/>
                <a:hueOff val="0"/>
                <a:satOff val="0"/>
                <a:lumOff val="0"/>
                <a:alphaOff val="0"/>
                <a:satMod val="110000"/>
                <a:lumMod val="100000"/>
                <a:shade val="100000"/>
              </a:srgbClr>
            </a:gs>
            <a:gs pos="100000">
              <a:srgbClr val="A5A5A5">
                <a:alpha val="50000"/>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lgn="ctr">
            <a:buNone/>
          </a:pPr>
          <a:r>
            <a:rPr lang="en-GB">
              <a:solidFill>
                <a:sysClr val="windowText" lastClr="000000"/>
              </a:solidFill>
              <a:latin typeface="Times New Roman" panose="02020603050405020304" pitchFamily="18" charset="0"/>
              <a:ea typeface="+mn-ea"/>
              <a:cs typeface="Times New Roman" panose="02020603050405020304" pitchFamily="18" charset="0"/>
            </a:rPr>
            <a:t>Community engagement principles </a:t>
          </a:r>
        </a:p>
      </dgm:t>
    </dgm:pt>
    <dgm:pt modelId="{A5562BA2-C826-4A15-9C9F-CC0210E4BB2D}" type="parTrans" cxnId="{75CAD801-6BFB-4E52-A0AC-398817215517}">
      <dgm:prSet/>
      <dgm:spPr/>
      <dgm:t>
        <a:bodyPr/>
        <a:lstStyle/>
        <a:p>
          <a:pPr algn="ctr"/>
          <a:endParaRPr lang="en-GB"/>
        </a:p>
      </dgm:t>
    </dgm:pt>
    <dgm:pt modelId="{2AD176FE-0C20-495B-B990-539327C44B56}" type="sibTrans" cxnId="{75CAD801-6BFB-4E52-A0AC-398817215517}">
      <dgm:prSet/>
      <dgm:spPr/>
      <dgm:t>
        <a:bodyPr/>
        <a:lstStyle/>
        <a:p>
          <a:pPr algn="ctr"/>
          <a:endParaRPr lang="en-GB"/>
        </a:p>
      </dgm:t>
    </dgm:pt>
    <dgm:pt modelId="{BBAF213A-1C57-494E-B705-ED2B6940E458}">
      <dgm:prSet phldrT="[Text]"/>
      <dgm:spPr>
        <a:xfrm>
          <a:off x="2299394" y="316"/>
          <a:ext cx="887610" cy="887610"/>
        </a:xfrm>
        <a:prstGeom prst="ellipse">
          <a:avLst/>
        </a:prstGeom>
        <a:gradFill rotWithShape="0">
          <a:gsLst>
            <a:gs pos="0">
              <a:srgbClr val="A5A5A5">
                <a:alpha val="50000"/>
                <a:hueOff val="451767"/>
                <a:satOff val="16667"/>
                <a:lumOff val="-2451"/>
                <a:alphaOff val="0"/>
                <a:satMod val="103000"/>
                <a:lumMod val="102000"/>
                <a:tint val="94000"/>
              </a:srgbClr>
            </a:gs>
            <a:gs pos="50000">
              <a:srgbClr val="A5A5A5">
                <a:alpha val="50000"/>
                <a:hueOff val="451767"/>
                <a:satOff val="16667"/>
                <a:lumOff val="-2451"/>
                <a:alphaOff val="0"/>
                <a:satMod val="110000"/>
                <a:lumMod val="100000"/>
                <a:shade val="100000"/>
              </a:srgbClr>
            </a:gs>
            <a:gs pos="100000">
              <a:srgbClr val="A5A5A5">
                <a:alpha val="50000"/>
                <a:hueOff val="451767"/>
                <a:satOff val="16667"/>
                <a:lumOff val="-2451"/>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lgn="ctr">
            <a:buNone/>
          </a:pPr>
          <a:r>
            <a:rPr lang="en-GB" b="1">
              <a:solidFill>
                <a:sysClr val="windowText" lastClr="000000"/>
              </a:solidFill>
              <a:latin typeface="Times New Roman" panose="02020603050405020304" pitchFamily="18" charset="0"/>
              <a:ea typeface="+mn-ea"/>
              <a:cs typeface="Times New Roman" panose="02020603050405020304" pitchFamily="18" charset="0"/>
            </a:rPr>
            <a:t>Transparency</a:t>
          </a:r>
          <a:endParaRPr lang="en-GB">
            <a:solidFill>
              <a:sysClr val="windowText" lastClr="000000"/>
            </a:solidFill>
            <a:latin typeface="Times New Roman" panose="02020603050405020304" pitchFamily="18" charset="0"/>
            <a:ea typeface="+mn-ea"/>
            <a:cs typeface="Times New Roman" panose="02020603050405020304" pitchFamily="18" charset="0"/>
          </a:endParaRPr>
        </a:p>
      </dgm:t>
    </dgm:pt>
    <dgm:pt modelId="{920528F5-C4C1-414D-AE96-5CB1F1083014}" type="parTrans" cxnId="{E02DD49C-27F7-41AA-B203-C0DC63C319D2}">
      <dgm:prSet/>
      <dgm:spPr/>
      <dgm:t>
        <a:bodyPr/>
        <a:lstStyle/>
        <a:p>
          <a:pPr algn="ctr"/>
          <a:endParaRPr lang="en-GB"/>
        </a:p>
      </dgm:t>
    </dgm:pt>
    <dgm:pt modelId="{4BD4D196-038E-4558-9E55-CC201607B35C}" type="sibTrans" cxnId="{E02DD49C-27F7-41AA-B203-C0DC63C319D2}">
      <dgm:prSet/>
      <dgm:spPr/>
      <dgm:t>
        <a:bodyPr/>
        <a:lstStyle/>
        <a:p>
          <a:pPr algn="ctr"/>
          <a:endParaRPr lang="en-GB"/>
        </a:p>
      </dgm:t>
    </dgm:pt>
    <dgm:pt modelId="{E8F9FC0C-3329-470B-BE79-09B95BA78ED3}">
      <dgm:prSet phldrT="[Text]"/>
      <dgm:spPr>
        <a:xfrm>
          <a:off x="3300587" y="578355"/>
          <a:ext cx="887610" cy="887610"/>
        </a:xfrm>
        <a:prstGeom prst="ellipse">
          <a:avLst/>
        </a:prstGeom>
        <a:gradFill rotWithShape="0">
          <a:gsLst>
            <a:gs pos="0">
              <a:srgbClr val="A5A5A5">
                <a:alpha val="50000"/>
                <a:hueOff val="903533"/>
                <a:satOff val="33333"/>
                <a:lumOff val="-4902"/>
                <a:alphaOff val="0"/>
                <a:satMod val="103000"/>
                <a:lumMod val="102000"/>
                <a:tint val="94000"/>
              </a:srgbClr>
            </a:gs>
            <a:gs pos="50000">
              <a:srgbClr val="A5A5A5">
                <a:alpha val="50000"/>
                <a:hueOff val="903533"/>
                <a:satOff val="33333"/>
                <a:lumOff val="-4902"/>
                <a:alphaOff val="0"/>
                <a:satMod val="110000"/>
                <a:lumMod val="100000"/>
                <a:shade val="100000"/>
              </a:srgbClr>
            </a:gs>
            <a:gs pos="100000">
              <a:srgbClr val="A5A5A5">
                <a:alpha val="50000"/>
                <a:hueOff val="903533"/>
                <a:satOff val="33333"/>
                <a:lumOff val="-4902"/>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lgn="ctr">
            <a:buNone/>
          </a:pPr>
          <a:r>
            <a:rPr lang="en-GB" b="1">
              <a:solidFill>
                <a:sysClr val="windowText" lastClr="000000"/>
              </a:solidFill>
              <a:latin typeface="Times New Roman" panose="02020603050405020304" pitchFamily="18" charset="0"/>
              <a:ea typeface="+mn-ea"/>
              <a:cs typeface="Times New Roman" panose="02020603050405020304" pitchFamily="18" charset="0"/>
            </a:rPr>
            <a:t>Inclusivity</a:t>
          </a:r>
          <a:endParaRPr lang="en-GB">
            <a:solidFill>
              <a:sysClr val="windowText" lastClr="000000"/>
            </a:solidFill>
            <a:latin typeface="Times New Roman" panose="02020603050405020304" pitchFamily="18" charset="0"/>
            <a:ea typeface="+mn-ea"/>
            <a:cs typeface="Times New Roman" panose="02020603050405020304" pitchFamily="18" charset="0"/>
          </a:endParaRPr>
        </a:p>
      </dgm:t>
    </dgm:pt>
    <dgm:pt modelId="{2A0BB992-AB47-4244-8543-DF62A4EE6705}" type="parTrans" cxnId="{90098D5E-8371-4A88-9B6D-2238BC1F4CA2}">
      <dgm:prSet/>
      <dgm:spPr/>
      <dgm:t>
        <a:bodyPr/>
        <a:lstStyle/>
        <a:p>
          <a:pPr algn="ctr"/>
          <a:endParaRPr lang="en-GB"/>
        </a:p>
      </dgm:t>
    </dgm:pt>
    <dgm:pt modelId="{3349BE99-91A1-4A3C-9C72-D2574FB44A92}" type="sibTrans" cxnId="{90098D5E-8371-4A88-9B6D-2238BC1F4CA2}">
      <dgm:prSet/>
      <dgm:spPr/>
      <dgm:t>
        <a:bodyPr/>
        <a:lstStyle/>
        <a:p>
          <a:pPr algn="ctr"/>
          <a:endParaRPr lang="en-GB"/>
        </a:p>
      </dgm:t>
    </dgm:pt>
    <dgm:pt modelId="{F1A1DBBB-1891-4EA9-ABB7-FAFFAC854D4E}">
      <dgm:prSet phldrT="[Text]"/>
      <dgm:spPr>
        <a:xfrm>
          <a:off x="2299394" y="2312472"/>
          <a:ext cx="887610" cy="887610"/>
        </a:xfrm>
        <a:prstGeom prst="ellipse">
          <a:avLst/>
        </a:prstGeom>
        <a:gradFill rotWithShape="0">
          <a:gsLst>
            <a:gs pos="0">
              <a:srgbClr val="A5A5A5">
                <a:alpha val="50000"/>
                <a:hueOff val="1807066"/>
                <a:satOff val="66667"/>
                <a:lumOff val="-9804"/>
                <a:alphaOff val="0"/>
                <a:satMod val="103000"/>
                <a:lumMod val="102000"/>
                <a:tint val="94000"/>
              </a:srgbClr>
            </a:gs>
            <a:gs pos="50000">
              <a:srgbClr val="A5A5A5">
                <a:alpha val="50000"/>
                <a:hueOff val="1807066"/>
                <a:satOff val="66667"/>
                <a:lumOff val="-9804"/>
                <a:alphaOff val="0"/>
                <a:satMod val="110000"/>
                <a:lumMod val="100000"/>
                <a:shade val="100000"/>
              </a:srgbClr>
            </a:gs>
            <a:gs pos="100000">
              <a:srgbClr val="A5A5A5">
                <a:alpha val="50000"/>
                <a:hueOff val="1807066"/>
                <a:satOff val="66667"/>
                <a:lumOff val="-9804"/>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lgn="ctr">
            <a:buNone/>
          </a:pPr>
          <a:r>
            <a:rPr lang="en-GB" b="1">
              <a:solidFill>
                <a:sysClr val="windowText" lastClr="000000"/>
              </a:solidFill>
              <a:latin typeface="Times New Roman" panose="02020603050405020304" pitchFamily="18" charset="0"/>
              <a:ea typeface="+mn-ea"/>
              <a:cs typeface="Times New Roman" panose="02020603050405020304" pitchFamily="18" charset="0"/>
            </a:rPr>
            <a:t>Timeliness</a:t>
          </a:r>
          <a:endParaRPr lang="en-GB">
            <a:solidFill>
              <a:sysClr val="windowText" lastClr="000000"/>
            </a:solidFill>
            <a:latin typeface="Times New Roman" panose="02020603050405020304" pitchFamily="18" charset="0"/>
            <a:ea typeface="+mn-ea"/>
            <a:cs typeface="Times New Roman" panose="02020603050405020304" pitchFamily="18" charset="0"/>
          </a:endParaRPr>
        </a:p>
      </dgm:t>
    </dgm:pt>
    <dgm:pt modelId="{30982271-6BA9-47F7-B554-897E00D98D11}" type="parTrans" cxnId="{AFAFF8A0-7CD4-4483-9C35-1B34B05D870A}">
      <dgm:prSet/>
      <dgm:spPr/>
      <dgm:t>
        <a:bodyPr/>
        <a:lstStyle/>
        <a:p>
          <a:pPr algn="ctr"/>
          <a:endParaRPr lang="en-GB"/>
        </a:p>
      </dgm:t>
    </dgm:pt>
    <dgm:pt modelId="{3AAB87DA-564E-4C2F-BA35-376173751718}" type="sibTrans" cxnId="{AFAFF8A0-7CD4-4483-9C35-1B34B05D870A}">
      <dgm:prSet/>
      <dgm:spPr/>
      <dgm:t>
        <a:bodyPr/>
        <a:lstStyle/>
        <a:p>
          <a:pPr algn="ctr"/>
          <a:endParaRPr lang="en-GB"/>
        </a:p>
      </dgm:t>
    </dgm:pt>
    <dgm:pt modelId="{C6B48B0D-9AF1-4C6F-8D64-E8A69B9FBB4D}">
      <dgm:prSet phldrT="[Text]"/>
      <dgm:spPr>
        <a:xfrm>
          <a:off x="1298201" y="1734433"/>
          <a:ext cx="887610" cy="887610"/>
        </a:xfrm>
        <a:prstGeom prst="ellipse">
          <a:avLst/>
        </a:prstGeom>
        <a:gradFill rotWithShape="0">
          <a:gsLst>
            <a:gs pos="0">
              <a:srgbClr val="A5A5A5">
                <a:alpha val="50000"/>
                <a:hueOff val="2258833"/>
                <a:satOff val="83333"/>
                <a:lumOff val="-12255"/>
                <a:alphaOff val="0"/>
                <a:satMod val="103000"/>
                <a:lumMod val="102000"/>
                <a:tint val="94000"/>
              </a:srgbClr>
            </a:gs>
            <a:gs pos="50000">
              <a:srgbClr val="A5A5A5">
                <a:alpha val="50000"/>
                <a:hueOff val="2258833"/>
                <a:satOff val="83333"/>
                <a:lumOff val="-12255"/>
                <a:alphaOff val="0"/>
                <a:satMod val="110000"/>
                <a:lumMod val="100000"/>
                <a:shade val="100000"/>
              </a:srgbClr>
            </a:gs>
            <a:gs pos="100000">
              <a:srgbClr val="A5A5A5">
                <a:alpha val="50000"/>
                <a:hueOff val="2258833"/>
                <a:satOff val="83333"/>
                <a:lumOff val="-12255"/>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lgn="ctr">
            <a:buNone/>
          </a:pPr>
          <a:r>
            <a:rPr lang="en-GB" b="1">
              <a:solidFill>
                <a:sysClr val="windowText" lastClr="000000"/>
              </a:solidFill>
              <a:latin typeface="Times New Roman" panose="02020603050405020304" pitchFamily="18" charset="0"/>
              <a:ea typeface="+mn-ea"/>
              <a:cs typeface="Times New Roman" panose="02020603050405020304" pitchFamily="18" charset="0"/>
            </a:rPr>
            <a:t>Flexibility</a:t>
          </a:r>
          <a:endParaRPr lang="en-GB">
            <a:solidFill>
              <a:sysClr val="windowText" lastClr="000000"/>
            </a:solidFill>
            <a:latin typeface="Times New Roman" panose="02020603050405020304" pitchFamily="18" charset="0"/>
            <a:ea typeface="+mn-ea"/>
            <a:cs typeface="Times New Roman" panose="02020603050405020304" pitchFamily="18" charset="0"/>
          </a:endParaRPr>
        </a:p>
      </dgm:t>
    </dgm:pt>
    <dgm:pt modelId="{3C94BFA2-F1F3-4CC8-BBD4-55F3EA28C332}" type="parTrans" cxnId="{FA46A8AD-6B4E-4126-A399-0E3CEE019E8F}">
      <dgm:prSet/>
      <dgm:spPr/>
      <dgm:t>
        <a:bodyPr/>
        <a:lstStyle/>
        <a:p>
          <a:pPr algn="ctr"/>
          <a:endParaRPr lang="en-GB"/>
        </a:p>
      </dgm:t>
    </dgm:pt>
    <dgm:pt modelId="{D6F7BB8A-C64F-48A8-AFDA-282765B92F7A}" type="sibTrans" cxnId="{FA46A8AD-6B4E-4126-A399-0E3CEE019E8F}">
      <dgm:prSet/>
      <dgm:spPr/>
      <dgm:t>
        <a:bodyPr/>
        <a:lstStyle/>
        <a:p>
          <a:pPr algn="ctr"/>
          <a:endParaRPr lang="en-GB"/>
        </a:p>
      </dgm:t>
    </dgm:pt>
    <dgm:pt modelId="{79C180D9-6C46-4B10-8062-B91788C8A159}">
      <dgm:prSet/>
      <dgm:spPr>
        <a:xfrm>
          <a:off x="1298201" y="578355"/>
          <a:ext cx="887610" cy="887610"/>
        </a:xfrm>
        <a:prstGeom prst="ellipse">
          <a:avLst/>
        </a:prstGeom>
        <a:gradFill rotWithShape="0">
          <a:gsLst>
            <a:gs pos="0">
              <a:srgbClr val="A5A5A5">
                <a:alpha val="50000"/>
                <a:hueOff val="2710599"/>
                <a:satOff val="100000"/>
                <a:lumOff val="-14706"/>
                <a:alphaOff val="0"/>
                <a:satMod val="103000"/>
                <a:lumMod val="102000"/>
                <a:tint val="94000"/>
              </a:srgbClr>
            </a:gs>
            <a:gs pos="50000">
              <a:srgbClr val="A5A5A5">
                <a:alpha val="50000"/>
                <a:hueOff val="2710599"/>
                <a:satOff val="100000"/>
                <a:lumOff val="-14706"/>
                <a:alphaOff val="0"/>
                <a:satMod val="110000"/>
                <a:lumMod val="100000"/>
                <a:shade val="100000"/>
              </a:srgbClr>
            </a:gs>
            <a:gs pos="100000">
              <a:srgbClr val="A5A5A5">
                <a:alpha val="50000"/>
                <a:hueOff val="2710599"/>
                <a:satOff val="100000"/>
                <a:lumOff val="-14706"/>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lgn="ctr">
            <a:buNone/>
          </a:pPr>
          <a:r>
            <a:rPr lang="en-GB" b="1">
              <a:solidFill>
                <a:sysClr val="windowText" lastClr="000000"/>
              </a:solidFill>
              <a:latin typeface="Times New Roman" panose="02020603050405020304" pitchFamily="18" charset="0"/>
              <a:ea typeface="+mn-ea"/>
              <a:cs typeface="Times New Roman" panose="02020603050405020304" pitchFamily="18" charset="0"/>
            </a:rPr>
            <a:t>Feedback</a:t>
          </a:r>
          <a:endParaRPr lang="en-GB">
            <a:solidFill>
              <a:sysClr val="windowText" lastClr="000000"/>
            </a:solidFill>
            <a:latin typeface="Times New Roman" panose="02020603050405020304" pitchFamily="18" charset="0"/>
            <a:ea typeface="+mn-ea"/>
            <a:cs typeface="Times New Roman" panose="02020603050405020304" pitchFamily="18" charset="0"/>
          </a:endParaRPr>
        </a:p>
      </dgm:t>
    </dgm:pt>
    <dgm:pt modelId="{13E6646B-E2BE-42C5-9556-4703928A99BE}" type="parTrans" cxnId="{16AFC5FF-2248-4291-A1E9-395FF683904E}">
      <dgm:prSet/>
      <dgm:spPr/>
      <dgm:t>
        <a:bodyPr/>
        <a:lstStyle/>
        <a:p>
          <a:pPr algn="ctr"/>
          <a:endParaRPr lang="en-GB"/>
        </a:p>
      </dgm:t>
    </dgm:pt>
    <dgm:pt modelId="{9A1B456F-0FA7-47EE-BCFC-273461E6DEBB}" type="sibTrans" cxnId="{16AFC5FF-2248-4291-A1E9-395FF683904E}">
      <dgm:prSet/>
      <dgm:spPr/>
      <dgm:t>
        <a:bodyPr/>
        <a:lstStyle/>
        <a:p>
          <a:pPr algn="ctr"/>
          <a:endParaRPr lang="en-GB"/>
        </a:p>
      </dgm:t>
    </dgm:pt>
    <dgm:pt modelId="{B0CB389E-B8E9-4726-8267-8B428CA3C9C7}">
      <dgm:prSet/>
      <dgm:spPr>
        <a:xfrm>
          <a:off x="3300587" y="1734433"/>
          <a:ext cx="887610" cy="887610"/>
        </a:xfrm>
        <a:prstGeom prst="ellipse">
          <a:avLst/>
        </a:prstGeom>
        <a:gradFill rotWithShape="0">
          <a:gsLst>
            <a:gs pos="0">
              <a:srgbClr val="A5A5A5">
                <a:alpha val="50000"/>
                <a:hueOff val="1355300"/>
                <a:satOff val="50000"/>
                <a:lumOff val="-7353"/>
                <a:alphaOff val="0"/>
                <a:satMod val="103000"/>
                <a:lumMod val="102000"/>
                <a:tint val="94000"/>
              </a:srgbClr>
            </a:gs>
            <a:gs pos="50000">
              <a:srgbClr val="A5A5A5">
                <a:alpha val="50000"/>
                <a:hueOff val="1355300"/>
                <a:satOff val="50000"/>
                <a:lumOff val="-7353"/>
                <a:alphaOff val="0"/>
                <a:satMod val="110000"/>
                <a:lumMod val="100000"/>
                <a:shade val="100000"/>
              </a:srgbClr>
            </a:gs>
            <a:gs pos="100000">
              <a:srgbClr val="A5A5A5">
                <a:alpha val="50000"/>
                <a:hueOff val="1355300"/>
                <a:satOff val="50000"/>
                <a:lumOff val="-7353"/>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lgn="ctr">
            <a:buNone/>
          </a:pPr>
          <a:r>
            <a:rPr lang="en-GB" b="1">
              <a:solidFill>
                <a:sysClr val="windowText" lastClr="000000"/>
              </a:solidFill>
              <a:latin typeface="Times New Roman" panose="02020603050405020304" pitchFamily="18" charset="0"/>
              <a:ea typeface="+mn-ea"/>
              <a:cs typeface="Times New Roman" panose="02020603050405020304" pitchFamily="18" charset="0"/>
            </a:rPr>
            <a:t>Accountability</a:t>
          </a:r>
          <a:endParaRPr lang="en-GB">
            <a:solidFill>
              <a:sysClr val="windowText" lastClr="000000"/>
            </a:solidFill>
            <a:latin typeface="Times New Roman" panose="02020603050405020304" pitchFamily="18" charset="0"/>
            <a:ea typeface="+mn-ea"/>
            <a:cs typeface="Times New Roman" panose="02020603050405020304" pitchFamily="18" charset="0"/>
          </a:endParaRPr>
        </a:p>
      </dgm:t>
    </dgm:pt>
    <dgm:pt modelId="{70221C26-BFFD-40FF-AF81-E561A78F7ED6}" type="parTrans" cxnId="{B785D3AC-43C9-48E4-ABC2-FC5B7807E2EA}">
      <dgm:prSet/>
      <dgm:spPr/>
      <dgm:t>
        <a:bodyPr/>
        <a:lstStyle/>
        <a:p>
          <a:pPr algn="ctr"/>
          <a:endParaRPr lang="en-GB"/>
        </a:p>
      </dgm:t>
    </dgm:pt>
    <dgm:pt modelId="{4DFC50A8-0BA3-4227-8E5D-172BCACA3216}" type="sibTrans" cxnId="{B785D3AC-43C9-48E4-ABC2-FC5B7807E2EA}">
      <dgm:prSet/>
      <dgm:spPr/>
      <dgm:t>
        <a:bodyPr/>
        <a:lstStyle/>
        <a:p>
          <a:pPr algn="ctr"/>
          <a:endParaRPr lang="en-GB"/>
        </a:p>
      </dgm:t>
    </dgm:pt>
    <dgm:pt modelId="{6FD792E2-6365-4287-B6AF-936684005348}" type="pres">
      <dgm:prSet presAssocID="{14E463E8-FD79-4C10-BA35-51B4FF60DD28}" presName="composite" presStyleCnt="0">
        <dgm:presLayoutVars>
          <dgm:chMax val="1"/>
          <dgm:dir/>
          <dgm:resizeHandles val="exact"/>
        </dgm:presLayoutVars>
      </dgm:prSet>
      <dgm:spPr/>
    </dgm:pt>
    <dgm:pt modelId="{B07C3FAF-ACB1-4342-AC5B-85BFB3D16C35}" type="pres">
      <dgm:prSet presAssocID="{14E463E8-FD79-4C10-BA35-51B4FF60DD28}" presName="radial" presStyleCnt="0">
        <dgm:presLayoutVars>
          <dgm:animLvl val="ctr"/>
        </dgm:presLayoutVars>
      </dgm:prSet>
      <dgm:spPr/>
    </dgm:pt>
    <dgm:pt modelId="{681EFD94-D3F0-411E-8845-C2C647770F93}" type="pres">
      <dgm:prSet presAssocID="{ED2B3F60-4BF5-47BA-BF51-F66245EDA30C}" presName="centerShape" presStyleLbl="vennNode1" presStyleIdx="0" presStyleCnt="7"/>
      <dgm:spPr/>
    </dgm:pt>
    <dgm:pt modelId="{7BF87DA0-FFD8-468A-80D5-FA8273E9555B}" type="pres">
      <dgm:prSet presAssocID="{BBAF213A-1C57-494E-B705-ED2B6940E458}" presName="node" presStyleLbl="vennNode1" presStyleIdx="1" presStyleCnt="7">
        <dgm:presLayoutVars>
          <dgm:bulletEnabled val="1"/>
        </dgm:presLayoutVars>
      </dgm:prSet>
      <dgm:spPr/>
    </dgm:pt>
    <dgm:pt modelId="{F26ACFDA-F58B-4C75-8678-B4D4FD4754DA}" type="pres">
      <dgm:prSet presAssocID="{E8F9FC0C-3329-470B-BE79-09B95BA78ED3}" presName="node" presStyleLbl="vennNode1" presStyleIdx="2" presStyleCnt="7">
        <dgm:presLayoutVars>
          <dgm:bulletEnabled val="1"/>
        </dgm:presLayoutVars>
      </dgm:prSet>
      <dgm:spPr/>
    </dgm:pt>
    <dgm:pt modelId="{7B994AEE-9BC3-416C-A185-5A2D8C885580}" type="pres">
      <dgm:prSet presAssocID="{B0CB389E-B8E9-4726-8267-8B428CA3C9C7}" presName="node" presStyleLbl="vennNode1" presStyleIdx="3" presStyleCnt="7">
        <dgm:presLayoutVars>
          <dgm:bulletEnabled val="1"/>
        </dgm:presLayoutVars>
      </dgm:prSet>
      <dgm:spPr/>
    </dgm:pt>
    <dgm:pt modelId="{D098911B-12AD-4E91-94A4-D92E244FFF7C}" type="pres">
      <dgm:prSet presAssocID="{F1A1DBBB-1891-4EA9-ABB7-FAFFAC854D4E}" presName="node" presStyleLbl="vennNode1" presStyleIdx="4" presStyleCnt="7">
        <dgm:presLayoutVars>
          <dgm:bulletEnabled val="1"/>
        </dgm:presLayoutVars>
      </dgm:prSet>
      <dgm:spPr/>
    </dgm:pt>
    <dgm:pt modelId="{2D8B4058-453D-4C9C-92BE-F09AEF5DF39D}" type="pres">
      <dgm:prSet presAssocID="{C6B48B0D-9AF1-4C6F-8D64-E8A69B9FBB4D}" presName="node" presStyleLbl="vennNode1" presStyleIdx="5" presStyleCnt="7">
        <dgm:presLayoutVars>
          <dgm:bulletEnabled val="1"/>
        </dgm:presLayoutVars>
      </dgm:prSet>
      <dgm:spPr/>
    </dgm:pt>
    <dgm:pt modelId="{7EF762EE-2816-48C0-8AC6-C0EBADE95FFC}" type="pres">
      <dgm:prSet presAssocID="{79C180D9-6C46-4B10-8062-B91788C8A159}" presName="node" presStyleLbl="vennNode1" presStyleIdx="6" presStyleCnt="7">
        <dgm:presLayoutVars>
          <dgm:bulletEnabled val="1"/>
        </dgm:presLayoutVars>
      </dgm:prSet>
      <dgm:spPr/>
    </dgm:pt>
  </dgm:ptLst>
  <dgm:cxnLst>
    <dgm:cxn modelId="{75CAD801-6BFB-4E52-A0AC-398817215517}" srcId="{14E463E8-FD79-4C10-BA35-51B4FF60DD28}" destId="{ED2B3F60-4BF5-47BA-BF51-F66245EDA30C}" srcOrd="0" destOrd="0" parTransId="{A5562BA2-C826-4A15-9C9F-CC0210E4BB2D}" sibTransId="{2AD176FE-0C20-495B-B990-539327C44B56}"/>
    <dgm:cxn modelId="{E92F6D02-BB97-4F23-B43F-C66590D9848F}" type="presOf" srcId="{BBAF213A-1C57-494E-B705-ED2B6940E458}" destId="{7BF87DA0-FFD8-468A-80D5-FA8273E9555B}" srcOrd="0" destOrd="0" presId="urn:microsoft.com/office/officeart/2005/8/layout/radial3"/>
    <dgm:cxn modelId="{17637A1B-15B9-4C5F-8838-FD184E66A210}" type="presOf" srcId="{14E463E8-FD79-4C10-BA35-51B4FF60DD28}" destId="{6FD792E2-6365-4287-B6AF-936684005348}" srcOrd="0" destOrd="0" presId="urn:microsoft.com/office/officeart/2005/8/layout/radial3"/>
    <dgm:cxn modelId="{30A2265B-D412-417A-AD25-AFBAF7ABF49A}" type="presOf" srcId="{F1A1DBBB-1891-4EA9-ABB7-FAFFAC854D4E}" destId="{D098911B-12AD-4E91-94A4-D92E244FFF7C}" srcOrd="0" destOrd="0" presId="urn:microsoft.com/office/officeart/2005/8/layout/radial3"/>
    <dgm:cxn modelId="{90098D5E-8371-4A88-9B6D-2238BC1F4CA2}" srcId="{ED2B3F60-4BF5-47BA-BF51-F66245EDA30C}" destId="{E8F9FC0C-3329-470B-BE79-09B95BA78ED3}" srcOrd="1" destOrd="0" parTransId="{2A0BB992-AB47-4244-8543-DF62A4EE6705}" sibTransId="{3349BE99-91A1-4A3C-9C72-D2574FB44A92}"/>
    <dgm:cxn modelId="{7772BE68-02F8-434A-AC8B-A1F7E1B5D357}" type="presOf" srcId="{B0CB389E-B8E9-4726-8267-8B428CA3C9C7}" destId="{7B994AEE-9BC3-416C-A185-5A2D8C885580}" srcOrd="0" destOrd="0" presId="urn:microsoft.com/office/officeart/2005/8/layout/radial3"/>
    <dgm:cxn modelId="{2779E678-D0CE-4AC5-AECF-5FB7D5E9417A}" type="presOf" srcId="{ED2B3F60-4BF5-47BA-BF51-F66245EDA30C}" destId="{681EFD94-D3F0-411E-8845-C2C647770F93}" srcOrd="0" destOrd="0" presId="urn:microsoft.com/office/officeart/2005/8/layout/radial3"/>
    <dgm:cxn modelId="{E02DD49C-27F7-41AA-B203-C0DC63C319D2}" srcId="{ED2B3F60-4BF5-47BA-BF51-F66245EDA30C}" destId="{BBAF213A-1C57-494E-B705-ED2B6940E458}" srcOrd="0" destOrd="0" parTransId="{920528F5-C4C1-414D-AE96-5CB1F1083014}" sibTransId="{4BD4D196-038E-4558-9E55-CC201607B35C}"/>
    <dgm:cxn modelId="{AFAFF8A0-7CD4-4483-9C35-1B34B05D870A}" srcId="{ED2B3F60-4BF5-47BA-BF51-F66245EDA30C}" destId="{F1A1DBBB-1891-4EA9-ABB7-FAFFAC854D4E}" srcOrd="3" destOrd="0" parTransId="{30982271-6BA9-47F7-B554-897E00D98D11}" sibTransId="{3AAB87DA-564E-4C2F-BA35-376173751718}"/>
    <dgm:cxn modelId="{B785D3AC-43C9-48E4-ABC2-FC5B7807E2EA}" srcId="{ED2B3F60-4BF5-47BA-BF51-F66245EDA30C}" destId="{B0CB389E-B8E9-4726-8267-8B428CA3C9C7}" srcOrd="2" destOrd="0" parTransId="{70221C26-BFFD-40FF-AF81-E561A78F7ED6}" sibTransId="{4DFC50A8-0BA3-4227-8E5D-172BCACA3216}"/>
    <dgm:cxn modelId="{FA46A8AD-6B4E-4126-A399-0E3CEE019E8F}" srcId="{ED2B3F60-4BF5-47BA-BF51-F66245EDA30C}" destId="{C6B48B0D-9AF1-4C6F-8D64-E8A69B9FBB4D}" srcOrd="4" destOrd="0" parTransId="{3C94BFA2-F1F3-4CC8-BBD4-55F3EA28C332}" sibTransId="{D6F7BB8A-C64F-48A8-AFDA-282765B92F7A}"/>
    <dgm:cxn modelId="{DCE0E8BC-ADBE-47C7-86F6-F5EFB1C72389}" type="presOf" srcId="{79C180D9-6C46-4B10-8062-B91788C8A159}" destId="{7EF762EE-2816-48C0-8AC6-C0EBADE95FFC}" srcOrd="0" destOrd="0" presId="urn:microsoft.com/office/officeart/2005/8/layout/radial3"/>
    <dgm:cxn modelId="{D51F39C6-7A7C-4B76-97C4-DB6BD1CEBBBC}" type="presOf" srcId="{E8F9FC0C-3329-470B-BE79-09B95BA78ED3}" destId="{F26ACFDA-F58B-4C75-8678-B4D4FD4754DA}" srcOrd="0" destOrd="0" presId="urn:microsoft.com/office/officeart/2005/8/layout/radial3"/>
    <dgm:cxn modelId="{CD89B9EA-5985-4B4A-9A4E-F04A5803ABEB}" type="presOf" srcId="{C6B48B0D-9AF1-4C6F-8D64-E8A69B9FBB4D}" destId="{2D8B4058-453D-4C9C-92BE-F09AEF5DF39D}" srcOrd="0" destOrd="0" presId="urn:microsoft.com/office/officeart/2005/8/layout/radial3"/>
    <dgm:cxn modelId="{16AFC5FF-2248-4291-A1E9-395FF683904E}" srcId="{ED2B3F60-4BF5-47BA-BF51-F66245EDA30C}" destId="{79C180D9-6C46-4B10-8062-B91788C8A159}" srcOrd="5" destOrd="0" parTransId="{13E6646B-E2BE-42C5-9556-4703928A99BE}" sibTransId="{9A1B456F-0FA7-47EE-BCFC-273461E6DEBB}"/>
    <dgm:cxn modelId="{C3DD3B49-FD57-4B09-B9DE-5BE9D60B6A01}" type="presParOf" srcId="{6FD792E2-6365-4287-B6AF-936684005348}" destId="{B07C3FAF-ACB1-4342-AC5B-85BFB3D16C35}" srcOrd="0" destOrd="0" presId="urn:microsoft.com/office/officeart/2005/8/layout/radial3"/>
    <dgm:cxn modelId="{17DFB23F-43DE-4B15-A4C8-43425BC777A8}" type="presParOf" srcId="{B07C3FAF-ACB1-4342-AC5B-85BFB3D16C35}" destId="{681EFD94-D3F0-411E-8845-C2C647770F93}" srcOrd="0" destOrd="0" presId="urn:microsoft.com/office/officeart/2005/8/layout/radial3"/>
    <dgm:cxn modelId="{AE7FB535-2030-4D20-98DE-B35C9B5A8F17}" type="presParOf" srcId="{B07C3FAF-ACB1-4342-AC5B-85BFB3D16C35}" destId="{7BF87DA0-FFD8-468A-80D5-FA8273E9555B}" srcOrd="1" destOrd="0" presId="urn:microsoft.com/office/officeart/2005/8/layout/radial3"/>
    <dgm:cxn modelId="{F29E8FF9-9929-410D-8389-B680EB66B3CB}" type="presParOf" srcId="{B07C3FAF-ACB1-4342-AC5B-85BFB3D16C35}" destId="{F26ACFDA-F58B-4C75-8678-B4D4FD4754DA}" srcOrd="2" destOrd="0" presId="urn:microsoft.com/office/officeart/2005/8/layout/radial3"/>
    <dgm:cxn modelId="{CC7EC5C9-73DD-42D9-97C2-7106CF8EB1F1}" type="presParOf" srcId="{B07C3FAF-ACB1-4342-AC5B-85BFB3D16C35}" destId="{7B994AEE-9BC3-416C-A185-5A2D8C885580}" srcOrd="3" destOrd="0" presId="urn:microsoft.com/office/officeart/2005/8/layout/radial3"/>
    <dgm:cxn modelId="{F9974776-83F6-48E9-8BDC-58426FA9CA42}" type="presParOf" srcId="{B07C3FAF-ACB1-4342-AC5B-85BFB3D16C35}" destId="{D098911B-12AD-4E91-94A4-D92E244FFF7C}" srcOrd="4" destOrd="0" presId="urn:microsoft.com/office/officeart/2005/8/layout/radial3"/>
    <dgm:cxn modelId="{6A509A61-C2B3-4E3D-AA1B-CDF2AC0EB2DF}" type="presParOf" srcId="{B07C3FAF-ACB1-4342-AC5B-85BFB3D16C35}" destId="{2D8B4058-453D-4C9C-92BE-F09AEF5DF39D}" srcOrd="5" destOrd="0" presId="urn:microsoft.com/office/officeart/2005/8/layout/radial3"/>
    <dgm:cxn modelId="{D24AD402-B9E7-4379-A31E-1DB786E4A905}" type="presParOf" srcId="{B07C3FAF-ACB1-4342-AC5B-85BFB3D16C35}" destId="{7EF762EE-2816-48C0-8AC6-C0EBADE95FFC}" srcOrd="6"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91B7C1D-77DE-449B-909F-181BBC0BAC45}" type="doc">
      <dgm:prSet loTypeId="urn:microsoft.com/office/officeart/2005/8/layout/list1" loCatId="list" qsTypeId="urn:microsoft.com/office/officeart/2005/8/quickstyle/simple1" qsCatId="simple" csTypeId="urn:microsoft.com/office/officeart/2005/8/colors/colorful5" csCatId="colorful" phldr="1"/>
      <dgm:spPr/>
      <dgm:t>
        <a:bodyPr/>
        <a:lstStyle/>
        <a:p>
          <a:endParaRPr lang="en-GB"/>
        </a:p>
      </dgm:t>
    </dgm:pt>
    <dgm:pt modelId="{81176FE0-F984-4334-A576-5F61C2A70BC9}">
      <dgm:prSet phldrT="[Text]" custT="1"/>
      <dgm:spPr/>
      <dgm:t>
        <a:bodyPr/>
        <a:lstStyle/>
        <a:p>
          <a:r>
            <a:rPr lang="en-GB" sz="1400" b="1">
              <a:latin typeface="Times New Roman" panose="02020603050405020304" pitchFamily="18" charset="0"/>
              <a:cs typeface="Times New Roman" panose="02020603050405020304" pitchFamily="18" charset="0"/>
            </a:rPr>
            <a:t>Public meetings</a:t>
          </a:r>
          <a:endParaRPr lang="en-GB" sz="1400">
            <a:latin typeface="Times New Roman" panose="02020603050405020304" pitchFamily="18" charset="0"/>
            <a:cs typeface="Times New Roman" panose="02020603050405020304" pitchFamily="18" charset="0"/>
          </a:endParaRPr>
        </a:p>
      </dgm:t>
    </dgm:pt>
    <dgm:pt modelId="{BCD23D94-3775-4F78-9564-C6C1D033FB61}" type="parTrans" cxnId="{DDC3300C-C5B7-4628-9173-926FADBEB20E}">
      <dgm:prSet/>
      <dgm:spPr/>
      <dgm:t>
        <a:bodyPr/>
        <a:lstStyle/>
        <a:p>
          <a:endParaRPr lang="en-GB"/>
        </a:p>
      </dgm:t>
    </dgm:pt>
    <dgm:pt modelId="{F5C60629-BDCA-4178-A5BA-A0F9AC5B59A2}" type="sibTrans" cxnId="{DDC3300C-C5B7-4628-9173-926FADBEB20E}">
      <dgm:prSet/>
      <dgm:spPr/>
      <dgm:t>
        <a:bodyPr/>
        <a:lstStyle/>
        <a:p>
          <a:endParaRPr lang="en-GB"/>
        </a:p>
      </dgm:t>
    </dgm:pt>
    <dgm:pt modelId="{F3DF14E7-0018-4CE0-B3A5-F80464C8A06D}">
      <dgm:prSet phldrT="[Text]" custT="1"/>
      <dgm:spPr/>
      <dgm:t>
        <a:bodyPr/>
        <a:lstStyle/>
        <a:p>
          <a:r>
            <a:rPr lang="en-GB" sz="1400" b="1">
              <a:latin typeface="Times New Roman" panose="02020603050405020304" pitchFamily="18" charset="0"/>
              <a:cs typeface="Times New Roman" panose="02020603050405020304" pitchFamily="18" charset="0"/>
            </a:rPr>
            <a:t>Online surveys</a:t>
          </a:r>
          <a:endParaRPr lang="en-GB" sz="1400">
            <a:latin typeface="Times New Roman" panose="02020603050405020304" pitchFamily="18" charset="0"/>
            <a:cs typeface="Times New Roman" panose="02020603050405020304" pitchFamily="18" charset="0"/>
          </a:endParaRPr>
        </a:p>
      </dgm:t>
    </dgm:pt>
    <dgm:pt modelId="{03E220CC-2876-4CD2-978B-44333EC61A59}" type="parTrans" cxnId="{E839CA99-AC08-4B0B-9E99-F397DDD29575}">
      <dgm:prSet/>
      <dgm:spPr/>
      <dgm:t>
        <a:bodyPr/>
        <a:lstStyle/>
        <a:p>
          <a:endParaRPr lang="en-GB"/>
        </a:p>
      </dgm:t>
    </dgm:pt>
    <dgm:pt modelId="{3A40888E-5C0F-4BFA-9DD8-B3450C669D9B}" type="sibTrans" cxnId="{E839CA99-AC08-4B0B-9E99-F397DDD29575}">
      <dgm:prSet/>
      <dgm:spPr/>
      <dgm:t>
        <a:bodyPr/>
        <a:lstStyle/>
        <a:p>
          <a:endParaRPr lang="en-GB"/>
        </a:p>
      </dgm:t>
    </dgm:pt>
    <dgm:pt modelId="{E69337EA-31D3-4E08-96DC-1F7B5EFA950F}">
      <dgm:prSet phldrT="[Text]" custT="1"/>
      <dgm:spPr/>
      <dgm:t>
        <a:bodyPr/>
        <a:lstStyle/>
        <a:p>
          <a:r>
            <a:rPr lang="en-GB" sz="1400" b="1">
              <a:latin typeface="Times New Roman" panose="02020603050405020304" pitchFamily="18" charset="0"/>
              <a:cs typeface="Times New Roman" panose="02020603050405020304" pitchFamily="18" charset="0"/>
            </a:rPr>
            <a:t>Workshops</a:t>
          </a:r>
          <a:endParaRPr lang="en-GB" sz="1400">
            <a:latin typeface="Times New Roman" panose="02020603050405020304" pitchFamily="18" charset="0"/>
            <a:cs typeface="Times New Roman" panose="02020603050405020304" pitchFamily="18" charset="0"/>
          </a:endParaRPr>
        </a:p>
      </dgm:t>
    </dgm:pt>
    <dgm:pt modelId="{E7121550-B97C-4424-8115-F0256451BA1E}" type="parTrans" cxnId="{88A80E01-9DE0-4567-AF46-E3921491045C}">
      <dgm:prSet/>
      <dgm:spPr/>
      <dgm:t>
        <a:bodyPr/>
        <a:lstStyle/>
        <a:p>
          <a:endParaRPr lang="en-GB"/>
        </a:p>
      </dgm:t>
    </dgm:pt>
    <dgm:pt modelId="{B84C7E69-FC85-4F31-96DA-FA3753AF2D56}" type="sibTrans" cxnId="{88A80E01-9DE0-4567-AF46-E3921491045C}">
      <dgm:prSet/>
      <dgm:spPr/>
      <dgm:t>
        <a:bodyPr/>
        <a:lstStyle/>
        <a:p>
          <a:endParaRPr lang="en-GB"/>
        </a:p>
      </dgm:t>
    </dgm:pt>
    <dgm:pt modelId="{4D26E790-0322-4E0D-B8C1-A7902CF1CFC2}">
      <dgm:prSet custT="1"/>
      <dgm:spPr/>
      <dgm:t>
        <a:bodyPr/>
        <a:lstStyle/>
        <a:p>
          <a:r>
            <a:rPr lang="en-GB" sz="1400" b="1">
              <a:latin typeface="Times New Roman" panose="02020603050405020304" pitchFamily="18" charset="0"/>
              <a:cs typeface="Times New Roman" panose="02020603050405020304" pitchFamily="18" charset="0"/>
            </a:rPr>
            <a:t>Documents for consultation</a:t>
          </a:r>
          <a:endParaRPr lang="en-GB" sz="1400">
            <a:latin typeface="Times New Roman" panose="02020603050405020304" pitchFamily="18" charset="0"/>
            <a:cs typeface="Times New Roman" panose="02020603050405020304" pitchFamily="18" charset="0"/>
          </a:endParaRPr>
        </a:p>
      </dgm:t>
    </dgm:pt>
    <dgm:pt modelId="{DE24D49A-DDC9-4253-8CB8-30A3B50A503D}" type="parTrans" cxnId="{1825F4A8-6430-42B0-9E6E-9E548663501F}">
      <dgm:prSet/>
      <dgm:spPr/>
      <dgm:t>
        <a:bodyPr/>
        <a:lstStyle/>
        <a:p>
          <a:endParaRPr lang="en-GB"/>
        </a:p>
      </dgm:t>
    </dgm:pt>
    <dgm:pt modelId="{C0DF247C-91B7-4E64-9E78-026CADC61CBE}" type="sibTrans" cxnId="{1825F4A8-6430-42B0-9E6E-9E548663501F}">
      <dgm:prSet/>
      <dgm:spPr/>
      <dgm:t>
        <a:bodyPr/>
        <a:lstStyle/>
        <a:p>
          <a:endParaRPr lang="en-GB"/>
        </a:p>
      </dgm:t>
    </dgm:pt>
    <dgm:pt modelId="{CA5C6B96-6B30-4875-B36F-3862A5377462}">
      <dgm:prSet custT="1"/>
      <dgm:spPr/>
      <dgm:t>
        <a:bodyPr/>
        <a:lstStyle/>
        <a:p>
          <a:r>
            <a:rPr lang="en-GB" sz="1400" b="1">
              <a:latin typeface="Times New Roman" panose="02020603050405020304" pitchFamily="18" charset="0"/>
              <a:cs typeface="Times New Roman" panose="02020603050405020304" pitchFamily="18" charset="0"/>
            </a:rPr>
            <a:t>Community events</a:t>
          </a:r>
          <a:endParaRPr lang="en-GB" sz="1400">
            <a:latin typeface="Times New Roman" panose="02020603050405020304" pitchFamily="18" charset="0"/>
            <a:cs typeface="Times New Roman" panose="02020603050405020304" pitchFamily="18" charset="0"/>
          </a:endParaRPr>
        </a:p>
      </dgm:t>
    </dgm:pt>
    <dgm:pt modelId="{425FF8FA-9C79-4B3A-AB79-169060C1C94C}" type="parTrans" cxnId="{4D795F69-EA5E-4CC4-98DC-F2C57DBE5FAB}">
      <dgm:prSet/>
      <dgm:spPr/>
      <dgm:t>
        <a:bodyPr/>
        <a:lstStyle/>
        <a:p>
          <a:endParaRPr lang="en-GB"/>
        </a:p>
      </dgm:t>
    </dgm:pt>
    <dgm:pt modelId="{BEB45CCF-5A53-432E-8347-D8A8440017BE}" type="sibTrans" cxnId="{4D795F69-EA5E-4CC4-98DC-F2C57DBE5FAB}">
      <dgm:prSet/>
      <dgm:spPr/>
      <dgm:t>
        <a:bodyPr/>
        <a:lstStyle/>
        <a:p>
          <a:endParaRPr lang="en-GB"/>
        </a:p>
      </dgm:t>
    </dgm:pt>
    <dgm:pt modelId="{9DAD2014-FB02-405F-A1EF-84158954B591}">
      <dgm:prSet custT="1"/>
      <dgm:spPr/>
      <dgm:t>
        <a:bodyPr/>
        <a:lstStyle/>
        <a:p>
          <a:r>
            <a:rPr lang="en-GB" sz="1400" b="1">
              <a:latin typeface="Times New Roman" panose="02020603050405020304" pitchFamily="18" charset="0"/>
              <a:cs typeface="Times New Roman" panose="02020603050405020304" pitchFamily="18" charset="0"/>
            </a:rPr>
            <a:t>Social media</a:t>
          </a:r>
          <a:endParaRPr lang="en-GB" sz="1400">
            <a:latin typeface="Times New Roman" panose="02020603050405020304" pitchFamily="18" charset="0"/>
            <a:cs typeface="Times New Roman" panose="02020603050405020304" pitchFamily="18" charset="0"/>
          </a:endParaRPr>
        </a:p>
      </dgm:t>
    </dgm:pt>
    <dgm:pt modelId="{30E27F8F-73B5-44AB-B47D-6120BF81EE52}" type="parTrans" cxnId="{CBDBD126-DF56-4DD1-AE26-A597B4C6274A}">
      <dgm:prSet/>
      <dgm:spPr/>
      <dgm:t>
        <a:bodyPr/>
        <a:lstStyle/>
        <a:p>
          <a:endParaRPr lang="en-GB"/>
        </a:p>
      </dgm:t>
    </dgm:pt>
    <dgm:pt modelId="{F6E4FD6C-F85E-4BE4-B6DA-ED9705C4E81E}" type="sibTrans" cxnId="{CBDBD126-DF56-4DD1-AE26-A597B4C6274A}">
      <dgm:prSet/>
      <dgm:spPr/>
      <dgm:t>
        <a:bodyPr/>
        <a:lstStyle/>
        <a:p>
          <a:endParaRPr lang="en-GB"/>
        </a:p>
      </dgm:t>
    </dgm:pt>
    <dgm:pt modelId="{AE3D87F4-8B57-48DC-AAF0-6AEDE2857572}">
      <dgm:prSet custT="1"/>
      <dgm:spPr/>
      <dgm:t>
        <a:bodyPr/>
        <a:lstStyle/>
        <a:p>
          <a:r>
            <a:rPr lang="en-GB" sz="1400" b="1">
              <a:latin typeface="Times New Roman" panose="02020603050405020304" pitchFamily="18" charset="0"/>
              <a:cs typeface="Times New Roman" panose="02020603050405020304" pitchFamily="18" charset="0"/>
            </a:rPr>
            <a:t>Focus groups</a:t>
          </a:r>
          <a:endParaRPr lang="en-GB" sz="1400">
            <a:latin typeface="Times New Roman" panose="02020603050405020304" pitchFamily="18" charset="0"/>
            <a:cs typeface="Times New Roman" panose="02020603050405020304" pitchFamily="18" charset="0"/>
          </a:endParaRPr>
        </a:p>
      </dgm:t>
    </dgm:pt>
    <dgm:pt modelId="{1C141481-E04E-4B93-8B57-440BAB5D5E0B}" type="parTrans" cxnId="{26102385-FCB6-4275-9C30-AC01CDA6E7C2}">
      <dgm:prSet/>
      <dgm:spPr/>
      <dgm:t>
        <a:bodyPr/>
        <a:lstStyle/>
        <a:p>
          <a:endParaRPr lang="en-GB"/>
        </a:p>
      </dgm:t>
    </dgm:pt>
    <dgm:pt modelId="{C8F8160F-BA3C-4B85-94E1-609CCFCF3A6E}" type="sibTrans" cxnId="{26102385-FCB6-4275-9C30-AC01CDA6E7C2}">
      <dgm:prSet/>
      <dgm:spPr/>
      <dgm:t>
        <a:bodyPr/>
        <a:lstStyle/>
        <a:p>
          <a:endParaRPr lang="en-GB"/>
        </a:p>
      </dgm:t>
    </dgm:pt>
    <dgm:pt modelId="{97C634AB-5CEC-4078-BF79-1D533B8E1A3B}" type="pres">
      <dgm:prSet presAssocID="{991B7C1D-77DE-449B-909F-181BBC0BAC45}" presName="linear" presStyleCnt="0">
        <dgm:presLayoutVars>
          <dgm:dir/>
          <dgm:animLvl val="lvl"/>
          <dgm:resizeHandles val="exact"/>
        </dgm:presLayoutVars>
      </dgm:prSet>
      <dgm:spPr/>
    </dgm:pt>
    <dgm:pt modelId="{CE09096D-FC0F-4A38-9653-9AED28C4B600}" type="pres">
      <dgm:prSet presAssocID="{81176FE0-F984-4334-A576-5F61C2A70BC9}" presName="parentLin" presStyleCnt="0"/>
      <dgm:spPr/>
    </dgm:pt>
    <dgm:pt modelId="{94F342B2-4E15-4236-AF81-5B5E19B0FAA3}" type="pres">
      <dgm:prSet presAssocID="{81176FE0-F984-4334-A576-5F61C2A70BC9}" presName="parentLeftMargin" presStyleLbl="node1" presStyleIdx="0" presStyleCnt="7"/>
      <dgm:spPr/>
    </dgm:pt>
    <dgm:pt modelId="{BDE72624-B9F3-4541-863D-B708F30B61F6}" type="pres">
      <dgm:prSet presAssocID="{81176FE0-F984-4334-A576-5F61C2A70BC9}" presName="parentText" presStyleLbl="node1" presStyleIdx="0" presStyleCnt="7">
        <dgm:presLayoutVars>
          <dgm:chMax val="0"/>
          <dgm:bulletEnabled val="1"/>
        </dgm:presLayoutVars>
      </dgm:prSet>
      <dgm:spPr/>
    </dgm:pt>
    <dgm:pt modelId="{CF0E5E5E-50AC-42EE-A9C8-D7A85F126994}" type="pres">
      <dgm:prSet presAssocID="{81176FE0-F984-4334-A576-5F61C2A70BC9}" presName="negativeSpace" presStyleCnt="0"/>
      <dgm:spPr/>
    </dgm:pt>
    <dgm:pt modelId="{139B8D80-F24D-46E4-AB76-460CF8EE7EA9}" type="pres">
      <dgm:prSet presAssocID="{81176FE0-F984-4334-A576-5F61C2A70BC9}" presName="childText" presStyleLbl="conFgAcc1" presStyleIdx="0" presStyleCnt="7">
        <dgm:presLayoutVars>
          <dgm:bulletEnabled val="1"/>
        </dgm:presLayoutVars>
      </dgm:prSet>
      <dgm:spPr/>
    </dgm:pt>
    <dgm:pt modelId="{EBA019F2-2ED0-4795-8092-F093E1BF3EAB}" type="pres">
      <dgm:prSet presAssocID="{F5C60629-BDCA-4178-A5BA-A0F9AC5B59A2}" presName="spaceBetweenRectangles" presStyleCnt="0"/>
      <dgm:spPr/>
    </dgm:pt>
    <dgm:pt modelId="{2E0DB607-CE81-49DC-A99E-1C48EE15C746}" type="pres">
      <dgm:prSet presAssocID="{F3DF14E7-0018-4CE0-B3A5-F80464C8A06D}" presName="parentLin" presStyleCnt="0"/>
      <dgm:spPr/>
    </dgm:pt>
    <dgm:pt modelId="{23BAF434-B318-4A9D-A599-A5A72543D4CC}" type="pres">
      <dgm:prSet presAssocID="{F3DF14E7-0018-4CE0-B3A5-F80464C8A06D}" presName="parentLeftMargin" presStyleLbl="node1" presStyleIdx="0" presStyleCnt="7"/>
      <dgm:spPr/>
    </dgm:pt>
    <dgm:pt modelId="{FEE32074-2BEF-4AC9-893C-24AED617D186}" type="pres">
      <dgm:prSet presAssocID="{F3DF14E7-0018-4CE0-B3A5-F80464C8A06D}" presName="parentText" presStyleLbl="node1" presStyleIdx="1" presStyleCnt="7">
        <dgm:presLayoutVars>
          <dgm:chMax val="0"/>
          <dgm:bulletEnabled val="1"/>
        </dgm:presLayoutVars>
      </dgm:prSet>
      <dgm:spPr/>
    </dgm:pt>
    <dgm:pt modelId="{E8E7E753-1450-480F-8B0D-E5914A5F1D7B}" type="pres">
      <dgm:prSet presAssocID="{F3DF14E7-0018-4CE0-B3A5-F80464C8A06D}" presName="negativeSpace" presStyleCnt="0"/>
      <dgm:spPr/>
    </dgm:pt>
    <dgm:pt modelId="{D3699725-7A98-4B05-8A22-C847F7DA09F5}" type="pres">
      <dgm:prSet presAssocID="{F3DF14E7-0018-4CE0-B3A5-F80464C8A06D}" presName="childText" presStyleLbl="conFgAcc1" presStyleIdx="1" presStyleCnt="7">
        <dgm:presLayoutVars>
          <dgm:bulletEnabled val="1"/>
        </dgm:presLayoutVars>
      </dgm:prSet>
      <dgm:spPr/>
    </dgm:pt>
    <dgm:pt modelId="{1312D6FF-E3F5-4B66-9DF2-C86367AF13B7}" type="pres">
      <dgm:prSet presAssocID="{3A40888E-5C0F-4BFA-9DD8-B3450C669D9B}" presName="spaceBetweenRectangles" presStyleCnt="0"/>
      <dgm:spPr/>
    </dgm:pt>
    <dgm:pt modelId="{636830D5-0BAB-4D4F-9D77-1F82B522ACB9}" type="pres">
      <dgm:prSet presAssocID="{AE3D87F4-8B57-48DC-AAF0-6AEDE2857572}" presName="parentLin" presStyleCnt="0"/>
      <dgm:spPr/>
    </dgm:pt>
    <dgm:pt modelId="{B7E2203E-802F-463A-B75D-708209C22C4B}" type="pres">
      <dgm:prSet presAssocID="{AE3D87F4-8B57-48DC-AAF0-6AEDE2857572}" presName="parentLeftMargin" presStyleLbl="node1" presStyleIdx="1" presStyleCnt="7"/>
      <dgm:spPr/>
    </dgm:pt>
    <dgm:pt modelId="{6C1604D5-854F-4522-8F60-9C70EEE9EAD1}" type="pres">
      <dgm:prSet presAssocID="{AE3D87F4-8B57-48DC-AAF0-6AEDE2857572}" presName="parentText" presStyleLbl="node1" presStyleIdx="2" presStyleCnt="7">
        <dgm:presLayoutVars>
          <dgm:chMax val="0"/>
          <dgm:bulletEnabled val="1"/>
        </dgm:presLayoutVars>
      </dgm:prSet>
      <dgm:spPr/>
    </dgm:pt>
    <dgm:pt modelId="{C55D96F8-A18B-4228-A8F5-D58127102302}" type="pres">
      <dgm:prSet presAssocID="{AE3D87F4-8B57-48DC-AAF0-6AEDE2857572}" presName="negativeSpace" presStyleCnt="0"/>
      <dgm:spPr/>
    </dgm:pt>
    <dgm:pt modelId="{2680256E-985C-4223-954E-947487817F84}" type="pres">
      <dgm:prSet presAssocID="{AE3D87F4-8B57-48DC-AAF0-6AEDE2857572}" presName="childText" presStyleLbl="conFgAcc1" presStyleIdx="2" presStyleCnt="7">
        <dgm:presLayoutVars>
          <dgm:bulletEnabled val="1"/>
        </dgm:presLayoutVars>
      </dgm:prSet>
      <dgm:spPr/>
    </dgm:pt>
    <dgm:pt modelId="{A8553D32-6BAB-4801-ADC8-62FB9216B485}" type="pres">
      <dgm:prSet presAssocID="{C8F8160F-BA3C-4B85-94E1-609CCFCF3A6E}" presName="spaceBetweenRectangles" presStyleCnt="0"/>
      <dgm:spPr/>
    </dgm:pt>
    <dgm:pt modelId="{F63E81B7-4819-42DF-BB26-088F8AD949D6}" type="pres">
      <dgm:prSet presAssocID="{E69337EA-31D3-4E08-96DC-1F7B5EFA950F}" presName="parentLin" presStyleCnt="0"/>
      <dgm:spPr/>
    </dgm:pt>
    <dgm:pt modelId="{12040F93-E36B-46FB-A526-FD8ABCC7B853}" type="pres">
      <dgm:prSet presAssocID="{E69337EA-31D3-4E08-96DC-1F7B5EFA950F}" presName="parentLeftMargin" presStyleLbl="node1" presStyleIdx="2" presStyleCnt="7"/>
      <dgm:spPr/>
    </dgm:pt>
    <dgm:pt modelId="{C5D88F63-EAF7-4714-B105-20CB086D37EB}" type="pres">
      <dgm:prSet presAssocID="{E69337EA-31D3-4E08-96DC-1F7B5EFA950F}" presName="parentText" presStyleLbl="node1" presStyleIdx="3" presStyleCnt="7">
        <dgm:presLayoutVars>
          <dgm:chMax val="0"/>
          <dgm:bulletEnabled val="1"/>
        </dgm:presLayoutVars>
      </dgm:prSet>
      <dgm:spPr/>
    </dgm:pt>
    <dgm:pt modelId="{4F78E7D8-52E3-4F61-AC0E-B731AA1E414E}" type="pres">
      <dgm:prSet presAssocID="{E69337EA-31D3-4E08-96DC-1F7B5EFA950F}" presName="negativeSpace" presStyleCnt="0"/>
      <dgm:spPr/>
    </dgm:pt>
    <dgm:pt modelId="{2DD20249-C7F3-46F7-B3E2-9FA1DAA21087}" type="pres">
      <dgm:prSet presAssocID="{E69337EA-31D3-4E08-96DC-1F7B5EFA950F}" presName="childText" presStyleLbl="conFgAcc1" presStyleIdx="3" presStyleCnt="7">
        <dgm:presLayoutVars>
          <dgm:bulletEnabled val="1"/>
        </dgm:presLayoutVars>
      </dgm:prSet>
      <dgm:spPr/>
    </dgm:pt>
    <dgm:pt modelId="{FBBFE5FA-8911-4AE8-A862-6C7D9A9A5BB8}" type="pres">
      <dgm:prSet presAssocID="{B84C7E69-FC85-4F31-96DA-FA3753AF2D56}" presName="spaceBetweenRectangles" presStyleCnt="0"/>
      <dgm:spPr/>
    </dgm:pt>
    <dgm:pt modelId="{3C902FF3-5231-4E61-B6D3-52546B8F8F2D}" type="pres">
      <dgm:prSet presAssocID="{9DAD2014-FB02-405F-A1EF-84158954B591}" presName="parentLin" presStyleCnt="0"/>
      <dgm:spPr/>
    </dgm:pt>
    <dgm:pt modelId="{1C1A1511-9456-4EBD-826A-109CEF59042E}" type="pres">
      <dgm:prSet presAssocID="{9DAD2014-FB02-405F-A1EF-84158954B591}" presName="parentLeftMargin" presStyleLbl="node1" presStyleIdx="3" presStyleCnt="7"/>
      <dgm:spPr/>
    </dgm:pt>
    <dgm:pt modelId="{9AC8EAE3-2881-4FB5-9F03-D1CA5B37C4BE}" type="pres">
      <dgm:prSet presAssocID="{9DAD2014-FB02-405F-A1EF-84158954B591}" presName="parentText" presStyleLbl="node1" presStyleIdx="4" presStyleCnt="7">
        <dgm:presLayoutVars>
          <dgm:chMax val="0"/>
          <dgm:bulletEnabled val="1"/>
        </dgm:presLayoutVars>
      </dgm:prSet>
      <dgm:spPr/>
    </dgm:pt>
    <dgm:pt modelId="{A3838737-1FF8-48B9-951B-EBF9C05BFB35}" type="pres">
      <dgm:prSet presAssocID="{9DAD2014-FB02-405F-A1EF-84158954B591}" presName="negativeSpace" presStyleCnt="0"/>
      <dgm:spPr/>
    </dgm:pt>
    <dgm:pt modelId="{2FA480D9-7DFF-427F-9DB5-9710C6A645BF}" type="pres">
      <dgm:prSet presAssocID="{9DAD2014-FB02-405F-A1EF-84158954B591}" presName="childText" presStyleLbl="conFgAcc1" presStyleIdx="4" presStyleCnt="7">
        <dgm:presLayoutVars>
          <dgm:bulletEnabled val="1"/>
        </dgm:presLayoutVars>
      </dgm:prSet>
      <dgm:spPr/>
    </dgm:pt>
    <dgm:pt modelId="{9E0036B5-02D1-4AEF-926D-598822E86B6F}" type="pres">
      <dgm:prSet presAssocID="{F6E4FD6C-F85E-4BE4-B6DA-ED9705C4E81E}" presName="spaceBetweenRectangles" presStyleCnt="0"/>
      <dgm:spPr/>
    </dgm:pt>
    <dgm:pt modelId="{278CAC01-CCC9-42EC-A7E5-6411E8E6ED72}" type="pres">
      <dgm:prSet presAssocID="{CA5C6B96-6B30-4875-B36F-3862A5377462}" presName="parentLin" presStyleCnt="0"/>
      <dgm:spPr/>
    </dgm:pt>
    <dgm:pt modelId="{C2E7C7D9-9B21-4C2E-843D-68B37A86E1C4}" type="pres">
      <dgm:prSet presAssocID="{CA5C6B96-6B30-4875-B36F-3862A5377462}" presName="parentLeftMargin" presStyleLbl="node1" presStyleIdx="4" presStyleCnt="7"/>
      <dgm:spPr/>
    </dgm:pt>
    <dgm:pt modelId="{5916CEE9-A1F1-41D6-BD95-EB73A477DCBD}" type="pres">
      <dgm:prSet presAssocID="{CA5C6B96-6B30-4875-B36F-3862A5377462}" presName="parentText" presStyleLbl="node1" presStyleIdx="5" presStyleCnt="7">
        <dgm:presLayoutVars>
          <dgm:chMax val="0"/>
          <dgm:bulletEnabled val="1"/>
        </dgm:presLayoutVars>
      </dgm:prSet>
      <dgm:spPr/>
    </dgm:pt>
    <dgm:pt modelId="{8B0B704E-307F-483F-9798-078B67C5D14A}" type="pres">
      <dgm:prSet presAssocID="{CA5C6B96-6B30-4875-B36F-3862A5377462}" presName="negativeSpace" presStyleCnt="0"/>
      <dgm:spPr/>
    </dgm:pt>
    <dgm:pt modelId="{E490DCAE-3D62-420B-A662-ED47F8B114A1}" type="pres">
      <dgm:prSet presAssocID="{CA5C6B96-6B30-4875-B36F-3862A5377462}" presName="childText" presStyleLbl="conFgAcc1" presStyleIdx="5" presStyleCnt="7">
        <dgm:presLayoutVars>
          <dgm:bulletEnabled val="1"/>
        </dgm:presLayoutVars>
      </dgm:prSet>
      <dgm:spPr/>
    </dgm:pt>
    <dgm:pt modelId="{0B9D6CF4-2CD5-4679-AFB7-7F688B569EEE}" type="pres">
      <dgm:prSet presAssocID="{BEB45CCF-5A53-432E-8347-D8A8440017BE}" presName="spaceBetweenRectangles" presStyleCnt="0"/>
      <dgm:spPr/>
    </dgm:pt>
    <dgm:pt modelId="{3BC6DB31-FDB1-4AAD-9FB5-0C59DC55C02D}" type="pres">
      <dgm:prSet presAssocID="{4D26E790-0322-4E0D-B8C1-A7902CF1CFC2}" presName="parentLin" presStyleCnt="0"/>
      <dgm:spPr/>
    </dgm:pt>
    <dgm:pt modelId="{FB0464A1-AD6C-4096-B20D-28231FC3F212}" type="pres">
      <dgm:prSet presAssocID="{4D26E790-0322-4E0D-B8C1-A7902CF1CFC2}" presName="parentLeftMargin" presStyleLbl="node1" presStyleIdx="5" presStyleCnt="7"/>
      <dgm:spPr/>
    </dgm:pt>
    <dgm:pt modelId="{7DAAA313-1BFE-4E83-A4AB-60B26F7E1EDB}" type="pres">
      <dgm:prSet presAssocID="{4D26E790-0322-4E0D-B8C1-A7902CF1CFC2}" presName="parentText" presStyleLbl="node1" presStyleIdx="6" presStyleCnt="7">
        <dgm:presLayoutVars>
          <dgm:chMax val="0"/>
          <dgm:bulletEnabled val="1"/>
        </dgm:presLayoutVars>
      </dgm:prSet>
      <dgm:spPr/>
    </dgm:pt>
    <dgm:pt modelId="{1B0E14D3-1D7F-4165-B6AE-58697BE8D731}" type="pres">
      <dgm:prSet presAssocID="{4D26E790-0322-4E0D-B8C1-A7902CF1CFC2}" presName="negativeSpace" presStyleCnt="0"/>
      <dgm:spPr/>
    </dgm:pt>
    <dgm:pt modelId="{5F89423A-8149-4F05-9D8A-81E51EBD9888}" type="pres">
      <dgm:prSet presAssocID="{4D26E790-0322-4E0D-B8C1-A7902CF1CFC2}" presName="childText" presStyleLbl="conFgAcc1" presStyleIdx="6" presStyleCnt="7">
        <dgm:presLayoutVars>
          <dgm:bulletEnabled val="1"/>
        </dgm:presLayoutVars>
      </dgm:prSet>
      <dgm:spPr/>
    </dgm:pt>
  </dgm:ptLst>
  <dgm:cxnLst>
    <dgm:cxn modelId="{88A80E01-9DE0-4567-AF46-E3921491045C}" srcId="{991B7C1D-77DE-449B-909F-181BBC0BAC45}" destId="{E69337EA-31D3-4E08-96DC-1F7B5EFA950F}" srcOrd="3" destOrd="0" parTransId="{E7121550-B97C-4424-8115-F0256451BA1E}" sibTransId="{B84C7E69-FC85-4F31-96DA-FA3753AF2D56}"/>
    <dgm:cxn modelId="{C652CB05-07A3-45CC-A9BB-1333DCD52A9D}" type="presOf" srcId="{E69337EA-31D3-4E08-96DC-1F7B5EFA950F}" destId="{12040F93-E36B-46FB-A526-FD8ABCC7B853}" srcOrd="0" destOrd="0" presId="urn:microsoft.com/office/officeart/2005/8/layout/list1"/>
    <dgm:cxn modelId="{9B0ACD0A-69D0-425C-83B0-FA1D445238FB}" type="presOf" srcId="{9DAD2014-FB02-405F-A1EF-84158954B591}" destId="{9AC8EAE3-2881-4FB5-9F03-D1CA5B37C4BE}" srcOrd="1" destOrd="0" presId="urn:microsoft.com/office/officeart/2005/8/layout/list1"/>
    <dgm:cxn modelId="{DDC3300C-C5B7-4628-9173-926FADBEB20E}" srcId="{991B7C1D-77DE-449B-909F-181BBC0BAC45}" destId="{81176FE0-F984-4334-A576-5F61C2A70BC9}" srcOrd="0" destOrd="0" parTransId="{BCD23D94-3775-4F78-9564-C6C1D033FB61}" sibTransId="{F5C60629-BDCA-4178-A5BA-A0F9AC5B59A2}"/>
    <dgm:cxn modelId="{6B6DF613-FA9B-4EC6-9C78-FFD2A0356134}" type="presOf" srcId="{9DAD2014-FB02-405F-A1EF-84158954B591}" destId="{1C1A1511-9456-4EBD-826A-109CEF59042E}" srcOrd="0" destOrd="0" presId="urn:microsoft.com/office/officeart/2005/8/layout/list1"/>
    <dgm:cxn modelId="{CBDBD126-DF56-4DD1-AE26-A597B4C6274A}" srcId="{991B7C1D-77DE-449B-909F-181BBC0BAC45}" destId="{9DAD2014-FB02-405F-A1EF-84158954B591}" srcOrd="4" destOrd="0" parTransId="{30E27F8F-73B5-44AB-B47D-6120BF81EE52}" sibTransId="{F6E4FD6C-F85E-4BE4-B6DA-ED9705C4E81E}"/>
    <dgm:cxn modelId="{9F7B4031-E8B7-4302-9CA2-DD5C7BE6998C}" type="presOf" srcId="{E69337EA-31D3-4E08-96DC-1F7B5EFA950F}" destId="{C5D88F63-EAF7-4714-B105-20CB086D37EB}" srcOrd="1" destOrd="0" presId="urn:microsoft.com/office/officeart/2005/8/layout/list1"/>
    <dgm:cxn modelId="{167DF138-F3B3-4181-A7F0-3D316C109090}" type="presOf" srcId="{CA5C6B96-6B30-4875-B36F-3862A5377462}" destId="{5916CEE9-A1F1-41D6-BD95-EB73A477DCBD}" srcOrd="1" destOrd="0" presId="urn:microsoft.com/office/officeart/2005/8/layout/list1"/>
    <dgm:cxn modelId="{4B1B915E-91AB-4A41-BA19-A83906E0748F}" type="presOf" srcId="{CA5C6B96-6B30-4875-B36F-3862A5377462}" destId="{C2E7C7D9-9B21-4C2E-843D-68B37A86E1C4}" srcOrd="0" destOrd="0" presId="urn:microsoft.com/office/officeart/2005/8/layout/list1"/>
    <dgm:cxn modelId="{4D795F69-EA5E-4CC4-98DC-F2C57DBE5FAB}" srcId="{991B7C1D-77DE-449B-909F-181BBC0BAC45}" destId="{CA5C6B96-6B30-4875-B36F-3862A5377462}" srcOrd="5" destOrd="0" parTransId="{425FF8FA-9C79-4B3A-AB79-169060C1C94C}" sibTransId="{BEB45CCF-5A53-432E-8347-D8A8440017BE}"/>
    <dgm:cxn modelId="{09687F6B-A55C-4743-9B3B-0197E2919200}" type="presOf" srcId="{F3DF14E7-0018-4CE0-B3A5-F80464C8A06D}" destId="{FEE32074-2BEF-4AC9-893C-24AED617D186}" srcOrd="1" destOrd="0" presId="urn:microsoft.com/office/officeart/2005/8/layout/list1"/>
    <dgm:cxn modelId="{C7FD067D-595D-4FA4-BD1E-53CBC22688D1}" type="presOf" srcId="{AE3D87F4-8B57-48DC-AAF0-6AEDE2857572}" destId="{B7E2203E-802F-463A-B75D-708209C22C4B}" srcOrd="0" destOrd="0" presId="urn:microsoft.com/office/officeart/2005/8/layout/list1"/>
    <dgm:cxn modelId="{26102385-FCB6-4275-9C30-AC01CDA6E7C2}" srcId="{991B7C1D-77DE-449B-909F-181BBC0BAC45}" destId="{AE3D87F4-8B57-48DC-AAF0-6AEDE2857572}" srcOrd="2" destOrd="0" parTransId="{1C141481-E04E-4B93-8B57-440BAB5D5E0B}" sibTransId="{C8F8160F-BA3C-4B85-94E1-609CCFCF3A6E}"/>
    <dgm:cxn modelId="{E839CA99-AC08-4B0B-9E99-F397DDD29575}" srcId="{991B7C1D-77DE-449B-909F-181BBC0BAC45}" destId="{F3DF14E7-0018-4CE0-B3A5-F80464C8A06D}" srcOrd="1" destOrd="0" parTransId="{03E220CC-2876-4CD2-978B-44333EC61A59}" sibTransId="{3A40888E-5C0F-4BFA-9DD8-B3450C669D9B}"/>
    <dgm:cxn modelId="{9C8E6B9E-F5C7-41B2-818A-544F090C3100}" type="presOf" srcId="{81176FE0-F984-4334-A576-5F61C2A70BC9}" destId="{94F342B2-4E15-4236-AF81-5B5E19B0FAA3}" srcOrd="0" destOrd="0" presId="urn:microsoft.com/office/officeart/2005/8/layout/list1"/>
    <dgm:cxn modelId="{59437BA1-462D-409A-8423-9FB1EFF412DF}" type="presOf" srcId="{4D26E790-0322-4E0D-B8C1-A7902CF1CFC2}" destId="{FB0464A1-AD6C-4096-B20D-28231FC3F212}" srcOrd="0" destOrd="0" presId="urn:microsoft.com/office/officeart/2005/8/layout/list1"/>
    <dgm:cxn modelId="{1825F4A8-6430-42B0-9E6E-9E548663501F}" srcId="{991B7C1D-77DE-449B-909F-181BBC0BAC45}" destId="{4D26E790-0322-4E0D-B8C1-A7902CF1CFC2}" srcOrd="6" destOrd="0" parTransId="{DE24D49A-DDC9-4253-8CB8-30A3B50A503D}" sibTransId="{C0DF247C-91B7-4E64-9E78-026CADC61CBE}"/>
    <dgm:cxn modelId="{E894C3BD-1E14-44BE-99A5-0031B2950DD4}" type="presOf" srcId="{F3DF14E7-0018-4CE0-B3A5-F80464C8A06D}" destId="{23BAF434-B318-4A9D-A599-A5A72543D4CC}" srcOrd="0" destOrd="0" presId="urn:microsoft.com/office/officeart/2005/8/layout/list1"/>
    <dgm:cxn modelId="{EFB06BC7-AE22-4992-8548-1C37C1F4872E}" type="presOf" srcId="{4D26E790-0322-4E0D-B8C1-A7902CF1CFC2}" destId="{7DAAA313-1BFE-4E83-A4AB-60B26F7E1EDB}" srcOrd="1" destOrd="0" presId="urn:microsoft.com/office/officeart/2005/8/layout/list1"/>
    <dgm:cxn modelId="{D84DBDCD-771C-45B9-8856-EDDF99AD30BA}" type="presOf" srcId="{81176FE0-F984-4334-A576-5F61C2A70BC9}" destId="{BDE72624-B9F3-4541-863D-B708F30B61F6}" srcOrd="1" destOrd="0" presId="urn:microsoft.com/office/officeart/2005/8/layout/list1"/>
    <dgm:cxn modelId="{450A9EE0-B8A0-4EB9-A97D-910FC15B5ED7}" type="presOf" srcId="{991B7C1D-77DE-449B-909F-181BBC0BAC45}" destId="{97C634AB-5CEC-4078-BF79-1D533B8E1A3B}" srcOrd="0" destOrd="0" presId="urn:microsoft.com/office/officeart/2005/8/layout/list1"/>
    <dgm:cxn modelId="{9746BEE6-604C-47F8-BB6C-AE555295F6A0}" type="presOf" srcId="{AE3D87F4-8B57-48DC-AAF0-6AEDE2857572}" destId="{6C1604D5-854F-4522-8F60-9C70EEE9EAD1}" srcOrd="1" destOrd="0" presId="urn:microsoft.com/office/officeart/2005/8/layout/list1"/>
    <dgm:cxn modelId="{79208002-912B-4B1A-885C-2AEEA24BC1D1}" type="presParOf" srcId="{97C634AB-5CEC-4078-BF79-1D533B8E1A3B}" destId="{CE09096D-FC0F-4A38-9653-9AED28C4B600}" srcOrd="0" destOrd="0" presId="urn:microsoft.com/office/officeart/2005/8/layout/list1"/>
    <dgm:cxn modelId="{5F04602E-48C9-4F26-89F3-5B834F40CB8E}" type="presParOf" srcId="{CE09096D-FC0F-4A38-9653-9AED28C4B600}" destId="{94F342B2-4E15-4236-AF81-5B5E19B0FAA3}" srcOrd="0" destOrd="0" presId="urn:microsoft.com/office/officeart/2005/8/layout/list1"/>
    <dgm:cxn modelId="{A9BD06C3-6281-4086-A896-B278DC42ACA7}" type="presParOf" srcId="{CE09096D-FC0F-4A38-9653-9AED28C4B600}" destId="{BDE72624-B9F3-4541-863D-B708F30B61F6}" srcOrd="1" destOrd="0" presId="urn:microsoft.com/office/officeart/2005/8/layout/list1"/>
    <dgm:cxn modelId="{83DE8150-3DEA-4776-950C-C039B816FA72}" type="presParOf" srcId="{97C634AB-5CEC-4078-BF79-1D533B8E1A3B}" destId="{CF0E5E5E-50AC-42EE-A9C8-D7A85F126994}" srcOrd="1" destOrd="0" presId="urn:microsoft.com/office/officeart/2005/8/layout/list1"/>
    <dgm:cxn modelId="{DF96A4CB-0CBC-4023-8F0C-9E91681E89DD}" type="presParOf" srcId="{97C634AB-5CEC-4078-BF79-1D533B8E1A3B}" destId="{139B8D80-F24D-46E4-AB76-460CF8EE7EA9}" srcOrd="2" destOrd="0" presId="urn:microsoft.com/office/officeart/2005/8/layout/list1"/>
    <dgm:cxn modelId="{616E1363-DA53-42FF-943A-B9A0031724C5}" type="presParOf" srcId="{97C634AB-5CEC-4078-BF79-1D533B8E1A3B}" destId="{EBA019F2-2ED0-4795-8092-F093E1BF3EAB}" srcOrd="3" destOrd="0" presId="urn:microsoft.com/office/officeart/2005/8/layout/list1"/>
    <dgm:cxn modelId="{AACA25A7-B3AD-433C-A2D3-7F06F478387A}" type="presParOf" srcId="{97C634AB-5CEC-4078-BF79-1D533B8E1A3B}" destId="{2E0DB607-CE81-49DC-A99E-1C48EE15C746}" srcOrd="4" destOrd="0" presId="urn:microsoft.com/office/officeart/2005/8/layout/list1"/>
    <dgm:cxn modelId="{20C8719B-3E74-4B77-93D8-16BA8A97F306}" type="presParOf" srcId="{2E0DB607-CE81-49DC-A99E-1C48EE15C746}" destId="{23BAF434-B318-4A9D-A599-A5A72543D4CC}" srcOrd="0" destOrd="0" presId="urn:microsoft.com/office/officeart/2005/8/layout/list1"/>
    <dgm:cxn modelId="{837CAC2E-D310-449F-8CB0-10810D0E6DD3}" type="presParOf" srcId="{2E0DB607-CE81-49DC-A99E-1C48EE15C746}" destId="{FEE32074-2BEF-4AC9-893C-24AED617D186}" srcOrd="1" destOrd="0" presId="urn:microsoft.com/office/officeart/2005/8/layout/list1"/>
    <dgm:cxn modelId="{72CBC196-D929-4C9A-9B24-B2216A9A0DA6}" type="presParOf" srcId="{97C634AB-5CEC-4078-BF79-1D533B8E1A3B}" destId="{E8E7E753-1450-480F-8B0D-E5914A5F1D7B}" srcOrd="5" destOrd="0" presId="urn:microsoft.com/office/officeart/2005/8/layout/list1"/>
    <dgm:cxn modelId="{D468B1DD-DE4D-4F4A-92EE-7B53359BB01F}" type="presParOf" srcId="{97C634AB-5CEC-4078-BF79-1D533B8E1A3B}" destId="{D3699725-7A98-4B05-8A22-C847F7DA09F5}" srcOrd="6" destOrd="0" presId="urn:microsoft.com/office/officeart/2005/8/layout/list1"/>
    <dgm:cxn modelId="{00AD2AC3-A1D2-4845-ACDC-21C01553F5BD}" type="presParOf" srcId="{97C634AB-5CEC-4078-BF79-1D533B8E1A3B}" destId="{1312D6FF-E3F5-4B66-9DF2-C86367AF13B7}" srcOrd="7" destOrd="0" presId="urn:microsoft.com/office/officeart/2005/8/layout/list1"/>
    <dgm:cxn modelId="{AE4C4F87-9E99-4269-8747-EBC9389CB3AB}" type="presParOf" srcId="{97C634AB-5CEC-4078-BF79-1D533B8E1A3B}" destId="{636830D5-0BAB-4D4F-9D77-1F82B522ACB9}" srcOrd="8" destOrd="0" presId="urn:microsoft.com/office/officeart/2005/8/layout/list1"/>
    <dgm:cxn modelId="{6C3C0E80-FCA3-42AB-8139-20B9AE5C18A0}" type="presParOf" srcId="{636830D5-0BAB-4D4F-9D77-1F82B522ACB9}" destId="{B7E2203E-802F-463A-B75D-708209C22C4B}" srcOrd="0" destOrd="0" presId="urn:microsoft.com/office/officeart/2005/8/layout/list1"/>
    <dgm:cxn modelId="{E3ACD61A-7760-47BA-AC41-D8E51F7981D0}" type="presParOf" srcId="{636830D5-0BAB-4D4F-9D77-1F82B522ACB9}" destId="{6C1604D5-854F-4522-8F60-9C70EEE9EAD1}" srcOrd="1" destOrd="0" presId="urn:microsoft.com/office/officeart/2005/8/layout/list1"/>
    <dgm:cxn modelId="{AA1E5F72-4CD7-49BE-B4C6-7841A650EA89}" type="presParOf" srcId="{97C634AB-5CEC-4078-BF79-1D533B8E1A3B}" destId="{C55D96F8-A18B-4228-A8F5-D58127102302}" srcOrd="9" destOrd="0" presId="urn:microsoft.com/office/officeart/2005/8/layout/list1"/>
    <dgm:cxn modelId="{491174B3-28BE-4041-8BB0-634C6B963ACD}" type="presParOf" srcId="{97C634AB-5CEC-4078-BF79-1D533B8E1A3B}" destId="{2680256E-985C-4223-954E-947487817F84}" srcOrd="10" destOrd="0" presId="urn:microsoft.com/office/officeart/2005/8/layout/list1"/>
    <dgm:cxn modelId="{4E294F98-232A-472D-B50D-40A46B975835}" type="presParOf" srcId="{97C634AB-5CEC-4078-BF79-1D533B8E1A3B}" destId="{A8553D32-6BAB-4801-ADC8-62FB9216B485}" srcOrd="11" destOrd="0" presId="urn:microsoft.com/office/officeart/2005/8/layout/list1"/>
    <dgm:cxn modelId="{2ADD4FAC-66A7-480C-AC99-68AFB04B9C5F}" type="presParOf" srcId="{97C634AB-5CEC-4078-BF79-1D533B8E1A3B}" destId="{F63E81B7-4819-42DF-BB26-088F8AD949D6}" srcOrd="12" destOrd="0" presId="urn:microsoft.com/office/officeart/2005/8/layout/list1"/>
    <dgm:cxn modelId="{27894DEE-BE82-4156-8312-2D5F28F3933F}" type="presParOf" srcId="{F63E81B7-4819-42DF-BB26-088F8AD949D6}" destId="{12040F93-E36B-46FB-A526-FD8ABCC7B853}" srcOrd="0" destOrd="0" presId="urn:microsoft.com/office/officeart/2005/8/layout/list1"/>
    <dgm:cxn modelId="{EA59CF80-1A3D-4FA8-A1CC-58D4120D41CD}" type="presParOf" srcId="{F63E81B7-4819-42DF-BB26-088F8AD949D6}" destId="{C5D88F63-EAF7-4714-B105-20CB086D37EB}" srcOrd="1" destOrd="0" presId="urn:microsoft.com/office/officeart/2005/8/layout/list1"/>
    <dgm:cxn modelId="{10F682C9-25F5-48C8-AC30-7091E9315E77}" type="presParOf" srcId="{97C634AB-5CEC-4078-BF79-1D533B8E1A3B}" destId="{4F78E7D8-52E3-4F61-AC0E-B731AA1E414E}" srcOrd="13" destOrd="0" presId="urn:microsoft.com/office/officeart/2005/8/layout/list1"/>
    <dgm:cxn modelId="{970EB32F-A0A6-4659-B746-FFC88A93EE19}" type="presParOf" srcId="{97C634AB-5CEC-4078-BF79-1D533B8E1A3B}" destId="{2DD20249-C7F3-46F7-B3E2-9FA1DAA21087}" srcOrd="14" destOrd="0" presId="urn:microsoft.com/office/officeart/2005/8/layout/list1"/>
    <dgm:cxn modelId="{71B723C9-44F3-4C2E-BAD8-00DF5CAF5830}" type="presParOf" srcId="{97C634AB-5CEC-4078-BF79-1D533B8E1A3B}" destId="{FBBFE5FA-8911-4AE8-A862-6C7D9A9A5BB8}" srcOrd="15" destOrd="0" presId="urn:microsoft.com/office/officeart/2005/8/layout/list1"/>
    <dgm:cxn modelId="{6DF20CBA-A320-4BEA-ABF6-32EEA0835541}" type="presParOf" srcId="{97C634AB-5CEC-4078-BF79-1D533B8E1A3B}" destId="{3C902FF3-5231-4E61-B6D3-52546B8F8F2D}" srcOrd="16" destOrd="0" presId="urn:microsoft.com/office/officeart/2005/8/layout/list1"/>
    <dgm:cxn modelId="{C4DB0BA1-7872-457E-BD92-F659FE57325D}" type="presParOf" srcId="{3C902FF3-5231-4E61-B6D3-52546B8F8F2D}" destId="{1C1A1511-9456-4EBD-826A-109CEF59042E}" srcOrd="0" destOrd="0" presId="urn:microsoft.com/office/officeart/2005/8/layout/list1"/>
    <dgm:cxn modelId="{BC61C936-9F70-470D-A1CD-D9EFB35083EC}" type="presParOf" srcId="{3C902FF3-5231-4E61-B6D3-52546B8F8F2D}" destId="{9AC8EAE3-2881-4FB5-9F03-D1CA5B37C4BE}" srcOrd="1" destOrd="0" presId="urn:microsoft.com/office/officeart/2005/8/layout/list1"/>
    <dgm:cxn modelId="{26D10375-2CB0-4BBA-B8D0-225AC32E44F3}" type="presParOf" srcId="{97C634AB-5CEC-4078-BF79-1D533B8E1A3B}" destId="{A3838737-1FF8-48B9-951B-EBF9C05BFB35}" srcOrd="17" destOrd="0" presId="urn:microsoft.com/office/officeart/2005/8/layout/list1"/>
    <dgm:cxn modelId="{E67CF343-23CF-4235-82DF-9611BC3CF081}" type="presParOf" srcId="{97C634AB-5CEC-4078-BF79-1D533B8E1A3B}" destId="{2FA480D9-7DFF-427F-9DB5-9710C6A645BF}" srcOrd="18" destOrd="0" presId="urn:microsoft.com/office/officeart/2005/8/layout/list1"/>
    <dgm:cxn modelId="{CF67A41A-4573-43FB-A136-31766B9F6504}" type="presParOf" srcId="{97C634AB-5CEC-4078-BF79-1D533B8E1A3B}" destId="{9E0036B5-02D1-4AEF-926D-598822E86B6F}" srcOrd="19" destOrd="0" presId="urn:microsoft.com/office/officeart/2005/8/layout/list1"/>
    <dgm:cxn modelId="{7A3D83ED-2712-47A6-909D-735CCAC7C930}" type="presParOf" srcId="{97C634AB-5CEC-4078-BF79-1D533B8E1A3B}" destId="{278CAC01-CCC9-42EC-A7E5-6411E8E6ED72}" srcOrd="20" destOrd="0" presId="urn:microsoft.com/office/officeart/2005/8/layout/list1"/>
    <dgm:cxn modelId="{DE956ABB-4835-4C7A-80D1-289C2F3D814C}" type="presParOf" srcId="{278CAC01-CCC9-42EC-A7E5-6411E8E6ED72}" destId="{C2E7C7D9-9B21-4C2E-843D-68B37A86E1C4}" srcOrd="0" destOrd="0" presId="urn:microsoft.com/office/officeart/2005/8/layout/list1"/>
    <dgm:cxn modelId="{6F2DBAB8-4871-4C18-99F5-65D8B292B27F}" type="presParOf" srcId="{278CAC01-CCC9-42EC-A7E5-6411E8E6ED72}" destId="{5916CEE9-A1F1-41D6-BD95-EB73A477DCBD}" srcOrd="1" destOrd="0" presId="urn:microsoft.com/office/officeart/2005/8/layout/list1"/>
    <dgm:cxn modelId="{92F3BA8A-9AF5-4730-9165-81DEB11DA44F}" type="presParOf" srcId="{97C634AB-5CEC-4078-BF79-1D533B8E1A3B}" destId="{8B0B704E-307F-483F-9798-078B67C5D14A}" srcOrd="21" destOrd="0" presId="urn:microsoft.com/office/officeart/2005/8/layout/list1"/>
    <dgm:cxn modelId="{06A2753C-8784-499E-88EA-93EA325AC7FD}" type="presParOf" srcId="{97C634AB-5CEC-4078-BF79-1D533B8E1A3B}" destId="{E490DCAE-3D62-420B-A662-ED47F8B114A1}" srcOrd="22" destOrd="0" presId="urn:microsoft.com/office/officeart/2005/8/layout/list1"/>
    <dgm:cxn modelId="{863823DB-B835-4DA3-A0E9-0B2E48252043}" type="presParOf" srcId="{97C634AB-5CEC-4078-BF79-1D533B8E1A3B}" destId="{0B9D6CF4-2CD5-4679-AFB7-7F688B569EEE}" srcOrd="23" destOrd="0" presId="urn:microsoft.com/office/officeart/2005/8/layout/list1"/>
    <dgm:cxn modelId="{0C42814A-90DD-4391-8FBD-0C7A445B9C9B}" type="presParOf" srcId="{97C634AB-5CEC-4078-BF79-1D533B8E1A3B}" destId="{3BC6DB31-FDB1-4AAD-9FB5-0C59DC55C02D}" srcOrd="24" destOrd="0" presId="urn:microsoft.com/office/officeart/2005/8/layout/list1"/>
    <dgm:cxn modelId="{35A971FC-C611-484A-AB96-D3FFE5C612B3}" type="presParOf" srcId="{3BC6DB31-FDB1-4AAD-9FB5-0C59DC55C02D}" destId="{FB0464A1-AD6C-4096-B20D-28231FC3F212}" srcOrd="0" destOrd="0" presId="urn:microsoft.com/office/officeart/2005/8/layout/list1"/>
    <dgm:cxn modelId="{651339FE-7AAB-4F77-9EA1-8393188517A9}" type="presParOf" srcId="{3BC6DB31-FDB1-4AAD-9FB5-0C59DC55C02D}" destId="{7DAAA313-1BFE-4E83-A4AB-60B26F7E1EDB}" srcOrd="1" destOrd="0" presId="urn:microsoft.com/office/officeart/2005/8/layout/list1"/>
    <dgm:cxn modelId="{92F97951-FCD8-4FC3-A216-64A9E82C9573}" type="presParOf" srcId="{97C634AB-5CEC-4078-BF79-1D533B8E1A3B}" destId="{1B0E14D3-1D7F-4165-B6AE-58697BE8D731}" srcOrd="25" destOrd="0" presId="urn:microsoft.com/office/officeart/2005/8/layout/list1"/>
    <dgm:cxn modelId="{CCF64738-8742-4F64-9A74-7DE1F940910E}" type="presParOf" srcId="{97C634AB-5CEC-4078-BF79-1D533B8E1A3B}" destId="{5F89423A-8149-4F05-9D8A-81E51EBD9888}" srcOrd="26"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1EFD94-D3F0-411E-8845-C2C647770F93}">
      <dsp:nvSpPr>
        <dsp:cNvPr id="0" name=""/>
        <dsp:cNvSpPr/>
      </dsp:nvSpPr>
      <dsp:spPr>
        <a:xfrm>
          <a:off x="1793021" y="756701"/>
          <a:ext cx="1885116" cy="1885116"/>
        </a:xfrm>
        <a:prstGeom prst="ellipse">
          <a:avLst/>
        </a:prstGeom>
        <a:gradFill rotWithShape="0">
          <a:gsLst>
            <a:gs pos="0">
              <a:srgbClr val="A5A5A5">
                <a:alpha val="50000"/>
                <a:hueOff val="0"/>
                <a:satOff val="0"/>
                <a:lumOff val="0"/>
                <a:alphaOff val="0"/>
                <a:satMod val="103000"/>
                <a:lumMod val="102000"/>
                <a:tint val="94000"/>
              </a:srgbClr>
            </a:gs>
            <a:gs pos="50000">
              <a:srgbClr val="A5A5A5">
                <a:alpha val="50000"/>
                <a:hueOff val="0"/>
                <a:satOff val="0"/>
                <a:lumOff val="0"/>
                <a:alphaOff val="0"/>
                <a:satMod val="110000"/>
                <a:lumMod val="100000"/>
                <a:shade val="100000"/>
              </a:srgbClr>
            </a:gs>
            <a:gs pos="100000">
              <a:srgbClr val="A5A5A5">
                <a:alpha val="50000"/>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kern="1200">
              <a:solidFill>
                <a:sysClr val="windowText" lastClr="000000"/>
              </a:solidFill>
              <a:latin typeface="Times New Roman" panose="02020603050405020304" pitchFamily="18" charset="0"/>
              <a:ea typeface="+mn-ea"/>
              <a:cs typeface="Times New Roman" panose="02020603050405020304" pitchFamily="18" charset="0"/>
            </a:rPr>
            <a:t>Community engagement principles </a:t>
          </a:r>
        </a:p>
      </dsp:txBody>
      <dsp:txXfrm>
        <a:off x="2069090" y="1032770"/>
        <a:ext cx="1332978" cy="1332978"/>
      </dsp:txXfrm>
    </dsp:sp>
    <dsp:sp modelId="{7BF87DA0-FFD8-468A-80D5-FA8273E9555B}">
      <dsp:nvSpPr>
        <dsp:cNvPr id="0" name=""/>
        <dsp:cNvSpPr/>
      </dsp:nvSpPr>
      <dsp:spPr>
        <a:xfrm>
          <a:off x="2264300" y="336"/>
          <a:ext cx="942558" cy="942558"/>
        </a:xfrm>
        <a:prstGeom prst="ellipse">
          <a:avLst/>
        </a:prstGeom>
        <a:gradFill rotWithShape="0">
          <a:gsLst>
            <a:gs pos="0">
              <a:srgbClr val="A5A5A5">
                <a:alpha val="50000"/>
                <a:hueOff val="451767"/>
                <a:satOff val="16667"/>
                <a:lumOff val="-2451"/>
                <a:alphaOff val="0"/>
                <a:satMod val="103000"/>
                <a:lumMod val="102000"/>
                <a:tint val="94000"/>
              </a:srgbClr>
            </a:gs>
            <a:gs pos="50000">
              <a:srgbClr val="A5A5A5">
                <a:alpha val="50000"/>
                <a:hueOff val="451767"/>
                <a:satOff val="16667"/>
                <a:lumOff val="-2451"/>
                <a:alphaOff val="0"/>
                <a:satMod val="110000"/>
                <a:lumMod val="100000"/>
                <a:shade val="100000"/>
              </a:srgbClr>
            </a:gs>
            <a:gs pos="100000">
              <a:srgbClr val="A5A5A5">
                <a:alpha val="50000"/>
                <a:hueOff val="451767"/>
                <a:satOff val="16667"/>
                <a:lumOff val="-2451"/>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Times New Roman" panose="02020603050405020304" pitchFamily="18" charset="0"/>
              <a:ea typeface="+mn-ea"/>
              <a:cs typeface="Times New Roman" panose="02020603050405020304" pitchFamily="18" charset="0"/>
            </a:rPr>
            <a:t>Transparency</a:t>
          </a:r>
          <a:endParaRPr lang="en-GB" sz="800" kern="1200">
            <a:solidFill>
              <a:sysClr val="windowText" lastClr="000000"/>
            </a:solidFill>
            <a:latin typeface="Times New Roman" panose="02020603050405020304" pitchFamily="18" charset="0"/>
            <a:ea typeface="+mn-ea"/>
            <a:cs typeface="Times New Roman" panose="02020603050405020304" pitchFamily="18" charset="0"/>
          </a:endParaRPr>
        </a:p>
      </dsp:txBody>
      <dsp:txXfrm>
        <a:off x="2402334" y="138370"/>
        <a:ext cx="666490" cy="666490"/>
      </dsp:txXfrm>
    </dsp:sp>
    <dsp:sp modelId="{F26ACFDA-F58B-4C75-8678-B4D4FD4754DA}">
      <dsp:nvSpPr>
        <dsp:cNvPr id="0" name=""/>
        <dsp:cNvSpPr/>
      </dsp:nvSpPr>
      <dsp:spPr>
        <a:xfrm>
          <a:off x="3327472" y="614158"/>
          <a:ext cx="942558" cy="942558"/>
        </a:xfrm>
        <a:prstGeom prst="ellipse">
          <a:avLst/>
        </a:prstGeom>
        <a:gradFill rotWithShape="0">
          <a:gsLst>
            <a:gs pos="0">
              <a:srgbClr val="A5A5A5">
                <a:alpha val="50000"/>
                <a:hueOff val="903533"/>
                <a:satOff val="33333"/>
                <a:lumOff val="-4902"/>
                <a:alphaOff val="0"/>
                <a:satMod val="103000"/>
                <a:lumMod val="102000"/>
                <a:tint val="94000"/>
              </a:srgbClr>
            </a:gs>
            <a:gs pos="50000">
              <a:srgbClr val="A5A5A5">
                <a:alpha val="50000"/>
                <a:hueOff val="903533"/>
                <a:satOff val="33333"/>
                <a:lumOff val="-4902"/>
                <a:alphaOff val="0"/>
                <a:satMod val="110000"/>
                <a:lumMod val="100000"/>
                <a:shade val="100000"/>
              </a:srgbClr>
            </a:gs>
            <a:gs pos="100000">
              <a:srgbClr val="A5A5A5">
                <a:alpha val="50000"/>
                <a:hueOff val="903533"/>
                <a:satOff val="33333"/>
                <a:lumOff val="-4902"/>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Times New Roman" panose="02020603050405020304" pitchFamily="18" charset="0"/>
              <a:ea typeface="+mn-ea"/>
              <a:cs typeface="Times New Roman" panose="02020603050405020304" pitchFamily="18" charset="0"/>
            </a:rPr>
            <a:t>Inclusivity</a:t>
          </a:r>
          <a:endParaRPr lang="en-GB" sz="800" kern="1200">
            <a:solidFill>
              <a:sysClr val="windowText" lastClr="000000"/>
            </a:solidFill>
            <a:latin typeface="Times New Roman" panose="02020603050405020304" pitchFamily="18" charset="0"/>
            <a:ea typeface="+mn-ea"/>
            <a:cs typeface="Times New Roman" panose="02020603050405020304" pitchFamily="18" charset="0"/>
          </a:endParaRPr>
        </a:p>
      </dsp:txBody>
      <dsp:txXfrm>
        <a:off x="3465506" y="752192"/>
        <a:ext cx="666490" cy="666490"/>
      </dsp:txXfrm>
    </dsp:sp>
    <dsp:sp modelId="{7B994AEE-9BC3-416C-A185-5A2D8C885580}">
      <dsp:nvSpPr>
        <dsp:cNvPr id="0" name=""/>
        <dsp:cNvSpPr/>
      </dsp:nvSpPr>
      <dsp:spPr>
        <a:xfrm>
          <a:off x="3327472" y="1841803"/>
          <a:ext cx="942558" cy="942558"/>
        </a:xfrm>
        <a:prstGeom prst="ellipse">
          <a:avLst/>
        </a:prstGeom>
        <a:gradFill rotWithShape="0">
          <a:gsLst>
            <a:gs pos="0">
              <a:srgbClr val="A5A5A5">
                <a:alpha val="50000"/>
                <a:hueOff val="1355300"/>
                <a:satOff val="50000"/>
                <a:lumOff val="-7353"/>
                <a:alphaOff val="0"/>
                <a:satMod val="103000"/>
                <a:lumMod val="102000"/>
                <a:tint val="94000"/>
              </a:srgbClr>
            </a:gs>
            <a:gs pos="50000">
              <a:srgbClr val="A5A5A5">
                <a:alpha val="50000"/>
                <a:hueOff val="1355300"/>
                <a:satOff val="50000"/>
                <a:lumOff val="-7353"/>
                <a:alphaOff val="0"/>
                <a:satMod val="110000"/>
                <a:lumMod val="100000"/>
                <a:shade val="100000"/>
              </a:srgbClr>
            </a:gs>
            <a:gs pos="100000">
              <a:srgbClr val="A5A5A5">
                <a:alpha val="50000"/>
                <a:hueOff val="1355300"/>
                <a:satOff val="50000"/>
                <a:lumOff val="-7353"/>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Times New Roman" panose="02020603050405020304" pitchFamily="18" charset="0"/>
              <a:ea typeface="+mn-ea"/>
              <a:cs typeface="Times New Roman" panose="02020603050405020304" pitchFamily="18" charset="0"/>
            </a:rPr>
            <a:t>Accountability</a:t>
          </a:r>
          <a:endParaRPr lang="en-GB" sz="800" kern="1200">
            <a:solidFill>
              <a:sysClr val="windowText" lastClr="000000"/>
            </a:solidFill>
            <a:latin typeface="Times New Roman" panose="02020603050405020304" pitchFamily="18" charset="0"/>
            <a:ea typeface="+mn-ea"/>
            <a:cs typeface="Times New Roman" panose="02020603050405020304" pitchFamily="18" charset="0"/>
          </a:endParaRPr>
        </a:p>
      </dsp:txBody>
      <dsp:txXfrm>
        <a:off x="3465506" y="1979837"/>
        <a:ext cx="666490" cy="666490"/>
      </dsp:txXfrm>
    </dsp:sp>
    <dsp:sp modelId="{D098911B-12AD-4E91-94A4-D92E244FFF7C}">
      <dsp:nvSpPr>
        <dsp:cNvPr id="0" name=""/>
        <dsp:cNvSpPr/>
      </dsp:nvSpPr>
      <dsp:spPr>
        <a:xfrm>
          <a:off x="2264300" y="2455625"/>
          <a:ext cx="942558" cy="942558"/>
        </a:xfrm>
        <a:prstGeom prst="ellipse">
          <a:avLst/>
        </a:prstGeom>
        <a:gradFill rotWithShape="0">
          <a:gsLst>
            <a:gs pos="0">
              <a:srgbClr val="A5A5A5">
                <a:alpha val="50000"/>
                <a:hueOff val="1807066"/>
                <a:satOff val="66667"/>
                <a:lumOff val="-9804"/>
                <a:alphaOff val="0"/>
                <a:satMod val="103000"/>
                <a:lumMod val="102000"/>
                <a:tint val="94000"/>
              </a:srgbClr>
            </a:gs>
            <a:gs pos="50000">
              <a:srgbClr val="A5A5A5">
                <a:alpha val="50000"/>
                <a:hueOff val="1807066"/>
                <a:satOff val="66667"/>
                <a:lumOff val="-9804"/>
                <a:alphaOff val="0"/>
                <a:satMod val="110000"/>
                <a:lumMod val="100000"/>
                <a:shade val="100000"/>
              </a:srgbClr>
            </a:gs>
            <a:gs pos="100000">
              <a:srgbClr val="A5A5A5">
                <a:alpha val="50000"/>
                <a:hueOff val="1807066"/>
                <a:satOff val="66667"/>
                <a:lumOff val="-9804"/>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Times New Roman" panose="02020603050405020304" pitchFamily="18" charset="0"/>
              <a:ea typeface="+mn-ea"/>
              <a:cs typeface="Times New Roman" panose="02020603050405020304" pitchFamily="18" charset="0"/>
            </a:rPr>
            <a:t>Timeliness</a:t>
          </a:r>
          <a:endParaRPr lang="en-GB" sz="800" kern="1200">
            <a:solidFill>
              <a:sysClr val="windowText" lastClr="000000"/>
            </a:solidFill>
            <a:latin typeface="Times New Roman" panose="02020603050405020304" pitchFamily="18" charset="0"/>
            <a:ea typeface="+mn-ea"/>
            <a:cs typeface="Times New Roman" panose="02020603050405020304" pitchFamily="18" charset="0"/>
          </a:endParaRPr>
        </a:p>
      </dsp:txBody>
      <dsp:txXfrm>
        <a:off x="2402334" y="2593659"/>
        <a:ext cx="666490" cy="666490"/>
      </dsp:txXfrm>
    </dsp:sp>
    <dsp:sp modelId="{2D8B4058-453D-4C9C-92BE-F09AEF5DF39D}">
      <dsp:nvSpPr>
        <dsp:cNvPr id="0" name=""/>
        <dsp:cNvSpPr/>
      </dsp:nvSpPr>
      <dsp:spPr>
        <a:xfrm>
          <a:off x="1201129" y="1841803"/>
          <a:ext cx="942558" cy="942558"/>
        </a:xfrm>
        <a:prstGeom prst="ellipse">
          <a:avLst/>
        </a:prstGeom>
        <a:gradFill rotWithShape="0">
          <a:gsLst>
            <a:gs pos="0">
              <a:srgbClr val="A5A5A5">
                <a:alpha val="50000"/>
                <a:hueOff val="2258833"/>
                <a:satOff val="83333"/>
                <a:lumOff val="-12255"/>
                <a:alphaOff val="0"/>
                <a:satMod val="103000"/>
                <a:lumMod val="102000"/>
                <a:tint val="94000"/>
              </a:srgbClr>
            </a:gs>
            <a:gs pos="50000">
              <a:srgbClr val="A5A5A5">
                <a:alpha val="50000"/>
                <a:hueOff val="2258833"/>
                <a:satOff val="83333"/>
                <a:lumOff val="-12255"/>
                <a:alphaOff val="0"/>
                <a:satMod val="110000"/>
                <a:lumMod val="100000"/>
                <a:shade val="100000"/>
              </a:srgbClr>
            </a:gs>
            <a:gs pos="100000">
              <a:srgbClr val="A5A5A5">
                <a:alpha val="50000"/>
                <a:hueOff val="2258833"/>
                <a:satOff val="83333"/>
                <a:lumOff val="-12255"/>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Times New Roman" panose="02020603050405020304" pitchFamily="18" charset="0"/>
              <a:ea typeface="+mn-ea"/>
              <a:cs typeface="Times New Roman" panose="02020603050405020304" pitchFamily="18" charset="0"/>
            </a:rPr>
            <a:t>Flexibility</a:t>
          </a:r>
          <a:endParaRPr lang="en-GB" sz="800" kern="1200">
            <a:solidFill>
              <a:sysClr val="windowText" lastClr="000000"/>
            </a:solidFill>
            <a:latin typeface="Times New Roman" panose="02020603050405020304" pitchFamily="18" charset="0"/>
            <a:ea typeface="+mn-ea"/>
            <a:cs typeface="Times New Roman" panose="02020603050405020304" pitchFamily="18" charset="0"/>
          </a:endParaRPr>
        </a:p>
      </dsp:txBody>
      <dsp:txXfrm>
        <a:off x="1339163" y="1979837"/>
        <a:ext cx="666490" cy="666490"/>
      </dsp:txXfrm>
    </dsp:sp>
    <dsp:sp modelId="{7EF762EE-2816-48C0-8AC6-C0EBADE95FFC}">
      <dsp:nvSpPr>
        <dsp:cNvPr id="0" name=""/>
        <dsp:cNvSpPr/>
      </dsp:nvSpPr>
      <dsp:spPr>
        <a:xfrm>
          <a:off x="1201129" y="614158"/>
          <a:ext cx="942558" cy="942558"/>
        </a:xfrm>
        <a:prstGeom prst="ellipse">
          <a:avLst/>
        </a:prstGeom>
        <a:gradFill rotWithShape="0">
          <a:gsLst>
            <a:gs pos="0">
              <a:srgbClr val="A5A5A5">
                <a:alpha val="50000"/>
                <a:hueOff val="2710599"/>
                <a:satOff val="100000"/>
                <a:lumOff val="-14706"/>
                <a:alphaOff val="0"/>
                <a:satMod val="103000"/>
                <a:lumMod val="102000"/>
                <a:tint val="94000"/>
              </a:srgbClr>
            </a:gs>
            <a:gs pos="50000">
              <a:srgbClr val="A5A5A5">
                <a:alpha val="50000"/>
                <a:hueOff val="2710599"/>
                <a:satOff val="100000"/>
                <a:lumOff val="-14706"/>
                <a:alphaOff val="0"/>
                <a:satMod val="110000"/>
                <a:lumMod val="100000"/>
                <a:shade val="100000"/>
              </a:srgbClr>
            </a:gs>
            <a:gs pos="100000">
              <a:srgbClr val="A5A5A5">
                <a:alpha val="50000"/>
                <a:hueOff val="2710599"/>
                <a:satOff val="100000"/>
                <a:lumOff val="-14706"/>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Times New Roman" panose="02020603050405020304" pitchFamily="18" charset="0"/>
              <a:ea typeface="+mn-ea"/>
              <a:cs typeface="Times New Roman" panose="02020603050405020304" pitchFamily="18" charset="0"/>
            </a:rPr>
            <a:t>Feedback</a:t>
          </a:r>
          <a:endParaRPr lang="en-GB" sz="800" kern="1200">
            <a:solidFill>
              <a:sysClr val="windowText" lastClr="000000"/>
            </a:solidFill>
            <a:latin typeface="Times New Roman" panose="02020603050405020304" pitchFamily="18" charset="0"/>
            <a:ea typeface="+mn-ea"/>
            <a:cs typeface="Times New Roman" panose="02020603050405020304" pitchFamily="18" charset="0"/>
          </a:endParaRPr>
        </a:p>
      </dsp:txBody>
      <dsp:txXfrm>
        <a:off x="1339163" y="752192"/>
        <a:ext cx="666490" cy="6664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9B8D80-F24D-46E4-AB76-460CF8EE7EA9}">
      <dsp:nvSpPr>
        <dsp:cNvPr id="0" name=""/>
        <dsp:cNvSpPr/>
      </dsp:nvSpPr>
      <dsp:spPr>
        <a:xfrm>
          <a:off x="0" y="187199"/>
          <a:ext cx="5486400" cy="2520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DE72624-B9F3-4541-863D-B708F30B61F6}">
      <dsp:nvSpPr>
        <dsp:cNvPr id="0" name=""/>
        <dsp:cNvSpPr/>
      </dsp:nvSpPr>
      <dsp:spPr>
        <a:xfrm>
          <a:off x="274320" y="39599"/>
          <a:ext cx="3840480" cy="29520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Public meetings</a:t>
          </a:r>
          <a:endParaRPr lang="en-GB" sz="1400" kern="1200">
            <a:latin typeface="Times New Roman" panose="02020603050405020304" pitchFamily="18" charset="0"/>
            <a:cs typeface="Times New Roman" panose="02020603050405020304" pitchFamily="18" charset="0"/>
          </a:endParaRPr>
        </a:p>
      </dsp:txBody>
      <dsp:txXfrm>
        <a:off x="288730" y="54009"/>
        <a:ext cx="3811660" cy="266380"/>
      </dsp:txXfrm>
    </dsp:sp>
    <dsp:sp modelId="{D3699725-7A98-4B05-8A22-C847F7DA09F5}">
      <dsp:nvSpPr>
        <dsp:cNvPr id="0" name=""/>
        <dsp:cNvSpPr/>
      </dsp:nvSpPr>
      <dsp:spPr>
        <a:xfrm>
          <a:off x="0" y="640799"/>
          <a:ext cx="5486400" cy="252000"/>
        </a:xfrm>
        <a:prstGeom prst="rect">
          <a:avLst/>
        </a:prstGeom>
        <a:solidFill>
          <a:schemeClr val="lt1">
            <a:alpha val="90000"/>
            <a:hueOff val="0"/>
            <a:satOff val="0"/>
            <a:lumOff val="0"/>
            <a:alphaOff val="0"/>
          </a:schemeClr>
        </a:solidFill>
        <a:ln w="12700" cap="flat" cmpd="sng" algn="ctr">
          <a:solidFill>
            <a:schemeClr val="accent5">
              <a:hueOff val="-1126424"/>
              <a:satOff val="-2903"/>
              <a:lumOff val="-1961"/>
              <a:alphaOff val="0"/>
            </a:schemeClr>
          </a:solidFill>
          <a:prstDash val="solid"/>
          <a:miter lim="800000"/>
        </a:ln>
        <a:effectLst/>
      </dsp:spPr>
      <dsp:style>
        <a:lnRef idx="2">
          <a:scrgbClr r="0" g="0" b="0"/>
        </a:lnRef>
        <a:fillRef idx="1">
          <a:scrgbClr r="0" g="0" b="0"/>
        </a:fillRef>
        <a:effectRef idx="0">
          <a:scrgbClr r="0" g="0" b="0"/>
        </a:effectRef>
        <a:fontRef idx="minor"/>
      </dsp:style>
    </dsp:sp>
    <dsp:sp modelId="{FEE32074-2BEF-4AC9-893C-24AED617D186}">
      <dsp:nvSpPr>
        <dsp:cNvPr id="0" name=""/>
        <dsp:cNvSpPr/>
      </dsp:nvSpPr>
      <dsp:spPr>
        <a:xfrm>
          <a:off x="274320" y="493199"/>
          <a:ext cx="3840480" cy="295200"/>
        </a:xfrm>
        <a:prstGeom prst="roundRect">
          <a:avLst/>
        </a:prstGeom>
        <a:solidFill>
          <a:schemeClr val="accent5">
            <a:hueOff val="-1126424"/>
            <a:satOff val="-2903"/>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Online surveys</a:t>
          </a:r>
          <a:endParaRPr lang="en-GB" sz="1400" kern="1200">
            <a:latin typeface="Times New Roman" panose="02020603050405020304" pitchFamily="18" charset="0"/>
            <a:cs typeface="Times New Roman" panose="02020603050405020304" pitchFamily="18" charset="0"/>
          </a:endParaRPr>
        </a:p>
      </dsp:txBody>
      <dsp:txXfrm>
        <a:off x="288730" y="507609"/>
        <a:ext cx="3811660" cy="266380"/>
      </dsp:txXfrm>
    </dsp:sp>
    <dsp:sp modelId="{2680256E-985C-4223-954E-947487817F84}">
      <dsp:nvSpPr>
        <dsp:cNvPr id="0" name=""/>
        <dsp:cNvSpPr/>
      </dsp:nvSpPr>
      <dsp:spPr>
        <a:xfrm>
          <a:off x="0" y="1094400"/>
          <a:ext cx="5486400" cy="252000"/>
        </a:xfrm>
        <a:prstGeom prst="rect">
          <a:avLst/>
        </a:prstGeom>
        <a:solidFill>
          <a:schemeClr val="lt1">
            <a:alpha val="90000"/>
            <a:hueOff val="0"/>
            <a:satOff val="0"/>
            <a:lumOff val="0"/>
            <a:alphaOff val="0"/>
          </a:schemeClr>
        </a:solidFill>
        <a:ln w="12700" cap="flat" cmpd="sng" algn="ctr">
          <a:solidFill>
            <a:schemeClr val="accent5">
              <a:hueOff val="-2252848"/>
              <a:satOff val="-5806"/>
              <a:lumOff val="-3922"/>
              <a:alphaOff val="0"/>
            </a:schemeClr>
          </a:solidFill>
          <a:prstDash val="solid"/>
          <a:miter lim="800000"/>
        </a:ln>
        <a:effectLst/>
      </dsp:spPr>
      <dsp:style>
        <a:lnRef idx="2">
          <a:scrgbClr r="0" g="0" b="0"/>
        </a:lnRef>
        <a:fillRef idx="1">
          <a:scrgbClr r="0" g="0" b="0"/>
        </a:fillRef>
        <a:effectRef idx="0">
          <a:scrgbClr r="0" g="0" b="0"/>
        </a:effectRef>
        <a:fontRef idx="minor"/>
      </dsp:style>
    </dsp:sp>
    <dsp:sp modelId="{6C1604D5-854F-4522-8F60-9C70EEE9EAD1}">
      <dsp:nvSpPr>
        <dsp:cNvPr id="0" name=""/>
        <dsp:cNvSpPr/>
      </dsp:nvSpPr>
      <dsp:spPr>
        <a:xfrm>
          <a:off x="274320" y="946799"/>
          <a:ext cx="3840480" cy="295200"/>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Focus groups</a:t>
          </a:r>
          <a:endParaRPr lang="en-GB" sz="1400" kern="1200">
            <a:latin typeface="Times New Roman" panose="02020603050405020304" pitchFamily="18" charset="0"/>
            <a:cs typeface="Times New Roman" panose="02020603050405020304" pitchFamily="18" charset="0"/>
          </a:endParaRPr>
        </a:p>
      </dsp:txBody>
      <dsp:txXfrm>
        <a:off x="288730" y="961209"/>
        <a:ext cx="3811660" cy="266380"/>
      </dsp:txXfrm>
    </dsp:sp>
    <dsp:sp modelId="{2DD20249-C7F3-46F7-B3E2-9FA1DAA21087}">
      <dsp:nvSpPr>
        <dsp:cNvPr id="0" name=""/>
        <dsp:cNvSpPr/>
      </dsp:nvSpPr>
      <dsp:spPr>
        <a:xfrm>
          <a:off x="0" y="1548000"/>
          <a:ext cx="5486400" cy="252000"/>
        </a:xfrm>
        <a:prstGeom prst="rect">
          <a:avLst/>
        </a:prstGeom>
        <a:solidFill>
          <a:schemeClr val="lt1">
            <a:alpha val="90000"/>
            <a:hueOff val="0"/>
            <a:satOff val="0"/>
            <a:lumOff val="0"/>
            <a:alphaOff val="0"/>
          </a:schemeClr>
        </a:solid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dsp:style>
    </dsp:sp>
    <dsp:sp modelId="{C5D88F63-EAF7-4714-B105-20CB086D37EB}">
      <dsp:nvSpPr>
        <dsp:cNvPr id="0" name=""/>
        <dsp:cNvSpPr/>
      </dsp:nvSpPr>
      <dsp:spPr>
        <a:xfrm>
          <a:off x="274320" y="1400400"/>
          <a:ext cx="3840480" cy="295200"/>
        </a:xfrm>
        <a:prstGeom prst="roundRect">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Workshops</a:t>
          </a:r>
          <a:endParaRPr lang="en-GB" sz="1400" kern="1200">
            <a:latin typeface="Times New Roman" panose="02020603050405020304" pitchFamily="18" charset="0"/>
            <a:cs typeface="Times New Roman" panose="02020603050405020304" pitchFamily="18" charset="0"/>
          </a:endParaRPr>
        </a:p>
      </dsp:txBody>
      <dsp:txXfrm>
        <a:off x="288730" y="1414810"/>
        <a:ext cx="3811660" cy="266380"/>
      </dsp:txXfrm>
    </dsp:sp>
    <dsp:sp modelId="{2FA480D9-7DFF-427F-9DB5-9710C6A645BF}">
      <dsp:nvSpPr>
        <dsp:cNvPr id="0" name=""/>
        <dsp:cNvSpPr/>
      </dsp:nvSpPr>
      <dsp:spPr>
        <a:xfrm>
          <a:off x="0" y="2001600"/>
          <a:ext cx="5486400" cy="252000"/>
        </a:xfrm>
        <a:prstGeom prst="rect">
          <a:avLst/>
        </a:prstGeom>
        <a:solidFill>
          <a:schemeClr val="lt1">
            <a:alpha val="90000"/>
            <a:hueOff val="0"/>
            <a:satOff val="0"/>
            <a:lumOff val="0"/>
            <a:alphaOff val="0"/>
          </a:schemeClr>
        </a:solidFill>
        <a:ln w="12700" cap="flat" cmpd="sng" algn="ctr">
          <a:solidFill>
            <a:schemeClr val="accent5">
              <a:hueOff val="-4505695"/>
              <a:satOff val="-11613"/>
              <a:lumOff val="-7843"/>
              <a:alphaOff val="0"/>
            </a:schemeClr>
          </a:solidFill>
          <a:prstDash val="solid"/>
          <a:miter lim="800000"/>
        </a:ln>
        <a:effectLst/>
      </dsp:spPr>
      <dsp:style>
        <a:lnRef idx="2">
          <a:scrgbClr r="0" g="0" b="0"/>
        </a:lnRef>
        <a:fillRef idx="1">
          <a:scrgbClr r="0" g="0" b="0"/>
        </a:fillRef>
        <a:effectRef idx="0">
          <a:scrgbClr r="0" g="0" b="0"/>
        </a:effectRef>
        <a:fontRef idx="minor"/>
      </dsp:style>
    </dsp:sp>
    <dsp:sp modelId="{9AC8EAE3-2881-4FB5-9F03-D1CA5B37C4BE}">
      <dsp:nvSpPr>
        <dsp:cNvPr id="0" name=""/>
        <dsp:cNvSpPr/>
      </dsp:nvSpPr>
      <dsp:spPr>
        <a:xfrm>
          <a:off x="274320" y="1854000"/>
          <a:ext cx="3840480" cy="295200"/>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Social media</a:t>
          </a:r>
          <a:endParaRPr lang="en-GB" sz="1400" kern="1200">
            <a:latin typeface="Times New Roman" panose="02020603050405020304" pitchFamily="18" charset="0"/>
            <a:cs typeface="Times New Roman" panose="02020603050405020304" pitchFamily="18" charset="0"/>
          </a:endParaRPr>
        </a:p>
      </dsp:txBody>
      <dsp:txXfrm>
        <a:off x="288730" y="1868410"/>
        <a:ext cx="3811660" cy="266380"/>
      </dsp:txXfrm>
    </dsp:sp>
    <dsp:sp modelId="{E490DCAE-3D62-420B-A662-ED47F8B114A1}">
      <dsp:nvSpPr>
        <dsp:cNvPr id="0" name=""/>
        <dsp:cNvSpPr/>
      </dsp:nvSpPr>
      <dsp:spPr>
        <a:xfrm>
          <a:off x="0" y="2455200"/>
          <a:ext cx="5486400" cy="252000"/>
        </a:xfrm>
        <a:prstGeom prst="rect">
          <a:avLst/>
        </a:prstGeom>
        <a:solidFill>
          <a:schemeClr val="lt1">
            <a:alpha val="90000"/>
            <a:hueOff val="0"/>
            <a:satOff val="0"/>
            <a:lumOff val="0"/>
            <a:alphaOff val="0"/>
          </a:schemeClr>
        </a:solidFill>
        <a:ln w="12700" cap="flat" cmpd="sng" algn="ctr">
          <a:solidFill>
            <a:schemeClr val="accent5">
              <a:hueOff val="-5632119"/>
              <a:satOff val="-14516"/>
              <a:lumOff val="-9804"/>
              <a:alphaOff val="0"/>
            </a:schemeClr>
          </a:solidFill>
          <a:prstDash val="solid"/>
          <a:miter lim="800000"/>
        </a:ln>
        <a:effectLst/>
      </dsp:spPr>
      <dsp:style>
        <a:lnRef idx="2">
          <a:scrgbClr r="0" g="0" b="0"/>
        </a:lnRef>
        <a:fillRef idx="1">
          <a:scrgbClr r="0" g="0" b="0"/>
        </a:fillRef>
        <a:effectRef idx="0">
          <a:scrgbClr r="0" g="0" b="0"/>
        </a:effectRef>
        <a:fontRef idx="minor"/>
      </dsp:style>
    </dsp:sp>
    <dsp:sp modelId="{5916CEE9-A1F1-41D6-BD95-EB73A477DCBD}">
      <dsp:nvSpPr>
        <dsp:cNvPr id="0" name=""/>
        <dsp:cNvSpPr/>
      </dsp:nvSpPr>
      <dsp:spPr>
        <a:xfrm>
          <a:off x="274320" y="2307599"/>
          <a:ext cx="3840480" cy="295200"/>
        </a:xfrm>
        <a:prstGeom prst="roundRect">
          <a:avLst/>
        </a:prstGeom>
        <a:solidFill>
          <a:schemeClr val="accent5">
            <a:hueOff val="-5632119"/>
            <a:satOff val="-14516"/>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Community events</a:t>
          </a:r>
          <a:endParaRPr lang="en-GB" sz="1400" kern="1200">
            <a:latin typeface="Times New Roman" panose="02020603050405020304" pitchFamily="18" charset="0"/>
            <a:cs typeface="Times New Roman" panose="02020603050405020304" pitchFamily="18" charset="0"/>
          </a:endParaRPr>
        </a:p>
      </dsp:txBody>
      <dsp:txXfrm>
        <a:off x="288730" y="2322009"/>
        <a:ext cx="3811660" cy="266380"/>
      </dsp:txXfrm>
    </dsp:sp>
    <dsp:sp modelId="{5F89423A-8149-4F05-9D8A-81E51EBD9888}">
      <dsp:nvSpPr>
        <dsp:cNvPr id="0" name=""/>
        <dsp:cNvSpPr/>
      </dsp:nvSpPr>
      <dsp:spPr>
        <a:xfrm>
          <a:off x="0" y="2908800"/>
          <a:ext cx="5486400" cy="252000"/>
        </a:xfrm>
        <a:prstGeom prst="rect">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sp>
    <dsp:sp modelId="{7DAAA313-1BFE-4E83-A4AB-60B26F7E1EDB}">
      <dsp:nvSpPr>
        <dsp:cNvPr id="0" name=""/>
        <dsp:cNvSpPr/>
      </dsp:nvSpPr>
      <dsp:spPr>
        <a:xfrm>
          <a:off x="274320" y="2761200"/>
          <a:ext cx="3840480" cy="295200"/>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Documents for consultation</a:t>
          </a:r>
          <a:endParaRPr lang="en-GB" sz="1400" kern="1200">
            <a:latin typeface="Times New Roman" panose="02020603050405020304" pitchFamily="18" charset="0"/>
            <a:cs typeface="Times New Roman" panose="02020603050405020304" pitchFamily="18" charset="0"/>
          </a:endParaRPr>
        </a:p>
      </dsp:txBody>
      <dsp:txXfrm>
        <a:off x="288730" y="2775610"/>
        <a:ext cx="3811660"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1</Pages>
  <Words>2720</Words>
  <Characters>15504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Todorov (2021609)</dc:creator>
  <cp:keywords/>
  <dc:description/>
  <cp:lastModifiedBy>Tsonyo Todorov (2021609)</cp:lastModifiedBy>
  <cp:revision>8</cp:revision>
  <dcterms:created xsi:type="dcterms:W3CDTF">2023-04-30T06:18:00Z</dcterms:created>
  <dcterms:modified xsi:type="dcterms:W3CDTF">2023-05-06T09:05:00Z</dcterms:modified>
</cp:coreProperties>
</file>