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D6D23" w:rsidP="51969D73" w:rsidRDefault="00BD6D23" w14:paraId="622D35AE" w14:textId="17298809">
      <w:pPr>
        <w:rPr>
          <w:b w:val="1"/>
          <w:bCs w:val="1"/>
        </w:rPr>
      </w:pPr>
      <w:r w:rsidRPr="51969D73" w:rsidR="7C266425">
        <w:rPr>
          <w:b w:val="1"/>
          <w:bCs w:val="1"/>
        </w:rPr>
        <w:t>Research Title</w:t>
      </w:r>
    </w:p>
    <w:p w:rsidR="00BD6D23" w:rsidRDefault="00BD6D23" w14:paraId="5E5787A5" w14:textId="69C1B688">
      <w:r w:rsidR="7C266425">
        <w:rPr/>
        <w:t>Neoliberal ableism in counselling and psychotherapy: exploring accounts of chronicity and the 'self' in the therapeutic setting.</w:t>
      </w:r>
    </w:p>
    <w:p w:rsidR="51969D73" w:rsidRDefault="51969D73" w14:paraId="72415150" w14:textId="35870D7F"/>
    <w:p w:rsidR="7C266425" w:rsidP="51969D73" w:rsidRDefault="7C266425" w14:paraId="75D138B1" w14:textId="7650CF67">
      <w:pPr>
        <w:rPr>
          <w:b w:val="1"/>
          <w:bCs w:val="1"/>
        </w:rPr>
      </w:pPr>
      <w:r w:rsidRPr="51969D73" w:rsidR="7C266425">
        <w:rPr>
          <w:b w:val="1"/>
          <w:bCs w:val="1"/>
        </w:rPr>
        <w:t>Research Aims</w:t>
      </w:r>
    </w:p>
    <w:p w:rsidR="7C266425" w:rsidP="51969D73" w:rsidRDefault="7C266425" w14:paraId="0B43AAC4" w14:textId="4BBFFA1D">
      <w:pPr>
        <w:pStyle w:val="ListParagraph"/>
        <w:numPr>
          <w:ilvl w:val="0"/>
          <w:numId w:val="1"/>
        </w:numPr>
        <w:rPr>
          <w:sz w:val="24"/>
          <w:szCs w:val="24"/>
        </w:rPr>
      </w:pPr>
      <w:r w:rsidR="7C266425">
        <w:rPr/>
        <w:t xml:space="preserve">How discourse of the neoliberal individualised ‘self’ shows up in accounts of the therapeutic encounter;  </w:t>
      </w:r>
    </w:p>
    <w:p w:rsidR="7C266425" w:rsidP="51969D73" w:rsidRDefault="7C266425" w14:paraId="3B1F13BD" w14:textId="3AF4AE44">
      <w:pPr>
        <w:pStyle w:val="ListParagraph"/>
        <w:numPr>
          <w:ilvl w:val="0"/>
          <w:numId w:val="1"/>
        </w:numPr>
        <w:rPr>
          <w:sz w:val="24"/>
          <w:szCs w:val="24"/>
        </w:rPr>
      </w:pPr>
      <w:r w:rsidR="7C266425">
        <w:rPr/>
        <w:t xml:space="preserve">How alternative and counter-discourses are constructed and adopted; </w:t>
      </w:r>
    </w:p>
    <w:p w:rsidR="7C266425" w:rsidP="51969D73" w:rsidRDefault="7C266425" w14:paraId="792E1315" w14:textId="7D962B74">
      <w:pPr>
        <w:pStyle w:val="ListParagraph"/>
        <w:numPr>
          <w:ilvl w:val="0"/>
          <w:numId w:val="1"/>
        </w:numPr>
        <w:rPr>
          <w:sz w:val="24"/>
          <w:szCs w:val="24"/>
        </w:rPr>
      </w:pPr>
      <w:r w:rsidR="7C266425">
        <w:rPr/>
        <w:t>What positionalities, and thus power differentials/dynamics, are attributed to different constructions of ‘self</w:t>
      </w:r>
      <w:r w:rsidR="7C266425">
        <w:rPr/>
        <w:t>’,</w:t>
      </w:r>
      <w:r w:rsidR="7C266425">
        <w:rPr/>
        <w:t xml:space="preserve"> the associated implications; and </w:t>
      </w:r>
    </w:p>
    <w:p w:rsidR="7C266425" w:rsidP="51969D73" w:rsidRDefault="7C266425" w14:paraId="19219F93" w14:textId="527F2D73">
      <w:pPr>
        <w:pStyle w:val="ListParagraph"/>
        <w:numPr>
          <w:ilvl w:val="0"/>
          <w:numId w:val="1"/>
        </w:numPr>
        <w:rPr>
          <w:sz w:val="24"/>
          <w:szCs w:val="24"/>
        </w:rPr>
      </w:pPr>
      <w:r w:rsidR="7C266425">
        <w:rPr/>
        <w:t xml:space="preserve">What, if anything, accounts infer in terms of psychotherapeutic theory, </w:t>
      </w:r>
      <w:r w:rsidR="7C266425">
        <w:rPr/>
        <w:t>training</w:t>
      </w:r>
      <w:r w:rsidR="7C266425">
        <w:rPr/>
        <w:t xml:space="preserve"> and practice</w:t>
      </w:r>
      <w:r w:rsidR="7C266425">
        <w:rPr/>
        <w:t>.</w:t>
      </w:r>
    </w:p>
    <w:p w:rsidR="7C266425" w:rsidP="51969D73" w:rsidRDefault="7C266425" w14:paraId="1E68E71C" w14:textId="7363BC6F">
      <w:pPr>
        <w:pStyle w:val="Normal"/>
        <w:rPr>
          <w:b w:val="1"/>
          <w:bCs w:val="1"/>
          <w:sz w:val="24"/>
          <w:szCs w:val="24"/>
        </w:rPr>
      </w:pPr>
      <w:r w:rsidRPr="51969D73" w:rsidR="7C266425">
        <w:rPr>
          <w:b w:val="1"/>
          <w:bCs w:val="1"/>
          <w:sz w:val="24"/>
          <w:szCs w:val="24"/>
        </w:rPr>
        <w:t xml:space="preserve">Lit Review </w:t>
      </w:r>
    </w:p>
    <w:p w:rsidR="7C266425" w:rsidP="51969D73" w:rsidRDefault="7C266425" w14:paraId="21C94B99" w14:textId="5F51E6A0">
      <w:pPr>
        <w:pStyle w:val="Normal"/>
        <w:spacing w:line="360" w:lineRule="auto"/>
        <w:rPr>
          <w:sz w:val="24"/>
          <w:szCs w:val="24"/>
        </w:rPr>
      </w:pPr>
      <w:r w:rsidRPr="51969D73" w:rsidR="7C266425">
        <w:rPr>
          <w:sz w:val="24"/>
          <w:szCs w:val="24"/>
        </w:rPr>
        <w:t xml:space="preserve">This chapter presents a thematic and conceptual review intertwining relevant extant research and critical commentary. I start by exploring neoliberal-ableism going on to set related discourses in context vis-à-vis disability and psychotherapy. I go on to centre the exploration of ELCs and chronicity in this context and critically summarise related empirical research. </w:t>
      </w:r>
    </w:p>
    <w:p w:rsidR="7C266425" w:rsidP="51969D73" w:rsidRDefault="7C266425" w14:paraId="10D7BE2E" w14:textId="1E579678">
      <w:pPr>
        <w:pStyle w:val="Normal"/>
        <w:spacing w:line="360" w:lineRule="auto"/>
      </w:pPr>
      <w:r w:rsidRPr="51969D73" w:rsidR="7C266425">
        <w:rPr>
          <w:sz w:val="24"/>
          <w:szCs w:val="24"/>
        </w:rPr>
        <w:t xml:space="preserve">Figure 1 illustrates the search protocols and sources utilised for my </w:t>
      </w:r>
      <w:r w:rsidRPr="51969D73" w:rsidR="7C266425">
        <w:rPr>
          <w:sz w:val="24"/>
          <w:szCs w:val="24"/>
        </w:rPr>
        <w:t>initial</w:t>
      </w:r>
      <w:r w:rsidRPr="51969D73" w:rsidR="7C266425">
        <w:rPr>
          <w:sz w:val="24"/>
          <w:szCs w:val="24"/>
        </w:rPr>
        <w:t xml:space="preserve"> enquiry informed by the study’s research intersections. I also utilised citation tracking to build up the relevant literature base. </w:t>
      </w:r>
    </w:p>
    <w:p w:rsidR="7C266425" w:rsidP="51969D73" w:rsidRDefault="7C266425" w14:paraId="5C1E4375" w14:textId="2B76F835">
      <w:pPr>
        <w:pStyle w:val="Normal"/>
        <w:spacing w:line="360" w:lineRule="auto"/>
        <w:rPr>
          <w:b w:val="1"/>
          <w:bCs w:val="1"/>
          <w:sz w:val="24"/>
          <w:szCs w:val="24"/>
        </w:rPr>
      </w:pPr>
      <w:r w:rsidRPr="51969D73" w:rsidR="7C266425">
        <w:rPr>
          <w:b w:val="1"/>
          <w:bCs w:val="1"/>
          <w:sz w:val="24"/>
          <w:szCs w:val="24"/>
        </w:rPr>
        <w:t xml:space="preserve">Neoliberalism and neoliberal-ableism </w:t>
      </w:r>
    </w:p>
    <w:p w:rsidR="7C266425" w:rsidP="51969D73" w:rsidRDefault="7C266425" w14:paraId="5760F2C8" w14:textId="236ABC5C">
      <w:pPr>
        <w:pStyle w:val="Normal"/>
        <w:spacing w:line="360" w:lineRule="auto"/>
      </w:pPr>
      <w:r w:rsidRPr="51969D73" w:rsidR="7C266425">
        <w:rPr>
          <w:sz w:val="24"/>
          <w:szCs w:val="24"/>
        </w:rPr>
        <w:t>The roots of neoliberalism lie in capitalist marketisation (Edgerton, 2021; Davies et al., 2021) however the notion has spread beyond the economic into an ideological movement, a form of biopolitical social governance (Richardson, 2005). Neoliberalism can be seen as a diffuse relational power network (Hall, 2011; Foucault, 1980) producing ‘ideal’ governable subjects as well as the conditions which make that possible (Sasson, 2021; Lorenzini, 2018). Under the operations of neoliberal-ableism the ‘</w:t>
      </w:r>
      <w:r w:rsidRPr="51969D73" w:rsidR="7C266425">
        <w:rPr>
          <w:sz w:val="24"/>
          <w:szCs w:val="24"/>
        </w:rPr>
        <w:t>normate</w:t>
      </w:r>
      <w:r w:rsidRPr="51969D73" w:rsidR="7C266425">
        <w:rPr>
          <w:sz w:val="24"/>
          <w:szCs w:val="24"/>
        </w:rPr>
        <w:t xml:space="preserve">’ subject (Goodley, 2014; Garland-Thomson, 1997) is privileged via imposing binary oppositions and linear scales differentiating between desirable (normal, good, right) and undesirable (abnormal, bad, wrong) individual characteristics (Grue, 2024; Goodley, 2014). This neoliberal ‘dis/ability complex’ (Goodley, 2014) is illustrated in Figure 2. </w:t>
      </w:r>
    </w:p>
    <w:p w:rsidR="7C266425" w:rsidP="51969D73" w:rsidRDefault="7C266425" w14:paraId="1E8E776F" w14:textId="04874B5C">
      <w:pPr>
        <w:pStyle w:val="Normal"/>
        <w:spacing w:line="360" w:lineRule="auto"/>
      </w:pPr>
      <w:r w:rsidRPr="51969D73" w:rsidR="7C266425">
        <w:rPr>
          <w:sz w:val="24"/>
          <w:szCs w:val="24"/>
        </w:rPr>
        <w:t>Neoliberal ableism can therefore be seen as a system of dividing practices (Campbell, 2009) ‘clinging to an ideology’ (Goodley, 2014, p.26) which dictates ontological standards and attributes associated morals and values (Bottema-Beutel et al., 2021). Under this system any non-</w:t>
      </w:r>
      <w:r w:rsidRPr="51969D73" w:rsidR="7C266425">
        <w:rPr>
          <w:sz w:val="24"/>
          <w:szCs w:val="24"/>
        </w:rPr>
        <w:t>normate</w:t>
      </w:r>
      <w:r w:rsidRPr="51969D73" w:rsidR="7C266425">
        <w:rPr>
          <w:sz w:val="24"/>
          <w:szCs w:val="24"/>
        </w:rPr>
        <w:t xml:space="preserve"> </w:t>
      </w:r>
      <w:r w:rsidRPr="51969D73" w:rsidR="7C266425">
        <w:rPr>
          <w:sz w:val="24"/>
          <w:szCs w:val="24"/>
        </w:rPr>
        <w:t>bodyminds</w:t>
      </w:r>
      <w:r w:rsidRPr="51969D73" w:rsidR="7C266425">
        <w:rPr>
          <w:sz w:val="24"/>
          <w:szCs w:val="24"/>
        </w:rPr>
        <w:t xml:space="preserve"> are seen as not only an ontological threat (Nusbaum and Lester, 2024) but a moral affront, a deviation from the ‘right’ way-of-being human (Reynolds, 2019; Campbell, 2019). Associated judgements across the dis-ability binary are based on privileged ‘ways of knowing</w:t>
      </w:r>
      <w:r w:rsidRPr="51969D73" w:rsidR="7C266425">
        <w:rPr>
          <w:sz w:val="24"/>
          <w:szCs w:val="24"/>
        </w:rPr>
        <w:t>’,</w:t>
      </w:r>
      <w:r w:rsidRPr="51969D73" w:rsidR="7C266425">
        <w:rPr>
          <w:sz w:val="24"/>
          <w:szCs w:val="24"/>
        </w:rPr>
        <w:t xml:space="preserve"> thus denoting accepted ‘truth’ (Foucault, 1980). Neoliberalism has been linked with the dominance of positivist epistemologies, in particular forms of medical and psychological knowledge driven by the ‘objective’ – and thus ostensibly ‘apolitical’ (Goodley and </w:t>
      </w:r>
      <w:r w:rsidRPr="51969D73" w:rsidR="7C266425">
        <w:rPr>
          <w:sz w:val="24"/>
          <w:szCs w:val="24"/>
        </w:rPr>
        <w:t>Lawthom</w:t>
      </w:r>
      <w:r w:rsidRPr="51969D73" w:rsidR="7C266425">
        <w:rPr>
          <w:sz w:val="24"/>
          <w:szCs w:val="24"/>
        </w:rPr>
        <w:t xml:space="preserve">, 2006) – scientific method where independent observation is deemed ‘valid’, hence ‘true’, evidence (Solomon, 2016; Giddings, 2006). ‘Average’ body-mind functions are subsumed into categorisations and measurements which </w:t>
      </w:r>
      <w:r w:rsidRPr="51969D73" w:rsidR="7C266425">
        <w:rPr>
          <w:sz w:val="24"/>
          <w:szCs w:val="24"/>
        </w:rPr>
        <w:t>designate</w:t>
      </w:r>
      <w:r w:rsidRPr="51969D73" w:rsidR="7C266425">
        <w:rPr>
          <w:sz w:val="24"/>
          <w:szCs w:val="24"/>
        </w:rPr>
        <w:t xml:space="preserve"> ‘normality’ and thus ‘diagnose’ ‘abnormal pathology’ (Foucault, 1972)</w:t>
      </w:r>
      <w:r w:rsidRPr="51969D73" w:rsidR="7C266425">
        <w:rPr>
          <w:sz w:val="24"/>
          <w:szCs w:val="24"/>
        </w:rPr>
        <w:t xml:space="preserve">.  </w:t>
      </w:r>
    </w:p>
    <w:p w:rsidR="7C266425" w:rsidP="51969D73" w:rsidRDefault="7C266425" w14:paraId="2DD4BB2F" w14:textId="0610CD3B">
      <w:pPr>
        <w:pStyle w:val="Normal"/>
        <w:spacing w:line="360" w:lineRule="auto"/>
      </w:pPr>
      <w:r w:rsidRPr="51969D73" w:rsidR="7C266425">
        <w:rPr>
          <w:sz w:val="24"/>
          <w:szCs w:val="24"/>
        </w:rPr>
        <w:t xml:space="preserve">Neoliberalism has been criticised for exacerbating inequalities (Thomas, 2016; Fine, 2012) by affording </w:t>
      </w:r>
      <w:r w:rsidRPr="51969D73" w:rsidR="7C266425">
        <w:rPr>
          <w:sz w:val="24"/>
          <w:szCs w:val="24"/>
        </w:rPr>
        <w:t>particular rights</w:t>
      </w:r>
      <w:r w:rsidRPr="51969D73" w:rsidR="7C266425">
        <w:rPr>
          <w:sz w:val="24"/>
          <w:szCs w:val="24"/>
        </w:rPr>
        <w:t xml:space="preserve"> and benefits to those </w:t>
      </w:r>
      <w:r w:rsidRPr="51969D73" w:rsidR="7C266425">
        <w:rPr>
          <w:sz w:val="24"/>
          <w:szCs w:val="24"/>
        </w:rPr>
        <w:t>deemed</w:t>
      </w:r>
      <w:r w:rsidRPr="51969D73" w:rsidR="7C266425">
        <w:rPr>
          <w:sz w:val="24"/>
          <w:szCs w:val="24"/>
        </w:rPr>
        <w:t xml:space="preserve"> ‘normal’ (</w:t>
      </w:r>
      <w:r w:rsidRPr="51969D73" w:rsidR="7C266425">
        <w:rPr>
          <w:sz w:val="24"/>
          <w:szCs w:val="24"/>
        </w:rPr>
        <w:t>Wolbring</w:t>
      </w:r>
      <w:r w:rsidRPr="51969D73" w:rsidR="7C266425">
        <w:rPr>
          <w:sz w:val="24"/>
          <w:szCs w:val="24"/>
        </w:rPr>
        <w:t>, 2012, p.78) and disadvantaging and stigmatising those who are not (</w:t>
      </w:r>
      <w:r w:rsidRPr="51969D73" w:rsidR="7C266425">
        <w:rPr>
          <w:sz w:val="24"/>
          <w:szCs w:val="24"/>
        </w:rPr>
        <w:t>Scambler</w:t>
      </w:r>
      <w:r w:rsidRPr="51969D73" w:rsidR="7C266425">
        <w:rPr>
          <w:sz w:val="24"/>
          <w:szCs w:val="24"/>
        </w:rPr>
        <w:t xml:space="preserve">, 2018). </w:t>
      </w:r>
      <w:r w:rsidRPr="51969D73" w:rsidR="7C266425">
        <w:rPr>
          <w:sz w:val="24"/>
          <w:szCs w:val="24"/>
        </w:rPr>
        <w:t>Thus</w:t>
      </w:r>
      <w:r w:rsidRPr="51969D73" w:rsidR="7C266425">
        <w:rPr>
          <w:sz w:val="24"/>
          <w:szCs w:val="24"/>
        </w:rPr>
        <w:t xml:space="preserve"> neoliberalism is not just a conceptualising ideology, it has material effects on people’s lives (Chouinard, 2025; Lundberg and Chen, 2024; Sugarman, 2015). Under the neoliberal advancement of normative health and well-being (Illouz, 2010; Harvey, 2005) debates around reliance/autonomy, in/vulnerability and in/dependence (e.g. </w:t>
      </w:r>
      <w:r w:rsidRPr="51969D73" w:rsidR="7C266425">
        <w:rPr>
          <w:sz w:val="24"/>
          <w:szCs w:val="24"/>
        </w:rPr>
        <w:t>Laugier</w:t>
      </w:r>
      <w:r w:rsidRPr="51969D73" w:rsidR="7C266425">
        <w:rPr>
          <w:sz w:val="24"/>
          <w:szCs w:val="24"/>
        </w:rPr>
        <w:t>, 2018) have been “swallowed up and exploited” (</w:t>
      </w:r>
      <w:r w:rsidRPr="51969D73" w:rsidR="7C266425">
        <w:rPr>
          <w:sz w:val="24"/>
          <w:szCs w:val="24"/>
        </w:rPr>
        <w:t>McRuer</w:t>
      </w:r>
      <w:r w:rsidRPr="51969D73" w:rsidR="7C266425">
        <w:rPr>
          <w:sz w:val="24"/>
          <w:szCs w:val="24"/>
        </w:rPr>
        <w:t xml:space="preserve"> and Johnson, 2014, p.150) positioning autonomy, independence self-management and self-care as morally superior (ibid.): individuals must take control of managing their health status, whether preventative or rehabilitative/recovery (Brindle, 2009) to minimise the ‘burden’ of disease (Fox and Marini, 2023). </w:t>
      </w:r>
      <w:r w:rsidRPr="51969D73" w:rsidR="7C266425">
        <w:rPr>
          <w:sz w:val="24"/>
          <w:szCs w:val="24"/>
        </w:rPr>
        <w:t>Thus</w:t>
      </w:r>
      <w:r w:rsidRPr="51969D73" w:rsidR="7C266425">
        <w:rPr>
          <w:sz w:val="24"/>
          <w:szCs w:val="24"/>
        </w:rPr>
        <w:t xml:space="preserve"> responsibility for well-being is shifted from the collective to the individual (Vassilev et al., 2017)</w:t>
      </w:r>
      <w:r w:rsidRPr="51969D73" w:rsidR="7C266425">
        <w:rPr>
          <w:sz w:val="24"/>
          <w:szCs w:val="24"/>
        </w:rPr>
        <w:t xml:space="preserve">.  </w:t>
      </w:r>
    </w:p>
    <w:p w:rsidR="7C266425" w:rsidP="51969D73" w:rsidRDefault="7C266425" w14:paraId="09F1F208" w14:textId="0A28F9AB">
      <w:pPr>
        <w:pStyle w:val="Normal"/>
        <w:spacing w:line="360" w:lineRule="auto"/>
      </w:pPr>
      <w:r w:rsidRPr="51969D73" w:rsidR="7C266425">
        <w:rPr>
          <w:sz w:val="24"/>
          <w:szCs w:val="24"/>
        </w:rPr>
        <w:t xml:space="preserve">Centrally implicated in these power dynamics are the agents, disciplines, </w:t>
      </w:r>
      <w:r w:rsidRPr="51969D73" w:rsidR="7C266425">
        <w:rPr>
          <w:sz w:val="24"/>
          <w:szCs w:val="24"/>
        </w:rPr>
        <w:t>discourses</w:t>
      </w:r>
      <w:r w:rsidRPr="51969D73" w:rsidR="7C266425">
        <w:rPr>
          <w:sz w:val="24"/>
          <w:szCs w:val="24"/>
        </w:rPr>
        <w:t xml:space="preserve"> and practices of neoliberal medicalisation and </w:t>
      </w:r>
      <w:r w:rsidRPr="51969D73" w:rsidR="7C266425">
        <w:rPr>
          <w:sz w:val="24"/>
          <w:szCs w:val="24"/>
        </w:rPr>
        <w:t>psychologisation</w:t>
      </w:r>
      <w:r w:rsidRPr="51969D73" w:rsidR="7C266425">
        <w:rPr>
          <w:sz w:val="24"/>
          <w:szCs w:val="24"/>
        </w:rPr>
        <w:t xml:space="preserve"> (Brown and Baker, 2012; Foucault, 1973; Furedi, 2004; Rose, 1999). These ‘apparatus’ </w:t>
      </w:r>
      <w:r w:rsidRPr="51969D73" w:rsidR="7C266425">
        <w:rPr>
          <w:sz w:val="24"/>
          <w:szCs w:val="24"/>
        </w:rPr>
        <w:t>operate</w:t>
      </w:r>
      <w:r w:rsidRPr="51969D73" w:rsidR="7C266425">
        <w:rPr>
          <w:sz w:val="24"/>
          <w:szCs w:val="24"/>
        </w:rPr>
        <w:t xml:space="preserve"> on the individual to arrange their bodies, </w:t>
      </w:r>
      <w:r w:rsidRPr="51969D73" w:rsidR="7C266425">
        <w:rPr>
          <w:sz w:val="24"/>
          <w:szCs w:val="24"/>
        </w:rPr>
        <w:t>minds</w:t>
      </w:r>
      <w:r w:rsidRPr="51969D73" w:rsidR="7C266425">
        <w:rPr>
          <w:sz w:val="24"/>
          <w:szCs w:val="24"/>
        </w:rPr>
        <w:t xml:space="preserve"> and lives towards the idealised neoliberal ‘moral order’ (Brown and Baker, 2012, p.4; </w:t>
      </w:r>
      <w:r w:rsidRPr="51969D73" w:rsidR="7C266425">
        <w:rPr>
          <w:sz w:val="24"/>
          <w:szCs w:val="24"/>
        </w:rPr>
        <w:t>Langenhove</w:t>
      </w:r>
      <w:r w:rsidRPr="51969D73" w:rsidR="7C266425">
        <w:rPr>
          <w:sz w:val="24"/>
          <w:szCs w:val="24"/>
        </w:rPr>
        <w:t xml:space="preserve">, 2017). Under this neoliberal ‘governmentality’ (Foucault, 2002) any abnormality, ill health or distress is therefore </w:t>
      </w:r>
      <w:r w:rsidRPr="51969D73" w:rsidR="7C266425">
        <w:rPr>
          <w:sz w:val="24"/>
          <w:szCs w:val="24"/>
        </w:rPr>
        <w:t>deemed</w:t>
      </w:r>
      <w:r w:rsidRPr="51969D73" w:rsidR="7C266425">
        <w:rPr>
          <w:sz w:val="24"/>
          <w:szCs w:val="24"/>
        </w:rPr>
        <w:t xml:space="preserve"> an individual moral failure rather than a societal, </w:t>
      </w:r>
      <w:r w:rsidRPr="51969D73" w:rsidR="7C266425">
        <w:rPr>
          <w:sz w:val="24"/>
          <w:szCs w:val="24"/>
        </w:rPr>
        <w:t>political</w:t>
      </w:r>
      <w:r w:rsidRPr="51969D73" w:rsidR="7C266425">
        <w:rPr>
          <w:sz w:val="24"/>
          <w:szCs w:val="24"/>
        </w:rPr>
        <w:t xml:space="preserve"> or cultural issue (Rodríguez-López, 2023; Brown, 2005). </w:t>
      </w:r>
    </w:p>
    <w:p w:rsidR="7C266425" w:rsidP="51969D73" w:rsidRDefault="7C266425" w14:paraId="34EFC5E6" w14:textId="092BF57F">
      <w:pPr>
        <w:pStyle w:val="Normal"/>
        <w:spacing w:line="360" w:lineRule="auto"/>
        <w:rPr>
          <w:b w:val="1"/>
          <w:bCs w:val="1"/>
          <w:sz w:val="24"/>
          <w:szCs w:val="24"/>
        </w:rPr>
      </w:pPr>
      <w:r w:rsidRPr="51969D73" w:rsidR="7C266425">
        <w:rPr>
          <w:b w:val="1"/>
          <w:bCs w:val="1"/>
          <w:sz w:val="24"/>
          <w:szCs w:val="24"/>
        </w:rPr>
        <w:t xml:space="preserve">Illness and disability in psychotherapy </w:t>
      </w:r>
    </w:p>
    <w:p w:rsidR="7C266425" w:rsidP="51969D73" w:rsidRDefault="7C266425" w14:paraId="682432C6" w14:textId="4ECBE3CF">
      <w:pPr>
        <w:pStyle w:val="Normal"/>
        <w:spacing w:line="360" w:lineRule="auto"/>
      </w:pPr>
      <w:r w:rsidRPr="51969D73" w:rsidR="7C266425">
        <w:rPr>
          <w:sz w:val="24"/>
          <w:szCs w:val="24"/>
        </w:rPr>
        <w:t xml:space="preserve">The history of Western psychotherapy is intertwined with neoliberal perspectives (Olivier, 2020; Loewenthal, 2018; Rustin, 2015; Furedi, 2004). Associated individual-societal dichotomies and concomitant power dynamics are directly implicated in conceptualising disability, </w:t>
      </w:r>
      <w:r w:rsidRPr="51969D73" w:rsidR="7C266425">
        <w:rPr>
          <w:sz w:val="24"/>
          <w:szCs w:val="24"/>
        </w:rPr>
        <w:t>impairment</w:t>
      </w:r>
      <w:r w:rsidRPr="51969D73" w:rsidR="7C266425">
        <w:rPr>
          <w:sz w:val="24"/>
          <w:szCs w:val="24"/>
        </w:rPr>
        <w:t xml:space="preserve"> and illness. As I go on to explore, the dominance of </w:t>
      </w:r>
      <w:r w:rsidRPr="51969D73" w:rsidR="7C266425">
        <w:rPr>
          <w:sz w:val="24"/>
          <w:szCs w:val="24"/>
        </w:rPr>
        <w:t>particular models</w:t>
      </w:r>
      <w:r w:rsidRPr="51969D73" w:rsidR="7C266425">
        <w:rPr>
          <w:sz w:val="24"/>
          <w:szCs w:val="24"/>
        </w:rPr>
        <w:t>, associated discourses and thus positioning of the individual has significant implications for attribution of both sources of distress and routes to its alleviation (Hogan, 2019)</w:t>
      </w:r>
      <w:r w:rsidRPr="51969D73" w:rsidR="7C266425">
        <w:rPr>
          <w:sz w:val="24"/>
          <w:szCs w:val="24"/>
        </w:rPr>
        <w:t xml:space="preserve">.  </w:t>
      </w:r>
    </w:p>
    <w:p w:rsidR="7C266425" w:rsidP="51969D73" w:rsidRDefault="7C266425" w14:paraId="2E52AA02" w14:textId="59A679D5">
      <w:pPr>
        <w:pStyle w:val="Normal"/>
        <w:spacing w:line="360" w:lineRule="auto"/>
        <w:rPr>
          <w:b w:val="1"/>
          <w:bCs w:val="1"/>
          <w:sz w:val="24"/>
          <w:szCs w:val="24"/>
        </w:rPr>
      </w:pPr>
      <w:r w:rsidRPr="51969D73" w:rsidR="7C266425">
        <w:rPr>
          <w:b w:val="1"/>
          <w:bCs w:val="1"/>
          <w:sz w:val="24"/>
          <w:szCs w:val="24"/>
        </w:rPr>
        <w:t xml:space="preserve">Individualised and medicalised discourse </w:t>
      </w:r>
    </w:p>
    <w:p w:rsidR="7C266425" w:rsidP="51969D73" w:rsidRDefault="7C266425" w14:paraId="4EF8C99F" w14:textId="63949CA2">
      <w:pPr>
        <w:pStyle w:val="Normal"/>
        <w:spacing w:line="360" w:lineRule="auto"/>
      </w:pPr>
      <w:r w:rsidRPr="51969D73" w:rsidR="7C266425">
        <w:rPr>
          <w:sz w:val="24"/>
          <w:szCs w:val="24"/>
        </w:rPr>
        <w:t xml:space="preserve">The (bio)medical of disability still dominates (Grue, 2015; 2024). In line with neoliberal-able discourse this model </w:t>
      </w:r>
      <w:r w:rsidRPr="51969D73" w:rsidR="7C266425">
        <w:rPr>
          <w:sz w:val="24"/>
          <w:szCs w:val="24"/>
        </w:rPr>
        <w:t>locates</w:t>
      </w:r>
      <w:r w:rsidRPr="51969D73" w:rsidR="7C266425">
        <w:rPr>
          <w:sz w:val="24"/>
          <w:szCs w:val="24"/>
        </w:rPr>
        <w:t xml:space="preserve"> the ‘problem’ within the individual, the notion of disability as an ‘impairment’ implicating individual pathological ‘disorder’ (</w:t>
      </w:r>
      <w:r w:rsidRPr="51969D73" w:rsidR="7C266425">
        <w:rPr>
          <w:sz w:val="24"/>
          <w:szCs w:val="24"/>
        </w:rPr>
        <w:t>Peruzzo</w:t>
      </w:r>
      <w:r w:rsidRPr="51969D73" w:rsidR="7C266425">
        <w:rPr>
          <w:sz w:val="24"/>
          <w:szCs w:val="24"/>
        </w:rPr>
        <w:t xml:space="preserve">, 2020): a deviance from the ‘norm’ in a “body-gone-wrong” (Michalko, 2002, p.120). It positions disabled, </w:t>
      </w:r>
      <w:r w:rsidRPr="51969D73" w:rsidR="7C266425">
        <w:rPr>
          <w:sz w:val="24"/>
          <w:szCs w:val="24"/>
        </w:rPr>
        <w:t>mentally</w:t>
      </w:r>
      <w:r w:rsidRPr="51969D73" w:rsidR="7C266425">
        <w:rPr>
          <w:sz w:val="24"/>
          <w:szCs w:val="24"/>
        </w:rPr>
        <w:t xml:space="preserve"> and physically ‘ill’ people in need of ‘fixing’ towards an accepted state of being, indeed some have called for it to be renamed the ‘normalising’ model (Zaks, 2024). </w:t>
      </w:r>
      <w:r w:rsidRPr="51969D73" w:rsidR="7C266425">
        <w:rPr>
          <w:sz w:val="24"/>
          <w:szCs w:val="24"/>
        </w:rPr>
        <w:t>Thus</w:t>
      </w:r>
      <w:r w:rsidRPr="51969D73" w:rsidR="7C266425">
        <w:rPr>
          <w:sz w:val="24"/>
          <w:szCs w:val="24"/>
        </w:rPr>
        <w:t xml:space="preserve"> it is associated with an ethical imperative of ‘cure’ (Fuller, 2017), clearly problematic vis-à-vis chronic conditions where neoliberal discourse then positions the individual as responsible for ‘accepting’ and ‘managing’ their chronicity (Reich and Turnbull, 2018; Vassilev et al., 2017). When wider services are </w:t>
      </w:r>
      <w:r w:rsidRPr="51969D73" w:rsidR="7C266425">
        <w:rPr>
          <w:sz w:val="24"/>
          <w:szCs w:val="24"/>
        </w:rPr>
        <w:t>involved</w:t>
      </w:r>
      <w:r w:rsidRPr="51969D73" w:rsidR="7C266425">
        <w:rPr>
          <w:sz w:val="24"/>
          <w:szCs w:val="24"/>
        </w:rPr>
        <w:t xml:space="preserve"> the individual </w:t>
      </w:r>
      <w:r w:rsidRPr="51969D73" w:rsidR="7C266425">
        <w:rPr>
          <w:sz w:val="24"/>
          <w:szCs w:val="24"/>
        </w:rPr>
        <w:t>enters into</w:t>
      </w:r>
      <w:r w:rsidRPr="51969D73" w:rsidR="7C266425">
        <w:rPr>
          <w:sz w:val="24"/>
          <w:szCs w:val="24"/>
        </w:rPr>
        <w:t xml:space="preserve"> what is seen as a neoliberal ‘contract’ (Middleton, 2015) with the individual </w:t>
      </w:r>
      <w:r w:rsidRPr="51969D73" w:rsidR="7C266425">
        <w:rPr>
          <w:sz w:val="24"/>
          <w:szCs w:val="24"/>
        </w:rPr>
        <w:t>deemed</w:t>
      </w:r>
      <w:r w:rsidRPr="51969D73" w:rsidR="7C266425">
        <w:rPr>
          <w:sz w:val="24"/>
          <w:szCs w:val="24"/>
        </w:rPr>
        <w:t xml:space="preserve"> responsible for ‘active engagement’ (Brown and Baker, 2012). Biomedical discourses therefore act not only to individualise the ‘problem’ but also the ‘solution’ (</w:t>
      </w:r>
      <w:r w:rsidRPr="51969D73" w:rsidR="7C266425">
        <w:rPr>
          <w:sz w:val="24"/>
          <w:szCs w:val="24"/>
        </w:rPr>
        <w:t>Titchkosky</w:t>
      </w:r>
      <w:r w:rsidRPr="51969D73" w:rsidR="7C266425">
        <w:rPr>
          <w:sz w:val="24"/>
          <w:szCs w:val="24"/>
        </w:rPr>
        <w:t xml:space="preserve"> and Michalko, 2012) with any ‘failure’ of treatment or alleviation of distress positioned as an individual culpability rather than a societal or systemic issue (Ingham, 2024)</w:t>
      </w:r>
      <w:r w:rsidRPr="51969D73" w:rsidR="7C266425">
        <w:rPr>
          <w:sz w:val="24"/>
          <w:szCs w:val="24"/>
        </w:rPr>
        <w:t xml:space="preserve">.  </w:t>
      </w:r>
    </w:p>
    <w:p w:rsidR="7C266425" w:rsidP="51969D73" w:rsidRDefault="7C266425" w14:paraId="69914D59" w14:textId="4F619305">
      <w:pPr>
        <w:pStyle w:val="Normal"/>
        <w:spacing w:line="360" w:lineRule="auto"/>
      </w:pPr>
      <w:r w:rsidRPr="51969D73" w:rsidR="7C266425">
        <w:rPr>
          <w:sz w:val="24"/>
          <w:szCs w:val="24"/>
        </w:rPr>
        <w:t>Drawing on these perspectives, contemporary state-provided therapy2 in the UK expanded on the back of a key report which problematised mental ill health as an economic burden (Layard, 2005), the solution to this ‘problem’ being individualised psychological interventions dominated by cognitive behavioural therapies (Guy et al., 2012). The original conception of cognitive-behavioural therapy (CBT) is based on the unproblematised use of the medical model positing the aim to ‘modify disorder and dysfunction’ (Beck, 1993, p.194). This foundation for such a widely-endorsed and utilised modality is clearly problematic in terms of its ontological position meaning alleviation of distress therefore tends to focus on achieving normative “healthy adjustment” (DeRidder et al., 2008, p.246) and “to produce more realistic and adaptive evaluations” (Gaudiano, 2008, p.6). This of course depends on whose norms and reality are centred. For ill and disabled people their thoughts and emotions may indeed be ‘realistic’ (Olkin, 1999), their distress linked to oppression rather than a failure to ‘accept’ or ‘adjust’ to their impairment (Reeve, 2000; Morris, 1991)</w:t>
      </w:r>
      <w:r w:rsidRPr="51969D73" w:rsidR="7C266425">
        <w:rPr>
          <w:sz w:val="24"/>
          <w:szCs w:val="24"/>
        </w:rPr>
        <w:t xml:space="preserve">.  </w:t>
      </w:r>
    </w:p>
    <w:p w:rsidR="7C266425" w:rsidP="51969D73" w:rsidRDefault="7C266425" w14:paraId="2E01AAF1" w14:textId="74B13ECE">
      <w:pPr>
        <w:pStyle w:val="Normal"/>
        <w:spacing w:line="360" w:lineRule="auto"/>
      </w:pPr>
      <w:r w:rsidRPr="51969D73" w:rsidR="7C266425">
        <w:rPr>
          <w:sz w:val="24"/>
          <w:szCs w:val="24"/>
        </w:rPr>
        <w:t xml:space="preserve">Historically, individualised discourse of disability and illness has appeared across different schools of psychotherapeutic thought with distress related to individual ‘deficit’ and the fallibility of the human body. In psychoanalysis disability has been viewed as a ‘symbolic substitute’ for castration (Haled, 2020) also implicating judgements of emasculation in a patriarchal society (Wilton, 2003), such power dynamics being highly relevant for the gendered nature of chronic illness (Wendell, 1996; 2008). Object relations also </w:t>
      </w:r>
      <w:r w:rsidRPr="51969D73" w:rsidR="7C266425">
        <w:rPr>
          <w:sz w:val="24"/>
          <w:szCs w:val="24"/>
        </w:rPr>
        <w:t>views</w:t>
      </w:r>
      <w:r w:rsidRPr="51969D73" w:rsidR="7C266425">
        <w:rPr>
          <w:sz w:val="24"/>
          <w:szCs w:val="24"/>
        </w:rPr>
        <w:t xml:space="preserve"> disability as a ‘damaged </w:t>
      </w:r>
      <w:r w:rsidRPr="51969D73" w:rsidR="7C266425">
        <w:rPr>
          <w:sz w:val="24"/>
          <w:szCs w:val="24"/>
        </w:rPr>
        <w:t>selfobject</w:t>
      </w:r>
      <w:r w:rsidRPr="51969D73" w:rsidR="7C266425">
        <w:rPr>
          <w:sz w:val="24"/>
          <w:szCs w:val="24"/>
        </w:rPr>
        <w:t xml:space="preserve">’ (Tichler, 2010). Traditional existential psychotherapeutic theory also implicates individualised perspectives attributing illness/disability-related distress to an ‘impairment’ in existential freedom (van </w:t>
      </w:r>
      <w:r w:rsidRPr="51969D73" w:rsidR="7C266425">
        <w:rPr>
          <w:sz w:val="24"/>
          <w:szCs w:val="24"/>
        </w:rPr>
        <w:t>Deurzen</w:t>
      </w:r>
      <w:r w:rsidRPr="51969D73" w:rsidR="7C266425">
        <w:rPr>
          <w:sz w:val="24"/>
          <w:szCs w:val="24"/>
        </w:rPr>
        <w:t xml:space="preserve"> et al., 2019) and to death anxieties (Yalom, 1980; Becker, 1973). In line with these conceptualisations, therapy with disabled people has tended to focus on these individual impairment-related losses as the source of distress (Wang et al., 2024; </w:t>
      </w:r>
      <w:r w:rsidRPr="51969D73" w:rsidR="7C266425">
        <w:rPr>
          <w:sz w:val="24"/>
          <w:szCs w:val="24"/>
        </w:rPr>
        <w:t>Watermeyer</w:t>
      </w:r>
      <w:r w:rsidRPr="51969D73" w:rsidR="7C266425">
        <w:rPr>
          <w:sz w:val="24"/>
          <w:szCs w:val="24"/>
        </w:rPr>
        <w:t xml:space="preserve">, 2014; Reeve, 2014a). The development of these therapy models during the era of segregation (Barnes, 1991) has </w:t>
      </w:r>
      <w:r w:rsidRPr="51969D73" w:rsidR="7C266425">
        <w:rPr>
          <w:sz w:val="24"/>
          <w:szCs w:val="24"/>
        </w:rPr>
        <w:t>perhaps embedded</w:t>
      </w:r>
      <w:r w:rsidRPr="51969D73" w:rsidR="7C266425">
        <w:rPr>
          <w:sz w:val="24"/>
          <w:szCs w:val="24"/>
        </w:rPr>
        <w:t xml:space="preserve"> such views on disability </w:t>
      </w:r>
      <w:r w:rsidRPr="51969D73" w:rsidR="7C266425">
        <w:rPr>
          <w:sz w:val="24"/>
          <w:szCs w:val="24"/>
        </w:rPr>
        <w:t>exacerbating</w:t>
      </w:r>
      <w:r w:rsidRPr="51969D73" w:rsidR="7C266425">
        <w:rPr>
          <w:sz w:val="24"/>
          <w:szCs w:val="24"/>
        </w:rPr>
        <w:t xml:space="preserve"> exiting power imbalances in the therapy room (Proctor, 2010; </w:t>
      </w:r>
      <w:r w:rsidRPr="51969D73" w:rsidR="7C266425">
        <w:rPr>
          <w:sz w:val="24"/>
          <w:szCs w:val="24"/>
        </w:rPr>
        <w:t>Watermeyer</w:t>
      </w:r>
      <w:r w:rsidRPr="51969D73" w:rsidR="7C266425">
        <w:rPr>
          <w:sz w:val="24"/>
          <w:szCs w:val="24"/>
        </w:rPr>
        <w:t xml:space="preserve">, 2012). </w:t>
      </w:r>
    </w:p>
    <w:p w:rsidR="51969D73" w:rsidP="51969D73" w:rsidRDefault="51969D73" w14:paraId="787D6D65" w14:textId="391244DC">
      <w:pPr>
        <w:pStyle w:val="Normal"/>
        <w:spacing w:line="360" w:lineRule="auto"/>
        <w:rPr>
          <w:sz w:val="24"/>
          <w:szCs w:val="24"/>
        </w:rPr>
      </w:pPr>
    </w:p>
    <w:p w:rsidR="7C266425" w:rsidP="51969D73" w:rsidRDefault="7C266425" w14:paraId="580A07F2" w14:textId="194332D1">
      <w:pPr>
        <w:pStyle w:val="Normal"/>
        <w:spacing w:line="360" w:lineRule="auto"/>
        <w:rPr>
          <w:b w:val="1"/>
          <w:bCs w:val="1"/>
          <w:sz w:val="24"/>
          <w:szCs w:val="24"/>
        </w:rPr>
      </w:pPr>
      <w:r w:rsidRPr="51969D73" w:rsidR="7C266425">
        <w:rPr>
          <w:b w:val="1"/>
          <w:bCs w:val="1"/>
          <w:sz w:val="24"/>
          <w:szCs w:val="24"/>
        </w:rPr>
        <w:t xml:space="preserve">Re-positioning discourse towards the ‘social’ </w:t>
      </w:r>
    </w:p>
    <w:p w:rsidR="7C266425" w:rsidP="51969D73" w:rsidRDefault="7C266425" w14:paraId="0D275A61" w14:textId="739CD122">
      <w:pPr>
        <w:pStyle w:val="Normal"/>
        <w:spacing w:line="360" w:lineRule="auto"/>
      </w:pPr>
      <w:r w:rsidRPr="51969D73" w:rsidR="7C266425">
        <w:rPr>
          <w:sz w:val="24"/>
          <w:szCs w:val="24"/>
        </w:rPr>
        <w:t xml:space="preserve">The individualised medical model excludes consideration of the wider contexts of ‘disability’ (Oliver, 2016; Finkelstein, 2007): societal structures, socio-cultural conceptions and attitudes that act to ‘disable’ people through design, stigmatisation and oppression (Barnes and Mercer, 2010; Reeve, 2012; Grue, 2015; Tremain, 2005). These wider societal issues often go unacknowledged in therapy with disabled people (Anderson and Gibson, 2017; Reeve, 2014a; Swain et al., 2003) so there have been movements over time to re-position disability within psychotherapy shifting focus to these wider contexts as well as the individual level (Bessone, et al., 2024; </w:t>
      </w:r>
      <w:r w:rsidRPr="51969D73" w:rsidR="7C266425">
        <w:rPr>
          <w:sz w:val="24"/>
          <w:szCs w:val="24"/>
        </w:rPr>
        <w:t>Halacre</w:t>
      </w:r>
      <w:r w:rsidRPr="51969D73" w:rsidR="7C266425">
        <w:rPr>
          <w:sz w:val="24"/>
          <w:szCs w:val="24"/>
        </w:rPr>
        <w:t xml:space="preserve">, 2020; </w:t>
      </w:r>
      <w:r w:rsidRPr="51969D73" w:rsidR="7C266425">
        <w:rPr>
          <w:sz w:val="24"/>
          <w:szCs w:val="24"/>
        </w:rPr>
        <w:t>Kanellakis</w:t>
      </w:r>
      <w:r w:rsidRPr="51969D73" w:rsidR="7C266425">
        <w:rPr>
          <w:sz w:val="24"/>
          <w:szCs w:val="24"/>
        </w:rPr>
        <w:t xml:space="preserve">, 2010). Humanistic approaches which </w:t>
      </w:r>
      <w:r w:rsidRPr="51969D73" w:rsidR="7C266425">
        <w:rPr>
          <w:sz w:val="24"/>
          <w:szCs w:val="24"/>
        </w:rPr>
        <w:t>emerged</w:t>
      </w:r>
      <w:r w:rsidRPr="51969D73" w:rsidR="7C266425">
        <w:rPr>
          <w:sz w:val="24"/>
          <w:szCs w:val="24"/>
        </w:rPr>
        <w:t xml:space="preserve"> as a direct challenge to the differential power dynamics for which traditional psychotherapy is criticised (Grosz, 2013) </w:t>
      </w:r>
      <w:r w:rsidRPr="51969D73" w:rsidR="7C266425">
        <w:rPr>
          <w:sz w:val="24"/>
          <w:szCs w:val="24"/>
        </w:rPr>
        <w:t>open up</w:t>
      </w:r>
      <w:r w:rsidRPr="51969D73" w:rsidR="7C266425">
        <w:rPr>
          <w:sz w:val="24"/>
          <w:szCs w:val="24"/>
        </w:rPr>
        <w:t xml:space="preserve"> the potential to acknowledge the breadth of human experiences (Joseph, 2020) and offer an alternative to medicalised psychotherapeutic discourse and mind-body dualism (Schneider et al., 2015). That said, such praxis has been challenged for encouraging a ‘</w:t>
      </w:r>
      <w:r w:rsidRPr="51969D73" w:rsidR="7C266425">
        <w:rPr>
          <w:sz w:val="24"/>
          <w:szCs w:val="24"/>
        </w:rPr>
        <w:t>blindness’</w:t>
      </w:r>
      <w:r w:rsidRPr="51969D73" w:rsidR="7C266425">
        <w:rPr>
          <w:sz w:val="24"/>
          <w:szCs w:val="24"/>
        </w:rPr>
        <w:t xml:space="preserve"> to difference and thus tacit acceptance of the socio-political status quo (Turner, 2021). </w:t>
      </w:r>
    </w:p>
    <w:p w:rsidR="7C266425" w:rsidP="51969D73" w:rsidRDefault="7C266425" w14:paraId="660FF222" w14:textId="34B2F4D4">
      <w:pPr>
        <w:pStyle w:val="Normal"/>
        <w:spacing w:line="360" w:lineRule="auto"/>
        <w:rPr>
          <w:b w:val="1"/>
          <w:bCs w:val="1"/>
          <w:sz w:val="24"/>
          <w:szCs w:val="24"/>
        </w:rPr>
      </w:pPr>
      <w:r w:rsidRPr="51969D73" w:rsidR="7C266425">
        <w:rPr>
          <w:b w:val="1"/>
          <w:bCs w:val="1"/>
          <w:sz w:val="24"/>
          <w:szCs w:val="24"/>
        </w:rPr>
        <w:t xml:space="preserve">‘Disability’ versus ‘impairment’ </w:t>
      </w:r>
    </w:p>
    <w:p w:rsidR="7C266425" w:rsidP="51969D73" w:rsidRDefault="7C266425" w14:paraId="78E28A33" w14:textId="603976E0">
      <w:pPr>
        <w:pStyle w:val="Normal"/>
        <w:spacing w:line="360" w:lineRule="auto"/>
      </w:pPr>
      <w:r w:rsidRPr="51969D73" w:rsidR="7C266425">
        <w:rPr>
          <w:sz w:val="24"/>
          <w:szCs w:val="24"/>
        </w:rPr>
        <w:t>In moving away from the pathologisation of disability under the medical model, the critical interrogation of ‘impairment’ has been supressed (Wendell, 2017). Denial of impairment-as-disability can mean the often painful and distressing embodied experiences of chronic illness go unacknowledged (Hughes and Paterson 1997; Shakespeare, 2013)</w:t>
      </w:r>
      <w:r w:rsidRPr="51969D73" w:rsidR="7C266425">
        <w:rPr>
          <w:sz w:val="24"/>
          <w:szCs w:val="24"/>
        </w:rPr>
        <w:t xml:space="preserve">.  </w:t>
      </w:r>
      <w:r w:rsidRPr="51969D73" w:rsidR="7C266425">
        <w:rPr>
          <w:sz w:val="24"/>
          <w:szCs w:val="24"/>
        </w:rPr>
        <w:t xml:space="preserve">Thus the ‘unhealthy disabled’ (Wendell, 2017) are </w:t>
      </w:r>
      <w:r w:rsidRPr="51969D73" w:rsidR="7C266425">
        <w:rPr>
          <w:sz w:val="24"/>
          <w:szCs w:val="24"/>
        </w:rPr>
        <w:t>rendered</w:t>
      </w:r>
      <w:r w:rsidRPr="51969D73" w:rsidR="7C266425">
        <w:rPr>
          <w:sz w:val="24"/>
          <w:szCs w:val="24"/>
        </w:rPr>
        <w:t xml:space="preserve"> ‘invisible’: essentially ‘the nobodies’ (Green, 2011). There is a need to acknowledge both the distressing embodied and bodily ‘impairment effects’ (Tomasini, 2012; Thomas, 1999) as well as the societal causes of disablement. The extended social-relational model (Thomas, 1999) takes a more </w:t>
      </w:r>
      <w:r w:rsidRPr="51969D73" w:rsidR="7C266425">
        <w:rPr>
          <w:sz w:val="24"/>
          <w:szCs w:val="24"/>
        </w:rPr>
        <w:t>culturally-informed</w:t>
      </w:r>
      <w:r w:rsidRPr="51969D73" w:rsidR="7C266425">
        <w:rPr>
          <w:sz w:val="24"/>
          <w:szCs w:val="24"/>
        </w:rPr>
        <w:t xml:space="preserve"> and </w:t>
      </w:r>
      <w:r w:rsidRPr="51969D73" w:rsidR="7C266425">
        <w:rPr>
          <w:sz w:val="24"/>
          <w:szCs w:val="24"/>
        </w:rPr>
        <w:t>politically-aware</w:t>
      </w:r>
      <w:r w:rsidRPr="51969D73" w:rsidR="7C266425">
        <w:rPr>
          <w:sz w:val="24"/>
          <w:szCs w:val="24"/>
        </w:rPr>
        <w:t xml:space="preserve"> perspective moving away from binaries and dichotomies (Thomas, 2004). It includes impacts on the individual as well as wider material and social losses, structural and attitudinal dis/</w:t>
      </w:r>
      <w:r w:rsidRPr="51969D73" w:rsidR="7C266425">
        <w:rPr>
          <w:sz w:val="24"/>
          <w:szCs w:val="24"/>
        </w:rPr>
        <w:t>ableism</w:t>
      </w:r>
      <w:r w:rsidRPr="51969D73" w:rsidR="7C266425">
        <w:rPr>
          <w:sz w:val="24"/>
          <w:szCs w:val="24"/>
        </w:rPr>
        <w:t xml:space="preserve"> and the associated trauma of ‘symbolic violence’ enacted through internalised societal dis/ableist ideologies (</w:t>
      </w:r>
      <w:r w:rsidRPr="51969D73" w:rsidR="7C266425">
        <w:rPr>
          <w:sz w:val="24"/>
          <w:szCs w:val="24"/>
        </w:rPr>
        <w:t>Watermeyer</w:t>
      </w:r>
      <w:r w:rsidRPr="51969D73" w:rsidR="7C266425">
        <w:rPr>
          <w:sz w:val="24"/>
          <w:szCs w:val="24"/>
        </w:rPr>
        <w:t xml:space="preserve"> and Swartz, 2016; Bourdieu and Wacquant, 1992). </w:t>
      </w:r>
    </w:p>
    <w:p w:rsidR="7C266425" w:rsidP="51969D73" w:rsidRDefault="7C266425" w14:paraId="0EC622FA" w14:textId="0DFD49EF">
      <w:pPr>
        <w:pStyle w:val="Normal"/>
        <w:spacing w:line="360" w:lineRule="auto"/>
      </w:pPr>
      <w:r w:rsidRPr="51969D73" w:rsidR="7C266425">
        <w:rPr>
          <w:sz w:val="24"/>
          <w:szCs w:val="24"/>
        </w:rPr>
        <w:t xml:space="preserve">All these inherent conceptual complexities and distinctions mostly </w:t>
      </w:r>
      <w:r w:rsidRPr="51969D73" w:rsidR="7C266425">
        <w:rPr>
          <w:sz w:val="24"/>
          <w:szCs w:val="24"/>
        </w:rPr>
        <w:t>remain</w:t>
      </w:r>
      <w:r w:rsidRPr="51969D73" w:rsidR="7C266425">
        <w:rPr>
          <w:sz w:val="24"/>
          <w:szCs w:val="24"/>
        </w:rPr>
        <w:t xml:space="preserve"> unproblematised in contemporary counselling texts. Books tend to group illness and disability together or not distinguish between them (e.g., see McLeod, 2025; Segal, 2017, 2014) thus obscuring differences in both conceptualisations and lived experiences (Thomas, 2004). Even when discussing disability in the context of anti-oppressive practice ‘disability’ is only included as an element of intersectional identity (Turner, 2021; Henry, 2010; Lago and Smith, 2010) thus effectively </w:t>
      </w:r>
      <w:r w:rsidRPr="51969D73" w:rsidR="7C266425">
        <w:rPr>
          <w:sz w:val="24"/>
          <w:szCs w:val="24"/>
        </w:rPr>
        <w:t>rendering</w:t>
      </w:r>
      <w:r w:rsidRPr="51969D73" w:rsidR="7C266425">
        <w:rPr>
          <w:sz w:val="24"/>
          <w:szCs w:val="24"/>
        </w:rPr>
        <w:t xml:space="preserve"> ‘impairment’ value-neutral (Thomas, 1999). The absence of exploration of impairment-disability conceptualisations and therapists’ own related positionality in training has significant implications for practice (Hunt, 2023a). Therapists may avoid addressing disability completely (Ingham, 2024; Conner et al., 2023), this ‘blind spot’ (</w:t>
      </w:r>
      <w:r w:rsidRPr="51969D73" w:rsidR="7C266425">
        <w:rPr>
          <w:sz w:val="24"/>
          <w:szCs w:val="24"/>
        </w:rPr>
        <w:t>Watermeyer</w:t>
      </w:r>
      <w:r w:rsidRPr="51969D73" w:rsidR="7C266425">
        <w:rPr>
          <w:sz w:val="24"/>
          <w:szCs w:val="24"/>
        </w:rPr>
        <w:t xml:space="preserve">, 2012) perhaps an unconscious defence against “this too could happen to me” (Olkin, 1999, p.32) or a fear of difference and the unknown ‘other’ (Turner, 2021; Tyson et al., 2019; </w:t>
      </w:r>
      <w:r w:rsidRPr="51969D73" w:rsidR="7C266425">
        <w:rPr>
          <w:sz w:val="24"/>
          <w:szCs w:val="24"/>
        </w:rPr>
        <w:t>Watermeyer</w:t>
      </w:r>
      <w:r w:rsidRPr="51969D73" w:rsidR="7C266425">
        <w:rPr>
          <w:sz w:val="24"/>
          <w:szCs w:val="24"/>
        </w:rPr>
        <w:t xml:space="preserve">, 2012). </w:t>
      </w:r>
      <w:r w:rsidRPr="51969D73" w:rsidR="7C266425">
        <w:rPr>
          <w:sz w:val="24"/>
          <w:szCs w:val="24"/>
        </w:rPr>
        <w:t>Alternatively</w:t>
      </w:r>
      <w:r w:rsidRPr="51969D73" w:rsidR="7C266425">
        <w:rPr>
          <w:sz w:val="24"/>
          <w:szCs w:val="24"/>
        </w:rPr>
        <w:t xml:space="preserve"> therapists can assume impairment/disability is the source of distress when it may be something entirely different (Olkin, 2020; Smart and Smart, 2012)</w:t>
      </w:r>
      <w:r w:rsidRPr="51969D73" w:rsidR="7C266425">
        <w:rPr>
          <w:sz w:val="24"/>
          <w:szCs w:val="24"/>
        </w:rPr>
        <w:t xml:space="preserve">.  </w:t>
      </w:r>
    </w:p>
    <w:p w:rsidR="7C266425" w:rsidP="51969D73" w:rsidRDefault="7C266425" w14:paraId="78E46873" w14:textId="132B0BE3">
      <w:pPr>
        <w:pStyle w:val="Normal"/>
        <w:spacing w:line="360" w:lineRule="auto"/>
      </w:pPr>
      <w:r w:rsidRPr="51969D73" w:rsidR="7C266425">
        <w:rPr>
          <w:sz w:val="24"/>
          <w:szCs w:val="24"/>
        </w:rPr>
        <w:t xml:space="preserve">Marked exceptions are writings by disabled people which do address differential conceptualisations and issues of positionality and power centring practice around understanding impairment and disability from the client’s perspective within their wider context. (Olkin, 2017; Ingham, 2024). The relationality of the therapeutic encounter is central to the dynamics of interactions between clients’ and therapists’ political positionalities (Loewenthal and Samuels, 2014) so it is vital that therapists are aware of dis/ability dynamics </w:t>
      </w:r>
      <w:r w:rsidRPr="51969D73" w:rsidR="7C266425">
        <w:rPr>
          <w:sz w:val="24"/>
          <w:szCs w:val="24"/>
        </w:rPr>
        <w:t>operating</w:t>
      </w:r>
      <w:r w:rsidRPr="51969D73" w:rsidR="7C266425">
        <w:rPr>
          <w:sz w:val="24"/>
          <w:szCs w:val="24"/>
        </w:rPr>
        <w:t xml:space="preserve"> within and without the therapy room (Olkin, 2017)</w:t>
      </w:r>
      <w:r w:rsidRPr="51969D73" w:rsidR="7C266425">
        <w:rPr>
          <w:sz w:val="24"/>
          <w:szCs w:val="24"/>
        </w:rPr>
        <w:t xml:space="preserve">.  </w:t>
      </w:r>
    </w:p>
    <w:p w:rsidR="7C266425" w:rsidP="51969D73" w:rsidRDefault="7C266425" w14:paraId="3413BA64" w14:textId="2E642CDA">
      <w:pPr>
        <w:pStyle w:val="Normal"/>
        <w:spacing w:line="360" w:lineRule="auto"/>
        <w:rPr>
          <w:b w:val="1"/>
          <w:bCs w:val="1"/>
          <w:sz w:val="24"/>
          <w:szCs w:val="24"/>
        </w:rPr>
      </w:pPr>
      <w:r w:rsidRPr="51969D73" w:rsidR="7C266425">
        <w:rPr>
          <w:b w:val="1"/>
          <w:bCs w:val="1"/>
          <w:sz w:val="24"/>
          <w:szCs w:val="24"/>
        </w:rPr>
        <w:t xml:space="preserve">Energy-Limiting Conditions and ‘chronicity’ </w:t>
      </w:r>
    </w:p>
    <w:p w:rsidR="7C266425" w:rsidP="51969D73" w:rsidRDefault="7C266425" w14:paraId="646D635A" w14:textId="74B9C620">
      <w:pPr>
        <w:pStyle w:val="Normal"/>
        <w:spacing w:line="360" w:lineRule="auto"/>
      </w:pPr>
      <w:r w:rsidRPr="51969D73" w:rsidR="7C266425">
        <w:rPr>
          <w:sz w:val="24"/>
          <w:szCs w:val="24"/>
        </w:rPr>
        <w:t xml:space="preserve">The </w:t>
      </w:r>
      <w:r w:rsidRPr="51969D73" w:rsidR="7C266425">
        <w:rPr>
          <w:sz w:val="24"/>
          <w:szCs w:val="24"/>
        </w:rPr>
        <w:t>aforementioned marginalisation</w:t>
      </w:r>
      <w:r w:rsidRPr="51969D73" w:rsidR="7C266425">
        <w:rPr>
          <w:sz w:val="24"/>
          <w:szCs w:val="24"/>
        </w:rPr>
        <w:t xml:space="preserve"> of chronic illness within discussions of disability is further complicated in the case of ELCs. </w:t>
      </w:r>
    </w:p>
    <w:p w:rsidR="7C266425" w:rsidP="51969D73" w:rsidRDefault="7C266425" w14:paraId="4C9325EF" w14:textId="2014F61B">
      <w:pPr>
        <w:pStyle w:val="Normal"/>
        <w:spacing w:line="360" w:lineRule="auto"/>
      </w:pPr>
      <w:r w:rsidRPr="51969D73" w:rsidR="7C266425">
        <w:rPr>
          <w:sz w:val="24"/>
          <w:szCs w:val="24"/>
        </w:rPr>
        <w:t xml:space="preserve">Energy-impairments are reported by people with ELCs as “the most debilitating feature of chronic illness” (Hale et al. 2020, p.27). Disbelief and invalidation of these experiences is reported as one of the main forms of oppression (ibid.) and the denial by healthcare professionals that such conditions are ‘real’ a significant factor contributing to suicidality (Konig et al., 2024). </w:t>
      </w:r>
      <w:r w:rsidRPr="51969D73" w:rsidR="7C266425">
        <w:rPr>
          <w:sz w:val="24"/>
          <w:szCs w:val="24"/>
        </w:rPr>
        <w:t>The majority of</w:t>
      </w:r>
      <w:r w:rsidRPr="51969D73" w:rsidR="7C266425">
        <w:rPr>
          <w:sz w:val="24"/>
          <w:szCs w:val="24"/>
        </w:rPr>
        <w:t xml:space="preserve"> people who experience ELCs are women (Hale et al., 2020). The combination of this gendered aspect of chronic illness and the lack of observable ‘evidence’ for ‘fatigue’ led to labels of ‘hysteria’ from the medical profession (</w:t>
      </w:r>
      <w:r w:rsidRPr="51969D73" w:rsidR="7C266425">
        <w:rPr>
          <w:sz w:val="24"/>
          <w:szCs w:val="24"/>
        </w:rPr>
        <w:t>McEvedy</w:t>
      </w:r>
      <w:r w:rsidRPr="51969D73" w:rsidR="7C266425">
        <w:rPr>
          <w:sz w:val="24"/>
          <w:szCs w:val="24"/>
        </w:rPr>
        <w:t xml:space="preserve"> and Beard, 1970). </w:t>
      </w:r>
      <w:r w:rsidRPr="51969D73" w:rsidR="7C266425">
        <w:rPr>
          <w:sz w:val="24"/>
          <w:szCs w:val="24"/>
        </w:rPr>
        <w:t>Thus</w:t>
      </w:r>
      <w:r w:rsidRPr="51969D73" w:rsidR="7C266425">
        <w:rPr>
          <w:sz w:val="24"/>
          <w:szCs w:val="24"/>
        </w:rPr>
        <w:t xml:space="preserve"> the denial and disbelief </w:t>
      </w:r>
      <w:r w:rsidRPr="51969D73" w:rsidR="7C266425">
        <w:rPr>
          <w:sz w:val="24"/>
          <w:szCs w:val="24"/>
        </w:rPr>
        <w:t>is</w:t>
      </w:r>
      <w:r w:rsidRPr="51969D73" w:rsidR="7C266425">
        <w:rPr>
          <w:sz w:val="24"/>
          <w:szCs w:val="24"/>
        </w:rPr>
        <w:t xml:space="preserve"> linked to denoting energy-impairment as ‘all in the mind’ (Evans et al., 2023) when medical ‘experts’ are unable to pinpoint a cause – so-called ‘medically-unexplained symptoms’ (Stanley et al., 2002). Physical symptoms can therefore be dismissed, particularly if combined with emotional distress (Lakin et al., 2021; Hunt, 2023b). This ‘epistemic injustice’ (Fricker, 2007) stems from objective observable ‘evidence’ being privileged within neoliberal medicalised systems, with </w:t>
      </w:r>
      <w:r w:rsidRPr="51969D73" w:rsidR="7C266425">
        <w:rPr>
          <w:sz w:val="24"/>
          <w:szCs w:val="24"/>
        </w:rPr>
        <w:t>medically-verified</w:t>
      </w:r>
      <w:r w:rsidRPr="51969D73" w:rsidR="7C266425">
        <w:rPr>
          <w:sz w:val="24"/>
          <w:szCs w:val="24"/>
        </w:rPr>
        <w:t xml:space="preserve"> ‘physical </w:t>
      </w:r>
      <w:r w:rsidRPr="51969D73" w:rsidR="7C266425">
        <w:rPr>
          <w:sz w:val="24"/>
          <w:szCs w:val="24"/>
        </w:rPr>
        <w:t>illness’</w:t>
      </w:r>
      <w:r w:rsidRPr="51969D73" w:rsidR="7C266425">
        <w:rPr>
          <w:sz w:val="24"/>
          <w:szCs w:val="24"/>
        </w:rPr>
        <w:t xml:space="preserve"> positioned as more ‘valid’ (Brindle, 2009) thus ‘subjective’ testament being invalidated (Rodríguez-López, 2023; Henriques et al., 1998). </w:t>
      </w:r>
    </w:p>
    <w:p w:rsidR="7C266425" w:rsidP="51969D73" w:rsidRDefault="7C266425" w14:paraId="5E1467A1" w14:textId="103479ED">
      <w:pPr>
        <w:pStyle w:val="Normal"/>
        <w:spacing w:line="360" w:lineRule="auto"/>
      </w:pPr>
      <w:r w:rsidRPr="51969D73" w:rsidR="7C266425">
        <w:rPr>
          <w:sz w:val="24"/>
          <w:szCs w:val="24"/>
        </w:rPr>
        <w:t xml:space="preserve">Whilst these perspectives on ‘invisible’ impairment have been widely challenged, often through Feminist lenses (e.g., Hunt, 2024a; Wendell, 2017; Thomas, 2001; Price and </w:t>
      </w:r>
      <w:r w:rsidRPr="51969D73" w:rsidR="7C266425">
        <w:rPr>
          <w:sz w:val="24"/>
          <w:szCs w:val="24"/>
        </w:rPr>
        <w:t>Shildrick</w:t>
      </w:r>
      <w:r w:rsidRPr="51969D73" w:rsidR="7C266425">
        <w:rPr>
          <w:sz w:val="24"/>
          <w:szCs w:val="24"/>
        </w:rPr>
        <w:t xml:space="preserve">, 1998), such </w:t>
      </w:r>
      <w:r w:rsidRPr="51969D73" w:rsidR="7C266425">
        <w:rPr>
          <w:sz w:val="24"/>
          <w:szCs w:val="24"/>
        </w:rPr>
        <w:t>perceptions</w:t>
      </w:r>
      <w:r w:rsidRPr="51969D73" w:rsidR="7C266425">
        <w:rPr>
          <w:sz w:val="24"/>
          <w:szCs w:val="24"/>
        </w:rPr>
        <w:t xml:space="preserve"> have </w:t>
      </w:r>
      <w:r w:rsidRPr="51969D73" w:rsidR="7C266425">
        <w:rPr>
          <w:sz w:val="24"/>
          <w:szCs w:val="24"/>
        </w:rPr>
        <w:t>emerged</w:t>
      </w:r>
      <w:r w:rsidRPr="51969D73" w:rsidR="7C266425">
        <w:rPr>
          <w:sz w:val="24"/>
          <w:szCs w:val="24"/>
        </w:rPr>
        <w:t xml:space="preserve"> once again vis-à-vis Long Covid (Monbiot, 2024, Hunt et al., 2022). This </w:t>
      </w:r>
      <w:r w:rsidRPr="51969D73" w:rsidR="7C266425">
        <w:rPr>
          <w:sz w:val="24"/>
          <w:szCs w:val="24"/>
        </w:rPr>
        <w:t>psychologisation</w:t>
      </w:r>
      <w:r w:rsidRPr="51969D73" w:rsidR="7C266425">
        <w:rPr>
          <w:sz w:val="24"/>
          <w:szCs w:val="24"/>
        </w:rPr>
        <w:t xml:space="preserve"> of ELCs can effectively deny people with energy-impairments the medical care that could help (</w:t>
      </w:r>
      <w:r w:rsidRPr="51969D73" w:rsidR="7C266425">
        <w:rPr>
          <w:sz w:val="24"/>
          <w:szCs w:val="24"/>
        </w:rPr>
        <w:t>Sunnquist</w:t>
      </w:r>
      <w:r w:rsidRPr="51969D73" w:rsidR="7C266425">
        <w:rPr>
          <w:sz w:val="24"/>
          <w:szCs w:val="24"/>
        </w:rPr>
        <w:t xml:space="preserve"> et al., 2017) even if they do have a </w:t>
      </w:r>
      <w:r w:rsidRPr="51969D73" w:rsidR="7C266425">
        <w:rPr>
          <w:sz w:val="24"/>
          <w:szCs w:val="24"/>
        </w:rPr>
        <w:t>medically-validated</w:t>
      </w:r>
      <w:r w:rsidRPr="51969D73" w:rsidR="7C266425">
        <w:rPr>
          <w:sz w:val="24"/>
          <w:szCs w:val="24"/>
        </w:rPr>
        <w:t xml:space="preserve"> diagnosis (Lakin et al., 2021). These perspectives have also led to </w:t>
      </w:r>
      <w:r w:rsidRPr="51969D73" w:rsidR="7C266425">
        <w:rPr>
          <w:sz w:val="24"/>
          <w:szCs w:val="24"/>
        </w:rPr>
        <w:t>particular psychological</w:t>
      </w:r>
      <w:r w:rsidRPr="51969D73" w:rsidR="7C266425">
        <w:rPr>
          <w:sz w:val="24"/>
          <w:szCs w:val="24"/>
        </w:rPr>
        <w:t xml:space="preserve"> ‘treatments’ for ELCs which have not only been ineffective but actively harmful3 (Geraghty et al., 2019)</w:t>
      </w:r>
      <w:r w:rsidRPr="51969D73" w:rsidR="7C266425">
        <w:rPr>
          <w:sz w:val="24"/>
          <w:szCs w:val="24"/>
        </w:rPr>
        <w:t xml:space="preserve">.  </w:t>
      </w:r>
    </w:p>
    <w:p w:rsidR="7C266425" w:rsidP="51969D73" w:rsidRDefault="7C266425" w14:paraId="08FBF009" w14:textId="59DBC738">
      <w:pPr>
        <w:pStyle w:val="Normal"/>
        <w:spacing w:line="360" w:lineRule="auto"/>
      </w:pPr>
      <w:r w:rsidRPr="51969D73" w:rsidR="7C266425">
        <w:rPr>
          <w:sz w:val="24"/>
          <w:szCs w:val="24"/>
        </w:rPr>
        <w:t xml:space="preserve">Stigma is often associated with the cause and thus the level of control the individual is </w:t>
      </w:r>
      <w:r w:rsidRPr="51969D73" w:rsidR="7C266425">
        <w:rPr>
          <w:sz w:val="24"/>
          <w:szCs w:val="24"/>
        </w:rPr>
        <w:t>deemed</w:t>
      </w:r>
      <w:r w:rsidRPr="51969D73" w:rsidR="7C266425">
        <w:rPr>
          <w:sz w:val="24"/>
          <w:szCs w:val="24"/>
        </w:rPr>
        <w:t xml:space="preserve"> to have over an illness (Horwood et al. 2023; Foster and Mealey, 2021; Wood et al. 2014). If people are deemed in some way ‘responsible’ for either their condition or its chronicity they can be perceived as less deserving of support or government help (Brewer, 2023; Gold et al.; 2012; Freeze et al. 1999) in what Montesi and </w:t>
      </w:r>
      <w:r w:rsidRPr="51969D73" w:rsidR="7C266425">
        <w:rPr>
          <w:sz w:val="24"/>
          <w:szCs w:val="24"/>
        </w:rPr>
        <w:t>Calestani</w:t>
      </w:r>
      <w:r w:rsidRPr="51969D73" w:rsidR="7C266425">
        <w:rPr>
          <w:sz w:val="24"/>
          <w:szCs w:val="24"/>
        </w:rPr>
        <w:t xml:space="preserve"> (2021, p.5) call a “politics of deservingness” designating “intensities of worth” (p.6). </w:t>
      </w:r>
      <w:r w:rsidRPr="51969D73" w:rsidR="7C266425">
        <w:rPr>
          <w:sz w:val="24"/>
          <w:szCs w:val="24"/>
        </w:rPr>
        <w:t>Thus</w:t>
      </w:r>
      <w:r w:rsidRPr="51969D73" w:rsidR="7C266425">
        <w:rPr>
          <w:sz w:val="24"/>
          <w:szCs w:val="24"/>
        </w:rPr>
        <w:t xml:space="preserve"> psychologising discourse around ELCs operates to blame the individual, deny them effective care and </w:t>
      </w:r>
      <w:r w:rsidRPr="51969D73" w:rsidR="7C266425">
        <w:rPr>
          <w:sz w:val="24"/>
          <w:szCs w:val="24"/>
        </w:rPr>
        <w:t>open up</w:t>
      </w:r>
      <w:r w:rsidRPr="51969D73" w:rsidR="7C266425">
        <w:rPr>
          <w:sz w:val="24"/>
          <w:szCs w:val="24"/>
        </w:rPr>
        <w:t xml:space="preserve"> further stigma associated with mental health (Horton-Salway, 2001)</w:t>
      </w:r>
      <w:r w:rsidRPr="51969D73" w:rsidR="7C266425">
        <w:rPr>
          <w:sz w:val="24"/>
          <w:szCs w:val="24"/>
        </w:rPr>
        <w:t xml:space="preserve">.  </w:t>
      </w:r>
    </w:p>
    <w:p w:rsidR="7C266425" w:rsidP="51969D73" w:rsidRDefault="7C266425" w14:paraId="35249160" w14:textId="4A4435CB">
      <w:pPr>
        <w:pStyle w:val="Normal"/>
        <w:spacing w:line="360" w:lineRule="auto"/>
      </w:pPr>
      <w:r w:rsidRPr="51969D73" w:rsidR="7C266425">
        <w:rPr>
          <w:sz w:val="24"/>
          <w:szCs w:val="24"/>
        </w:rPr>
        <w:t xml:space="preserve">Further to this mind-body duality, the medical ‘hierarchy of conditions’ (Stone, 2018) rests on another key binary: chronic-acute. Notions of temporality are inherently intertwined with designations of ‘chronic’ illness (Wendell, 2001; 1996) with ‘acute’ illness afforded higher ‘prestige’ (Grue, 2024, p.5) by the medicalised system. </w:t>
      </w:r>
      <w:r w:rsidRPr="51969D73" w:rsidR="7C266425">
        <w:rPr>
          <w:sz w:val="24"/>
          <w:szCs w:val="24"/>
        </w:rPr>
        <w:t>Thus</w:t>
      </w:r>
      <w:r w:rsidRPr="51969D73" w:rsidR="7C266425">
        <w:rPr>
          <w:sz w:val="24"/>
          <w:szCs w:val="24"/>
        </w:rPr>
        <w:t xml:space="preserve"> the concept of ‘time’ is central to the dynamics of power exerted within medicine (Foucault, 1973), the medical system </w:t>
      </w:r>
      <w:r w:rsidRPr="51969D73" w:rsidR="7C266425">
        <w:rPr>
          <w:sz w:val="24"/>
          <w:szCs w:val="24"/>
        </w:rPr>
        <w:t>operating</w:t>
      </w:r>
      <w:r w:rsidRPr="51969D73" w:rsidR="7C266425">
        <w:rPr>
          <w:sz w:val="24"/>
          <w:szCs w:val="24"/>
        </w:rPr>
        <w:t xml:space="preserve"> as the ‘authority of delimitation’ (Foucault, 1972) between ‘chronic’ and ‘acute’. This ‘rhetoric of chronicity’ (Arduser and Bennett, 2022) acts to define chronic illness as a static concept creating stereotypes, expected ‘</w:t>
      </w:r>
      <w:r w:rsidRPr="51969D73" w:rsidR="7C266425">
        <w:rPr>
          <w:sz w:val="24"/>
          <w:szCs w:val="24"/>
        </w:rPr>
        <w:t>roles’</w:t>
      </w:r>
      <w:r w:rsidRPr="51969D73" w:rsidR="7C266425">
        <w:rPr>
          <w:sz w:val="24"/>
          <w:szCs w:val="24"/>
        </w:rPr>
        <w:t xml:space="preserve"> and associated value judgements (Walker, 2001). The term ‘chronicity’ is therefore </w:t>
      </w:r>
      <w:r w:rsidRPr="51969D73" w:rsidR="7C266425">
        <w:rPr>
          <w:sz w:val="24"/>
          <w:szCs w:val="24"/>
        </w:rPr>
        <w:t>not unproblematic</w:t>
      </w:r>
      <w:r w:rsidRPr="51969D73" w:rsidR="7C266425">
        <w:rPr>
          <w:sz w:val="24"/>
          <w:szCs w:val="24"/>
        </w:rPr>
        <w:t xml:space="preserve"> however it can also be reimagined as more dynamic through the context of ‘crip time</w:t>
      </w:r>
      <w:r w:rsidRPr="51969D73" w:rsidR="7C266425">
        <w:rPr>
          <w:sz w:val="24"/>
          <w:szCs w:val="24"/>
        </w:rPr>
        <w:t>’,</w:t>
      </w:r>
      <w:r w:rsidRPr="51969D73" w:rsidR="7C266425">
        <w:rPr>
          <w:sz w:val="24"/>
          <w:szCs w:val="24"/>
        </w:rPr>
        <w:t xml:space="preserve"> an intersectional notion of non-normative time (Freeman, 2010) which “bends the clock to meet disabled bodies and minds” (Kafer, 2013, p.27). </w:t>
      </w:r>
    </w:p>
    <w:p w:rsidR="7C266425" w:rsidP="51969D73" w:rsidRDefault="7C266425" w14:paraId="4C1E6B90" w14:textId="43FA83DA">
      <w:pPr>
        <w:pStyle w:val="Normal"/>
        <w:spacing w:line="360" w:lineRule="auto"/>
      </w:pPr>
      <w:r w:rsidRPr="51969D73" w:rsidR="7C266425">
        <w:rPr>
          <w:sz w:val="24"/>
          <w:szCs w:val="24"/>
        </w:rPr>
        <w:t>Given the relative novelty of the term ‘Energy-Limiting Conditions</w:t>
      </w:r>
      <w:r w:rsidRPr="51969D73" w:rsidR="7C266425">
        <w:rPr>
          <w:sz w:val="24"/>
          <w:szCs w:val="24"/>
        </w:rPr>
        <w:t>’,</w:t>
      </w:r>
      <w:r w:rsidRPr="51969D73" w:rsidR="7C266425">
        <w:rPr>
          <w:sz w:val="24"/>
          <w:szCs w:val="24"/>
        </w:rPr>
        <w:t xml:space="preserve"> direct studies are limited. The associated literature draws on the history of research into fatigue and other invisible symptoms in chronic illness. Studies focusing on experiences of fatigue have taken varying perspectives, some focusing on a medical diagnosis (e.g. Bootsma et al., 2021; Gibbons et al., 2013), others exploring experiences across different conditions thus more inclusive of different conceptualisations and discourses (Brewer, 2023; Be, 2019a; Be, 2016; Kralik et al., 2005). In terms of ELC-specific research, </w:t>
      </w:r>
      <w:r w:rsidRPr="51969D73" w:rsidR="7C266425">
        <w:rPr>
          <w:sz w:val="24"/>
          <w:szCs w:val="24"/>
        </w:rPr>
        <w:t>much</w:t>
      </w:r>
      <w:r w:rsidRPr="51969D73" w:rsidR="7C266425">
        <w:rPr>
          <w:sz w:val="24"/>
          <w:szCs w:val="24"/>
        </w:rPr>
        <w:t xml:space="preserve"> sits within the ‘grey’ literature, produced within emancipatory contexts directed at advocating for changes in policy and practice (Hale et al., 2020; Evans et al., 2023). A few studies draw on related theories highlighting scant associated conceptual resources (Hunt, 2024b; Brewer, 2023; Be, 2019b). </w:t>
      </w:r>
      <w:r w:rsidRPr="51969D73" w:rsidR="7C266425">
        <w:rPr>
          <w:sz w:val="24"/>
          <w:szCs w:val="24"/>
        </w:rPr>
        <w:t>All of</w:t>
      </w:r>
      <w:r w:rsidRPr="51969D73" w:rsidR="7C266425">
        <w:rPr>
          <w:sz w:val="24"/>
          <w:szCs w:val="24"/>
        </w:rPr>
        <w:t xml:space="preserve"> these studies are led by people living with ELCs. Overall studies, particularly empirical, are still rare </w:t>
      </w:r>
      <w:r w:rsidRPr="51969D73" w:rsidR="7C266425">
        <w:rPr>
          <w:sz w:val="24"/>
          <w:szCs w:val="24"/>
        </w:rPr>
        <w:t>perhaps due to</w:t>
      </w:r>
      <w:r w:rsidRPr="51969D73" w:rsidR="7C266425">
        <w:rPr>
          <w:sz w:val="24"/>
          <w:szCs w:val="24"/>
        </w:rPr>
        <w:t xml:space="preserve"> the energy expenditure </w:t>
      </w:r>
      <w:r w:rsidRPr="51969D73" w:rsidR="7C266425">
        <w:rPr>
          <w:sz w:val="24"/>
          <w:szCs w:val="24"/>
        </w:rPr>
        <w:t>required</w:t>
      </w:r>
      <w:r w:rsidRPr="51969D73" w:rsidR="7C266425">
        <w:rPr>
          <w:sz w:val="24"/>
          <w:szCs w:val="24"/>
        </w:rPr>
        <w:t xml:space="preserve"> to </w:t>
      </w:r>
      <w:r w:rsidRPr="51969D73" w:rsidR="7C266425">
        <w:rPr>
          <w:sz w:val="24"/>
          <w:szCs w:val="24"/>
        </w:rPr>
        <w:t>participate</w:t>
      </w:r>
      <w:r w:rsidRPr="51969D73" w:rsidR="7C266425">
        <w:rPr>
          <w:sz w:val="24"/>
          <w:szCs w:val="24"/>
        </w:rPr>
        <w:t xml:space="preserve"> in and carry out research. </w:t>
      </w:r>
    </w:p>
    <w:p w:rsidR="7C266425" w:rsidP="51969D73" w:rsidRDefault="7C266425" w14:paraId="5C863FCB" w14:textId="4C8B5DD6">
      <w:pPr>
        <w:pStyle w:val="Normal"/>
        <w:spacing w:line="360" w:lineRule="auto"/>
        <w:rPr>
          <w:b w:val="1"/>
          <w:bCs w:val="1"/>
          <w:sz w:val="24"/>
          <w:szCs w:val="24"/>
        </w:rPr>
      </w:pPr>
      <w:r w:rsidRPr="51969D73" w:rsidR="7C266425">
        <w:rPr>
          <w:b w:val="1"/>
          <w:bCs w:val="1"/>
          <w:sz w:val="24"/>
          <w:szCs w:val="24"/>
        </w:rPr>
        <w:t xml:space="preserve">Researching psychotherapy in practice </w:t>
      </w:r>
    </w:p>
    <w:p w:rsidR="7C266425" w:rsidP="51969D73" w:rsidRDefault="7C266425" w14:paraId="31CB48C4" w14:textId="0925C56C">
      <w:pPr>
        <w:pStyle w:val="Normal"/>
        <w:spacing w:line="360" w:lineRule="auto"/>
      </w:pPr>
      <w:r w:rsidRPr="51969D73" w:rsidR="7C266425">
        <w:rPr>
          <w:sz w:val="24"/>
          <w:szCs w:val="24"/>
        </w:rPr>
        <w:t xml:space="preserve">There is a significant amount of empirical research exploring psychotherapy with chronically ill people. The vast majority – </w:t>
      </w:r>
      <w:r w:rsidRPr="51969D73" w:rsidR="7C266425">
        <w:rPr>
          <w:sz w:val="24"/>
          <w:szCs w:val="24"/>
        </w:rPr>
        <w:t>perhaps unsurprisingly</w:t>
      </w:r>
      <w:r w:rsidRPr="51969D73" w:rsidR="7C266425">
        <w:rPr>
          <w:sz w:val="24"/>
          <w:szCs w:val="24"/>
        </w:rPr>
        <w:t xml:space="preserve"> given </w:t>
      </w:r>
      <w:r w:rsidRPr="51969D73" w:rsidR="7C266425">
        <w:rPr>
          <w:sz w:val="24"/>
          <w:szCs w:val="24"/>
        </w:rPr>
        <w:t>previous</w:t>
      </w:r>
      <w:r w:rsidRPr="51969D73" w:rsidR="7C266425">
        <w:rPr>
          <w:sz w:val="24"/>
          <w:szCs w:val="24"/>
        </w:rPr>
        <w:t xml:space="preserve"> discussions – sits within psychology as a posited ‘medicalised’ discipline (Bergstrom, 2023; Goodley and </w:t>
      </w:r>
      <w:r w:rsidRPr="51969D73" w:rsidR="7C266425">
        <w:rPr>
          <w:sz w:val="24"/>
          <w:szCs w:val="24"/>
        </w:rPr>
        <w:t>Lawthom</w:t>
      </w:r>
      <w:r w:rsidRPr="51969D73" w:rsidR="7C266425">
        <w:rPr>
          <w:sz w:val="24"/>
          <w:szCs w:val="24"/>
        </w:rPr>
        <w:t xml:space="preserve">, 2006) and pertains to cognitive-behavioural ‘treatments’ as the significant ‘evidence-base’ for practice (Adhikary et al., 2023; Taylor, 2005). Psychotherapy is often positioned as a ‘rehabilitative’ ‘psychosocial adaptation’, enhancing ‘coping’ (e.g., Pine, 2024; Gottberg et al., 2016; Owen, 2014; Moss-Morris, 2013; Deter, 2012; Dennison et al., 2010) and/or with the aim to enhancing patient ‘engagement’ with, and ‘adherence to’, medical treatments (e.g., Iyer, 2024; Csillik et al., 2016) thus tending to focus on evidencing efficacy via quantitative outcome measures. </w:t>
      </w:r>
    </w:p>
    <w:p w:rsidR="7C266425" w:rsidP="51969D73" w:rsidRDefault="7C266425" w14:paraId="4E783532" w14:textId="2620CAE2">
      <w:pPr>
        <w:pStyle w:val="Normal"/>
        <w:spacing w:line="360" w:lineRule="auto"/>
      </w:pPr>
      <w:r w:rsidRPr="51969D73" w:rsidR="7C266425">
        <w:rPr>
          <w:sz w:val="24"/>
          <w:szCs w:val="24"/>
        </w:rPr>
        <w:t xml:space="preserve">Fewer studies directly explore the more experiential perspectives of psychotherapy with people with chronic illness. Those that do tend to focus on one diagnosis (e.g., </w:t>
      </w:r>
      <w:r w:rsidRPr="51969D73" w:rsidR="7C266425">
        <w:rPr>
          <w:sz w:val="24"/>
          <w:szCs w:val="24"/>
        </w:rPr>
        <w:t>Fragkiadaki</w:t>
      </w:r>
      <w:r w:rsidRPr="51969D73" w:rsidR="7C266425">
        <w:rPr>
          <w:sz w:val="24"/>
          <w:szCs w:val="24"/>
        </w:rPr>
        <w:t xml:space="preserve">, 2020; Mozo-Dutton et al., 2012) thus tacitly endorsing medicalised classifications and/or on one therapeutic modality often obscuring the role of wider societal dynamics in the pursuit of individual understanding and individualised pathways to change (e.g., McLeod, 2013; Guimarães, 2004; Imes et al., 2002). Some studies do however </w:t>
      </w:r>
      <w:r w:rsidRPr="51969D73" w:rsidR="7C266425">
        <w:rPr>
          <w:sz w:val="24"/>
          <w:szCs w:val="24"/>
        </w:rPr>
        <w:t>demonstrate</w:t>
      </w:r>
      <w:r w:rsidRPr="51969D73" w:rsidR="7C266425">
        <w:rPr>
          <w:sz w:val="24"/>
          <w:szCs w:val="24"/>
        </w:rPr>
        <w:t xml:space="preserve"> the role of psychotherapy in the meaning-making processes via which chronicity is integrated into people’s lives (</w:t>
      </w:r>
      <w:r w:rsidRPr="51969D73" w:rsidR="7C266425">
        <w:rPr>
          <w:sz w:val="24"/>
          <w:szCs w:val="24"/>
        </w:rPr>
        <w:t>Fragkiadaki</w:t>
      </w:r>
      <w:r w:rsidRPr="51969D73" w:rsidR="7C266425">
        <w:rPr>
          <w:sz w:val="24"/>
          <w:szCs w:val="24"/>
        </w:rPr>
        <w:t xml:space="preserve">, 2020) as well as differential implications depending on utilised models of illness and distress (Methley et al., 2017). In </w:t>
      </w:r>
      <w:r w:rsidRPr="51969D73" w:rsidR="7C266425">
        <w:rPr>
          <w:sz w:val="24"/>
          <w:szCs w:val="24"/>
        </w:rPr>
        <w:t>general</w:t>
      </w:r>
      <w:r w:rsidRPr="51969D73" w:rsidR="7C266425">
        <w:rPr>
          <w:sz w:val="24"/>
          <w:szCs w:val="24"/>
        </w:rPr>
        <w:t xml:space="preserve"> however, existing studies exploring disabled people’s experiences of psychotherapy tend to focus on the ‘healthy disabled’ (Wendell, 2017; e.g., Conner et al., 2023; Chapman and Botha, 2023; </w:t>
      </w:r>
      <w:r w:rsidRPr="51969D73" w:rsidR="7C266425">
        <w:rPr>
          <w:sz w:val="24"/>
          <w:szCs w:val="24"/>
        </w:rPr>
        <w:t>Sakız</w:t>
      </w:r>
      <w:r w:rsidRPr="51969D73" w:rsidR="7C266425">
        <w:rPr>
          <w:sz w:val="24"/>
          <w:szCs w:val="24"/>
        </w:rPr>
        <w:t xml:space="preserve"> et al., 2020; Evans et al., 2020; Ramsden et al., 2016). This </w:t>
      </w:r>
      <w:r w:rsidRPr="51969D73" w:rsidR="7C266425">
        <w:rPr>
          <w:sz w:val="24"/>
          <w:szCs w:val="24"/>
        </w:rPr>
        <w:t>perhaps reflects</w:t>
      </w:r>
      <w:r w:rsidRPr="51969D73" w:rsidR="7C266425">
        <w:rPr>
          <w:sz w:val="24"/>
          <w:szCs w:val="24"/>
        </w:rPr>
        <w:t xml:space="preserve"> a reluctance to associate disability and mental health with individualised pathology or shying away from inherent conceptual complexities</w:t>
      </w:r>
      <w:r w:rsidRPr="51969D73" w:rsidR="7C266425">
        <w:rPr>
          <w:sz w:val="24"/>
          <w:szCs w:val="24"/>
        </w:rPr>
        <w:t xml:space="preserve">.  </w:t>
      </w:r>
    </w:p>
    <w:p w:rsidR="7C266425" w:rsidP="51969D73" w:rsidRDefault="7C266425" w14:paraId="0EA4B30C" w14:textId="67A28FF0">
      <w:pPr>
        <w:pStyle w:val="Normal"/>
        <w:spacing w:line="360" w:lineRule="auto"/>
      </w:pPr>
      <w:r w:rsidRPr="51969D73" w:rsidR="7C266425">
        <w:rPr>
          <w:sz w:val="24"/>
          <w:szCs w:val="24"/>
        </w:rPr>
        <w:t xml:space="preserve">Whilst power dynamics in psychotherapy are widely discussed (Proctor, 2021) there is a dearth of empirical research explicitly addressing ableist power dynamics in experiences of psychotherapy. Although many studies do implicate ableism in their interpretations, to my knowledge only one empirical study directly investigates ableism in psychotherapy in a Western context from the perspectives of disabled people (Wang et al., 2024). </w:t>
      </w:r>
      <w:r w:rsidRPr="51969D73" w:rsidR="7C266425">
        <w:rPr>
          <w:sz w:val="24"/>
          <w:szCs w:val="24"/>
        </w:rPr>
        <w:t>However</w:t>
      </w:r>
      <w:r w:rsidRPr="51969D73" w:rsidR="7C266425">
        <w:rPr>
          <w:sz w:val="24"/>
          <w:szCs w:val="24"/>
        </w:rPr>
        <w:t xml:space="preserve"> despite their critique of the ableist status quo in medicalised settings, systemic neoliberal-able influences are not mentioned. Furthermore, despite including a range of impairments they do not acknowledge the varying conceptions of disability thus leaving differing perspectives unproblematised</w:t>
      </w:r>
      <w:r w:rsidRPr="51969D73" w:rsidR="7C266425">
        <w:rPr>
          <w:sz w:val="24"/>
          <w:szCs w:val="24"/>
        </w:rPr>
        <w:t xml:space="preserve">.  </w:t>
      </w:r>
    </w:p>
    <w:p w:rsidR="7C266425" w:rsidP="51969D73" w:rsidRDefault="7C266425" w14:paraId="029AA45E" w14:textId="68471C38">
      <w:pPr>
        <w:pStyle w:val="Normal"/>
        <w:spacing w:line="360" w:lineRule="auto"/>
      </w:pPr>
      <w:r w:rsidRPr="51969D73" w:rsidR="7C266425">
        <w:rPr>
          <w:sz w:val="24"/>
          <w:szCs w:val="24"/>
        </w:rPr>
        <w:t xml:space="preserve">This study aims to fill this gap through exploring the power dynamics </w:t>
      </w:r>
      <w:r w:rsidRPr="51969D73" w:rsidR="7C266425">
        <w:rPr>
          <w:sz w:val="24"/>
          <w:szCs w:val="24"/>
        </w:rPr>
        <w:t>operating</w:t>
      </w:r>
      <w:r w:rsidRPr="51969D73" w:rsidR="7C266425">
        <w:rPr>
          <w:sz w:val="24"/>
          <w:szCs w:val="24"/>
        </w:rPr>
        <w:t xml:space="preserve"> within empirical accounts of psychotherapy from people living with chronic illness, specifically ELCs, through the critical lens of neoliberal ableism</w:t>
      </w:r>
      <w:r w:rsidRPr="51969D73" w:rsidR="7C266425">
        <w:rPr>
          <w:sz w:val="24"/>
          <w:szCs w:val="24"/>
        </w:rPr>
        <w:t xml:space="preserve">.  </w:t>
      </w:r>
    </w:p>
    <w:p w:rsidR="7C266425" w:rsidP="51969D73" w:rsidRDefault="7C266425" w14:paraId="644917B4" w14:textId="4D964ED4">
      <w:pPr>
        <w:pStyle w:val="Normal"/>
        <w:spacing w:line="360" w:lineRule="auto"/>
        <w:rPr>
          <w:b w:val="1"/>
          <w:bCs w:val="1"/>
          <w:sz w:val="24"/>
          <w:szCs w:val="24"/>
        </w:rPr>
      </w:pPr>
      <w:r w:rsidRPr="51969D73" w:rsidR="7C266425">
        <w:rPr>
          <w:b w:val="1"/>
          <w:bCs w:val="1"/>
          <w:sz w:val="24"/>
          <w:szCs w:val="24"/>
        </w:rPr>
        <w:t xml:space="preserve">Summary </w:t>
      </w:r>
    </w:p>
    <w:p w:rsidR="7C266425" w:rsidP="51969D73" w:rsidRDefault="7C266425" w14:paraId="15D0C94C" w14:textId="4C64EEC0">
      <w:pPr>
        <w:pStyle w:val="Normal"/>
        <w:spacing w:line="360" w:lineRule="auto"/>
      </w:pPr>
      <w:r w:rsidRPr="51969D73" w:rsidR="7C266425">
        <w:rPr>
          <w:sz w:val="24"/>
          <w:szCs w:val="24"/>
        </w:rPr>
        <w:t xml:space="preserve">In this chapter I have critically examined the literature underpinning the study’s conceptual rationale, assessed the state of current research and </w:t>
      </w:r>
      <w:r w:rsidRPr="51969D73" w:rsidR="7C266425">
        <w:rPr>
          <w:sz w:val="24"/>
          <w:szCs w:val="24"/>
        </w:rPr>
        <w:t>identified</w:t>
      </w:r>
      <w:r w:rsidRPr="51969D73" w:rsidR="7C266425">
        <w:rPr>
          <w:sz w:val="24"/>
          <w:szCs w:val="24"/>
        </w:rPr>
        <w:t xml:space="preserve"> the gap this study aims to fill. The next chapter details the study’s </w:t>
      </w:r>
      <w:r w:rsidRPr="51969D73" w:rsidR="7C266425">
        <w:rPr>
          <w:sz w:val="24"/>
          <w:szCs w:val="24"/>
        </w:rPr>
        <w:t>methodology</w:t>
      </w:r>
      <w:r w:rsidRPr="51969D73" w:rsidR="7C266425">
        <w:rPr>
          <w:sz w:val="24"/>
          <w:szCs w:val="24"/>
        </w:rPr>
        <w:t>.</w:t>
      </w:r>
    </w:p>
    <w:sectPr w:rsidR="00BD6D23">
      <w:headerReference w:type="even" r:id="rId6"/>
      <w:headerReference w:type="default" r:id="rId7"/>
      <w:headerReference w:type="firs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1588" w:rsidP="00491588" w:rsidRDefault="00491588" w14:paraId="09D17213" w14:textId="77777777">
      <w:pPr>
        <w:spacing w:after="0" w:line="240" w:lineRule="auto"/>
      </w:pPr>
      <w:r>
        <w:separator/>
      </w:r>
    </w:p>
  </w:endnote>
  <w:endnote w:type="continuationSeparator" w:id="0">
    <w:p w:rsidR="00491588" w:rsidP="00491588" w:rsidRDefault="00491588" w14:paraId="2D0691D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1588" w:rsidP="00491588" w:rsidRDefault="00491588" w14:paraId="024E7FAD" w14:textId="77777777">
      <w:pPr>
        <w:spacing w:after="0" w:line="240" w:lineRule="auto"/>
      </w:pPr>
      <w:r>
        <w:separator/>
      </w:r>
    </w:p>
  </w:footnote>
  <w:footnote w:type="continuationSeparator" w:id="0">
    <w:p w:rsidR="00491588" w:rsidP="00491588" w:rsidRDefault="00491588" w14:paraId="784985C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16sdtfl w16du wp14">
  <w:p w:rsidR="00491588" w:rsidRDefault="00491588" w14:paraId="1FE9DE42" w14:textId="4A6EF6CA">
    <w:pPr>
      <w:pStyle w:val="Header"/>
    </w:pPr>
    <w:r>
      <w:rPr>
        <w:noProof/>
      </w:rPr>
      <mc:AlternateContent>
        <mc:Choice Requires="wps">
          <w:drawing>
            <wp:anchor distT="0" distB="0" distL="0" distR="0" simplePos="0" relativeHeight="251659264" behindDoc="0" locked="0" layoutInCell="1" allowOverlap="1" wp14:anchorId="1DFE8EAF" wp14:editId="00BCA3FB">
              <wp:simplePos x="635" y="635"/>
              <wp:positionH relativeFrom="page">
                <wp:align>right</wp:align>
              </wp:positionH>
              <wp:positionV relativeFrom="page">
                <wp:align>top</wp:align>
              </wp:positionV>
              <wp:extent cx="1492250" cy="371475"/>
              <wp:effectExtent l="0" t="0" r="0" b="9525"/>
              <wp:wrapNone/>
              <wp:docPr id="1415894848"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492250" cy="371475"/>
                      </a:xfrm>
                      <a:prstGeom prst="rect">
                        <a:avLst/>
                      </a:prstGeom>
                      <a:noFill/>
                      <a:ln>
                        <a:noFill/>
                      </a:ln>
                    </wps:spPr>
                    <wps:txbx>
                      <w:txbxContent>
                        <w:p w:rsidRPr="00491588" w:rsidR="00491588" w:rsidP="00491588" w:rsidRDefault="00491588" w14:paraId="206A34F6" w14:textId="257E7E36">
                          <w:pPr>
                            <w:spacing w:after="0"/>
                            <w:rPr>
                              <w:rFonts w:ascii="Aptos" w:hAnsi="Aptos" w:eastAsia="Aptos" w:cs="Aptos"/>
                              <w:noProof/>
                              <w:color w:val="000000"/>
                              <w:sz w:val="20"/>
                              <w:szCs w:val="20"/>
                            </w:rPr>
                          </w:pPr>
                          <w:r w:rsidRPr="00491588">
                            <w:rPr>
                              <w:rFonts w:ascii="Aptos" w:hAnsi="Aptos" w:eastAsia="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1DFE8EAF">
              <v:stroke joinstyle="miter"/>
              <v:path gradientshapeok="t" o:connecttype="rect"/>
            </v:shapetype>
            <v:shape id="Text Box 2" style="position:absolute;margin-left:66.3pt;margin-top:0;width:117.5pt;height:29.25pt;z-index:251659264;visibility:visible;mso-wrap-style:none;mso-wrap-distance-left:0;mso-wrap-distance-top:0;mso-wrap-distance-right:0;mso-wrap-distance-bottom:0;mso-position-horizontal:right;mso-position-horizontal-relative:page;mso-position-vertical:top;mso-position-vertical-relative:page;v-text-anchor:top" alt="PUBLIC / CYHOEDDUS"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">
              <v:fill o:detectmouseclick="t"/>
              <v:textbox style="mso-fit-shape-to-text:t" inset="0,15pt,20pt,0">
                <w:txbxContent>
                  <w:p w:rsidRPr="00491588" w:rsidR="00491588" w:rsidP="00491588" w:rsidRDefault="00491588" w14:paraId="206A34F6" w14:textId="257E7E36">
                    <w:pPr>
                      <w:spacing w:after="0"/>
                      <w:rPr>
                        <w:rFonts w:ascii="Aptos" w:hAnsi="Aptos" w:eastAsia="Aptos" w:cs="Aptos"/>
                        <w:noProof/>
                        <w:color w:val="000000"/>
                        <w:sz w:val="20"/>
                        <w:szCs w:val="20"/>
                      </w:rPr>
                    </w:pPr>
                    <w:r w:rsidRPr="00491588">
                      <w:rPr>
                        <w:rFonts w:ascii="Aptos" w:hAnsi="Aptos" w:eastAsia="Aptos" w:cs="Aptos"/>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16sdtfl w16du wp14">
  <w:p w:rsidR="00491588" w:rsidRDefault="00491588" w14:paraId="28CBFF96" w14:textId="67396D2A">
    <w:pPr>
      <w:pStyle w:val="Header"/>
    </w:pPr>
    <w:r>
      <w:rPr>
        <w:noProof/>
      </w:rPr>
      <mc:AlternateContent>
        <mc:Choice Requires="wps">
          <w:drawing>
            <wp:anchor distT="0" distB="0" distL="0" distR="0" simplePos="0" relativeHeight="251660288" behindDoc="0" locked="0" layoutInCell="1" allowOverlap="1" wp14:anchorId="211DCFA2" wp14:editId="18F67642">
              <wp:simplePos x="635" y="635"/>
              <wp:positionH relativeFrom="page">
                <wp:align>right</wp:align>
              </wp:positionH>
              <wp:positionV relativeFrom="page">
                <wp:align>top</wp:align>
              </wp:positionV>
              <wp:extent cx="1492250" cy="371475"/>
              <wp:effectExtent l="0" t="0" r="0" b="9525"/>
              <wp:wrapNone/>
              <wp:docPr id="2116200430"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492250" cy="371475"/>
                      </a:xfrm>
                      <a:prstGeom prst="rect">
                        <a:avLst/>
                      </a:prstGeom>
                      <a:noFill/>
                      <a:ln>
                        <a:noFill/>
                      </a:ln>
                    </wps:spPr>
                    <wps:txbx>
                      <w:txbxContent>
                        <w:p w:rsidRPr="00491588" w:rsidR="00491588" w:rsidP="00491588" w:rsidRDefault="00491588" w14:paraId="16A1C98A" w14:textId="57BD6C74">
                          <w:pPr>
                            <w:spacing w:after="0"/>
                            <w:rPr>
                              <w:rFonts w:ascii="Aptos" w:hAnsi="Aptos" w:eastAsia="Aptos" w:cs="Aptos"/>
                              <w:noProof/>
                              <w:color w:val="000000"/>
                              <w:sz w:val="20"/>
                              <w:szCs w:val="20"/>
                            </w:rPr>
                          </w:pPr>
                          <w:r w:rsidRPr="00491588">
                            <w:rPr>
                              <w:rFonts w:ascii="Aptos" w:hAnsi="Aptos" w:eastAsia="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211DCFA2">
              <v:stroke joinstyle="miter"/>
              <v:path gradientshapeok="t" o:connecttype="rect"/>
            </v:shapetype>
            <v:shape id="Text Box 3" style="position:absolute;margin-left:66.3pt;margin-top:0;width:117.5pt;height:29.25pt;z-index:251660288;visibility:visible;mso-wrap-style:none;mso-wrap-distance-left:0;mso-wrap-distance-top:0;mso-wrap-distance-right:0;mso-wrap-distance-bottom:0;mso-position-horizontal:right;mso-position-horizontal-relative:page;mso-position-vertical:top;mso-position-vertical-relative:page;v-text-anchor:top" alt="PUBLIC / CYHOEDDUS"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">
              <v:fill o:detectmouseclick="t"/>
              <v:textbox style="mso-fit-shape-to-text:t" inset="0,15pt,20pt,0">
                <w:txbxContent>
                  <w:p w:rsidRPr="00491588" w:rsidR="00491588" w:rsidP="00491588" w:rsidRDefault="00491588" w14:paraId="16A1C98A" w14:textId="57BD6C74">
                    <w:pPr>
                      <w:spacing w:after="0"/>
                      <w:rPr>
                        <w:rFonts w:ascii="Aptos" w:hAnsi="Aptos" w:eastAsia="Aptos" w:cs="Aptos"/>
                        <w:noProof/>
                        <w:color w:val="000000"/>
                        <w:sz w:val="20"/>
                        <w:szCs w:val="20"/>
                      </w:rPr>
                    </w:pPr>
                    <w:r w:rsidRPr="00491588">
                      <w:rPr>
                        <w:rFonts w:ascii="Aptos" w:hAnsi="Aptos" w:eastAsia="Aptos" w:cs="Aptos"/>
                        <w:noProof/>
                        <w:color w:val="000000"/>
                        <w:sz w:val="20"/>
                        <w:szCs w:val="20"/>
                      </w:rPr>
                      <w:t>PUBLIC / CYHOEDDUS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clsh="http://schemas.microsoft.com/office/drawing/2020/classificationShape" mc:Ignorable="w14 w15 w16se w16cid w16 w16cex w16sdtdh w16sdtfl w16du wp14">
  <w:p w:rsidR="00491588" w:rsidRDefault="00491588" w14:paraId="221C6BD1" w14:textId="65BE47CB">
    <w:pPr>
      <w:pStyle w:val="Header"/>
    </w:pPr>
    <w:r>
      <w:rPr>
        <w:noProof/>
      </w:rPr>
      <mc:AlternateContent>
        <mc:Choice Requires="wps">
          <w:drawing>
            <wp:anchor distT="0" distB="0" distL="0" distR="0" simplePos="0" relativeHeight="251658240" behindDoc="0" locked="0" layoutInCell="1" allowOverlap="1" wp14:anchorId="4FD51A40" wp14:editId="15462ECE">
              <wp:simplePos x="635" y="635"/>
              <wp:positionH relativeFrom="page">
                <wp:align>right</wp:align>
              </wp:positionH>
              <wp:positionV relativeFrom="page">
                <wp:align>top</wp:align>
              </wp:positionV>
              <wp:extent cx="1492250" cy="371475"/>
              <wp:effectExtent l="0" t="0" r="0" b="9525"/>
              <wp:wrapNone/>
              <wp:docPr id="622984933"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492250" cy="371475"/>
                      </a:xfrm>
                      <a:prstGeom prst="rect">
                        <a:avLst/>
                      </a:prstGeom>
                      <a:noFill/>
                      <a:ln>
                        <a:noFill/>
                      </a:ln>
                    </wps:spPr>
                    <wps:txbx>
                      <w:txbxContent>
                        <w:p w:rsidRPr="00491588" w:rsidR="00491588" w:rsidP="00491588" w:rsidRDefault="00491588" w14:paraId="376228B0" w14:textId="4BBFB9C2">
                          <w:pPr>
                            <w:spacing w:after="0"/>
                            <w:rPr>
                              <w:rFonts w:ascii="Aptos" w:hAnsi="Aptos" w:eastAsia="Aptos" w:cs="Aptos"/>
                              <w:noProof/>
                              <w:color w:val="000000"/>
                              <w:sz w:val="20"/>
                              <w:szCs w:val="20"/>
                            </w:rPr>
                          </w:pPr>
                          <w:r w:rsidRPr="00491588">
                            <w:rPr>
                              <w:rFonts w:ascii="Aptos" w:hAnsi="Aptos" w:eastAsia="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4FD51A40">
              <v:stroke joinstyle="miter"/>
              <v:path gradientshapeok="t" o:connecttype="rect"/>
            </v:shapetype>
            <v:shape id="Text Box 1" style="position:absolute;margin-left:66.3pt;margin-top:0;width:117.5pt;height:29.25pt;z-index:251658240;visibility:visible;mso-wrap-style:none;mso-wrap-distance-left:0;mso-wrap-distance-top:0;mso-wrap-distance-right:0;mso-wrap-distance-bottom:0;mso-position-horizontal:right;mso-position-horizontal-relative:page;mso-position-vertical:top;mso-position-vertical-relative:page;v-text-anchor:top" alt="PUBLIC / CYHOEDDUS"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">
              <v:fill o:detectmouseclick="t"/>
              <v:textbox style="mso-fit-shape-to-text:t" inset="0,15pt,20pt,0">
                <w:txbxContent>
                  <w:p w:rsidRPr="00491588" w:rsidR="00491588" w:rsidP="00491588" w:rsidRDefault="00491588" w14:paraId="376228B0" w14:textId="4BBFB9C2">
                    <w:pPr>
                      <w:spacing w:after="0"/>
                      <w:rPr>
                        <w:rFonts w:ascii="Aptos" w:hAnsi="Aptos" w:eastAsia="Aptos" w:cs="Aptos"/>
                        <w:noProof/>
                        <w:color w:val="000000"/>
                        <w:sz w:val="20"/>
                        <w:szCs w:val="20"/>
                      </w:rPr>
                    </w:pPr>
                    <w:r w:rsidRPr="00491588">
                      <w:rPr>
                        <w:rFonts w:ascii="Aptos" w:hAnsi="Aptos" w:eastAsia="Aptos" w:cs="Aptos"/>
                        <w:noProof/>
                        <w:color w:val="000000"/>
                        <w:sz w:val="20"/>
                        <w:szCs w:val="20"/>
                      </w:rPr>
                      <w:t>PUBLIC / CYHOEDDUS</w:t>
                    </w:r>
                  </w:p>
                </w:txbxContent>
              </v:textbox>
              <w10:wrap anchorx="page" anchory="page"/>
            </v:shape>
          </w:pict>
        </mc:Fallback>
      </mc:AlternateContent>
    </w:r>
  </w:p>
</w:hdr>
</file>

<file path=word/numbering.xml><?xml version="1.0" encoding="utf-8"?>
<w:numbering xmlns:w="http://schemas.openxmlformats.org/wordprocessingml/2006/main">
  <w:abstractNum xmlns:w="http://schemas.openxmlformats.org/wordprocessingml/2006/main" w:abstractNumId="1">
    <w:nsid w:val="3e82f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2EDC1B"/>
    <w:rsid w:val="00491588"/>
    <w:rsid w:val="0086486E"/>
    <w:rsid w:val="00BD6D23"/>
    <w:rsid w:val="04290C95"/>
    <w:rsid w:val="15DB056F"/>
    <w:rsid w:val="2C2EDC1B"/>
    <w:rsid w:val="51969D73"/>
    <w:rsid w:val="5E2A63F2"/>
    <w:rsid w:val="688FCE47"/>
    <w:rsid w:val="6928A23C"/>
    <w:rsid w:val="7C2664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EDC1B"/>
  <w15:chartTrackingRefBased/>
  <w15:docId w15:val="{8E53BE01-4EA5-4048-A08A-0478B9698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915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91588"/>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3.xml" Id="rId8" /><Relationship Type="http://schemas.openxmlformats.org/officeDocument/2006/relationships/webSettings" Target="webSettings.xml" Id="rId3" /><Relationship Type="http://schemas.openxmlformats.org/officeDocument/2006/relationships/header" Target="header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numbering" Target="numbering.xml" Id="Rd02886f2abee40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53f0066-c24e-444c-9c2a-7427c31ebeab}" enabled="1" method="Standard" siteId="{e5aafe7c-971b-4ab7-b039-141ad36acec0}" removed="0"/>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Mason Neely</dc:creator>
  <keywords/>
  <dc:description/>
  <lastModifiedBy>Mason Neely</lastModifiedBy>
  <revision>3</revision>
  <dcterms:created xsi:type="dcterms:W3CDTF">2025-10-22T06:05:00.0000000Z</dcterms:created>
  <dcterms:modified xsi:type="dcterms:W3CDTF">2025-10-22T06:09:16.1265412Z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2521fee5,5464d740,7e22a7ee</vt:lpwstr>
  </property>
  <property fmtid="{D5CDD505-2E9C-101B-9397-08002B2CF9AE}" pid="3" name="ClassificationContentMarkingHeaderFontProps">
    <vt:lpwstr>#000000,10,Aptos</vt:lpwstr>
  </property>
  <property fmtid="{D5CDD505-2E9C-101B-9397-08002B2CF9AE}" pid="4" name="ClassificationContentMarkingHeaderText">
    <vt:lpwstr>PUBLIC / CYHOEDDUS</vt:lpwstr>
  </property>
</Properties>
</file>