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A73EA" w14:textId="230A16D9" w:rsidR="002A6825" w:rsidRDefault="002A6825" w:rsidP="005935C3">
      <w:pPr>
        <w:spacing w:after="0" w:line="240" w:lineRule="auto"/>
        <w:rPr>
          <w:rFonts w:cs="Segoe UI"/>
          <w:color w:val="1D2125"/>
          <w:shd w:val="clear" w:color="auto" w:fill="FFFFFF"/>
        </w:rPr>
      </w:pPr>
      <w:r>
        <w:rPr>
          <w:rFonts w:cs="Segoe UI"/>
          <w:color w:val="1D2125"/>
          <w:shd w:val="clear" w:color="auto" w:fill="FFFFFF"/>
        </w:rPr>
        <w:t>Neve Pule 2219959</w:t>
      </w:r>
      <w:r>
        <w:rPr>
          <w:rFonts w:cs="Segoe UI"/>
          <w:color w:val="1D2125"/>
          <w:shd w:val="clear" w:color="auto" w:fill="FFFFFF"/>
        </w:rPr>
        <w:br/>
        <w:t>Date submitted: 03/05/2024</w:t>
      </w:r>
      <w:r w:rsidR="00D867C8">
        <w:rPr>
          <w:rFonts w:cs="Segoe UI"/>
          <w:color w:val="1D2125"/>
          <w:shd w:val="clear" w:color="auto" w:fill="FFFFFF"/>
        </w:rPr>
        <w:t>.</w:t>
      </w:r>
    </w:p>
    <w:p w14:paraId="18177267" w14:textId="1A5CC024" w:rsidR="002A6825" w:rsidRDefault="002A6825" w:rsidP="005935C3">
      <w:pPr>
        <w:spacing w:after="0" w:line="240" w:lineRule="auto"/>
        <w:rPr>
          <w:rFonts w:cs="Segoe UI"/>
          <w:color w:val="1D2125"/>
          <w:shd w:val="clear" w:color="auto" w:fill="FFFFFF"/>
        </w:rPr>
      </w:pPr>
      <w:r>
        <w:rPr>
          <w:rFonts w:cs="Segoe UI"/>
          <w:color w:val="1D2125"/>
          <w:shd w:val="clear" w:color="auto" w:fill="FFFFFF"/>
        </w:rPr>
        <w:t>Word count excluding footnotes and bibliography: 2197 words.</w:t>
      </w:r>
    </w:p>
    <w:p w14:paraId="616F3028" w14:textId="77777777" w:rsidR="002A6825" w:rsidRDefault="002A6825" w:rsidP="005935C3">
      <w:pPr>
        <w:spacing w:after="0" w:line="240" w:lineRule="auto"/>
        <w:rPr>
          <w:rFonts w:cs="Segoe UI"/>
          <w:color w:val="1D2125"/>
          <w:shd w:val="clear" w:color="auto" w:fill="FFFFFF"/>
        </w:rPr>
      </w:pPr>
    </w:p>
    <w:p w14:paraId="2421F1CA" w14:textId="77777777" w:rsidR="002A6825" w:rsidRDefault="002A6825" w:rsidP="005935C3">
      <w:pPr>
        <w:spacing w:after="0" w:line="240" w:lineRule="auto"/>
        <w:rPr>
          <w:rFonts w:cs="Segoe UI"/>
          <w:color w:val="1D2125"/>
          <w:shd w:val="clear" w:color="auto" w:fill="FFFFFF"/>
        </w:rPr>
      </w:pPr>
    </w:p>
    <w:p w14:paraId="671225A6" w14:textId="14B25299" w:rsidR="009E0539" w:rsidRDefault="009E0539" w:rsidP="005935C3">
      <w:pPr>
        <w:spacing w:after="0" w:line="240" w:lineRule="auto"/>
        <w:rPr>
          <w:rFonts w:cs="Segoe UI"/>
          <w:color w:val="1D2125"/>
          <w:shd w:val="clear" w:color="auto" w:fill="FFFFFF"/>
        </w:rPr>
      </w:pPr>
      <w:r>
        <w:rPr>
          <w:rFonts w:cs="Segoe UI"/>
          <w:color w:val="1D2125"/>
          <w:shd w:val="clear" w:color="auto" w:fill="FFFFFF"/>
        </w:rPr>
        <w:t>The tumultuous Jewish Revolt against Rome beginning in 66 CE and concluding with the siege of Masada in 73 Ce had f</w:t>
      </w:r>
      <w:r w:rsidR="007E7538">
        <w:rPr>
          <w:rFonts w:cs="Segoe UI"/>
          <w:color w:val="1D2125"/>
          <w:shd w:val="clear" w:color="auto" w:fill="FFFFFF"/>
        </w:rPr>
        <w:t xml:space="preserve">ar-reaching political, social, and religious consequences. </w:t>
      </w:r>
    </w:p>
    <w:p w14:paraId="3FD01EA8" w14:textId="3C5837EC" w:rsidR="00C50B88" w:rsidRPr="005935C3" w:rsidRDefault="007D1A7D" w:rsidP="005935C3">
      <w:pPr>
        <w:spacing w:after="0" w:line="240" w:lineRule="auto"/>
        <w:rPr>
          <w:rFonts w:cs="Segoe UI"/>
          <w:color w:val="1D2125"/>
          <w:shd w:val="clear" w:color="auto" w:fill="FFFFFF"/>
        </w:rPr>
      </w:pPr>
      <w:r>
        <w:rPr>
          <w:rFonts w:cs="Segoe UI"/>
          <w:color w:val="1D2125"/>
          <w:shd w:val="clear" w:color="auto" w:fill="FFFFFF"/>
        </w:rPr>
        <w:t xml:space="preserve">The essay will cover the events leading up to the Jewish Revolt that increased tensions, the key political events throughout the period including </w:t>
      </w:r>
      <w:r w:rsidR="00841EC3">
        <w:rPr>
          <w:rFonts w:cs="Segoe UI"/>
          <w:color w:val="1D2125"/>
          <w:shd w:val="clear" w:color="auto" w:fill="FFFFFF"/>
        </w:rPr>
        <w:t xml:space="preserve">Masada and ideology of </w:t>
      </w:r>
      <w:r w:rsidR="00702040">
        <w:rPr>
          <w:rFonts w:cs="Segoe UI"/>
          <w:color w:val="1D2125"/>
          <w:shd w:val="clear" w:color="auto" w:fill="FFFFFF"/>
        </w:rPr>
        <w:t>martyrdom and</w:t>
      </w:r>
      <w:r w:rsidR="00841EC3">
        <w:rPr>
          <w:rFonts w:cs="Segoe UI"/>
          <w:color w:val="1D2125"/>
          <w:shd w:val="clear" w:color="auto" w:fill="FFFFFF"/>
        </w:rPr>
        <w:t xml:space="preserve"> concluding with an analysis of events of particular religious significance.</w:t>
      </w:r>
      <w:r w:rsidR="00702040">
        <w:rPr>
          <w:rFonts w:cs="Segoe UI"/>
          <w:color w:val="1D2125"/>
          <w:shd w:val="clear" w:color="auto" w:fill="FFFFFF"/>
        </w:rPr>
        <w:t xml:space="preserve"> The works of Flavius Josephus </w:t>
      </w:r>
      <w:r w:rsidR="00702040" w:rsidRPr="00D2608A">
        <w:rPr>
          <w:rFonts w:cs="Segoe UI"/>
          <w:color w:val="1D2125"/>
          <w:shd w:val="clear" w:color="auto" w:fill="FFFFFF"/>
        </w:rPr>
        <w:t xml:space="preserve">specifically </w:t>
      </w:r>
      <w:r w:rsidR="00702040" w:rsidRPr="00D2608A">
        <w:rPr>
          <w:rFonts w:cs="Segoe UI"/>
          <w:i/>
          <w:iCs/>
          <w:color w:val="1D2125"/>
          <w:shd w:val="clear" w:color="auto" w:fill="FFFFFF"/>
        </w:rPr>
        <w:t>The Jewish War</w:t>
      </w:r>
      <w:r w:rsidR="00702040">
        <w:rPr>
          <w:rFonts w:cs="Segoe UI"/>
          <w:color w:val="1D2125"/>
          <w:shd w:val="clear" w:color="auto" w:fill="FFFFFF"/>
        </w:rPr>
        <w:t xml:space="preserve"> will be used</w:t>
      </w:r>
      <w:r w:rsidR="007E7538">
        <w:rPr>
          <w:rFonts w:cs="Segoe UI"/>
          <w:color w:val="1D2125"/>
          <w:shd w:val="clear" w:color="auto" w:fill="FFFFFF"/>
        </w:rPr>
        <w:t>, and so it</w:t>
      </w:r>
      <w:r w:rsidR="00702040">
        <w:rPr>
          <w:rFonts w:cs="Segoe UI"/>
          <w:color w:val="1D2125"/>
          <w:shd w:val="clear" w:color="auto" w:fill="FFFFFF"/>
        </w:rPr>
        <w:t xml:space="preserve"> </w:t>
      </w:r>
      <w:r w:rsidR="00A02FA9" w:rsidRPr="00D2608A">
        <w:rPr>
          <w:rFonts w:cs="Segoe UI"/>
          <w:color w:val="1D2125"/>
          <w:shd w:val="clear" w:color="auto" w:fill="FFFFFF"/>
        </w:rPr>
        <w:t>is important to acknowledge that Josephus’ works are deeply affected by his pro-Roman bias</w:t>
      </w:r>
      <w:r w:rsidR="007E7538">
        <w:rPr>
          <w:rFonts w:cs="Segoe UI"/>
          <w:color w:val="1D2125"/>
          <w:shd w:val="clear" w:color="auto" w:fill="FFFFFF"/>
        </w:rPr>
        <w:t xml:space="preserve">. </w:t>
      </w:r>
      <w:r w:rsidR="005F7674">
        <w:rPr>
          <w:rFonts w:cs="Segoe UI"/>
          <w:color w:val="1D2125"/>
          <w:shd w:val="clear" w:color="auto" w:fill="FFFFFF"/>
        </w:rPr>
        <w:t>P</w:t>
      </w:r>
      <w:r w:rsidR="00A02FA9" w:rsidRPr="00D2608A">
        <w:rPr>
          <w:rFonts w:cs="Segoe UI"/>
          <w:color w:val="1D2125"/>
          <w:shd w:val="clear" w:color="auto" w:fill="FFFFFF"/>
        </w:rPr>
        <w:t xml:space="preserve">otential </w:t>
      </w:r>
      <w:r w:rsidR="005F7674">
        <w:rPr>
          <w:rFonts w:cs="Segoe UI"/>
          <w:color w:val="1D2125"/>
          <w:shd w:val="clear" w:color="auto" w:fill="FFFFFF"/>
        </w:rPr>
        <w:t xml:space="preserve">errors </w:t>
      </w:r>
      <w:r w:rsidR="00A02FA9" w:rsidRPr="00D2608A">
        <w:rPr>
          <w:rFonts w:cs="Segoe UI"/>
          <w:color w:val="1D2125"/>
          <w:shd w:val="clear" w:color="auto" w:fill="FFFFFF"/>
        </w:rPr>
        <w:t xml:space="preserve">on his </w:t>
      </w:r>
      <w:r w:rsidR="005F7674">
        <w:rPr>
          <w:rFonts w:cs="Segoe UI"/>
          <w:color w:val="1D2125"/>
          <w:shd w:val="clear" w:color="auto" w:fill="FFFFFF"/>
        </w:rPr>
        <w:t xml:space="preserve">account </w:t>
      </w:r>
      <w:r w:rsidR="00A02FA9" w:rsidRPr="00D2608A">
        <w:rPr>
          <w:rFonts w:cs="Segoe UI"/>
          <w:color w:val="1D2125"/>
          <w:shd w:val="clear" w:color="auto" w:fill="FFFFFF"/>
        </w:rPr>
        <w:t>will be assessed when relevant</w:t>
      </w:r>
      <w:r w:rsidR="00702040">
        <w:rPr>
          <w:rFonts w:cs="Segoe UI"/>
          <w:color w:val="1D2125"/>
          <w:shd w:val="clear" w:color="auto" w:fill="FFFFFF"/>
        </w:rPr>
        <w:t xml:space="preserve">. </w:t>
      </w:r>
    </w:p>
    <w:p w14:paraId="4411DDF4" w14:textId="559417A6" w:rsidR="009C2D08" w:rsidRDefault="009C2D08" w:rsidP="00A02FA9">
      <w:pPr>
        <w:spacing w:after="0" w:line="240" w:lineRule="auto"/>
        <w:rPr>
          <w:rFonts w:cs="Segoe UI"/>
          <w:b/>
          <w:bCs/>
          <w:color w:val="1D2125"/>
          <w:shd w:val="clear" w:color="auto" w:fill="FFFFFF"/>
        </w:rPr>
      </w:pPr>
    </w:p>
    <w:p w14:paraId="6E009EC9" w14:textId="466216CD" w:rsidR="00201CBC" w:rsidRDefault="005F7674" w:rsidP="00E71ED0">
      <w:pPr>
        <w:spacing w:after="0" w:line="240" w:lineRule="auto"/>
        <w:rPr>
          <w:rFonts w:cs="Segoe UI"/>
          <w:color w:val="1D2125"/>
          <w:shd w:val="clear" w:color="auto" w:fill="FFFFFF"/>
        </w:rPr>
      </w:pPr>
      <w:r>
        <w:rPr>
          <w:rFonts w:cs="Segoe UI"/>
          <w:color w:val="1D2125"/>
          <w:shd w:val="clear" w:color="auto" w:fill="FFFFFF"/>
        </w:rPr>
        <w:t>To begin, it is crucial to acknowledge that w</w:t>
      </w:r>
      <w:r w:rsidR="00633E21">
        <w:rPr>
          <w:rFonts w:cs="Segoe UI"/>
          <w:color w:val="1D2125"/>
          <w:shd w:val="clear" w:color="auto" w:fill="FFFFFF"/>
        </w:rPr>
        <w:t>ork by the historian Josephus is our only comprehensive primary source on the Jewish Revolt against Rome, and this complicates the reliability of our understanding of causes behind the war. McLaren argues that it is key to label Josephus as a ‘hostile witness’, who had no interest in</w:t>
      </w:r>
      <w:r w:rsidR="000B210F">
        <w:rPr>
          <w:rFonts w:cs="Segoe UI"/>
          <w:color w:val="1D2125"/>
          <w:shd w:val="clear" w:color="auto" w:fill="FFFFFF"/>
        </w:rPr>
        <w:t xml:space="preserve"> explaining any rebel motivations that could have been deemed constructive due to his Roman allegiance.</w:t>
      </w:r>
      <w:r w:rsidR="000B210F">
        <w:rPr>
          <w:rStyle w:val="FootnoteReference"/>
          <w:rFonts w:cs="Segoe UI"/>
          <w:color w:val="1D2125"/>
          <w:shd w:val="clear" w:color="auto" w:fill="FFFFFF"/>
        </w:rPr>
        <w:footnoteReference w:id="1"/>
      </w:r>
      <w:r w:rsidR="007130D4">
        <w:rPr>
          <w:rFonts w:cs="Segoe UI"/>
          <w:color w:val="1D2125"/>
          <w:shd w:val="clear" w:color="auto" w:fill="FFFFFF"/>
        </w:rPr>
        <w:t xml:space="preserve"> </w:t>
      </w:r>
      <w:r w:rsidR="000B210F">
        <w:rPr>
          <w:rFonts w:cs="Segoe UI"/>
          <w:color w:val="1D2125"/>
          <w:shd w:val="clear" w:color="auto" w:fill="FFFFFF"/>
        </w:rPr>
        <w:t xml:space="preserve">However, we can </w:t>
      </w:r>
      <w:r w:rsidR="000C54CD">
        <w:rPr>
          <w:rFonts w:cs="Segoe UI"/>
          <w:color w:val="1D2125"/>
          <w:shd w:val="clear" w:color="auto" w:fill="FFFFFF"/>
        </w:rPr>
        <w:t xml:space="preserve">still </w:t>
      </w:r>
      <w:r w:rsidR="000C54CD" w:rsidRPr="00087C02">
        <w:rPr>
          <w:rFonts w:cs="Segoe UI"/>
          <w:color w:val="1D2125"/>
          <w:shd w:val="clear" w:color="auto" w:fill="FFFFFF"/>
        </w:rPr>
        <w:t>glean</w:t>
      </w:r>
      <w:r w:rsidR="001C7E82">
        <w:rPr>
          <w:rFonts w:cs="Segoe UI"/>
          <w:color w:val="1D2125"/>
          <w:shd w:val="clear" w:color="auto" w:fill="FFFFFF"/>
        </w:rPr>
        <w:t xml:space="preserve"> from Josephus</w:t>
      </w:r>
      <w:r w:rsidR="005B397B">
        <w:rPr>
          <w:rFonts w:cs="Segoe UI"/>
          <w:color w:val="1D2125"/>
          <w:shd w:val="clear" w:color="auto" w:fill="FFFFFF"/>
        </w:rPr>
        <w:t xml:space="preserve"> a great deal of</w:t>
      </w:r>
      <w:r w:rsidR="000C54CD">
        <w:rPr>
          <w:rFonts w:cs="Segoe UI"/>
          <w:color w:val="1D2125"/>
          <w:shd w:val="clear" w:color="auto" w:fill="FFFFFF"/>
        </w:rPr>
        <w:t xml:space="preserve"> </w:t>
      </w:r>
      <w:r w:rsidR="001C7E82">
        <w:rPr>
          <w:rFonts w:cs="Segoe UI"/>
          <w:color w:val="1D2125"/>
          <w:shd w:val="clear" w:color="auto" w:fill="FFFFFF"/>
        </w:rPr>
        <w:t xml:space="preserve">information about the state of Roman-Jewish relations in </w:t>
      </w:r>
      <w:r w:rsidR="005B397B">
        <w:rPr>
          <w:rFonts w:cs="Segoe UI"/>
          <w:color w:val="1D2125"/>
          <w:shd w:val="clear" w:color="auto" w:fill="FFFFFF"/>
        </w:rPr>
        <w:t>the first century.</w:t>
      </w:r>
    </w:p>
    <w:p w14:paraId="0B130B87" w14:textId="77777777" w:rsidR="00201CBC" w:rsidRDefault="00201CBC" w:rsidP="00201CBC">
      <w:pPr>
        <w:spacing w:after="0" w:line="240" w:lineRule="auto"/>
        <w:rPr>
          <w:rFonts w:cs="Segoe UI"/>
          <w:color w:val="1D2125"/>
          <w:shd w:val="clear" w:color="auto" w:fill="FFFFFF"/>
        </w:rPr>
      </w:pPr>
    </w:p>
    <w:p w14:paraId="305D8FB2" w14:textId="2DC7DDFB" w:rsidR="0050474E" w:rsidRPr="009C2D08" w:rsidRDefault="00201CBC" w:rsidP="0025251D">
      <w:pPr>
        <w:spacing w:after="0" w:line="240" w:lineRule="auto"/>
        <w:rPr>
          <w:rFonts w:cs="Segoe UI"/>
          <w:color w:val="1D2125"/>
          <w:shd w:val="clear" w:color="auto" w:fill="FFFFFF"/>
        </w:rPr>
      </w:pPr>
      <w:r>
        <w:rPr>
          <w:rFonts w:cs="Segoe UI"/>
          <w:color w:val="1D2125"/>
          <w:shd w:val="clear" w:color="auto" w:fill="FFFFFF"/>
        </w:rPr>
        <w:t>Social, economic</w:t>
      </w:r>
      <w:r w:rsidR="0096157E">
        <w:rPr>
          <w:rFonts w:cs="Segoe UI"/>
          <w:color w:val="1D2125"/>
          <w:shd w:val="clear" w:color="auto" w:fill="FFFFFF"/>
        </w:rPr>
        <w:t>,</w:t>
      </w:r>
      <w:r>
        <w:rPr>
          <w:rFonts w:cs="Segoe UI"/>
          <w:color w:val="1D2125"/>
          <w:shd w:val="clear" w:color="auto" w:fill="FFFFFF"/>
        </w:rPr>
        <w:t xml:space="preserve"> and political </w:t>
      </w:r>
      <w:r w:rsidR="003E55A5">
        <w:rPr>
          <w:rFonts w:cs="Segoe UI"/>
          <w:color w:val="1D2125"/>
          <w:shd w:val="clear" w:color="auto" w:fill="FFFFFF"/>
        </w:rPr>
        <w:t xml:space="preserve">conditions in Judaea </w:t>
      </w:r>
      <w:r w:rsidR="00193CAD">
        <w:rPr>
          <w:rFonts w:cs="Segoe UI"/>
          <w:color w:val="1D2125"/>
          <w:shd w:val="clear" w:color="auto" w:fill="FFFFFF"/>
        </w:rPr>
        <w:t xml:space="preserve">began to deteriorate </w:t>
      </w:r>
      <w:r w:rsidR="003E55A5">
        <w:rPr>
          <w:rFonts w:cs="Segoe UI"/>
          <w:color w:val="1D2125"/>
          <w:shd w:val="clear" w:color="auto" w:fill="FFFFFF"/>
        </w:rPr>
        <w:t>after the death of Herod</w:t>
      </w:r>
      <w:r w:rsidR="00562894">
        <w:rPr>
          <w:rFonts w:cs="Segoe UI"/>
          <w:color w:val="1D2125"/>
          <w:shd w:val="clear" w:color="auto" w:fill="FFFFFF"/>
        </w:rPr>
        <w:t xml:space="preserve"> the Great in 4 BCE</w:t>
      </w:r>
      <w:r w:rsidR="007A59A2">
        <w:rPr>
          <w:rFonts w:cs="Segoe UI"/>
          <w:color w:val="1D2125"/>
          <w:shd w:val="clear" w:color="auto" w:fill="FFFFFF"/>
        </w:rPr>
        <w:t>.</w:t>
      </w:r>
      <w:r w:rsidR="007A59A2">
        <w:rPr>
          <w:rStyle w:val="FootnoteReference"/>
          <w:rFonts w:cs="Segoe UI"/>
          <w:color w:val="1D2125"/>
          <w:shd w:val="clear" w:color="auto" w:fill="FFFFFF"/>
        </w:rPr>
        <w:footnoteReference w:id="2"/>
      </w:r>
      <w:r w:rsidR="0096157E">
        <w:rPr>
          <w:rFonts w:cs="Segoe UI"/>
          <w:color w:val="1D2125"/>
          <w:shd w:val="clear" w:color="auto" w:fill="FFFFFF"/>
        </w:rPr>
        <w:t xml:space="preserve"> </w:t>
      </w:r>
      <w:r w:rsidR="0025251D">
        <w:rPr>
          <w:rFonts w:cs="Segoe UI"/>
          <w:color w:val="1D2125"/>
          <w:shd w:val="clear" w:color="auto" w:fill="FFFFFF"/>
        </w:rPr>
        <w:t>After the institution of Roman governors over Judaea,</w:t>
      </w:r>
      <w:r w:rsidR="0096157E">
        <w:rPr>
          <w:rFonts w:cs="Segoe UI"/>
          <w:color w:val="1D2125"/>
          <w:shd w:val="clear" w:color="auto" w:fill="FFFFFF"/>
        </w:rPr>
        <w:t xml:space="preserve"> </w:t>
      </w:r>
      <w:r w:rsidR="00F26F79">
        <w:rPr>
          <w:rFonts w:cs="Segoe UI"/>
          <w:color w:val="1D2125"/>
          <w:shd w:val="clear" w:color="auto" w:fill="FFFFFF"/>
        </w:rPr>
        <w:t xml:space="preserve">brutality </w:t>
      </w:r>
      <w:r w:rsidR="0096157E">
        <w:rPr>
          <w:rFonts w:cs="Segoe UI"/>
          <w:color w:val="1D2125"/>
          <w:shd w:val="clear" w:color="auto" w:fill="FFFFFF"/>
        </w:rPr>
        <w:t>came to a head durin</w:t>
      </w:r>
      <w:r w:rsidR="009343EB">
        <w:rPr>
          <w:rFonts w:cs="Segoe UI"/>
          <w:color w:val="1D2125"/>
          <w:shd w:val="clear" w:color="auto" w:fill="FFFFFF"/>
        </w:rPr>
        <w:t xml:space="preserve">g the rule of </w:t>
      </w:r>
      <w:proofErr w:type="spellStart"/>
      <w:r w:rsidR="009343EB">
        <w:rPr>
          <w:rFonts w:cs="Segoe UI"/>
          <w:color w:val="1D2125"/>
          <w:shd w:val="clear" w:color="auto" w:fill="FFFFFF"/>
        </w:rPr>
        <w:t>Gessius</w:t>
      </w:r>
      <w:proofErr w:type="spellEnd"/>
      <w:r w:rsidR="009343EB">
        <w:rPr>
          <w:rFonts w:cs="Segoe UI"/>
          <w:color w:val="1D2125"/>
          <w:shd w:val="clear" w:color="auto" w:fill="FFFFFF"/>
        </w:rPr>
        <w:t xml:space="preserve"> Florus, whose unprovoked cruelty to</w:t>
      </w:r>
      <w:r w:rsidR="00F26F79">
        <w:rPr>
          <w:rFonts w:cs="Segoe UI"/>
          <w:color w:val="1D2125"/>
          <w:shd w:val="clear" w:color="auto" w:fill="FFFFFF"/>
        </w:rPr>
        <w:t xml:space="preserve"> </w:t>
      </w:r>
      <w:r w:rsidR="009343EB">
        <w:rPr>
          <w:rFonts w:cs="Segoe UI"/>
          <w:color w:val="1D2125"/>
          <w:shd w:val="clear" w:color="auto" w:fill="FFFFFF"/>
        </w:rPr>
        <w:t xml:space="preserve">the Jewish people </w:t>
      </w:r>
      <w:r w:rsidR="00F26F79">
        <w:rPr>
          <w:rFonts w:cs="Segoe UI"/>
          <w:color w:val="1D2125"/>
          <w:shd w:val="clear" w:color="auto" w:fill="FFFFFF"/>
        </w:rPr>
        <w:t xml:space="preserve">included </w:t>
      </w:r>
      <w:r w:rsidR="002C128F">
        <w:rPr>
          <w:rFonts w:cs="Segoe UI"/>
          <w:color w:val="1D2125"/>
          <w:shd w:val="clear" w:color="auto" w:fill="FFFFFF"/>
        </w:rPr>
        <w:t xml:space="preserve">the torture and crucifixion </w:t>
      </w:r>
      <w:r w:rsidR="00A441E1">
        <w:rPr>
          <w:rFonts w:cs="Segoe UI"/>
          <w:color w:val="1D2125"/>
          <w:shd w:val="clear" w:color="auto" w:fill="FFFFFF"/>
        </w:rPr>
        <w:t>of thre</w:t>
      </w:r>
      <w:r w:rsidR="002C128F">
        <w:rPr>
          <w:rFonts w:cs="Segoe UI"/>
          <w:color w:val="1D2125"/>
          <w:shd w:val="clear" w:color="auto" w:fill="FFFFFF"/>
        </w:rPr>
        <w:t xml:space="preserve">e thousand peaceful citizens, </w:t>
      </w:r>
      <w:r w:rsidR="004907E8">
        <w:rPr>
          <w:rFonts w:cs="Segoe UI"/>
          <w:color w:val="1D2125"/>
          <w:shd w:val="clear" w:color="auto" w:fill="FFFFFF"/>
        </w:rPr>
        <w:t>including privileged Jewish citizens</w:t>
      </w:r>
      <w:r w:rsidR="007130D4">
        <w:rPr>
          <w:rFonts w:cs="Segoe UI"/>
          <w:color w:val="1D2125"/>
          <w:shd w:val="clear" w:color="auto" w:fill="FFFFFF"/>
        </w:rPr>
        <w:t xml:space="preserve"> (</w:t>
      </w:r>
      <w:r w:rsidR="007130D4">
        <w:rPr>
          <w:rFonts w:cs="Segoe UI"/>
          <w:i/>
          <w:iCs/>
          <w:color w:val="1D2125"/>
          <w:shd w:val="clear" w:color="auto" w:fill="FFFFFF"/>
        </w:rPr>
        <w:t xml:space="preserve">War, </w:t>
      </w:r>
      <w:r w:rsidR="007130D4">
        <w:rPr>
          <w:rFonts w:cs="Segoe UI"/>
          <w:color w:val="1D2125"/>
          <w:shd w:val="clear" w:color="auto" w:fill="FFFFFF"/>
        </w:rPr>
        <w:t>II. 322).</w:t>
      </w:r>
      <w:r w:rsidR="0025251D">
        <w:rPr>
          <w:rFonts w:cs="Segoe UI"/>
          <w:color w:val="1D2125"/>
          <w:shd w:val="clear" w:color="auto" w:fill="FFFFFF"/>
        </w:rPr>
        <w:t xml:space="preserve"> </w:t>
      </w:r>
      <w:r w:rsidR="00F26F79">
        <w:rPr>
          <w:rFonts w:cs="Segoe UI"/>
          <w:color w:val="1D2125"/>
          <w:shd w:val="clear" w:color="auto" w:fill="FFFFFF"/>
        </w:rPr>
        <w:t xml:space="preserve">This </w:t>
      </w:r>
      <w:r w:rsidR="0050474E">
        <w:rPr>
          <w:rFonts w:cs="Segoe UI"/>
          <w:color w:val="1D2125"/>
          <w:shd w:val="clear" w:color="auto" w:fill="FFFFFF"/>
        </w:rPr>
        <w:t xml:space="preserve">sparked </w:t>
      </w:r>
      <w:r w:rsidR="00F26F79">
        <w:rPr>
          <w:rFonts w:cs="Segoe UI"/>
          <w:color w:val="1D2125"/>
          <w:shd w:val="clear" w:color="auto" w:fill="FFFFFF"/>
        </w:rPr>
        <w:t xml:space="preserve">armed resistance against </w:t>
      </w:r>
      <w:r w:rsidR="003F0B9A">
        <w:rPr>
          <w:rFonts w:cs="Segoe UI"/>
          <w:color w:val="1D2125"/>
          <w:shd w:val="clear" w:color="auto" w:fill="FFFFFF"/>
        </w:rPr>
        <w:t xml:space="preserve">the </w:t>
      </w:r>
      <w:r w:rsidR="00F26F79">
        <w:rPr>
          <w:rFonts w:cs="Segoe UI"/>
          <w:color w:val="1D2125"/>
          <w:shd w:val="clear" w:color="auto" w:fill="FFFFFF"/>
        </w:rPr>
        <w:t>Roman soldiers stationed in Jerusalem (</w:t>
      </w:r>
      <w:r w:rsidR="00F26F79">
        <w:rPr>
          <w:rFonts w:cs="Segoe UI"/>
          <w:i/>
          <w:iCs/>
          <w:color w:val="1D2125"/>
          <w:shd w:val="clear" w:color="auto" w:fill="FFFFFF"/>
        </w:rPr>
        <w:t xml:space="preserve">War, </w:t>
      </w:r>
      <w:r w:rsidR="00F26F79">
        <w:rPr>
          <w:rFonts w:cs="Segoe UI"/>
          <w:color w:val="1D2125"/>
          <w:shd w:val="clear" w:color="auto" w:fill="FFFFFF"/>
        </w:rPr>
        <w:t xml:space="preserve">II. 407). </w:t>
      </w:r>
      <w:r w:rsidR="0050474E">
        <w:rPr>
          <w:rFonts w:cs="Segoe UI"/>
          <w:color w:val="1D2125"/>
          <w:shd w:val="clear" w:color="auto" w:fill="FFFFFF"/>
        </w:rPr>
        <w:t>Finally, a growth in messianic aspirations alongside the development of the Fourth Philosophy, which emerged publicly in 6 CE in uproar over Quirinus’ census,</w:t>
      </w:r>
      <w:r w:rsidR="00AC1DC9">
        <w:rPr>
          <w:rStyle w:val="FootnoteReference"/>
          <w:rFonts w:cs="Segoe UI"/>
          <w:color w:val="1D2125"/>
          <w:shd w:val="clear" w:color="auto" w:fill="FFFFFF"/>
        </w:rPr>
        <w:footnoteReference w:id="3"/>
      </w:r>
      <w:r w:rsidR="0050474E">
        <w:rPr>
          <w:rFonts w:cs="Segoe UI"/>
          <w:color w:val="1D2125"/>
          <w:shd w:val="clear" w:color="auto" w:fill="FFFFFF"/>
        </w:rPr>
        <w:t xml:space="preserve"> </w:t>
      </w:r>
      <w:r w:rsidR="00363BDF">
        <w:rPr>
          <w:rFonts w:cs="Segoe UI"/>
          <w:color w:val="1D2125"/>
          <w:shd w:val="clear" w:color="auto" w:fill="FFFFFF"/>
        </w:rPr>
        <w:t xml:space="preserve">led to calls for </w:t>
      </w:r>
      <w:r w:rsidR="003F0B9A">
        <w:rPr>
          <w:rFonts w:cs="Segoe UI"/>
          <w:color w:val="1D2125"/>
          <w:shd w:val="clear" w:color="auto" w:fill="FFFFFF"/>
        </w:rPr>
        <w:t xml:space="preserve">Jewish </w:t>
      </w:r>
      <w:r w:rsidR="00363BDF">
        <w:rPr>
          <w:rFonts w:cs="Segoe UI"/>
          <w:color w:val="1D2125"/>
          <w:shd w:val="clear" w:color="auto" w:fill="FFFFFF"/>
        </w:rPr>
        <w:t xml:space="preserve">independence and </w:t>
      </w:r>
      <w:r w:rsidR="003F0B9A">
        <w:rPr>
          <w:rFonts w:cs="Segoe UI"/>
          <w:color w:val="1D2125"/>
          <w:shd w:val="clear" w:color="auto" w:fill="FFFFFF"/>
        </w:rPr>
        <w:t xml:space="preserve">condemnation </w:t>
      </w:r>
      <w:r w:rsidR="00962106">
        <w:rPr>
          <w:rFonts w:cs="Segoe UI"/>
          <w:color w:val="1D2125"/>
          <w:shd w:val="clear" w:color="auto" w:fill="FFFFFF"/>
        </w:rPr>
        <w:t>of the wealthy priestly class</w:t>
      </w:r>
      <w:r w:rsidR="00DC3AE4">
        <w:rPr>
          <w:rFonts w:cs="Segoe UI"/>
          <w:color w:val="1D2125"/>
          <w:shd w:val="clear" w:color="auto" w:fill="FFFFFF"/>
        </w:rPr>
        <w:t xml:space="preserve"> and their submission to Rome</w:t>
      </w:r>
      <w:r w:rsidR="00962106">
        <w:rPr>
          <w:rFonts w:cs="Segoe UI"/>
          <w:color w:val="1D2125"/>
          <w:shd w:val="clear" w:color="auto" w:fill="FFFFFF"/>
        </w:rPr>
        <w:t>.</w:t>
      </w:r>
      <w:r w:rsidR="00DC3AE4">
        <w:rPr>
          <w:rStyle w:val="FootnoteReference"/>
          <w:rFonts w:cs="Segoe UI"/>
          <w:color w:val="1D2125"/>
          <w:shd w:val="clear" w:color="auto" w:fill="FFFFFF"/>
        </w:rPr>
        <w:footnoteReference w:id="4"/>
      </w:r>
    </w:p>
    <w:p w14:paraId="6FC5922B" w14:textId="791F06ED" w:rsidR="00977D2E" w:rsidRDefault="00977D2E" w:rsidP="002F0B95">
      <w:pPr>
        <w:spacing w:after="0" w:line="240" w:lineRule="auto"/>
        <w:rPr>
          <w:rFonts w:cs="Segoe UI"/>
          <w:b/>
          <w:bCs/>
          <w:color w:val="1D2125"/>
          <w:shd w:val="clear" w:color="auto" w:fill="FFFFFF"/>
        </w:rPr>
      </w:pPr>
    </w:p>
    <w:p w14:paraId="75365E3F" w14:textId="77777777" w:rsidR="00857844" w:rsidRDefault="004907E8" w:rsidP="004907E8">
      <w:pPr>
        <w:spacing w:after="0" w:line="240" w:lineRule="auto"/>
        <w:rPr>
          <w:rFonts w:cs="Segoe UI"/>
          <w:color w:val="1D2125"/>
          <w:shd w:val="clear" w:color="auto" w:fill="FFFFFF"/>
        </w:rPr>
      </w:pPr>
      <w:r>
        <w:rPr>
          <w:rFonts w:cs="Segoe UI"/>
          <w:color w:val="1D2125"/>
          <w:shd w:val="clear" w:color="auto" w:fill="FFFFFF"/>
        </w:rPr>
        <w:t>This</w:t>
      </w:r>
      <w:r w:rsidR="00540C2E" w:rsidRPr="00540C2E">
        <w:rPr>
          <w:rFonts w:cs="Segoe UI"/>
          <w:color w:val="1D2125"/>
          <w:shd w:val="clear" w:color="auto" w:fill="FFFFFF"/>
        </w:rPr>
        <w:t xml:space="preserve"> culmination of worsening Gentile-Jewish relations, inept Roman governing</w:t>
      </w:r>
      <w:r w:rsidR="00540C2E">
        <w:rPr>
          <w:rFonts w:cs="Segoe UI"/>
          <w:color w:val="1D2125"/>
          <w:shd w:val="clear" w:color="auto" w:fill="FFFFFF"/>
        </w:rPr>
        <w:t xml:space="preserve"> </w:t>
      </w:r>
      <w:r w:rsidR="00F77018">
        <w:rPr>
          <w:rFonts w:cs="Segoe UI"/>
          <w:color w:val="1D2125"/>
          <w:shd w:val="clear" w:color="auto" w:fill="FFFFFF"/>
        </w:rPr>
        <w:t xml:space="preserve">and corruption among Jerusalemite elites led to the outbreak of war in </w:t>
      </w:r>
      <w:r w:rsidR="002115CE">
        <w:rPr>
          <w:rFonts w:cs="Segoe UI"/>
          <w:color w:val="1D2125"/>
          <w:shd w:val="clear" w:color="auto" w:fill="FFFFFF"/>
        </w:rPr>
        <w:t xml:space="preserve">66 CE when </w:t>
      </w:r>
      <w:r w:rsidR="00D67D66">
        <w:rPr>
          <w:rFonts w:cs="Segoe UI"/>
          <w:color w:val="1D2125"/>
          <w:shd w:val="clear" w:color="auto" w:fill="FFFFFF"/>
        </w:rPr>
        <w:t>the Temple Captain named Eleazar convinced the Temple ministers to cease acceptance of any foreign gifts or offerings</w:t>
      </w:r>
      <w:r w:rsidR="00BB69EA">
        <w:rPr>
          <w:rFonts w:cs="Segoe UI"/>
          <w:color w:val="1D2125"/>
          <w:shd w:val="clear" w:color="auto" w:fill="FFFFFF"/>
        </w:rPr>
        <w:t xml:space="preserve">, supported by the rebels who had grouped together in defiance of Florus’ violent persecution </w:t>
      </w:r>
      <w:r w:rsidR="00D67D66">
        <w:rPr>
          <w:rFonts w:cs="Segoe UI"/>
          <w:color w:val="1D2125"/>
          <w:shd w:val="clear" w:color="auto" w:fill="FFFFFF"/>
        </w:rPr>
        <w:t>(</w:t>
      </w:r>
      <w:r w:rsidR="00D67D66">
        <w:rPr>
          <w:rFonts w:cs="Segoe UI"/>
          <w:i/>
          <w:iCs/>
          <w:color w:val="1D2125"/>
          <w:shd w:val="clear" w:color="auto" w:fill="FFFFFF"/>
        </w:rPr>
        <w:t xml:space="preserve">War, </w:t>
      </w:r>
      <w:r w:rsidR="00D67D66">
        <w:rPr>
          <w:rFonts w:cs="Segoe UI"/>
          <w:color w:val="1D2125"/>
          <w:shd w:val="clear" w:color="auto" w:fill="FFFFFF"/>
        </w:rPr>
        <w:t xml:space="preserve">II. 408) After an unsuccessful plea </w:t>
      </w:r>
      <w:r w:rsidR="00BB69EA">
        <w:rPr>
          <w:rFonts w:cs="Segoe UI"/>
          <w:color w:val="1D2125"/>
          <w:shd w:val="clear" w:color="auto" w:fill="FFFFFF"/>
        </w:rPr>
        <w:t xml:space="preserve">to the insurgents </w:t>
      </w:r>
      <w:r w:rsidR="0025251D">
        <w:rPr>
          <w:rFonts w:cs="Segoe UI"/>
          <w:color w:val="1D2125"/>
          <w:shd w:val="clear" w:color="auto" w:fill="FFFFFF"/>
        </w:rPr>
        <w:t xml:space="preserve">from the chief priests </w:t>
      </w:r>
      <w:r w:rsidR="00BB69EA">
        <w:rPr>
          <w:rFonts w:cs="Segoe UI"/>
          <w:color w:val="1D2125"/>
          <w:shd w:val="clear" w:color="auto" w:fill="FFFFFF"/>
        </w:rPr>
        <w:t>to re</w:t>
      </w:r>
      <w:r w:rsidR="0025251D">
        <w:rPr>
          <w:rFonts w:cs="Segoe UI"/>
          <w:color w:val="1D2125"/>
          <w:shd w:val="clear" w:color="auto" w:fill="FFFFFF"/>
        </w:rPr>
        <w:t>instate</w:t>
      </w:r>
      <w:r w:rsidR="00C37D7F">
        <w:rPr>
          <w:rFonts w:cs="Segoe UI"/>
          <w:color w:val="1D2125"/>
          <w:shd w:val="clear" w:color="auto" w:fill="FFFFFF"/>
        </w:rPr>
        <w:t xml:space="preserve"> </w:t>
      </w:r>
      <w:r w:rsidR="0025251D">
        <w:rPr>
          <w:rFonts w:cs="Segoe UI"/>
          <w:color w:val="1D2125"/>
          <w:shd w:val="clear" w:color="auto" w:fill="FFFFFF"/>
        </w:rPr>
        <w:t xml:space="preserve">foreign gifts, </w:t>
      </w:r>
      <w:r w:rsidR="00C37D7F">
        <w:rPr>
          <w:rFonts w:cs="Segoe UI"/>
          <w:color w:val="1D2125"/>
          <w:shd w:val="clear" w:color="auto" w:fill="FFFFFF"/>
        </w:rPr>
        <w:t>influential citizens begged</w:t>
      </w:r>
      <w:r w:rsidR="0033784C">
        <w:rPr>
          <w:rFonts w:cs="Segoe UI"/>
          <w:color w:val="1D2125"/>
          <w:shd w:val="clear" w:color="auto" w:fill="FFFFFF"/>
        </w:rPr>
        <w:t xml:space="preserve"> Florus and Agrippa II for</w:t>
      </w:r>
      <w:r w:rsidR="00C37D7F">
        <w:rPr>
          <w:rFonts w:cs="Segoe UI"/>
          <w:color w:val="1D2125"/>
          <w:shd w:val="clear" w:color="auto" w:fill="FFFFFF"/>
        </w:rPr>
        <w:t xml:space="preserve"> military support in quelling the rebellion before dangerous escalation</w:t>
      </w:r>
      <w:r w:rsidR="00FA2300">
        <w:rPr>
          <w:rFonts w:cs="Segoe UI"/>
          <w:color w:val="1D2125"/>
          <w:shd w:val="clear" w:color="auto" w:fill="FFFFFF"/>
        </w:rPr>
        <w:t xml:space="preserve"> (</w:t>
      </w:r>
      <w:r w:rsidR="00FA2300">
        <w:rPr>
          <w:rFonts w:cs="Segoe UI"/>
          <w:i/>
          <w:iCs/>
          <w:color w:val="1D2125"/>
          <w:shd w:val="clear" w:color="auto" w:fill="FFFFFF"/>
        </w:rPr>
        <w:t xml:space="preserve">War, </w:t>
      </w:r>
      <w:r w:rsidR="00FA2300">
        <w:rPr>
          <w:rFonts w:cs="Segoe UI"/>
          <w:color w:val="1D2125"/>
          <w:shd w:val="clear" w:color="auto" w:fill="FFFFFF"/>
        </w:rPr>
        <w:t xml:space="preserve">II. 425). The two thousand cavalries sent by Agrippa II however did not stop the Lower City, which housed the Temple, from being seized by the rebels. </w:t>
      </w:r>
      <w:r w:rsidR="00304BDE">
        <w:rPr>
          <w:rFonts w:cs="Segoe UI"/>
          <w:color w:val="1D2125"/>
          <w:shd w:val="clear" w:color="auto" w:fill="FFFFFF"/>
        </w:rPr>
        <w:t xml:space="preserve">Fighting began </w:t>
      </w:r>
      <w:r>
        <w:rPr>
          <w:rFonts w:cs="Segoe UI"/>
          <w:color w:val="1D2125"/>
          <w:shd w:val="clear" w:color="auto" w:fill="FFFFFF"/>
        </w:rPr>
        <w:t xml:space="preserve">in </w:t>
      </w:r>
      <w:r w:rsidR="00304BDE">
        <w:rPr>
          <w:rFonts w:cs="Segoe UI"/>
          <w:color w:val="1D2125"/>
          <w:shd w:val="clear" w:color="auto" w:fill="FFFFFF"/>
        </w:rPr>
        <w:t xml:space="preserve">Jerusalem, resulting in a two-day assault by rebels on the Fortress of Antonia. A notable event from the conflicts in early August was the purposeful destruction </w:t>
      </w:r>
      <w:r w:rsidR="00C35BC0">
        <w:rPr>
          <w:rFonts w:cs="Segoe UI"/>
          <w:color w:val="1D2125"/>
          <w:shd w:val="clear" w:color="auto" w:fill="FFFFFF"/>
        </w:rPr>
        <w:t xml:space="preserve">of Jerusalem’s records office, </w:t>
      </w:r>
      <w:r w:rsidR="00E04C71">
        <w:rPr>
          <w:rFonts w:cs="Segoe UI"/>
          <w:color w:val="1D2125"/>
          <w:shd w:val="clear" w:color="auto" w:fill="FFFFFF"/>
        </w:rPr>
        <w:t>erasing debt records and loose</w:t>
      </w:r>
      <w:r w:rsidR="003869CD">
        <w:rPr>
          <w:rFonts w:cs="Segoe UI"/>
          <w:color w:val="1D2125"/>
          <w:shd w:val="clear" w:color="auto" w:fill="FFFFFF"/>
        </w:rPr>
        <w:t>n</w:t>
      </w:r>
      <w:r w:rsidR="00E04C71">
        <w:rPr>
          <w:rFonts w:cs="Segoe UI"/>
          <w:color w:val="1D2125"/>
          <w:shd w:val="clear" w:color="auto" w:fill="FFFFFF"/>
        </w:rPr>
        <w:t>ing the wealthy elite’s influence both symbolically and financially</w:t>
      </w:r>
      <w:r w:rsidR="00764B3B">
        <w:rPr>
          <w:rFonts w:cs="Segoe UI"/>
          <w:color w:val="1D2125"/>
          <w:shd w:val="clear" w:color="auto" w:fill="FFFFFF"/>
        </w:rPr>
        <w:t xml:space="preserve"> (</w:t>
      </w:r>
      <w:r w:rsidR="00764B3B">
        <w:rPr>
          <w:rFonts w:cs="Segoe UI"/>
          <w:i/>
          <w:iCs/>
          <w:color w:val="1D2125"/>
          <w:shd w:val="clear" w:color="auto" w:fill="FFFFFF"/>
        </w:rPr>
        <w:t xml:space="preserve">War, </w:t>
      </w:r>
      <w:r w:rsidR="00764B3B">
        <w:rPr>
          <w:rFonts w:cs="Segoe UI"/>
          <w:color w:val="1D2125"/>
          <w:shd w:val="clear" w:color="auto" w:fill="FFFFFF"/>
        </w:rPr>
        <w:t xml:space="preserve">II. 425). </w:t>
      </w:r>
      <w:r w:rsidR="00C35BC0">
        <w:rPr>
          <w:rFonts w:cs="Segoe UI"/>
          <w:color w:val="1D2125"/>
          <w:shd w:val="clear" w:color="auto" w:fill="FFFFFF"/>
        </w:rPr>
        <w:t xml:space="preserve">One rebel, Menahem, broke into </w:t>
      </w:r>
      <w:r w:rsidR="00764B3B">
        <w:rPr>
          <w:rFonts w:cs="Segoe UI"/>
          <w:color w:val="1D2125"/>
          <w:shd w:val="clear" w:color="auto" w:fill="FFFFFF"/>
        </w:rPr>
        <w:t xml:space="preserve">Masada’s </w:t>
      </w:r>
      <w:r w:rsidR="00764B3B">
        <w:rPr>
          <w:rFonts w:cs="Segoe UI"/>
          <w:color w:val="1D2125"/>
          <w:shd w:val="clear" w:color="auto" w:fill="FFFFFF"/>
        </w:rPr>
        <w:lastRenderedPageBreak/>
        <w:t>armoury with his friends and used his control over dispersal of the stolen weapons to position himself as leader of the insurgents (</w:t>
      </w:r>
      <w:r w:rsidR="00764B3B">
        <w:rPr>
          <w:rFonts w:cs="Segoe UI"/>
          <w:i/>
          <w:iCs/>
          <w:color w:val="1D2125"/>
          <w:shd w:val="clear" w:color="auto" w:fill="FFFFFF"/>
        </w:rPr>
        <w:t xml:space="preserve">War, </w:t>
      </w:r>
      <w:r w:rsidR="00764B3B">
        <w:rPr>
          <w:rFonts w:cs="Segoe UI"/>
          <w:color w:val="1D2125"/>
          <w:shd w:val="clear" w:color="auto" w:fill="FFFFFF"/>
        </w:rPr>
        <w:t>II. 4</w:t>
      </w:r>
      <w:r w:rsidR="00834BE2">
        <w:rPr>
          <w:rFonts w:cs="Segoe UI"/>
          <w:color w:val="1D2125"/>
          <w:shd w:val="clear" w:color="auto" w:fill="FFFFFF"/>
        </w:rPr>
        <w:t>25</w:t>
      </w:r>
      <w:r w:rsidR="00764B3B">
        <w:rPr>
          <w:rFonts w:cs="Segoe UI"/>
          <w:color w:val="1D2125"/>
          <w:shd w:val="clear" w:color="auto" w:fill="FFFFFF"/>
        </w:rPr>
        <w:t>).</w:t>
      </w:r>
      <w:r w:rsidR="00834BE2">
        <w:rPr>
          <w:rFonts w:cs="Segoe UI"/>
          <w:color w:val="1D2125"/>
          <w:shd w:val="clear" w:color="auto" w:fill="FFFFFF"/>
        </w:rPr>
        <w:t xml:space="preserve"> His rule did not last long however as his tyrannical behaviour led to him and his men being massacred by both the other rebels</w:t>
      </w:r>
      <w:r w:rsidR="003869CD">
        <w:rPr>
          <w:rFonts w:cs="Segoe UI"/>
          <w:color w:val="1D2125"/>
          <w:shd w:val="clear" w:color="auto" w:fill="FFFFFF"/>
        </w:rPr>
        <w:t xml:space="preserve"> for a free hand in the rebellion (</w:t>
      </w:r>
      <w:r w:rsidR="00041737">
        <w:rPr>
          <w:rFonts w:cs="Segoe UI"/>
          <w:i/>
          <w:iCs/>
          <w:color w:val="1D2125"/>
          <w:shd w:val="clear" w:color="auto" w:fill="FFFFFF"/>
        </w:rPr>
        <w:t xml:space="preserve">War, </w:t>
      </w:r>
      <w:r w:rsidR="00041737">
        <w:rPr>
          <w:rFonts w:cs="Segoe UI"/>
          <w:color w:val="1D2125"/>
          <w:shd w:val="clear" w:color="auto" w:fill="FFFFFF"/>
        </w:rPr>
        <w:t>II. 4</w:t>
      </w:r>
      <w:r w:rsidR="00430DD0">
        <w:rPr>
          <w:rFonts w:cs="Segoe UI"/>
          <w:color w:val="1D2125"/>
          <w:shd w:val="clear" w:color="auto" w:fill="FFFFFF"/>
        </w:rPr>
        <w:t>47</w:t>
      </w:r>
      <w:r w:rsidR="00041737">
        <w:rPr>
          <w:rFonts w:cs="Segoe UI"/>
          <w:color w:val="1D2125"/>
          <w:shd w:val="clear" w:color="auto" w:fill="FFFFFF"/>
        </w:rPr>
        <w:t xml:space="preserve">). </w:t>
      </w:r>
    </w:p>
    <w:p w14:paraId="1415FEE7" w14:textId="77777777" w:rsidR="00857844" w:rsidRDefault="00857844" w:rsidP="004907E8">
      <w:pPr>
        <w:spacing w:after="0" w:line="240" w:lineRule="auto"/>
        <w:rPr>
          <w:rFonts w:cs="Segoe UI"/>
          <w:color w:val="1D2125"/>
          <w:shd w:val="clear" w:color="auto" w:fill="FFFFFF"/>
        </w:rPr>
      </w:pPr>
    </w:p>
    <w:p w14:paraId="74FEBD99" w14:textId="20D7E683" w:rsidR="00857844" w:rsidRDefault="00700240" w:rsidP="00760E90">
      <w:pPr>
        <w:spacing w:after="0" w:line="240" w:lineRule="auto"/>
        <w:rPr>
          <w:rFonts w:cs="Segoe UI"/>
          <w:color w:val="1D2125"/>
          <w:shd w:val="clear" w:color="auto" w:fill="FFFFFF"/>
        </w:rPr>
      </w:pPr>
      <w:r>
        <w:rPr>
          <w:rFonts w:cs="Segoe UI"/>
          <w:color w:val="1D2125"/>
          <w:shd w:val="clear" w:color="auto" w:fill="FFFFFF"/>
        </w:rPr>
        <w:t xml:space="preserve">War with Rome truly became inevitable when </w:t>
      </w:r>
      <w:r w:rsidR="003869CD">
        <w:rPr>
          <w:rFonts w:cs="Segoe UI"/>
          <w:color w:val="1D2125"/>
          <w:shd w:val="clear" w:color="auto" w:fill="FFFFFF"/>
        </w:rPr>
        <w:t xml:space="preserve">a small group of </w:t>
      </w:r>
      <w:r>
        <w:rPr>
          <w:rFonts w:cs="Segoe UI"/>
          <w:color w:val="1D2125"/>
          <w:shd w:val="clear" w:color="auto" w:fill="FFFFFF"/>
        </w:rPr>
        <w:t>Roman</w:t>
      </w:r>
      <w:r w:rsidR="00C13D13">
        <w:rPr>
          <w:rFonts w:cs="Segoe UI"/>
          <w:color w:val="1D2125"/>
          <w:shd w:val="clear" w:color="auto" w:fill="FFFFFF"/>
        </w:rPr>
        <w:t xml:space="preserve"> </w:t>
      </w:r>
      <w:r>
        <w:rPr>
          <w:rFonts w:cs="Segoe UI"/>
          <w:color w:val="1D2125"/>
          <w:shd w:val="clear" w:color="auto" w:fill="FFFFFF"/>
        </w:rPr>
        <w:t>soldiers</w:t>
      </w:r>
      <w:r w:rsidR="00C13D13">
        <w:rPr>
          <w:rFonts w:cs="Segoe UI"/>
          <w:color w:val="1D2125"/>
          <w:shd w:val="clear" w:color="auto" w:fill="FFFFFF"/>
        </w:rPr>
        <w:t xml:space="preserve"> who had retreated to the King’s towers requested their lives be spared in exchange for surrender of all their arms and possessions </w:t>
      </w:r>
      <w:r w:rsidR="00430DD0">
        <w:rPr>
          <w:rFonts w:cs="Segoe UI"/>
          <w:color w:val="1D2125"/>
          <w:shd w:val="clear" w:color="auto" w:fill="FFFFFF"/>
        </w:rPr>
        <w:t>(</w:t>
      </w:r>
      <w:r w:rsidR="00430DD0">
        <w:rPr>
          <w:rFonts w:cs="Segoe UI"/>
          <w:i/>
          <w:iCs/>
          <w:color w:val="1D2125"/>
          <w:shd w:val="clear" w:color="auto" w:fill="FFFFFF"/>
        </w:rPr>
        <w:t xml:space="preserve">War, </w:t>
      </w:r>
      <w:r w:rsidR="00430DD0">
        <w:rPr>
          <w:rFonts w:cs="Segoe UI"/>
          <w:color w:val="1D2125"/>
          <w:shd w:val="clear" w:color="auto" w:fill="FFFFFF"/>
        </w:rPr>
        <w:t xml:space="preserve">II. 447). Their safety was promised on oath by Eleazar, Menahem’s successor as rebel leader, but when </w:t>
      </w:r>
      <w:r w:rsidR="00E02EE4">
        <w:rPr>
          <w:rFonts w:cs="Segoe UI"/>
          <w:color w:val="1D2125"/>
          <w:shd w:val="clear" w:color="auto" w:fill="FFFFFF"/>
        </w:rPr>
        <w:t xml:space="preserve">they </w:t>
      </w:r>
      <w:r w:rsidR="00430DD0">
        <w:rPr>
          <w:rFonts w:cs="Segoe UI"/>
          <w:color w:val="1D2125"/>
          <w:shd w:val="clear" w:color="auto" w:fill="FFFFFF"/>
        </w:rPr>
        <w:t xml:space="preserve">surrendered their weapons, the rebels slaughtered them all with only </w:t>
      </w:r>
      <w:r w:rsidR="00E02EE4">
        <w:rPr>
          <w:rFonts w:cs="Segoe UI"/>
          <w:color w:val="1D2125"/>
          <w:shd w:val="clear" w:color="auto" w:fill="FFFFFF"/>
        </w:rPr>
        <w:t xml:space="preserve">their leader </w:t>
      </w:r>
      <w:r w:rsidR="00430DD0">
        <w:rPr>
          <w:rFonts w:cs="Segoe UI"/>
          <w:color w:val="1D2125"/>
          <w:shd w:val="clear" w:color="auto" w:fill="FFFFFF"/>
        </w:rPr>
        <w:t xml:space="preserve">Metilius surviving after </w:t>
      </w:r>
      <w:r w:rsidR="00796146">
        <w:rPr>
          <w:rFonts w:cs="Segoe UI"/>
          <w:color w:val="1D2125"/>
          <w:shd w:val="clear" w:color="auto" w:fill="FFFFFF"/>
        </w:rPr>
        <w:t xml:space="preserve">begging </w:t>
      </w:r>
      <w:r w:rsidR="00430DD0">
        <w:rPr>
          <w:rFonts w:cs="Segoe UI"/>
          <w:color w:val="1D2125"/>
          <w:shd w:val="clear" w:color="auto" w:fill="FFFFFF"/>
        </w:rPr>
        <w:t>for mercy (</w:t>
      </w:r>
      <w:r w:rsidR="00430DD0">
        <w:rPr>
          <w:rFonts w:cs="Segoe UI"/>
          <w:i/>
          <w:iCs/>
          <w:color w:val="1D2125"/>
          <w:shd w:val="clear" w:color="auto" w:fill="FFFFFF"/>
        </w:rPr>
        <w:t xml:space="preserve">War, </w:t>
      </w:r>
      <w:r w:rsidR="00430DD0">
        <w:rPr>
          <w:rFonts w:cs="Segoe UI"/>
          <w:color w:val="1D2125"/>
          <w:shd w:val="clear" w:color="auto" w:fill="FFFFFF"/>
        </w:rPr>
        <w:t xml:space="preserve">II. </w:t>
      </w:r>
      <w:r w:rsidR="00A67388">
        <w:rPr>
          <w:rFonts w:cs="Segoe UI"/>
          <w:color w:val="1D2125"/>
          <w:shd w:val="clear" w:color="auto" w:fill="FFFFFF"/>
        </w:rPr>
        <w:t xml:space="preserve">447). </w:t>
      </w:r>
      <w:r w:rsidR="0033784C">
        <w:rPr>
          <w:rFonts w:cs="Segoe UI"/>
          <w:color w:val="1D2125"/>
          <w:shd w:val="clear" w:color="auto" w:fill="FFFFFF"/>
        </w:rPr>
        <w:t xml:space="preserve">A key </w:t>
      </w:r>
      <w:r w:rsidR="00A419D3">
        <w:rPr>
          <w:rFonts w:cs="Segoe UI"/>
          <w:color w:val="1D2125"/>
          <w:shd w:val="clear" w:color="auto" w:fill="FFFFFF"/>
        </w:rPr>
        <w:t>consequence of t</w:t>
      </w:r>
      <w:r w:rsidR="00A67388">
        <w:rPr>
          <w:rFonts w:cs="Segoe UI"/>
          <w:color w:val="1D2125"/>
          <w:shd w:val="clear" w:color="auto" w:fill="FFFFFF"/>
        </w:rPr>
        <w:t>h</w:t>
      </w:r>
      <w:r w:rsidR="00857844">
        <w:rPr>
          <w:rFonts w:cs="Segoe UI"/>
          <w:color w:val="1D2125"/>
          <w:shd w:val="clear" w:color="auto" w:fill="FFFFFF"/>
        </w:rPr>
        <w:t>is</w:t>
      </w:r>
      <w:r w:rsidR="00A67388">
        <w:rPr>
          <w:rFonts w:cs="Segoe UI"/>
          <w:color w:val="1D2125"/>
          <w:shd w:val="clear" w:color="auto" w:fill="FFFFFF"/>
        </w:rPr>
        <w:t xml:space="preserve"> breakdown of Roman authority in Judaea and Syria </w:t>
      </w:r>
      <w:r w:rsidR="00A419D3">
        <w:rPr>
          <w:rFonts w:cs="Segoe UI"/>
          <w:color w:val="1D2125"/>
          <w:shd w:val="clear" w:color="auto" w:fill="FFFFFF"/>
        </w:rPr>
        <w:t>was a</w:t>
      </w:r>
      <w:r w:rsidR="00E02EE4">
        <w:rPr>
          <w:rFonts w:cs="Segoe UI"/>
          <w:color w:val="1D2125"/>
          <w:shd w:val="clear" w:color="auto" w:fill="FFFFFF"/>
        </w:rPr>
        <w:t xml:space="preserve"> sharp increase in</w:t>
      </w:r>
      <w:r w:rsidR="00A67388">
        <w:rPr>
          <w:rFonts w:cs="Segoe UI"/>
          <w:color w:val="1D2125"/>
          <w:shd w:val="clear" w:color="auto" w:fill="FFFFFF"/>
        </w:rPr>
        <w:t xml:space="preserve"> violence in cities with high levels of racial tension between </w:t>
      </w:r>
      <w:r w:rsidR="0033784C">
        <w:rPr>
          <w:rFonts w:cs="Segoe UI"/>
          <w:color w:val="1D2125"/>
          <w:shd w:val="clear" w:color="auto" w:fill="FFFFFF"/>
        </w:rPr>
        <w:t>Jew</w:t>
      </w:r>
      <w:r w:rsidR="00A67388">
        <w:rPr>
          <w:rFonts w:cs="Segoe UI"/>
          <w:color w:val="1D2125"/>
          <w:shd w:val="clear" w:color="auto" w:fill="FFFFFF"/>
        </w:rPr>
        <w:t>s</w:t>
      </w:r>
      <w:r w:rsidR="0033784C">
        <w:rPr>
          <w:rFonts w:cs="Segoe UI"/>
          <w:color w:val="1D2125"/>
          <w:shd w:val="clear" w:color="auto" w:fill="FFFFFF"/>
        </w:rPr>
        <w:t xml:space="preserve"> and Gentiles</w:t>
      </w:r>
      <w:r w:rsidR="00A67388">
        <w:rPr>
          <w:rFonts w:cs="Segoe UI"/>
          <w:color w:val="1D2125"/>
          <w:shd w:val="clear" w:color="auto" w:fill="FFFFFF"/>
        </w:rPr>
        <w:t>.</w:t>
      </w:r>
      <w:r w:rsidR="00A67388">
        <w:rPr>
          <w:rStyle w:val="FootnoteReference"/>
          <w:rFonts w:cs="Segoe UI"/>
          <w:color w:val="1D2125"/>
          <w:shd w:val="clear" w:color="auto" w:fill="FFFFFF"/>
        </w:rPr>
        <w:footnoteReference w:id="5"/>
      </w:r>
      <w:r w:rsidR="00A67388">
        <w:rPr>
          <w:rFonts w:cs="Segoe UI"/>
          <w:color w:val="1D2125"/>
          <w:shd w:val="clear" w:color="auto" w:fill="FFFFFF"/>
        </w:rPr>
        <w:t xml:space="preserve">  </w:t>
      </w:r>
      <w:r w:rsidR="00EF7681">
        <w:rPr>
          <w:rFonts w:cs="Segoe UI"/>
          <w:color w:val="1D2125"/>
          <w:shd w:val="clear" w:color="auto" w:fill="FFFFFF"/>
        </w:rPr>
        <w:t>The catalyst for this escalation was the massacre of Caesarea’s Jewish colony by their Greek neighbours, with more than 20,000 reported killed (</w:t>
      </w:r>
      <w:r w:rsidR="00EF7681">
        <w:rPr>
          <w:rFonts w:cs="Segoe UI"/>
          <w:i/>
          <w:iCs/>
          <w:color w:val="1D2125"/>
          <w:shd w:val="clear" w:color="auto" w:fill="FFFFFF"/>
        </w:rPr>
        <w:t xml:space="preserve">War, </w:t>
      </w:r>
      <w:r w:rsidR="00EF7681">
        <w:rPr>
          <w:rFonts w:cs="Segoe UI"/>
          <w:color w:val="1D2125"/>
          <w:shd w:val="clear" w:color="auto" w:fill="FFFFFF"/>
        </w:rPr>
        <w:t xml:space="preserve">II. 467). </w:t>
      </w:r>
      <w:r w:rsidR="00D103F9">
        <w:rPr>
          <w:rFonts w:cs="Segoe UI"/>
          <w:color w:val="1D2125"/>
          <w:shd w:val="clear" w:color="auto" w:fill="FFFFFF"/>
        </w:rPr>
        <w:t>This led to Jewish reprisals on the Phoenician coast.</w:t>
      </w:r>
      <w:r w:rsidR="00D103F9">
        <w:rPr>
          <w:rStyle w:val="FootnoteReference"/>
          <w:rFonts w:cs="Segoe UI"/>
          <w:color w:val="1D2125"/>
          <w:shd w:val="clear" w:color="auto" w:fill="FFFFFF"/>
        </w:rPr>
        <w:footnoteReference w:id="6"/>
      </w:r>
      <w:r w:rsidR="00726B8F">
        <w:rPr>
          <w:rFonts w:cs="Segoe UI"/>
          <w:color w:val="1D2125"/>
          <w:shd w:val="clear" w:color="auto" w:fill="FFFFFF"/>
        </w:rPr>
        <w:t xml:space="preserve"> </w:t>
      </w:r>
      <w:r w:rsidR="009D1720">
        <w:t>From 66-68 CE, the Roman</w:t>
      </w:r>
      <w:r w:rsidR="00E02EE4">
        <w:t xml:space="preserve"> forces dispatched by the emperor</w:t>
      </w:r>
      <w:r w:rsidR="00E05754">
        <w:t xml:space="preserve"> </w:t>
      </w:r>
      <w:r w:rsidR="009D1720">
        <w:t xml:space="preserve">led by the decorated general Vespasian, successfully suppressed the revolt in the Golan, </w:t>
      </w:r>
      <w:r w:rsidR="0018779D">
        <w:t>Galilee,</w:t>
      </w:r>
      <w:r w:rsidR="009D1720">
        <w:t xml:space="preserve"> and coastal areas, but could not retake Jerusalem</w:t>
      </w:r>
      <w:r w:rsidR="00E05754">
        <w:t xml:space="preserve"> before the death of the emperor Nero caused serious </w:t>
      </w:r>
      <w:r w:rsidR="00D779FD">
        <w:t>political issues in Rome, and the Roman forces halted their campaign</w:t>
      </w:r>
      <w:r w:rsidR="009D1720">
        <w:t>.</w:t>
      </w:r>
      <w:r w:rsidR="009D1720">
        <w:rPr>
          <w:rStyle w:val="FootnoteReference"/>
        </w:rPr>
        <w:footnoteReference w:id="7"/>
      </w:r>
      <w:r w:rsidR="00817ABF">
        <w:t xml:space="preserve"> </w:t>
      </w:r>
    </w:p>
    <w:p w14:paraId="0F557FF5" w14:textId="77777777" w:rsidR="00760E90" w:rsidRPr="00760E90" w:rsidRDefault="00760E90" w:rsidP="00760E90">
      <w:pPr>
        <w:spacing w:after="0" w:line="240" w:lineRule="auto"/>
        <w:rPr>
          <w:rFonts w:cs="Segoe UI"/>
          <w:color w:val="1D2125"/>
          <w:shd w:val="clear" w:color="auto" w:fill="FFFFFF"/>
        </w:rPr>
      </w:pPr>
    </w:p>
    <w:p w14:paraId="33B171EA" w14:textId="7D6450D4" w:rsidR="00553EBC" w:rsidRDefault="00817ABF" w:rsidP="00857844">
      <w:r>
        <w:t>However</w:t>
      </w:r>
      <w:r w:rsidR="009D2277">
        <w:t>,</w:t>
      </w:r>
      <w:r>
        <w:t xml:space="preserve"> </w:t>
      </w:r>
      <w:r w:rsidR="008C0BC3">
        <w:t xml:space="preserve">rebel </w:t>
      </w:r>
      <w:r>
        <w:t>faction</w:t>
      </w:r>
      <w:r w:rsidR="008C0BC3">
        <w:t>-</w:t>
      </w:r>
      <w:r>
        <w:t xml:space="preserve">fighting meant that the bloodshed did not cease </w:t>
      </w:r>
      <w:r w:rsidR="008C0641">
        <w:t xml:space="preserve">in Jerusalem. </w:t>
      </w:r>
      <w:r w:rsidR="009D2277">
        <w:t>At this time the rebels in Jerusalem were divided into three extremist factions led by John of Gischala, Eleazar ben Simon and Simon bar Giora.</w:t>
      </w:r>
      <w:r w:rsidR="009D2277">
        <w:rPr>
          <w:rStyle w:val="FootnoteReference"/>
        </w:rPr>
        <w:footnoteReference w:id="8"/>
      </w:r>
      <w:r w:rsidR="009D2277">
        <w:t xml:space="preserve"> </w:t>
      </w:r>
      <w:r w:rsidR="00183BE3">
        <w:t>When a</w:t>
      </w:r>
      <w:r w:rsidR="0018779D">
        <w:t xml:space="preserve">nti-rebellion leaders in Jerusalem implored the rebels to surrender peacefully to save as many Jewish lives as possible, the rebels publicly executed them </w:t>
      </w:r>
      <w:r w:rsidR="009D2277">
        <w:t xml:space="preserve">to </w:t>
      </w:r>
      <w:r w:rsidR="00183BE3">
        <w:t>show the consequences of</w:t>
      </w:r>
      <w:r w:rsidR="008C0641">
        <w:t xml:space="preserve"> submitting to the Romans</w:t>
      </w:r>
      <w:r w:rsidR="00183BE3">
        <w:t>.</w:t>
      </w:r>
      <w:r w:rsidR="00240CCF">
        <w:rPr>
          <w:rStyle w:val="FootnoteReference"/>
        </w:rPr>
        <w:footnoteReference w:id="9"/>
      </w:r>
      <w:r w:rsidR="00857844">
        <w:t xml:space="preserve"> </w:t>
      </w:r>
      <w:r w:rsidR="00E34FA0">
        <w:t>Meanwhile, Vespasian managed to secure the throne using his support from the legions under his command and returned to Rome, lea</w:t>
      </w:r>
      <w:r w:rsidR="00835058">
        <w:t>ving control of the legions and war effort to his son Titus</w:t>
      </w:r>
      <w:r w:rsidR="0041053C">
        <w:t>,</w:t>
      </w:r>
      <w:r w:rsidR="00C36E7A">
        <w:t xml:space="preserve"> </w:t>
      </w:r>
      <w:r w:rsidR="0041053C">
        <w:t xml:space="preserve">who </w:t>
      </w:r>
      <w:r w:rsidR="00C36E7A">
        <w:t>restarted the war operations in summer of 69 CE</w:t>
      </w:r>
      <w:r w:rsidR="00EB1DD6">
        <w:t>,</w:t>
      </w:r>
      <w:r w:rsidR="00C36E7A">
        <w:rPr>
          <w:rStyle w:val="FootnoteReference"/>
        </w:rPr>
        <w:footnoteReference w:id="10"/>
      </w:r>
      <w:r w:rsidR="00EB1DD6">
        <w:t xml:space="preserve"> </w:t>
      </w:r>
      <w:r w:rsidR="00857844">
        <w:t>and marched on Jerusalem to begin a siege on April 14</w:t>
      </w:r>
      <w:r w:rsidR="00857844" w:rsidRPr="00857844">
        <w:rPr>
          <w:vertAlign w:val="superscript"/>
        </w:rPr>
        <w:t>th</w:t>
      </w:r>
      <w:r w:rsidR="00857844">
        <w:t xml:space="preserve"> 70 CE</w:t>
      </w:r>
      <w:r w:rsidR="00EB1DD6">
        <w:t>.</w:t>
      </w:r>
      <w:r w:rsidR="00EB1DD6">
        <w:rPr>
          <w:rStyle w:val="FootnoteReference"/>
        </w:rPr>
        <w:footnoteReference w:id="11"/>
      </w:r>
      <w:r w:rsidR="00EB1DD6">
        <w:t xml:space="preserve"> </w:t>
      </w:r>
    </w:p>
    <w:p w14:paraId="1481223D" w14:textId="75799057" w:rsidR="00346B99" w:rsidRDefault="007D5231" w:rsidP="00335391">
      <w:r>
        <w:t xml:space="preserve">The civil war between Simon bar Giora and John of Gischala continued in Jerusalem </w:t>
      </w:r>
      <w:r w:rsidR="00553EBC">
        <w:t>until</w:t>
      </w:r>
      <w:r>
        <w:t xml:space="preserve"> the Romans </w:t>
      </w:r>
      <w:r w:rsidR="00553EBC">
        <w:t>placed battering rams</w:t>
      </w:r>
      <w:r w:rsidR="00857844">
        <w:t xml:space="preserve">, when they </w:t>
      </w:r>
      <w:r>
        <w:t>began to collaborate to co-ordinate the defence of Jerusalem.</w:t>
      </w:r>
      <w:r>
        <w:rPr>
          <w:rStyle w:val="FootnoteReference"/>
        </w:rPr>
        <w:footnoteReference w:id="12"/>
      </w:r>
      <w:r>
        <w:t xml:space="preserve"> </w:t>
      </w:r>
      <w:r w:rsidR="003B2CEC">
        <w:t>The impact of the siege was not just physical</w:t>
      </w:r>
      <w:r w:rsidR="00622EE7">
        <w:t xml:space="preserve">; </w:t>
      </w:r>
      <w:r w:rsidR="003B2CEC">
        <w:t xml:space="preserve">it was also damaging to morale. </w:t>
      </w:r>
      <w:r w:rsidR="00622EE7">
        <w:t>The people were starving, leading to fighting over food</w:t>
      </w:r>
      <w:r w:rsidR="00243D33">
        <w:t xml:space="preserve">, and </w:t>
      </w:r>
      <w:r w:rsidR="003B2CEC">
        <w:t>daily sacrifices in the Temple had to be stopped because the city had run out of lambs.</w:t>
      </w:r>
      <w:r w:rsidR="003B2CEC">
        <w:rPr>
          <w:rStyle w:val="FootnoteReference"/>
        </w:rPr>
        <w:footnoteReference w:id="13"/>
      </w:r>
      <w:r w:rsidR="00972404">
        <w:t xml:space="preserve"> </w:t>
      </w:r>
      <w:r w:rsidR="008802B2">
        <w:t xml:space="preserve">After a four-month siege, the Roman forces </w:t>
      </w:r>
      <w:r w:rsidR="008802B2">
        <w:lastRenderedPageBreak/>
        <w:t>breached Temple walls, massacred the city’s inhabitants, and set the Temple alight, destroying it.</w:t>
      </w:r>
      <w:r w:rsidR="008802B2">
        <w:rPr>
          <w:rStyle w:val="FootnoteReference"/>
        </w:rPr>
        <w:footnoteReference w:id="14"/>
      </w:r>
      <w:r w:rsidR="00A51E6B">
        <w:t xml:space="preserve"> </w:t>
      </w:r>
      <w:r w:rsidR="00080C28">
        <w:t xml:space="preserve">Religiously </w:t>
      </w:r>
      <w:r w:rsidR="00346B99" w:rsidRPr="00CF432C">
        <w:t xml:space="preserve">as well as militarily, </w:t>
      </w:r>
      <w:r w:rsidR="00080C28">
        <w:t xml:space="preserve">the Jews </w:t>
      </w:r>
      <w:r w:rsidR="00346B99" w:rsidRPr="00CF432C">
        <w:t>had been completely defeated.</w:t>
      </w:r>
    </w:p>
    <w:p w14:paraId="57713E0C" w14:textId="0C713A61" w:rsidR="00F64429" w:rsidRDefault="005602F6" w:rsidP="00F64429">
      <w:r>
        <w:t>In the aftermath of the war, the Romans gave Judaea the status of a full province</w:t>
      </w:r>
      <w:r w:rsidR="00346B99">
        <w:t xml:space="preserve">, to ensure </w:t>
      </w:r>
      <w:r w:rsidR="00723EC5">
        <w:t>governors had to be qualified senators.</w:t>
      </w:r>
      <w:r w:rsidR="00B03F32">
        <w:rPr>
          <w:rStyle w:val="FootnoteReference"/>
        </w:rPr>
        <w:footnoteReference w:id="15"/>
      </w:r>
      <w:r w:rsidR="00B03F32">
        <w:t xml:space="preserve"> The Romans also left the</w:t>
      </w:r>
      <w:r w:rsidR="00723EC5">
        <w:t xml:space="preserve"> </w:t>
      </w:r>
      <w:r w:rsidR="00B03F32">
        <w:t>Tenth Legion stationed in Jerusalem to maintain control.</w:t>
      </w:r>
      <w:r w:rsidR="00B03F32">
        <w:rPr>
          <w:rStyle w:val="FootnoteReference"/>
        </w:rPr>
        <w:footnoteReference w:id="16"/>
      </w:r>
      <w:r w:rsidR="00F64429">
        <w:t xml:space="preserve"> </w:t>
      </w:r>
    </w:p>
    <w:p w14:paraId="0A836F79" w14:textId="36110F56" w:rsidR="00296401" w:rsidRDefault="00E45FA9" w:rsidP="00F64429">
      <w:r>
        <w:t>In 73 CE, Lucius Flavius Silva assigned the Legion X Fretensis to eliminate the last rebel stronghold at Masada</w:t>
      </w:r>
      <w:r w:rsidR="00AC6063">
        <w:t>,</w:t>
      </w:r>
      <w:r>
        <w:rPr>
          <w:rStyle w:val="FootnoteReference"/>
        </w:rPr>
        <w:footnoteReference w:id="17"/>
      </w:r>
      <w:r>
        <w:t xml:space="preserve"> </w:t>
      </w:r>
      <w:r w:rsidR="00AC6063">
        <w:t xml:space="preserve">a </w:t>
      </w:r>
      <w:r w:rsidR="00296401">
        <w:t>mountain complex in the Judaean desert overlooking the Dead Sea.</w:t>
      </w:r>
      <w:r w:rsidR="00296401">
        <w:rPr>
          <w:rStyle w:val="FootnoteReference"/>
        </w:rPr>
        <w:footnoteReference w:id="18"/>
      </w:r>
      <w:r w:rsidR="00296401">
        <w:t xml:space="preserve"> </w:t>
      </w:r>
      <w:r w:rsidR="00F82015">
        <w:t xml:space="preserve">Remnants </w:t>
      </w:r>
      <w:r w:rsidR="00296401">
        <w:t>of siege camps, a circumvallation wall and a ramp for a battering ram excavated</w:t>
      </w:r>
      <w:r w:rsidR="003A6B95">
        <w:t xml:space="preserve"> by archaeologist</w:t>
      </w:r>
      <w:r w:rsidR="00296401">
        <w:t xml:space="preserve"> at Masada expose Silva’s </w:t>
      </w:r>
      <w:r w:rsidR="003A6B95">
        <w:t xml:space="preserve">siege </w:t>
      </w:r>
      <w:r w:rsidR="00296401">
        <w:t>strategy.</w:t>
      </w:r>
      <w:r w:rsidR="00296401">
        <w:rPr>
          <w:rStyle w:val="FootnoteReference"/>
        </w:rPr>
        <w:footnoteReference w:id="19"/>
      </w:r>
      <w:r w:rsidR="00296401">
        <w:t xml:space="preserve"> </w:t>
      </w:r>
    </w:p>
    <w:p w14:paraId="7A4E6D41" w14:textId="4A2D5CBA" w:rsidR="00175FA1" w:rsidRPr="0041676B" w:rsidRDefault="00175FA1" w:rsidP="00FB3582">
      <w:r>
        <w:t xml:space="preserve">Josephus </w:t>
      </w:r>
      <w:r w:rsidR="00D8284C">
        <w:t xml:space="preserve">documents </w:t>
      </w:r>
      <w:r w:rsidR="009402FB">
        <w:t>that towards the end of th</w:t>
      </w:r>
      <w:r w:rsidR="0067388F">
        <w:t xml:space="preserve">e </w:t>
      </w:r>
      <w:r w:rsidR="009402FB">
        <w:t xml:space="preserve">siege when </w:t>
      </w:r>
      <w:r w:rsidR="00184E3D">
        <w:t xml:space="preserve">Roman victory </w:t>
      </w:r>
      <w:r w:rsidR="009402FB">
        <w:t>became inevitable, the leader of the</w:t>
      </w:r>
      <w:r w:rsidR="0067388F">
        <w:t xml:space="preserve"> rebel group </w:t>
      </w:r>
      <w:r w:rsidR="002A0F0F">
        <w:t xml:space="preserve">camped at Masada, Eleazar </w:t>
      </w:r>
      <w:r w:rsidR="006E2552">
        <w:t xml:space="preserve">ben </w:t>
      </w:r>
      <w:proofErr w:type="spellStart"/>
      <w:r w:rsidR="006E2552">
        <w:t>Ya’ir</w:t>
      </w:r>
      <w:proofErr w:type="spellEnd"/>
      <w:r w:rsidR="00187D4A">
        <w:t xml:space="preserve">, gave </w:t>
      </w:r>
      <w:r w:rsidR="001B117C">
        <w:t xml:space="preserve">an </w:t>
      </w:r>
      <w:r w:rsidR="00187D4A">
        <w:t xml:space="preserve">impassioned speech to convince his followers it would be better for them to die </w:t>
      </w:r>
      <w:r w:rsidR="00F47B68">
        <w:t>than become slaves</w:t>
      </w:r>
      <w:r w:rsidR="00187D4A">
        <w:t xml:space="preserve"> of Rome</w:t>
      </w:r>
      <w:r w:rsidR="00FE62F9">
        <w:t xml:space="preserve"> (</w:t>
      </w:r>
      <w:r w:rsidR="00FE62F9">
        <w:rPr>
          <w:i/>
          <w:iCs/>
        </w:rPr>
        <w:t xml:space="preserve">War, </w:t>
      </w:r>
      <w:r w:rsidR="00033773">
        <w:t xml:space="preserve">VII. 315). </w:t>
      </w:r>
      <w:r w:rsidR="00F417CC">
        <w:t xml:space="preserve">Inspired by his pleas for the men to save their wives and children from suffering at the hands of the Romans, Josephus describes in detail how the group collectively killed their families before </w:t>
      </w:r>
      <w:r w:rsidR="00F47B68">
        <w:t xml:space="preserve">systematically </w:t>
      </w:r>
      <w:r w:rsidR="00F417CC">
        <w:t xml:space="preserve">ending each other’s lives </w:t>
      </w:r>
      <w:r w:rsidR="00747F04">
        <w:t>(</w:t>
      </w:r>
      <w:r w:rsidR="00747F04">
        <w:rPr>
          <w:i/>
          <w:iCs/>
        </w:rPr>
        <w:t xml:space="preserve">War, </w:t>
      </w:r>
      <w:r w:rsidR="00747F04">
        <w:t xml:space="preserve">VII. 390). </w:t>
      </w:r>
      <w:r w:rsidR="00773708">
        <w:t>Josephus reports they displayed their supplies of fo</w:t>
      </w:r>
      <w:r w:rsidR="00F27DB2">
        <w:t>o</w:t>
      </w:r>
      <w:r w:rsidR="00773708">
        <w:t xml:space="preserve">d to show the Romans that they </w:t>
      </w:r>
      <w:r w:rsidR="00F27DB2">
        <w:t>could have survived much longer if they chose</w:t>
      </w:r>
      <w:r w:rsidR="0041676B">
        <w:t xml:space="preserve"> (</w:t>
      </w:r>
      <w:r w:rsidR="0041676B">
        <w:rPr>
          <w:i/>
          <w:iCs/>
        </w:rPr>
        <w:t xml:space="preserve">War, </w:t>
      </w:r>
      <w:r w:rsidR="0041676B">
        <w:t xml:space="preserve">VII. 340). </w:t>
      </w:r>
    </w:p>
    <w:p w14:paraId="2D7904D0" w14:textId="32149000" w:rsidR="00296401" w:rsidRDefault="00B93CE4" w:rsidP="0079290B">
      <w:r>
        <w:t>However, a</w:t>
      </w:r>
      <w:r w:rsidR="00296401">
        <w:t xml:space="preserve"> few issues emerge with Josephus’ description of the events at Masada. Firstly, Josephus was not an eyewitness to the events, </w:t>
      </w:r>
      <w:r w:rsidR="0079290B">
        <w:t xml:space="preserve">and </w:t>
      </w:r>
      <w:r w:rsidR="004577AA">
        <w:t xml:space="preserve">neither were </w:t>
      </w:r>
      <w:r w:rsidR="0079290B">
        <w:t>the old woman and small children he describes as the only surviving witnesses</w:t>
      </w:r>
      <w:r w:rsidR="004577AA">
        <w:t>.</w:t>
      </w:r>
      <w:r w:rsidR="00296401">
        <w:rPr>
          <w:rStyle w:val="FootnoteReference"/>
        </w:rPr>
        <w:footnoteReference w:id="20"/>
      </w:r>
      <w:r w:rsidR="008F799D">
        <w:t xml:space="preserve"> </w:t>
      </w:r>
      <w:r w:rsidR="00296401">
        <w:t>Archaeological evidence is</w:t>
      </w:r>
      <w:r w:rsidR="001C5F8B">
        <w:t xml:space="preserve"> even</w:t>
      </w:r>
      <w:r w:rsidR="00296401">
        <w:t xml:space="preserve"> more damning concerning the </w:t>
      </w:r>
      <w:r w:rsidR="001C5F8B">
        <w:t>accuracy</w:t>
      </w:r>
      <w:r w:rsidR="00296401">
        <w:t xml:space="preserve"> of Josephus’ account. Along with </w:t>
      </w:r>
      <w:r w:rsidR="001C5F8B">
        <w:t>issues</w:t>
      </w:r>
      <w:r w:rsidR="00296401">
        <w:t xml:space="preserve"> in his description of the topography and architecture of the site, there is a major discrepancy involving the amount of remains found by archaeologists.</w:t>
      </w:r>
      <w:r w:rsidR="00296401">
        <w:rPr>
          <w:rStyle w:val="FootnoteReference"/>
        </w:rPr>
        <w:footnoteReference w:id="21"/>
      </w:r>
      <w:r w:rsidR="00296401">
        <w:t xml:space="preserve"> Josephus claimed that the Romans found the bodies of more than nine hundred, but just under thirty bodies have been discovered</w:t>
      </w:r>
      <w:r w:rsidR="00F4783D">
        <w:t xml:space="preserve"> in the whole site</w:t>
      </w:r>
      <w:r w:rsidR="00296401">
        <w:t>.</w:t>
      </w:r>
      <w:r w:rsidR="00296401">
        <w:rPr>
          <w:rStyle w:val="FootnoteReference"/>
        </w:rPr>
        <w:footnoteReference w:id="22"/>
      </w:r>
      <w:r w:rsidR="00296401">
        <w:t xml:space="preserve"> </w:t>
      </w:r>
    </w:p>
    <w:p w14:paraId="3328ADF6" w14:textId="79BECDFE" w:rsidR="00D1738D" w:rsidRDefault="00296401" w:rsidP="008F799D">
      <w:r>
        <w:t>The story of Masada’s staunch defence may have been emphasised by Josephus in order to flatter the Romans</w:t>
      </w:r>
      <w:r w:rsidR="00335391">
        <w:t xml:space="preserve"> and </w:t>
      </w:r>
      <w:r>
        <w:t xml:space="preserve">also acts as excellent propaganda to deter future rebellions </w:t>
      </w:r>
      <w:r w:rsidR="001C5F8B">
        <w:t xml:space="preserve">against </w:t>
      </w:r>
      <w:r>
        <w:t>Rome.</w:t>
      </w:r>
      <w:r>
        <w:rPr>
          <w:rStyle w:val="FootnoteReference"/>
        </w:rPr>
        <w:footnoteReference w:id="23"/>
      </w:r>
      <w:r w:rsidR="008F799D">
        <w:t xml:space="preserve"> </w:t>
      </w:r>
      <w:r w:rsidR="000E3F4D">
        <w:t>It is important to note that Josephus</w:t>
      </w:r>
      <w:r w:rsidR="00300E09">
        <w:t xml:space="preserve"> solicited the endorsement of Agrippa II </w:t>
      </w:r>
      <w:r w:rsidR="00680B84">
        <w:t xml:space="preserve">and </w:t>
      </w:r>
      <w:r w:rsidR="00300E09">
        <w:t xml:space="preserve">the Flavians, particularly Titus, for the writing of </w:t>
      </w:r>
      <w:r w:rsidR="00300E09">
        <w:rPr>
          <w:i/>
          <w:iCs/>
        </w:rPr>
        <w:t>Jewish War.</w:t>
      </w:r>
      <w:r w:rsidR="00300E09">
        <w:rPr>
          <w:rStyle w:val="FootnoteReference"/>
          <w:i/>
          <w:iCs/>
        </w:rPr>
        <w:footnoteReference w:id="24"/>
      </w:r>
      <w:r w:rsidR="000E3F4D">
        <w:t xml:space="preserve"> </w:t>
      </w:r>
      <w:r w:rsidR="00006A55">
        <w:t>These political figure</w:t>
      </w:r>
      <w:r w:rsidR="00970E61">
        <w:t>s were in a position to approve or censure his account, and</w:t>
      </w:r>
      <w:r w:rsidR="00185C93">
        <w:t xml:space="preserve"> </w:t>
      </w:r>
      <w:r w:rsidR="008F799D">
        <w:t xml:space="preserve">the need to please his patrons would have </w:t>
      </w:r>
      <w:r w:rsidR="00580F79">
        <w:t xml:space="preserve">impacted </w:t>
      </w:r>
      <w:r w:rsidR="008F799D">
        <w:t>hi</w:t>
      </w:r>
      <w:r w:rsidR="00580F79">
        <w:t>m</w:t>
      </w:r>
      <w:r w:rsidR="008F799D">
        <w:t>.</w:t>
      </w:r>
      <w:r w:rsidR="008F799D">
        <w:rPr>
          <w:rStyle w:val="FootnoteReference"/>
        </w:rPr>
        <w:footnoteReference w:id="25"/>
      </w:r>
      <w:r w:rsidR="001E0F30">
        <w:t xml:space="preserve"> Archaeologist Jodi Magness argues that without further evidence being discovered</w:t>
      </w:r>
      <w:r w:rsidR="00DE4987">
        <w:t>, Josephus’ story of the mass suicide at Masada cannot be verified.</w:t>
      </w:r>
      <w:r w:rsidR="00DE4987">
        <w:rPr>
          <w:rStyle w:val="FootnoteReference"/>
        </w:rPr>
        <w:footnoteReference w:id="26"/>
      </w:r>
    </w:p>
    <w:p w14:paraId="68E3898E" w14:textId="1442A2DA" w:rsidR="00085C14" w:rsidRDefault="00D2608A" w:rsidP="00AB00F9">
      <w:r>
        <w:lastRenderedPageBreak/>
        <w:t xml:space="preserve">Whether or not Josephus’ account is verifiable historically, his creation of Eleazar’s speech offers insight into cultural beliefs around martyrdom at the time of the revolt. </w:t>
      </w:r>
      <w:r w:rsidR="00DB10AF">
        <w:t xml:space="preserve">Eleazar’s speech encouraging his followers to commit </w:t>
      </w:r>
      <w:r w:rsidR="001C5F8B">
        <w:t xml:space="preserve">mass </w:t>
      </w:r>
      <w:r w:rsidR="00DB10AF">
        <w:t xml:space="preserve">suicide to avoid capture by the Romans </w:t>
      </w:r>
      <w:r w:rsidR="00843A4F">
        <w:t xml:space="preserve">is fraught with </w:t>
      </w:r>
      <w:r w:rsidR="003B19C1">
        <w:t xml:space="preserve">his </w:t>
      </w:r>
      <w:r w:rsidR="00D017AE">
        <w:t xml:space="preserve">ideological </w:t>
      </w:r>
      <w:r w:rsidR="00843A4F">
        <w:t xml:space="preserve">excusal of martyrdom. </w:t>
      </w:r>
      <w:r w:rsidR="00523C5B">
        <w:t xml:space="preserve">A primary theme in Eleazar’s plea to the group is </w:t>
      </w:r>
      <w:r w:rsidR="00870F4D">
        <w:t xml:space="preserve">the avoidance of slavery: </w:t>
      </w:r>
      <w:r w:rsidR="00BC6849">
        <w:t>“let our wives die unabused, our children without knowledge of slavery” (VII. 340)</w:t>
      </w:r>
      <w:r w:rsidR="00C91C8F">
        <w:t xml:space="preserve"> and </w:t>
      </w:r>
      <w:r w:rsidR="00BC6849">
        <w:t xml:space="preserve">“we chose death rather than slavery” </w:t>
      </w:r>
      <w:r w:rsidR="00A87D4A">
        <w:t>(VII. 340)</w:t>
      </w:r>
      <w:r w:rsidR="00C91C8F">
        <w:t xml:space="preserve">. </w:t>
      </w:r>
      <w:r w:rsidR="00AB7208">
        <w:t>Furthermore, t</w:t>
      </w:r>
      <w:r w:rsidR="00175FA1">
        <w:t xml:space="preserve">hroughout </w:t>
      </w:r>
      <w:r w:rsidR="00175FA1">
        <w:rPr>
          <w:i/>
          <w:iCs/>
        </w:rPr>
        <w:t xml:space="preserve">Jewish War, </w:t>
      </w:r>
      <w:r w:rsidR="00E26371">
        <w:t>there are multiple other accounts of martyrdom, including two deaths described at the destru</w:t>
      </w:r>
      <w:r w:rsidR="005D145A">
        <w:t xml:space="preserve">ction </w:t>
      </w:r>
      <w:r w:rsidR="000842B4">
        <w:t>of the Temple, when two men chose not to save their lives by surrendering and instead “th</w:t>
      </w:r>
      <w:r w:rsidR="0094581C">
        <w:t>r</w:t>
      </w:r>
      <w:r w:rsidR="000842B4">
        <w:t>ew themselves into the fire and were burnt to ashes with the sanctuary,</w:t>
      </w:r>
      <w:r w:rsidR="00042222">
        <w:t>” (</w:t>
      </w:r>
      <w:r w:rsidR="00042222">
        <w:rPr>
          <w:i/>
          <w:iCs/>
        </w:rPr>
        <w:t xml:space="preserve">War, </w:t>
      </w:r>
      <w:r w:rsidR="00471C76">
        <w:t xml:space="preserve">VI. 277) </w:t>
      </w:r>
    </w:p>
    <w:p w14:paraId="43AE3520" w14:textId="52426F96" w:rsidR="00723EC5" w:rsidRDefault="007A6FB8" w:rsidP="00723EC5">
      <w:r>
        <w:t>V</w:t>
      </w:r>
      <w:r w:rsidR="0098307C">
        <w:t xml:space="preserve">eneration </w:t>
      </w:r>
      <w:r w:rsidR="00090461">
        <w:t>of martyrdom can be observed in ancient Jewish belief</w:t>
      </w:r>
      <w:r w:rsidR="00CB4503">
        <w:t xml:space="preserve">, traced back to the account of the various martyrs depicted in </w:t>
      </w:r>
      <w:r w:rsidR="00365556">
        <w:t>Second Book of Maccabees</w:t>
      </w:r>
      <w:r w:rsidR="00365556">
        <w:rPr>
          <w:rStyle w:val="FootnoteReference"/>
        </w:rPr>
        <w:footnoteReference w:id="27"/>
      </w:r>
      <w:r w:rsidR="00365556">
        <w:t xml:space="preserve"> </w:t>
      </w:r>
      <w:r w:rsidR="0098307C">
        <w:t xml:space="preserve">and the </w:t>
      </w:r>
      <w:r w:rsidR="009747AE">
        <w:t>story of the binding of Isaac in Genesis, which in the first century was rewritten by figures such as Josephus to portray Isaac as a young adult willing to be sacrificed to God as a martyr.</w:t>
      </w:r>
      <w:r w:rsidR="009747AE">
        <w:rPr>
          <w:rStyle w:val="FootnoteReference"/>
        </w:rPr>
        <w:footnoteReference w:id="28"/>
      </w:r>
      <w:r w:rsidR="008A3102">
        <w:t xml:space="preserve"> </w:t>
      </w:r>
      <w:r w:rsidR="00A35A6A">
        <w:t xml:space="preserve">Accounts of martyrdom in ancient Jewish literature also often incorporated Greco-Roman concepts of a ‘noble death’, and this can be observed in Josephus’ invented dialogues for rebel leaders like Eleazar ben </w:t>
      </w:r>
      <w:proofErr w:type="spellStart"/>
      <w:r w:rsidR="00A35A6A">
        <w:t>Ya’ir</w:t>
      </w:r>
      <w:proofErr w:type="spellEnd"/>
      <w:r w:rsidR="00A35A6A">
        <w:t xml:space="preserve"> </w:t>
      </w:r>
      <w:r w:rsidR="00916ED3">
        <w:t>in addition to Jewish polemics against slavery and oppression under Rome.</w:t>
      </w:r>
      <w:r w:rsidR="00916ED3">
        <w:rPr>
          <w:rStyle w:val="FootnoteReference"/>
        </w:rPr>
        <w:footnoteReference w:id="29"/>
      </w:r>
    </w:p>
    <w:p w14:paraId="0DF819C5" w14:textId="3F13C96B" w:rsidR="00723EC5" w:rsidRDefault="00D74488" w:rsidP="00EF2A97">
      <w:r>
        <w:t>Next, i</w:t>
      </w:r>
      <w:r w:rsidR="00723EC5">
        <w:t xml:space="preserve">n order to </w:t>
      </w:r>
      <w:r w:rsidR="002F0B95">
        <w:t xml:space="preserve">understand </w:t>
      </w:r>
      <w:r w:rsidR="00723EC5">
        <w:t xml:space="preserve">certain events of the Jewish revolt, their religious significance must be analysed in context. </w:t>
      </w:r>
      <w:r w:rsidR="00EF2A97">
        <w:t>One key example is the assignment of the</w:t>
      </w:r>
      <w:r w:rsidR="00723EC5">
        <w:t xml:space="preserve"> high priesthood by lot </w:t>
      </w:r>
      <w:r w:rsidR="00EF2A97">
        <w:t>to a man with no priestly heritage (</w:t>
      </w:r>
      <w:r w:rsidR="00EF2A97">
        <w:rPr>
          <w:i/>
          <w:iCs/>
        </w:rPr>
        <w:t xml:space="preserve">War, </w:t>
      </w:r>
      <w:r w:rsidR="00EF2A97">
        <w:t xml:space="preserve">IV. 157), which </w:t>
      </w:r>
      <w:r w:rsidR="00723EC5">
        <w:t xml:space="preserve">can be </w:t>
      </w:r>
      <w:r w:rsidR="00EF2A97">
        <w:t xml:space="preserve">examined more closely </w:t>
      </w:r>
      <w:r w:rsidR="00723EC5">
        <w:t xml:space="preserve">through </w:t>
      </w:r>
      <w:r w:rsidR="00EF2A97">
        <w:t xml:space="preserve">a </w:t>
      </w:r>
      <w:r w:rsidR="00723EC5">
        <w:t>dissection of Israel’s high priesthood tradition. The sacrifices and other offerings in the Jerusalem Temple were carried out by a “hereditary caste of priests”</w:t>
      </w:r>
      <w:r w:rsidR="00723EC5">
        <w:rPr>
          <w:rStyle w:val="FootnoteReference"/>
        </w:rPr>
        <w:footnoteReference w:id="30"/>
      </w:r>
      <w:r w:rsidR="00723EC5">
        <w:t xml:space="preserve"> who claimed descent from the male line of Aaron, brother of Moses.</w:t>
      </w:r>
      <w:r w:rsidR="00723EC5">
        <w:rPr>
          <w:rStyle w:val="FootnoteReference"/>
        </w:rPr>
        <w:footnoteReference w:id="31"/>
      </w:r>
      <w:r w:rsidR="00723EC5">
        <w:t xml:space="preserve"> Even more exclusive was the position of high priest, which tradition dictated should ideally be given only to descendants of Zadok, high priest during the reigns of David and Solomon.</w:t>
      </w:r>
      <w:r w:rsidR="00723EC5">
        <w:rPr>
          <w:rStyle w:val="FootnoteReference"/>
        </w:rPr>
        <w:footnoteReference w:id="32"/>
      </w:r>
      <w:r w:rsidR="00723EC5">
        <w:t xml:space="preserve"> The importance of the high priest was bolstered in the late Second Temple era</w:t>
      </w:r>
      <w:r w:rsidR="00EF2A97">
        <w:t xml:space="preserve">, as </w:t>
      </w:r>
      <w:r w:rsidR="00723EC5">
        <w:t xml:space="preserve">Roman governors treated the High Priest as the representative of the Jews, </w:t>
      </w:r>
      <w:r w:rsidR="00723EC5">
        <w:rPr>
          <w:rStyle w:val="FootnoteReference"/>
        </w:rPr>
        <w:footnoteReference w:id="33"/>
      </w:r>
      <w:r w:rsidR="00723EC5">
        <w:t xml:space="preserve"> and soon after taking control over Judaea, Roman authorities took on the responsibility of appointing and deposing the high priest, “essentially transforming him into a Roman employee.”</w:t>
      </w:r>
      <w:r w:rsidR="00723EC5">
        <w:rPr>
          <w:rStyle w:val="FootnoteReference"/>
        </w:rPr>
        <w:footnoteReference w:id="34"/>
      </w:r>
      <w:r w:rsidR="00723EC5">
        <w:t xml:space="preserve"> </w:t>
      </w:r>
    </w:p>
    <w:p w14:paraId="06A8D2D8" w14:textId="45471BB7" w:rsidR="00723EC5" w:rsidRDefault="00723EC5" w:rsidP="00AC59B7">
      <w:r>
        <w:t>The rebels’ violation of the tradition of succession for the high priesthood could be attributed to a polemic against the institution of the Temple, but the coins minted for the rebels’ new envisioned state being pure silver even under the financial pressures of war shows their primary concern was the validity of the use of these new coins as offerings in the Temple.</w:t>
      </w:r>
      <w:r>
        <w:rPr>
          <w:rStyle w:val="FootnoteReference"/>
        </w:rPr>
        <w:footnoteReference w:id="35"/>
      </w:r>
      <w:r>
        <w:t xml:space="preserve"> Furthermore, Goodman describes the decision to determine the new high priest by lot as a method of “eschewing the priestly families which had been favoured by Rome.”</w:t>
      </w:r>
      <w:r>
        <w:rPr>
          <w:rStyle w:val="FootnoteReference"/>
        </w:rPr>
        <w:footnoteReference w:id="36"/>
      </w:r>
      <w:r>
        <w:t xml:space="preserve"> According to Josephus, the Zealots claimed this method of assignment was an ancient custom (</w:t>
      </w:r>
      <w:r>
        <w:rPr>
          <w:i/>
          <w:iCs/>
        </w:rPr>
        <w:t xml:space="preserve">War, </w:t>
      </w:r>
      <w:r>
        <w:t xml:space="preserve">IV. 157), as “by </w:t>
      </w:r>
      <w:r>
        <w:lastRenderedPageBreak/>
        <w:t>using the lot […], the choice was transferred from humans to God.”</w:t>
      </w:r>
      <w:r>
        <w:rPr>
          <w:rStyle w:val="FootnoteReference"/>
        </w:rPr>
        <w:footnoteReference w:id="37"/>
      </w:r>
      <w:r>
        <w:t xml:space="preserve"> The rebels therefore acted </w:t>
      </w:r>
      <w:r w:rsidR="002F6D5F">
        <w:t xml:space="preserve">purposefully </w:t>
      </w:r>
      <w:r>
        <w:t xml:space="preserve">in defiance of Rome and the </w:t>
      </w:r>
      <w:r w:rsidR="00F64429">
        <w:t xml:space="preserve">high </w:t>
      </w:r>
      <w:r>
        <w:t xml:space="preserve">priesthood that had complied with Roman demands. </w:t>
      </w:r>
    </w:p>
    <w:p w14:paraId="1C3AF7F6" w14:textId="63CF6A53" w:rsidR="0022231A" w:rsidRDefault="008F1035" w:rsidP="009605F7">
      <w:r>
        <w:t xml:space="preserve">Finally, the destruction of the Second Temple impacted </w:t>
      </w:r>
      <w:r w:rsidR="00435933">
        <w:t>the Jews</w:t>
      </w:r>
      <w:r>
        <w:t xml:space="preserve"> in such a powerful way that</w:t>
      </w:r>
      <w:r w:rsidR="00435933">
        <w:t xml:space="preserve"> it changed the face of Judaism forever. </w:t>
      </w:r>
      <w:r w:rsidR="00B54A32">
        <w:t xml:space="preserve">Firstly, the devastation demanded a theological explanation: </w:t>
      </w:r>
      <w:r w:rsidR="0079650B">
        <w:t>if God had allowed this disaster, it must have been part of a divine plan.</w:t>
      </w:r>
      <w:r w:rsidR="0079650B">
        <w:rPr>
          <w:rStyle w:val="FootnoteReference"/>
        </w:rPr>
        <w:footnoteReference w:id="38"/>
      </w:r>
      <w:r w:rsidR="0079650B">
        <w:t xml:space="preserve"> </w:t>
      </w:r>
      <w:r w:rsidR="00F64429">
        <w:t xml:space="preserve">Later rabbinic </w:t>
      </w:r>
      <w:r w:rsidR="0022231A">
        <w:t xml:space="preserve">debate </w:t>
      </w:r>
      <w:r w:rsidR="00A86D6D">
        <w:t xml:space="preserve">looked for justification for God’s allowance of the destruction, and the consensus among Jewish scholars leaned towards the </w:t>
      </w:r>
      <w:r w:rsidR="00F24B2A">
        <w:t>destruction of the Temple and the loss of the War</w:t>
      </w:r>
      <w:r w:rsidR="0057031D">
        <w:t xml:space="preserve"> being a consequence for the Jewish people’s </w:t>
      </w:r>
      <w:r w:rsidR="00F25FF1">
        <w:t>s</w:t>
      </w:r>
      <w:r w:rsidR="00CF6CEC">
        <w:t>ins.</w:t>
      </w:r>
      <w:r w:rsidR="00CF6CEC">
        <w:rPr>
          <w:rStyle w:val="FootnoteReference"/>
        </w:rPr>
        <w:footnoteReference w:id="39"/>
      </w:r>
      <w:r w:rsidR="009605F7">
        <w:t xml:space="preserve"> </w:t>
      </w:r>
      <w:r w:rsidR="0022231A">
        <w:t xml:space="preserve">Secondly, Jewish religious practices had </w:t>
      </w:r>
      <w:r w:rsidR="002B75CB">
        <w:t xml:space="preserve">to adapt to the loss of their sacrificial cult, and so focus </w:t>
      </w:r>
      <w:r w:rsidR="00162A78">
        <w:t xml:space="preserve">moved </w:t>
      </w:r>
      <w:r w:rsidR="002B75CB">
        <w:t>on</w:t>
      </w:r>
      <w:r w:rsidR="00162A78">
        <w:t>to</w:t>
      </w:r>
      <w:r w:rsidR="002B75CB">
        <w:t xml:space="preserve"> scriptural study and </w:t>
      </w:r>
      <w:r w:rsidR="00162A78">
        <w:t>home-focused worship on the Sabbat and during festivals.</w:t>
      </w:r>
      <w:r w:rsidR="00162A78">
        <w:rPr>
          <w:rStyle w:val="FootnoteReference"/>
        </w:rPr>
        <w:footnoteReference w:id="40"/>
      </w:r>
      <w:r w:rsidR="00CF6CEC">
        <w:t xml:space="preserve"> </w:t>
      </w:r>
      <w:r w:rsidR="009335E7">
        <w:t>Women became more prominent in religious practice, in contrast with their partial exclusion from public religious</w:t>
      </w:r>
      <w:r w:rsidR="002049E2">
        <w:t xml:space="preserve"> ritual, as </w:t>
      </w:r>
      <w:r w:rsidR="00B8435E">
        <w:t xml:space="preserve">their management of the household began to include </w:t>
      </w:r>
      <w:r w:rsidR="009605F7">
        <w:t>enforcement of religious practice within their families.</w:t>
      </w:r>
      <w:r w:rsidR="009605F7">
        <w:rPr>
          <w:rStyle w:val="FootnoteReference"/>
        </w:rPr>
        <w:footnoteReference w:id="41"/>
      </w:r>
      <w:r w:rsidR="009605F7">
        <w:t xml:space="preserve"> </w:t>
      </w:r>
      <w:r w:rsidR="008C5AA4">
        <w:t>In the Temple’s absence, t</w:t>
      </w:r>
      <w:r w:rsidR="00FD1140">
        <w:t>he synagogue became the focus of Jewish public faith</w:t>
      </w:r>
      <w:r w:rsidR="008C5AA4">
        <w:t xml:space="preserve">. </w:t>
      </w:r>
      <w:r w:rsidR="00EF7EF0">
        <w:t xml:space="preserve">In modern times, Jews </w:t>
      </w:r>
      <w:r w:rsidR="002207AD">
        <w:t>have an annual fast day called</w:t>
      </w:r>
      <w:r w:rsidR="00027622">
        <w:t xml:space="preserve"> </w:t>
      </w:r>
      <w:r w:rsidR="002207AD">
        <w:t xml:space="preserve">Tisha </w:t>
      </w:r>
      <w:proofErr w:type="spellStart"/>
      <w:r w:rsidR="002207AD">
        <w:t>B’Av</w:t>
      </w:r>
      <w:proofErr w:type="spellEnd"/>
      <w:r w:rsidR="002207AD">
        <w:t xml:space="preserve"> in which they mourn for the Temple, showing the</w:t>
      </w:r>
      <w:r w:rsidR="008C5AA4">
        <w:t xml:space="preserve"> far-reaching</w:t>
      </w:r>
      <w:r w:rsidR="002207AD">
        <w:t xml:space="preserve"> impact of its destruction</w:t>
      </w:r>
      <w:r w:rsidR="008C5AA4">
        <w:t>.</w:t>
      </w:r>
      <w:r w:rsidR="002207AD">
        <w:t xml:space="preserve"> </w:t>
      </w:r>
    </w:p>
    <w:p w14:paraId="516C98EC" w14:textId="7258F7CD" w:rsidR="005443C3" w:rsidRDefault="00CD6D8F" w:rsidP="00ED2E23">
      <w:r>
        <w:t xml:space="preserve">To conclude, the </w:t>
      </w:r>
      <w:r w:rsidR="00AA3527">
        <w:t xml:space="preserve">events that took place in Jerusalem and Masada from 66-73 CE </w:t>
      </w:r>
      <w:r w:rsidR="00710986">
        <w:t xml:space="preserve">had huge consequences for the Jewish faith, the </w:t>
      </w:r>
      <w:r w:rsidR="00D9631F">
        <w:t>city of Jerusalem and</w:t>
      </w:r>
      <w:r w:rsidR="005443C3">
        <w:t xml:space="preserve"> Roman-Jewish relations in </w:t>
      </w:r>
      <w:r w:rsidR="00ED2E23">
        <w:t xml:space="preserve">the first century CE. </w:t>
      </w:r>
      <w:r w:rsidR="005443C3">
        <w:t>Examining these events can reveal information about the methodology of Roman warfare</w:t>
      </w:r>
      <w:r w:rsidR="00ED2E23">
        <w:t xml:space="preserve"> and the interactions of occupied territories with their imperial master</w:t>
      </w:r>
      <w:r w:rsidR="00F941DF">
        <w:t>s, highlighting</w:t>
      </w:r>
      <w:r w:rsidR="00CD6F65">
        <w:t xml:space="preserve"> instances of more violent resistance, and the accompanying ideologies such as martyrdom that </w:t>
      </w:r>
      <w:r w:rsidR="00D66D63">
        <w:t xml:space="preserve">motivated </w:t>
      </w:r>
      <w:r w:rsidR="00C17365">
        <w:t xml:space="preserve">the Jewish rebels to fight against a power such larger than themselves. </w:t>
      </w:r>
    </w:p>
    <w:p w14:paraId="3DD387E1" w14:textId="77777777" w:rsidR="00B92FCC" w:rsidRDefault="00B92FCC" w:rsidP="00ED2E23"/>
    <w:p w14:paraId="52A73332" w14:textId="77777777" w:rsidR="00B92FCC" w:rsidRDefault="00B92FCC" w:rsidP="00ED2E23"/>
    <w:p w14:paraId="5BF2DE11" w14:textId="77777777" w:rsidR="00B92FCC" w:rsidRDefault="00B92FCC" w:rsidP="00ED2E23"/>
    <w:p w14:paraId="59F84BC8" w14:textId="77777777" w:rsidR="00B92FCC" w:rsidRDefault="00B92FCC" w:rsidP="00ED2E23"/>
    <w:p w14:paraId="3C575061" w14:textId="77777777" w:rsidR="00B92FCC" w:rsidRDefault="00B92FCC" w:rsidP="00ED2E23"/>
    <w:p w14:paraId="0AF69C14" w14:textId="77777777" w:rsidR="00B92FCC" w:rsidRDefault="00B92FCC" w:rsidP="00ED2E23"/>
    <w:p w14:paraId="578DD43E" w14:textId="77777777" w:rsidR="00B92FCC" w:rsidRDefault="00B92FCC" w:rsidP="00ED2E23"/>
    <w:p w14:paraId="5D6871EB" w14:textId="77777777" w:rsidR="00B92FCC" w:rsidRDefault="00B92FCC" w:rsidP="00ED2E23"/>
    <w:p w14:paraId="6202B251" w14:textId="77777777" w:rsidR="00B92FCC" w:rsidRDefault="00B92FCC" w:rsidP="00ED2E23"/>
    <w:p w14:paraId="6D933012" w14:textId="77777777" w:rsidR="00B92FCC" w:rsidRDefault="00B92FCC" w:rsidP="00ED2E23"/>
    <w:p w14:paraId="47B1201D" w14:textId="77777777" w:rsidR="00B92FCC" w:rsidRDefault="00B92FCC" w:rsidP="00ED2E23"/>
    <w:p w14:paraId="625EB869" w14:textId="77777777" w:rsidR="00B92FCC" w:rsidRDefault="00B92FCC" w:rsidP="00ED2E23"/>
    <w:p w14:paraId="7B781790" w14:textId="77777777" w:rsidR="00B92FCC" w:rsidRPr="00B92FCC" w:rsidRDefault="00B92FCC" w:rsidP="00B92FCC">
      <w:pPr>
        <w:spacing w:after="240" w:line="360" w:lineRule="auto"/>
        <w:outlineLvl w:val="0"/>
        <w:rPr>
          <w:rFonts w:eastAsia="Times New Roman" w:cs="Calibri"/>
          <w:b/>
          <w:bCs/>
          <w:kern w:val="36"/>
          <w:sz w:val="36"/>
          <w:szCs w:val="36"/>
          <w:lang w:eastAsia="en-GB" w:bidi="he-IL"/>
          <w14:ligatures w14:val="none"/>
        </w:rPr>
      </w:pPr>
      <w:r w:rsidRPr="00B92FCC">
        <w:rPr>
          <w:rFonts w:eastAsia="Times New Roman" w:cs="Calibri"/>
          <w:b/>
          <w:bCs/>
          <w:kern w:val="36"/>
          <w:sz w:val="36"/>
          <w:szCs w:val="36"/>
          <w:lang w:eastAsia="en-GB" w:bidi="he-IL"/>
          <w14:ligatures w14:val="none"/>
        </w:rPr>
        <w:lastRenderedPageBreak/>
        <w:t>Bibliography</w:t>
      </w:r>
    </w:p>
    <w:p w14:paraId="492CF80E" w14:textId="77777777"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 xml:space="preserve">Cartwright, Mark, ‘Roman Siege Warfare’, </w:t>
      </w:r>
      <w:r w:rsidRPr="00B92FCC">
        <w:rPr>
          <w:rFonts w:eastAsia="Times New Roman" w:cs="Calibri"/>
          <w:i/>
          <w:iCs/>
          <w:kern w:val="0"/>
          <w:sz w:val="24"/>
          <w:szCs w:val="24"/>
          <w:lang w:eastAsia="en-GB" w:bidi="he-IL"/>
          <w14:ligatures w14:val="none"/>
        </w:rPr>
        <w:t xml:space="preserve">World History </w:t>
      </w:r>
      <w:proofErr w:type="spellStart"/>
      <w:r w:rsidRPr="00B92FCC">
        <w:rPr>
          <w:rFonts w:eastAsia="Times New Roman" w:cs="Calibri"/>
          <w:i/>
          <w:iCs/>
          <w:kern w:val="0"/>
          <w:sz w:val="24"/>
          <w:szCs w:val="24"/>
          <w:lang w:eastAsia="en-GB" w:bidi="he-IL"/>
          <w14:ligatures w14:val="none"/>
        </w:rPr>
        <w:t>Encyclopedia</w:t>
      </w:r>
      <w:proofErr w:type="spellEnd"/>
      <w:r w:rsidRPr="00B92FCC">
        <w:rPr>
          <w:rFonts w:eastAsia="Times New Roman" w:cs="Calibri"/>
          <w:kern w:val="0"/>
          <w:sz w:val="24"/>
          <w:szCs w:val="24"/>
          <w:lang w:eastAsia="en-GB" w:bidi="he-IL"/>
          <w14:ligatures w14:val="none"/>
        </w:rPr>
        <w:t>, 2016 &lt;https://www.worldhistory.org/Roman_Siege_Warfare/&gt;</w:t>
      </w:r>
    </w:p>
    <w:p w14:paraId="5D351DF5" w14:textId="7FCFE6CB"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 xml:space="preserve">Denova, Rebecca, ‘Masada’, </w:t>
      </w:r>
      <w:r w:rsidRPr="00B92FCC">
        <w:rPr>
          <w:rFonts w:eastAsia="Times New Roman" w:cs="Calibri"/>
          <w:i/>
          <w:iCs/>
          <w:kern w:val="0"/>
          <w:sz w:val="24"/>
          <w:szCs w:val="24"/>
          <w:lang w:eastAsia="en-GB" w:bidi="he-IL"/>
          <w14:ligatures w14:val="none"/>
        </w:rPr>
        <w:t xml:space="preserve">World History </w:t>
      </w:r>
      <w:proofErr w:type="spellStart"/>
      <w:r w:rsidRPr="00B92FCC">
        <w:rPr>
          <w:rFonts w:eastAsia="Times New Roman" w:cs="Calibri"/>
          <w:i/>
          <w:iCs/>
          <w:kern w:val="0"/>
          <w:sz w:val="24"/>
          <w:szCs w:val="24"/>
          <w:lang w:eastAsia="en-GB" w:bidi="he-IL"/>
          <w14:ligatures w14:val="none"/>
        </w:rPr>
        <w:t>Encyclopedia</w:t>
      </w:r>
      <w:proofErr w:type="spellEnd"/>
      <w:r w:rsidRPr="00B92FCC">
        <w:rPr>
          <w:rFonts w:eastAsia="Times New Roman" w:cs="Calibri"/>
          <w:kern w:val="0"/>
          <w:sz w:val="24"/>
          <w:szCs w:val="24"/>
          <w:lang w:eastAsia="en-GB" w:bidi="he-IL"/>
          <w14:ligatures w14:val="none"/>
        </w:rPr>
        <w:t>, 2019 &lt;https://www.worldhistory.org/Masada/&gt;</w:t>
      </w:r>
    </w:p>
    <w:p w14:paraId="59CB16EB" w14:textId="77777777"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 xml:space="preserve">Goodman, Martin, </w:t>
      </w:r>
      <w:r w:rsidRPr="00B92FCC">
        <w:rPr>
          <w:rFonts w:eastAsia="Times New Roman" w:cs="Calibri"/>
          <w:i/>
          <w:iCs/>
          <w:kern w:val="0"/>
          <w:sz w:val="24"/>
          <w:szCs w:val="24"/>
          <w:lang w:eastAsia="en-GB" w:bidi="he-IL"/>
          <w14:ligatures w14:val="none"/>
        </w:rPr>
        <w:t>A History of Judaism</w:t>
      </w:r>
      <w:r w:rsidRPr="00B92FCC">
        <w:rPr>
          <w:rFonts w:eastAsia="Times New Roman" w:cs="Calibri"/>
          <w:kern w:val="0"/>
          <w:sz w:val="24"/>
          <w:szCs w:val="24"/>
          <w:lang w:eastAsia="en-GB" w:bidi="he-IL"/>
          <w14:ligatures w14:val="none"/>
        </w:rPr>
        <w:t xml:space="preserve"> (Princeton; Oxford Princeton University Press, 2018)</w:t>
      </w:r>
    </w:p>
    <w:p w14:paraId="5F3B2A2F" w14:textId="77777777"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 xml:space="preserve">Guy MacLean Rogers, </w:t>
      </w:r>
      <w:r w:rsidRPr="00B92FCC">
        <w:rPr>
          <w:rFonts w:eastAsia="Times New Roman" w:cs="Calibri"/>
          <w:i/>
          <w:iCs/>
          <w:kern w:val="0"/>
          <w:sz w:val="24"/>
          <w:szCs w:val="24"/>
          <w:lang w:eastAsia="en-GB" w:bidi="he-IL"/>
          <w14:ligatures w14:val="none"/>
        </w:rPr>
        <w:t>For the Freedom of Zion</w:t>
      </w:r>
      <w:r w:rsidRPr="00B92FCC">
        <w:rPr>
          <w:rFonts w:eastAsia="Times New Roman" w:cs="Calibri"/>
          <w:kern w:val="0"/>
          <w:sz w:val="24"/>
          <w:szCs w:val="24"/>
          <w:lang w:eastAsia="en-GB" w:bidi="he-IL"/>
          <w14:ligatures w14:val="none"/>
        </w:rPr>
        <w:t xml:space="preserve"> (Yale University Press, 2022)</w:t>
      </w:r>
    </w:p>
    <w:p w14:paraId="7BCE2DBA" w14:textId="77777777"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 xml:space="preserve">Huntsman, Eric D, ‘The Reliability of Josephus: Can He Be Trusted?’, </w:t>
      </w:r>
      <w:r w:rsidRPr="00B92FCC">
        <w:rPr>
          <w:rFonts w:eastAsia="Times New Roman" w:cs="Calibri"/>
          <w:i/>
          <w:iCs/>
          <w:kern w:val="0"/>
          <w:sz w:val="24"/>
          <w:szCs w:val="24"/>
          <w:lang w:eastAsia="en-GB" w:bidi="he-IL"/>
          <w14:ligatures w14:val="none"/>
        </w:rPr>
        <w:t>BYU Studies</w:t>
      </w:r>
      <w:r w:rsidRPr="00B92FCC">
        <w:rPr>
          <w:rFonts w:eastAsia="Times New Roman" w:cs="Calibri"/>
          <w:kern w:val="0"/>
          <w:sz w:val="24"/>
          <w:szCs w:val="24"/>
          <w:lang w:eastAsia="en-GB" w:bidi="he-IL"/>
          <w14:ligatures w14:val="none"/>
        </w:rPr>
        <w:t xml:space="preserve">, 36.3 (1996), </w:t>
      </w:r>
      <w:proofErr w:type="gramStart"/>
      <w:r w:rsidRPr="00B92FCC">
        <w:rPr>
          <w:rFonts w:eastAsia="Times New Roman" w:cs="Calibri"/>
          <w:kern w:val="0"/>
          <w:sz w:val="24"/>
          <w:szCs w:val="24"/>
          <w:lang w:eastAsia="en-GB" w:bidi="he-IL"/>
          <w14:ligatures w14:val="none"/>
        </w:rPr>
        <w:t>28</w:t>
      </w:r>
      <w:proofErr w:type="gramEnd"/>
    </w:p>
    <w:p w14:paraId="2FBD44EA" w14:textId="65D5ED35"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 xml:space="preserve">Magness, Jodi, </w:t>
      </w:r>
      <w:r w:rsidRPr="00B92FCC">
        <w:rPr>
          <w:rFonts w:eastAsia="Times New Roman" w:cs="Calibri"/>
          <w:i/>
          <w:iCs/>
          <w:kern w:val="0"/>
          <w:sz w:val="24"/>
          <w:szCs w:val="24"/>
          <w:lang w:eastAsia="en-GB" w:bidi="he-IL"/>
          <w14:ligatures w14:val="none"/>
        </w:rPr>
        <w:t>Masada: From Jewish Revolt to Modern Myth.</w:t>
      </w:r>
      <w:r w:rsidRPr="00B92FCC">
        <w:rPr>
          <w:rFonts w:eastAsia="Times New Roman" w:cs="Calibri"/>
          <w:kern w:val="0"/>
          <w:sz w:val="24"/>
          <w:szCs w:val="24"/>
          <w:lang w:eastAsia="en-GB" w:bidi="he-IL"/>
          <w14:ligatures w14:val="none"/>
        </w:rPr>
        <w:t xml:space="preserve"> (S.L.: Princeton </w:t>
      </w:r>
      <w:proofErr w:type="spellStart"/>
      <w:r w:rsidRPr="00B92FCC">
        <w:rPr>
          <w:rFonts w:eastAsia="Times New Roman" w:cs="Calibri"/>
          <w:kern w:val="0"/>
          <w:sz w:val="24"/>
          <w:szCs w:val="24"/>
          <w:lang w:eastAsia="en-GB" w:bidi="he-IL"/>
          <w14:ligatures w14:val="none"/>
        </w:rPr>
        <w:t>Univ</w:t>
      </w:r>
      <w:proofErr w:type="spellEnd"/>
      <w:r w:rsidRPr="00B92FCC">
        <w:rPr>
          <w:rFonts w:eastAsia="Times New Roman" w:cs="Calibri"/>
          <w:kern w:val="0"/>
          <w:sz w:val="24"/>
          <w:szCs w:val="24"/>
          <w:lang w:eastAsia="en-GB" w:bidi="he-IL"/>
          <w14:ligatures w14:val="none"/>
        </w:rPr>
        <w:t xml:space="preserve"> Press, 2021)</w:t>
      </w:r>
    </w:p>
    <w:p w14:paraId="0B0980BB" w14:textId="77777777"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 xml:space="preserve">McLaren, James S., ‘Going to War against Rome: The Motivation of the Jewish Rebels’, in </w:t>
      </w:r>
      <w:r w:rsidRPr="00B92FCC">
        <w:rPr>
          <w:rFonts w:eastAsia="Times New Roman" w:cs="Calibri"/>
          <w:i/>
          <w:iCs/>
          <w:kern w:val="0"/>
          <w:sz w:val="24"/>
          <w:szCs w:val="24"/>
          <w:lang w:eastAsia="en-GB" w:bidi="he-IL"/>
          <w14:ligatures w14:val="none"/>
        </w:rPr>
        <w:t>The Jewish Revolt against Rome: History, Sources and Perspectives</w:t>
      </w:r>
      <w:r w:rsidRPr="00B92FCC">
        <w:rPr>
          <w:rFonts w:eastAsia="Times New Roman" w:cs="Calibri"/>
          <w:kern w:val="0"/>
          <w:sz w:val="24"/>
          <w:szCs w:val="24"/>
          <w:lang w:eastAsia="en-GB" w:bidi="he-IL"/>
          <w14:ligatures w14:val="none"/>
        </w:rPr>
        <w:t xml:space="preserve"> (Leiden Brill, 2011), pp. 129–</w:t>
      </w:r>
      <w:proofErr w:type="gramStart"/>
      <w:r w:rsidRPr="00B92FCC">
        <w:rPr>
          <w:rFonts w:eastAsia="Times New Roman" w:cs="Calibri"/>
          <w:kern w:val="0"/>
          <w:sz w:val="24"/>
          <w:szCs w:val="24"/>
          <w:lang w:eastAsia="en-GB" w:bidi="he-IL"/>
          <w14:ligatures w14:val="none"/>
        </w:rPr>
        <w:t>48</w:t>
      </w:r>
      <w:proofErr w:type="gramEnd"/>
    </w:p>
    <w:p w14:paraId="069C307F" w14:textId="50E5383E"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 xml:space="preserve">Mladen Popović, </w:t>
      </w:r>
      <w:r w:rsidRPr="00B92FCC">
        <w:rPr>
          <w:rFonts w:eastAsia="Times New Roman" w:cs="Calibri"/>
          <w:i/>
          <w:iCs/>
          <w:kern w:val="0"/>
          <w:sz w:val="24"/>
          <w:szCs w:val="24"/>
          <w:lang w:eastAsia="en-GB" w:bidi="he-IL"/>
          <w14:ligatures w14:val="none"/>
        </w:rPr>
        <w:t>The Jewish Revolt against Rom</w:t>
      </w:r>
      <w:r>
        <w:rPr>
          <w:rFonts w:eastAsia="Times New Roman" w:cs="Calibri"/>
          <w:i/>
          <w:iCs/>
          <w:kern w:val="0"/>
          <w:sz w:val="24"/>
          <w:szCs w:val="24"/>
          <w:lang w:eastAsia="en-GB" w:bidi="he-IL"/>
          <w14:ligatures w14:val="none"/>
        </w:rPr>
        <w:t>e</w:t>
      </w:r>
      <w:r w:rsidRPr="00B92FCC">
        <w:rPr>
          <w:rFonts w:eastAsia="Times New Roman" w:cs="Calibri"/>
          <w:i/>
          <w:iCs/>
          <w:kern w:val="0"/>
          <w:sz w:val="24"/>
          <w:szCs w:val="24"/>
          <w:lang w:eastAsia="en-GB" w:bidi="he-IL"/>
          <w14:ligatures w14:val="none"/>
        </w:rPr>
        <w:t xml:space="preserve">: Interdisciplinary </w:t>
      </w:r>
      <w:proofErr w:type="gramStart"/>
      <w:r w:rsidRPr="00B92FCC">
        <w:rPr>
          <w:rFonts w:eastAsia="Times New Roman" w:cs="Calibri"/>
          <w:i/>
          <w:iCs/>
          <w:kern w:val="0"/>
          <w:sz w:val="24"/>
          <w:szCs w:val="24"/>
          <w:lang w:eastAsia="en-GB" w:bidi="he-IL"/>
          <w14:ligatures w14:val="none"/>
        </w:rPr>
        <w:t>Perspectives ;</w:t>
      </w:r>
      <w:proofErr w:type="gramEnd"/>
      <w:r w:rsidRPr="00B92FCC">
        <w:rPr>
          <w:rFonts w:eastAsia="Times New Roman" w:cs="Calibri"/>
          <w:i/>
          <w:iCs/>
          <w:kern w:val="0"/>
          <w:sz w:val="24"/>
          <w:szCs w:val="24"/>
          <w:lang w:eastAsia="en-GB" w:bidi="he-IL"/>
          <w14:ligatures w14:val="none"/>
        </w:rPr>
        <w:t xml:space="preserve"> [Papers Which Were Originally Presented at a Conference Organized by the Qumran Institute Held on 21-22 October 2010 at the Faculty of Theology and Religious Studies of the University of Groningen]</w:t>
      </w:r>
      <w:r w:rsidRPr="00B92FCC">
        <w:rPr>
          <w:rFonts w:eastAsia="Times New Roman" w:cs="Calibri"/>
          <w:kern w:val="0"/>
          <w:sz w:val="24"/>
          <w:szCs w:val="24"/>
          <w:lang w:eastAsia="en-GB" w:bidi="he-IL"/>
          <w14:ligatures w14:val="none"/>
        </w:rPr>
        <w:t xml:space="preserve"> (Leiden Brill, 2011)</w:t>
      </w:r>
    </w:p>
    <w:p w14:paraId="30FD3235" w14:textId="77777777"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Murray, Robert Craig, ‘The Role of Messianism in the First Jewish Revolt of 66-70 CE’ (2005), pp. 1–86</w:t>
      </w:r>
    </w:p>
    <w:p w14:paraId="7C7BEC53" w14:textId="77777777"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 xml:space="preserve">Oates, Harry, ‘The Great Jewish Revolt of 66 CE’, </w:t>
      </w:r>
      <w:r w:rsidRPr="00B92FCC">
        <w:rPr>
          <w:rFonts w:eastAsia="Times New Roman" w:cs="Calibri"/>
          <w:i/>
          <w:iCs/>
          <w:kern w:val="0"/>
          <w:sz w:val="24"/>
          <w:szCs w:val="24"/>
          <w:lang w:eastAsia="en-GB" w:bidi="he-IL"/>
          <w14:ligatures w14:val="none"/>
        </w:rPr>
        <w:t xml:space="preserve">World History </w:t>
      </w:r>
      <w:proofErr w:type="spellStart"/>
      <w:r w:rsidRPr="00B92FCC">
        <w:rPr>
          <w:rFonts w:eastAsia="Times New Roman" w:cs="Calibri"/>
          <w:i/>
          <w:iCs/>
          <w:kern w:val="0"/>
          <w:sz w:val="24"/>
          <w:szCs w:val="24"/>
          <w:lang w:eastAsia="en-GB" w:bidi="he-IL"/>
          <w14:ligatures w14:val="none"/>
        </w:rPr>
        <w:t>Encyclopedia</w:t>
      </w:r>
      <w:proofErr w:type="spellEnd"/>
      <w:r w:rsidRPr="00B92FCC">
        <w:rPr>
          <w:rFonts w:eastAsia="Times New Roman" w:cs="Calibri"/>
          <w:kern w:val="0"/>
          <w:sz w:val="24"/>
          <w:szCs w:val="24"/>
          <w:lang w:eastAsia="en-GB" w:bidi="he-IL"/>
          <w14:ligatures w14:val="none"/>
        </w:rPr>
        <w:t>, 2015 &lt;https://www.worldhistory.org/article/823/the-great-jewish-revolt-of-66-ce/&gt;</w:t>
      </w:r>
    </w:p>
    <w:p w14:paraId="39261A86" w14:textId="77777777"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 xml:space="preserve">Perry, Tyler, ‘The Siege of Jerusalem in 70 CE’, </w:t>
      </w:r>
      <w:r w:rsidRPr="00B92FCC">
        <w:rPr>
          <w:rFonts w:eastAsia="Times New Roman" w:cs="Calibri"/>
          <w:i/>
          <w:iCs/>
          <w:kern w:val="0"/>
          <w:sz w:val="24"/>
          <w:szCs w:val="24"/>
          <w:lang w:eastAsia="en-GB" w:bidi="he-IL"/>
          <w14:ligatures w14:val="none"/>
        </w:rPr>
        <w:t xml:space="preserve">World History </w:t>
      </w:r>
      <w:proofErr w:type="spellStart"/>
      <w:r w:rsidRPr="00B92FCC">
        <w:rPr>
          <w:rFonts w:eastAsia="Times New Roman" w:cs="Calibri"/>
          <w:i/>
          <w:iCs/>
          <w:kern w:val="0"/>
          <w:sz w:val="24"/>
          <w:szCs w:val="24"/>
          <w:lang w:eastAsia="en-GB" w:bidi="he-IL"/>
          <w14:ligatures w14:val="none"/>
        </w:rPr>
        <w:t>Encyclopedia</w:t>
      </w:r>
      <w:proofErr w:type="spellEnd"/>
      <w:r w:rsidRPr="00B92FCC">
        <w:rPr>
          <w:rFonts w:eastAsia="Times New Roman" w:cs="Calibri"/>
          <w:kern w:val="0"/>
          <w:sz w:val="24"/>
          <w:szCs w:val="24"/>
          <w:lang w:eastAsia="en-GB" w:bidi="he-IL"/>
          <w14:ligatures w14:val="none"/>
        </w:rPr>
        <w:t>, 2022 &lt;https://www.worldhistory.org/article/1993/the-siege-of-jerusalem-in-70-ce/&gt;</w:t>
      </w:r>
    </w:p>
    <w:p w14:paraId="05D44F97" w14:textId="04AB89B4"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 xml:space="preserve">Reza Aslan, </w:t>
      </w:r>
      <w:r w:rsidRPr="00B92FCC">
        <w:rPr>
          <w:rFonts w:eastAsia="Times New Roman" w:cs="Calibri"/>
          <w:i/>
          <w:iCs/>
          <w:kern w:val="0"/>
          <w:sz w:val="24"/>
          <w:szCs w:val="24"/>
          <w:lang w:eastAsia="en-GB" w:bidi="he-IL"/>
          <w14:ligatures w14:val="none"/>
        </w:rPr>
        <w:t>Zealot: The Life and Times of Jesus of Nazareth</w:t>
      </w:r>
      <w:r w:rsidRPr="00B92FCC">
        <w:rPr>
          <w:rFonts w:eastAsia="Times New Roman" w:cs="Calibri"/>
          <w:kern w:val="0"/>
          <w:sz w:val="24"/>
          <w:szCs w:val="24"/>
          <w:lang w:eastAsia="en-GB" w:bidi="he-IL"/>
          <w14:ligatures w14:val="none"/>
        </w:rPr>
        <w:t xml:space="preserve"> (Sydney: Allen &amp; Unwin, 2017)</w:t>
      </w:r>
    </w:p>
    <w:p w14:paraId="3CFDFD37" w14:textId="43CE7670"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lastRenderedPageBreak/>
        <w:t xml:space="preserve">Rosenstein, Marc, </w:t>
      </w:r>
      <w:r w:rsidRPr="00B92FCC">
        <w:rPr>
          <w:rFonts w:eastAsia="Times New Roman" w:cs="Calibri"/>
          <w:i/>
          <w:iCs/>
          <w:kern w:val="0"/>
          <w:sz w:val="24"/>
          <w:szCs w:val="24"/>
          <w:lang w:eastAsia="en-GB" w:bidi="he-IL"/>
          <w14:ligatures w14:val="none"/>
        </w:rPr>
        <w:t>Turning Points in Jewish History</w:t>
      </w:r>
      <w:r w:rsidRPr="00B92FCC">
        <w:rPr>
          <w:rFonts w:eastAsia="Times New Roman" w:cs="Calibri"/>
          <w:kern w:val="0"/>
          <w:sz w:val="24"/>
          <w:szCs w:val="24"/>
          <w:lang w:eastAsia="en-GB" w:bidi="he-IL"/>
          <w14:ligatures w14:val="none"/>
        </w:rPr>
        <w:t xml:space="preserve"> (Lincoln: University Of Nebraska Press; Philadelphia, 2018)</w:t>
      </w:r>
    </w:p>
    <w:p w14:paraId="76E80B02" w14:textId="7D54014D" w:rsidR="00B92FCC" w:rsidRPr="00B92FCC" w:rsidRDefault="00B92FCC" w:rsidP="00B92FCC">
      <w:pPr>
        <w:spacing w:after="240" w:line="360" w:lineRule="auto"/>
        <w:ind w:hanging="720"/>
        <w:rPr>
          <w:rFonts w:eastAsia="Times New Roman" w:cs="Calibri"/>
          <w:kern w:val="0"/>
          <w:sz w:val="24"/>
          <w:szCs w:val="24"/>
          <w:lang w:eastAsia="en-GB" w:bidi="he-IL"/>
          <w14:ligatures w14:val="none"/>
        </w:rPr>
      </w:pPr>
      <w:r w:rsidRPr="00B92FCC">
        <w:rPr>
          <w:rFonts w:eastAsia="Times New Roman" w:cs="Calibri"/>
          <w:kern w:val="0"/>
          <w:sz w:val="24"/>
          <w:szCs w:val="24"/>
          <w:lang w:eastAsia="en-GB" w:bidi="he-IL"/>
          <w14:ligatures w14:val="none"/>
        </w:rPr>
        <w:t xml:space="preserve">Smallwood, Elizabeth Mary, </w:t>
      </w:r>
      <w:r w:rsidRPr="00B92FCC">
        <w:rPr>
          <w:rFonts w:eastAsia="Times New Roman" w:cs="Calibri"/>
          <w:i/>
          <w:iCs/>
          <w:kern w:val="0"/>
          <w:sz w:val="24"/>
          <w:szCs w:val="24"/>
          <w:lang w:eastAsia="en-GB" w:bidi="he-IL"/>
          <w14:ligatures w14:val="none"/>
        </w:rPr>
        <w:t>The Jews under Roman Rul</w:t>
      </w:r>
      <w:r>
        <w:rPr>
          <w:rFonts w:eastAsia="Times New Roman" w:cs="Calibri"/>
          <w:i/>
          <w:iCs/>
          <w:kern w:val="0"/>
          <w:sz w:val="24"/>
          <w:szCs w:val="24"/>
          <w:lang w:eastAsia="en-GB" w:bidi="he-IL"/>
          <w14:ligatures w14:val="none"/>
        </w:rPr>
        <w:t>e</w:t>
      </w:r>
      <w:r w:rsidRPr="00B92FCC">
        <w:rPr>
          <w:rFonts w:eastAsia="Times New Roman" w:cs="Calibri"/>
          <w:i/>
          <w:iCs/>
          <w:kern w:val="0"/>
          <w:sz w:val="24"/>
          <w:szCs w:val="24"/>
          <w:lang w:eastAsia="en-GB" w:bidi="he-IL"/>
          <w14:ligatures w14:val="none"/>
        </w:rPr>
        <w:t xml:space="preserve">: From Pompey to </w:t>
      </w:r>
      <w:proofErr w:type="gramStart"/>
      <w:r w:rsidRPr="00B92FCC">
        <w:rPr>
          <w:rFonts w:eastAsia="Times New Roman" w:cs="Calibri"/>
          <w:i/>
          <w:iCs/>
          <w:kern w:val="0"/>
          <w:sz w:val="24"/>
          <w:szCs w:val="24"/>
          <w:lang w:eastAsia="en-GB" w:bidi="he-IL"/>
          <w14:ligatures w14:val="none"/>
        </w:rPr>
        <w:t>Diocletian :</w:t>
      </w:r>
      <w:proofErr w:type="gramEnd"/>
      <w:r w:rsidRPr="00B92FCC">
        <w:rPr>
          <w:rFonts w:eastAsia="Times New Roman" w:cs="Calibri"/>
          <w:i/>
          <w:iCs/>
          <w:kern w:val="0"/>
          <w:sz w:val="24"/>
          <w:szCs w:val="24"/>
          <w:lang w:eastAsia="en-GB" w:bidi="he-IL"/>
          <w14:ligatures w14:val="none"/>
        </w:rPr>
        <w:t xml:space="preserve"> A Study in Political Relations</w:t>
      </w:r>
      <w:r w:rsidRPr="00B92FCC">
        <w:rPr>
          <w:rFonts w:eastAsia="Times New Roman" w:cs="Calibri"/>
          <w:kern w:val="0"/>
          <w:sz w:val="24"/>
          <w:szCs w:val="24"/>
          <w:lang w:eastAsia="en-GB" w:bidi="he-IL"/>
          <w14:ligatures w14:val="none"/>
        </w:rPr>
        <w:t xml:space="preserve"> (Boston ; Leiden: Brill Academic Publishers, 2001)</w:t>
      </w:r>
    </w:p>
    <w:p w14:paraId="7DC9DF0D" w14:textId="77777777" w:rsidR="00B92FCC" w:rsidRPr="00CD31DC" w:rsidRDefault="00B92FCC" w:rsidP="00ED2E23"/>
    <w:sectPr w:rsidR="00B92FCC" w:rsidRPr="00CD31DC" w:rsidSect="00A559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2A3568" w14:textId="77777777" w:rsidR="00A5592D" w:rsidRDefault="00A5592D" w:rsidP="00296401">
      <w:pPr>
        <w:spacing w:after="0" w:line="240" w:lineRule="auto"/>
      </w:pPr>
      <w:r>
        <w:separator/>
      </w:r>
    </w:p>
  </w:endnote>
  <w:endnote w:type="continuationSeparator" w:id="0">
    <w:p w14:paraId="0DC18F3B" w14:textId="77777777" w:rsidR="00A5592D" w:rsidRDefault="00A5592D" w:rsidP="002964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E9F2E8" w14:textId="77777777" w:rsidR="00A5592D" w:rsidRDefault="00A5592D" w:rsidP="00296401">
      <w:pPr>
        <w:spacing w:after="0" w:line="240" w:lineRule="auto"/>
      </w:pPr>
      <w:r>
        <w:separator/>
      </w:r>
    </w:p>
  </w:footnote>
  <w:footnote w:type="continuationSeparator" w:id="0">
    <w:p w14:paraId="02389040" w14:textId="77777777" w:rsidR="00A5592D" w:rsidRDefault="00A5592D" w:rsidP="00296401">
      <w:pPr>
        <w:spacing w:after="0" w:line="240" w:lineRule="auto"/>
      </w:pPr>
      <w:r>
        <w:continuationSeparator/>
      </w:r>
    </w:p>
  </w:footnote>
  <w:footnote w:id="1">
    <w:p w14:paraId="10771AA4" w14:textId="7DC7D7FC" w:rsidR="000B210F" w:rsidRPr="00F018EF" w:rsidRDefault="000B210F" w:rsidP="00F018EF">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F018EF" w:rsidRPr="00F018EF">
        <w:rPr>
          <w:rFonts w:eastAsia="Times New Roman" w:cs="Calibri"/>
          <w:kern w:val="0"/>
          <w:sz w:val="18"/>
          <w:szCs w:val="18"/>
          <w:lang w:eastAsia="en-GB" w:bidi="he-IL"/>
          <w14:ligatures w14:val="none"/>
        </w:rPr>
        <w:t xml:space="preserve">James S. McLaren, ‘Going to War against Rome: The Motivation of the Jewish Rebels’, in </w:t>
      </w:r>
      <w:r w:rsidR="00F018EF" w:rsidRPr="00F018EF">
        <w:rPr>
          <w:rFonts w:eastAsia="Times New Roman" w:cs="Calibri"/>
          <w:i/>
          <w:iCs/>
          <w:kern w:val="0"/>
          <w:sz w:val="18"/>
          <w:szCs w:val="18"/>
          <w:lang w:eastAsia="en-GB" w:bidi="he-IL"/>
          <w14:ligatures w14:val="none"/>
        </w:rPr>
        <w:t>The Jewish Revolt against Rome: History, Sources and Perspectives</w:t>
      </w:r>
      <w:r w:rsidR="00F018EF" w:rsidRPr="00F018EF">
        <w:rPr>
          <w:rFonts w:eastAsia="Times New Roman" w:cs="Calibri"/>
          <w:kern w:val="0"/>
          <w:sz w:val="18"/>
          <w:szCs w:val="18"/>
          <w:lang w:eastAsia="en-GB" w:bidi="he-IL"/>
          <w14:ligatures w14:val="none"/>
        </w:rPr>
        <w:t xml:space="preserve"> (Leiden Brill, 2011), </w:t>
      </w:r>
      <w:r w:rsidR="00F018EF" w:rsidRPr="00F018EF">
        <w:rPr>
          <w:rFonts w:eastAsia="Times New Roman" w:cs="Calibri"/>
          <w:kern w:val="0"/>
          <w:sz w:val="18"/>
          <w:szCs w:val="18"/>
          <w:lang w:eastAsia="en-GB" w:bidi="he-IL"/>
          <w14:ligatures w14:val="none"/>
        </w:rPr>
        <w:t xml:space="preserve">p. </w:t>
      </w:r>
      <w:r w:rsidRPr="00F018EF">
        <w:rPr>
          <w:sz w:val="18"/>
          <w:szCs w:val="18"/>
        </w:rPr>
        <w:t>130.</w:t>
      </w:r>
      <w:r>
        <w:t xml:space="preserve"> </w:t>
      </w:r>
    </w:p>
  </w:footnote>
  <w:footnote w:id="2">
    <w:p w14:paraId="3C47C545" w14:textId="66F00537" w:rsidR="007A59A2" w:rsidRPr="00F018EF" w:rsidRDefault="007A59A2" w:rsidP="00F018EF">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F018EF" w:rsidRPr="00F018EF">
        <w:rPr>
          <w:rFonts w:eastAsia="Times New Roman" w:cs="Calibri"/>
          <w:kern w:val="0"/>
          <w:sz w:val="18"/>
          <w:szCs w:val="18"/>
          <w:lang w:eastAsia="en-GB" w:bidi="he-IL"/>
          <w14:ligatures w14:val="none"/>
        </w:rPr>
        <w:t xml:space="preserve">Jodi Magness, </w:t>
      </w:r>
      <w:r w:rsidR="00F018EF" w:rsidRPr="00F018EF">
        <w:rPr>
          <w:rFonts w:eastAsia="Times New Roman" w:cs="Calibri"/>
          <w:i/>
          <w:iCs/>
          <w:kern w:val="0"/>
          <w:sz w:val="18"/>
          <w:szCs w:val="18"/>
          <w:lang w:eastAsia="en-GB" w:bidi="he-IL"/>
          <w14:ligatures w14:val="none"/>
        </w:rPr>
        <w:t>Masada: From Jewish Revolt to Modern Myth.</w:t>
      </w:r>
      <w:r w:rsidR="00F018EF" w:rsidRPr="00F018EF">
        <w:rPr>
          <w:rFonts w:eastAsia="Times New Roman" w:cs="Calibri"/>
          <w:kern w:val="0"/>
          <w:sz w:val="18"/>
          <w:szCs w:val="18"/>
          <w:lang w:eastAsia="en-GB" w:bidi="he-IL"/>
          <w14:ligatures w14:val="none"/>
        </w:rPr>
        <w:t xml:space="preserve"> (S.L.: Princeton Univ</w:t>
      </w:r>
      <w:r w:rsidR="00F018EF">
        <w:rPr>
          <w:rFonts w:eastAsia="Times New Roman" w:cs="Calibri"/>
          <w:kern w:val="0"/>
          <w:sz w:val="18"/>
          <w:szCs w:val="18"/>
          <w:lang w:eastAsia="en-GB" w:bidi="he-IL"/>
          <w14:ligatures w14:val="none"/>
        </w:rPr>
        <w:t>.</w:t>
      </w:r>
      <w:r w:rsidR="00F018EF" w:rsidRPr="00F018EF">
        <w:rPr>
          <w:rFonts w:eastAsia="Times New Roman" w:cs="Calibri"/>
          <w:kern w:val="0"/>
          <w:sz w:val="18"/>
          <w:szCs w:val="18"/>
          <w:lang w:eastAsia="en-GB" w:bidi="he-IL"/>
          <w14:ligatures w14:val="none"/>
        </w:rPr>
        <w:t xml:space="preserve"> Press, 2021</w:t>
      </w:r>
      <w:r w:rsidR="00F018EF" w:rsidRPr="00F018EF">
        <w:rPr>
          <w:rFonts w:eastAsia="Times New Roman" w:cs="Calibri"/>
          <w:kern w:val="0"/>
          <w:sz w:val="18"/>
          <w:szCs w:val="18"/>
          <w:lang w:eastAsia="en-GB" w:bidi="he-IL"/>
          <w14:ligatures w14:val="none"/>
        </w:rPr>
        <w:t xml:space="preserve">), p. </w:t>
      </w:r>
      <w:r w:rsidR="0096157E" w:rsidRPr="00F018EF">
        <w:rPr>
          <w:sz w:val="18"/>
          <w:szCs w:val="18"/>
        </w:rPr>
        <w:t xml:space="preserve">118. </w:t>
      </w:r>
    </w:p>
  </w:footnote>
  <w:footnote w:id="3">
    <w:p w14:paraId="3E15CE39" w14:textId="11723D2D" w:rsidR="00AC1DC9" w:rsidRPr="00AE7954" w:rsidRDefault="00AC1DC9" w:rsidP="00AE7954">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AE7954" w:rsidRPr="00AE7954">
        <w:rPr>
          <w:rFonts w:ascii="Calibri" w:eastAsia="Times New Roman" w:hAnsi="Calibri" w:cs="Calibri"/>
          <w:kern w:val="0"/>
          <w:sz w:val="18"/>
          <w:szCs w:val="18"/>
          <w:lang w:eastAsia="en-GB" w:bidi="he-IL"/>
          <w14:ligatures w14:val="none"/>
        </w:rPr>
        <w:t xml:space="preserve">Reza Aslan, </w:t>
      </w:r>
      <w:r w:rsidR="00AE7954" w:rsidRPr="00AE7954">
        <w:rPr>
          <w:rFonts w:ascii="Calibri" w:eastAsia="Times New Roman" w:hAnsi="Calibri" w:cs="Calibri"/>
          <w:i/>
          <w:iCs/>
          <w:kern w:val="0"/>
          <w:sz w:val="18"/>
          <w:szCs w:val="18"/>
          <w:lang w:eastAsia="en-GB" w:bidi="he-IL"/>
          <w14:ligatures w14:val="none"/>
        </w:rPr>
        <w:t>Zealot: The Life and Times of Jesus of Nazareth</w:t>
      </w:r>
      <w:r w:rsidR="00AE7954" w:rsidRPr="00AE7954">
        <w:rPr>
          <w:rFonts w:ascii="Calibri" w:eastAsia="Times New Roman" w:hAnsi="Calibri" w:cs="Calibri"/>
          <w:kern w:val="0"/>
          <w:sz w:val="18"/>
          <w:szCs w:val="18"/>
          <w:lang w:eastAsia="en-GB" w:bidi="he-IL"/>
          <w14:ligatures w14:val="none"/>
        </w:rPr>
        <w:t xml:space="preserve"> (Sydney: Allen &amp; Unwin, 2017)</w:t>
      </w:r>
      <w:r w:rsidR="00AE7954" w:rsidRPr="00AE7954">
        <w:rPr>
          <w:rFonts w:ascii="Calibri" w:eastAsia="Times New Roman" w:hAnsi="Calibri" w:cs="Calibri"/>
          <w:kern w:val="0"/>
          <w:sz w:val="18"/>
          <w:szCs w:val="18"/>
          <w:lang w:eastAsia="en-GB" w:bidi="he-IL"/>
          <w14:ligatures w14:val="none"/>
        </w:rPr>
        <w:t>, p. 42.</w:t>
      </w:r>
    </w:p>
  </w:footnote>
  <w:footnote w:id="4">
    <w:p w14:paraId="2E660666" w14:textId="6FF25E71" w:rsidR="00DC3AE4" w:rsidRDefault="00DC3AE4">
      <w:pPr>
        <w:pStyle w:val="FootnoteText"/>
      </w:pPr>
      <w:r>
        <w:rPr>
          <w:rStyle w:val="FootnoteReference"/>
        </w:rPr>
        <w:footnoteRef/>
      </w:r>
      <w:r>
        <w:t xml:space="preserve"> </w:t>
      </w:r>
      <w:r w:rsidR="00AE7954">
        <w:rPr>
          <w:sz w:val="18"/>
          <w:szCs w:val="18"/>
        </w:rPr>
        <w:t>Ibid.,</w:t>
      </w:r>
      <w:r w:rsidRPr="00AE7954">
        <w:rPr>
          <w:sz w:val="18"/>
          <w:szCs w:val="18"/>
        </w:rPr>
        <w:t xml:space="preserve"> </w:t>
      </w:r>
      <w:r w:rsidR="00A93C88">
        <w:rPr>
          <w:sz w:val="18"/>
          <w:szCs w:val="18"/>
        </w:rPr>
        <w:t xml:space="preserve">p. </w:t>
      </w:r>
      <w:r w:rsidRPr="00AE7954">
        <w:rPr>
          <w:sz w:val="18"/>
          <w:szCs w:val="18"/>
        </w:rPr>
        <w:t>42</w:t>
      </w:r>
      <w:r w:rsidR="00AE7954">
        <w:rPr>
          <w:sz w:val="18"/>
          <w:szCs w:val="18"/>
        </w:rPr>
        <w:t>.</w:t>
      </w:r>
    </w:p>
  </w:footnote>
  <w:footnote w:id="5">
    <w:p w14:paraId="7F9D28D1" w14:textId="49EC1C17" w:rsidR="00A67388" w:rsidRPr="00A93C88" w:rsidRDefault="00A67388" w:rsidP="00A93C88">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A93C88" w:rsidRPr="00A93C88">
        <w:rPr>
          <w:rFonts w:eastAsia="Times New Roman" w:cs="Calibri"/>
          <w:kern w:val="0"/>
          <w:sz w:val="18"/>
          <w:szCs w:val="18"/>
          <w:lang w:eastAsia="en-GB" w:bidi="he-IL"/>
          <w14:ligatures w14:val="none"/>
        </w:rPr>
        <w:t xml:space="preserve">Elizabeth Mary Smallwood, </w:t>
      </w:r>
      <w:r w:rsidR="00A93C88" w:rsidRPr="00A93C88">
        <w:rPr>
          <w:rFonts w:eastAsia="Times New Roman" w:cs="Calibri"/>
          <w:i/>
          <w:iCs/>
          <w:kern w:val="0"/>
          <w:sz w:val="18"/>
          <w:szCs w:val="18"/>
          <w:lang w:eastAsia="en-GB" w:bidi="he-IL"/>
          <w14:ligatures w14:val="none"/>
        </w:rPr>
        <w:t>The Jews under Roman Rule: From Pompey to Diocletian: A Study in Political Relations</w:t>
      </w:r>
      <w:r w:rsidR="00A93C88" w:rsidRPr="00A93C88">
        <w:rPr>
          <w:rFonts w:eastAsia="Times New Roman" w:cs="Calibri"/>
          <w:kern w:val="0"/>
          <w:sz w:val="18"/>
          <w:szCs w:val="18"/>
          <w:lang w:eastAsia="en-GB" w:bidi="he-IL"/>
          <w14:ligatures w14:val="none"/>
        </w:rPr>
        <w:t xml:space="preserve"> (Boston; Leiden: Brill Academic Publishers, 2001)</w:t>
      </w:r>
      <w:r w:rsidR="00A93C88" w:rsidRPr="00A93C88">
        <w:rPr>
          <w:rFonts w:eastAsia="Times New Roman" w:cs="Calibri"/>
          <w:kern w:val="0"/>
          <w:sz w:val="18"/>
          <w:szCs w:val="18"/>
          <w:lang w:eastAsia="en-GB" w:bidi="he-IL"/>
          <w14:ligatures w14:val="none"/>
        </w:rPr>
        <w:t xml:space="preserve">, p. </w:t>
      </w:r>
      <w:r w:rsidRPr="00A93C88">
        <w:rPr>
          <w:sz w:val="18"/>
          <w:szCs w:val="18"/>
        </w:rPr>
        <w:t>295.</w:t>
      </w:r>
      <w:r>
        <w:t xml:space="preserve"> </w:t>
      </w:r>
    </w:p>
  </w:footnote>
  <w:footnote w:id="6">
    <w:p w14:paraId="169CE863" w14:textId="7AA01F2B" w:rsidR="00D103F9" w:rsidRDefault="00D103F9">
      <w:pPr>
        <w:pStyle w:val="FootnoteText"/>
      </w:pPr>
      <w:r>
        <w:rPr>
          <w:rStyle w:val="FootnoteReference"/>
        </w:rPr>
        <w:footnoteRef/>
      </w:r>
      <w:r>
        <w:t xml:space="preserve"> </w:t>
      </w:r>
      <w:r w:rsidR="00A93C88">
        <w:rPr>
          <w:sz w:val="18"/>
          <w:szCs w:val="18"/>
        </w:rPr>
        <w:t>Ibid.</w:t>
      </w:r>
      <w:r w:rsidRPr="00A93C88">
        <w:rPr>
          <w:sz w:val="18"/>
          <w:szCs w:val="18"/>
        </w:rPr>
        <w:t xml:space="preserve">, </w:t>
      </w:r>
      <w:r w:rsidR="00A93C88">
        <w:rPr>
          <w:sz w:val="18"/>
          <w:szCs w:val="18"/>
        </w:rPr>
        <w:t xml:space="preserve">p. </w:t>
      </w:r>
      <w:r w:rsidRPr="00A93C88">
        <w:rPr>
          <w:sz w:val="18"/>
          <w:szCs w:val="18"/>
        </w:rPr>
        <w:t>295.</w:t>
      </w:r>
      <w:r>
        <w:t xml:space="preserve"> </w:t>
      </w:r>
    </w:p>
  </w:footnote>
  <w:footnote w:id="7">
    <w:p w14:paraId="07D269D4" w14:textId="092A2E6C" w:rsidR="009D1720" w:rsidRPr="000C1054" w:rsidRDefault="009D1720" w:rsidP="000C1054">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0C1054" w:rsidRPr="000C1054">
        <w:rPr>
          <w:rFonts w:eastAsia="Times New Roman" w:cs="Calibri"/>
          <w:kern w:val="0"/>
          <w:sz w:val="18"/>
          <w:szCs w:val="18"/>
          <w:lang w:eastAsia="en-GB" w:bidi="he-IL"/>
          <w14:ligatures w14:val="none"/>
        </w:rPr>
        <w:t xml:space="preserve">Marc Rosenstein, </w:t>
      </w:r>
      <w:r w:rsidR="000C1054" w:rsidRPr="000C1054">
        <w:rPr>
          <w:rFonts w:eastAsia="Times New Roman" w:cs="Calibri"/>
          <w:i/>
          <w:iCs/>
          <w:kern w:val="0"/>
          <w:sz w:val="18"/>
          <w:szCs w:val="18"/>
          <w:lang w:eastAsia="en-GB" w:bidi="he-IL"/>
          <w14:ligatures w14:val="none"/>
        </w:rPr>
        <w:t>Turning Points in Jewish History</w:t>
      </w:r>
      <w:r w:rsidR="000C1054" w:rsidRPr="000C1054">
        <w:rPr>
          <w:rFonts w:eastAsia="Times New Roman" w:cs="Calibri"/>
          <w:kern w:val="0"/>
          <w:sz w:val="18"/>
          <w:szCs w:val="18"/>
          <w:lang w:eastAsia="en-GB" w:bidi="he-IL"/>
          <w14:ligatures w14:val="none"/>
        </w:rPr>
        <w:t xml:space="preserve"> (Lincoln: University Of Nebraska Press; Philadelphia, 2018)</w:t>
      </w:r>
      <w:r w:rsidR="000C1054" w:rsidRPr="000C1054">
        <w:rPr>
          <w:rFonts w:eastAsia="Times New Roman" w:cs="Calibri"/>
          <w:kern w:val="0"/>
          <w:sz w:val="18"/>
          <w:szCs w:val="18"/>
          <w:lang w:eastAsia="en-GB" w:bidi="he-IL"/>
          <w14:ligatures w14:val="none"/>
        </w:rPr>
        <w:t>, p</w:t>
      </w:r>
      <w:r w:rsidRPr="000C1054">
        <w:rPr>
          <w:sz w:val="18"/>
          <w:szCs w:val="18"/>
        </w:rPr>
        <w:t>, 113.</w:t>
      </w:r>
    </w:p>
  </w:footnote>
  <w:footnote w:id="8">
    <w:p w14:paraId="3AE32FB7" w14:textId="5A5C87D7" w:rsidR="009D2277" w:rsidRDefault="009D2277" w:rsidP="009D2277">
      <w:pPr>
        <w:pStyle w:val="FootnoteText"/>
      </w:pPr>
      <w:r>
        <w:rPr>
          <w:rStyle w:val="FootnoteReference"/>
        </w:rPr>
        <w:footnoteRef/>
      </w:r>
      <w:r>
        <w:t xml:space="preserve"> </w:t>
      </w:r>
      <w:r w:rsidRPr="000C1054">
        <w:rPr>
          <w:sz w:val="18"/>
          <w:szCs w:val="18"/>
        </w:rPr>
        <w:t xml:space="preserve">Magness, </w:t>
      </w:r>
      <w:r w:rsidR="000C1054" w:rsidRPr="000C1054">
        <w:rPr>
          <w:rFonts w:eastAsia="Times New Roman" w:cs="Calibri"/>
          <w:i/>
          <w:iCs/>
          <w:kern w:val="0"/>
          <w:sz w:val="18"/>
          <w:szCs w:val="18"/>
          <w:lang w:eastAsia="en-GB" w:bidi="he-IL"/>
          <w14:ligatures w14:val="none"/>
        </w:rPr>
        <w:t>Masada: From Jewish Revolt to Modern Myth</w:t>
      </w:r>
      <w:r w:rsidR="000C1054" w:rsidRPr="000C1054">
        <w:rPr>
          <w:rFonts w:eastAsia="Times New Roman" w:cs="Calibri"/>
          <w:i/>
          <w:iCs/>
          <w:kern w:val="0"/>
          <w:sz w:val="18"/>
          <w:szCs w:val="18"/>
          <w:lang w:eastAsia="en-GB" w:bidi="he-IL"/>
          <w14:ligatures w14:val="none"/>
        </w:rPr>
        <w:t xml:space="preserve">, p. </w:t>
      </w:r>
      <w:r w:rsidRPr="000C1054">
        <w:rPr>
          <w:sz w:val="18"/>
          <w:szCs w:val="18"/>
        </w:rPr>
        <w:t>149.</w:t>
      </w:r>
      <w:r>
        <w:t xml:space="preserve"> </w:t>
      </w:r>
    </w:p>
  </w:footnote>
  <w:footnote w:id="9">
    <w:p w14:paraId="6A5387F8" w14:textId="7BC39E99" w:rsidR="00240CCF" w:rsidRPr="000C1054" w:rsidRDefault="00240CCF" w:rsidP="000C1054">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0C1054" w:rsidRPr="000C1054">
        <w:rPr>
          <w:rFonts w:eastAsia="Times New Roman" w:cs="Calibri"/>
          <w:kern w:val="0"/>
          <w:sz w:val="18"/>
          <w:szCs w:val="18"/>
          <w:lang w:eastAsia="en-GB" w:bidi="he-IL"/>
          <w14:ligatures w14:val="none"/>
        </w:rPr>
        <w:t xml:space="preserve">Harry Oates, ‘The Great Jewish Revolt of 66 CE’, </w:t>
      </w:r>
      <w:r w:rsidR="000C1054" w:rsidRPr="000C1054">
        <w:rPr>
          <w:rFonts w:eastAsia="Times New Roman" w:cs="Calibri"/>
          <w:i/>
          <w:iCs/>
          <w:kern w:val="0"/>
          <w:sz w:val="18"/>
          <w:szCs w:val="18"/>
          <w:lang w:eastAsia="en-GB" w:bidi="he-IL"/>
          <w14:ligatures w14:val="none"/>
        </w:rPr>
        <w:t xml:space="preserve">World History </w:t>
      </w:r>
      <w:proofErr w:type="spellStart"/>
      <w:r w:rsidR="000C1054" w:rsidRPr="000C1054">
        <w:rPr>
          <w:rFonts w:eastAsia="Times New Roman" w:cs="Calibri"/>
          <w:i/>
          <w:iCs/>
          <w:kern w:val="0"/>
          <w:sz w:val="18"/>
          <w:szCs w:val="18"/>
          <w:lang w:eastAsia="en-GB" w:bidi="he-IL"/>
          <w14:ligatures w14:val="none"/>
        </w:rPr>
        <w:t>Encyclopedia</w:t>
      </w:r>
      <w:proofErr w:type="spellEnd"/>
      <w:r w:rsidR="000C1054" w:rsidRPr="000C1054">
        <w:rPr>
          <w:rFonts w:eastAsia="Times New Roman" w:cs="Calibri"/>
          <w:kern w:val="0"/>
          <w:sz w:val="18"/>
          <w:szCs w:val="18"/>
          <w:lang w:eastAsia="en-GB" w:bidi="he-IL"/>
          <w14:ligatures w14:val="none"/>
        </w:rPr>
        <w:t>, 2015 &lt;</w:t>
      </w:r>
      <w:hyperlink r:id="rId1" w:history="1">
        <w:r w:rsidR="000C1054" w:rsidRPr="000C1054">
          <w:rPr>
            <w:rFonts w:eastAsia="Times New Roman" w:cs="Calibri"/>
            <w:color w:val="0000FF"/>
            <w:kern w:val="0"/>
            <w:sz w:val="18"/>
            <w:szCs w:val="18"/>
            <w:u w:val="single"/>
            <w:lang w:eastAsia="en-GB" w:bidi="he-IL"/>
            <w14:ligatures w14:val="none"/>
          </w:rPr>
          <w:t>https://www.worldhistory.org/article/823/the-great-jewish-revolt-of-66-ce/</w:t>
        </w:r>
      </w:hyperlink>
      <w:r w:rsidR="000C1054" w:rsidRPr="000C1054">
        <w:rPr>
          <w:rFonts w:eastAsia="Times New Roman" w:cs="Calibri"/>
          <w:kern w:val="0"/>
          <w:sz w:val="18"/>
          <w:szCs w:val="18"/>
          <w:lang w:eastAsia="en-GB" w:bidi="he-IL"/>
          <w14:ligatures w14:val="none"/>
        </w:rPr>
        <w:t>&gt;</w:t>
      </w:r>
      <w:r w:rsidRPr="000C1054">
        <w:rPr>
          <w:sz w:val="18"/>
          <w:szCs w:val="18"/>
        </w:rPr>
        <w:t>.</w:t>
      </w:r>
    </w:p>
  </w:footnote>
  <w:footnote w:id="10">
    <w:p w14:paraId="2B246B25" w14:textId="7F65FA5C" w:rsidR="00C36E7A" w:rsidRDefault="00C36E7A">
      <w:pPr>
        <w:pStyle w:val="FootnoteText"/>
      </w:pPr>
      <w:r>
        <w:rPr>
          <w:rStyle w:val="FootnoteReference"/>
        </w:rPr>
        <w:footnoteRef/>
      </w:r>
      <w:r>
        <w:t xml:space="preserve"> </w:t>
      </w:r>
      <w:r w:rsidRPr="00D066BB">
        <w:rPr>
          <w:sz w:val="18"/>
          <w:szCs w:val="18"/>
        </w:rPr>
        <w:t>Smallwood,</w:t>
      </w:r>
      <w:r w:rsidR="00D066BB" w:rsidRPr="00D066BB">
        <w:rPr>
          <w:i/>
          <w:iCs/>
          <w:sz w:val="18"/>
          <w:szCs w:val="18"/>
        </w:rPr>
        <w:t xml:space="preserve"> The Jews under Roman Rule, </w:t>
      </w:r>
      <w:r w:rsidR="00D066BB" w:rsidRPr="00D066BB">
        <w:rPr>
          <w:sz w:val="18"/>
          <w:szCs w:val="18"/>
        </w:rPr>
        <w:t>p.</w:t>
      </w:r>
      <w:r w:rsidR="00D066BB" w:rsidRPr="00D066BB">
        <w:rPr>
          <w:i/>
          <w:iCs/>
          <w:sz w:val="18"/>
          <w:szCs w:val="18"/>
        </w:rPr>
        <w:t xml:space="preserve"> </w:t>
      </w:r>
      <w:r w:rsidRPr="00D066BB">
        <w:rPr>
          <w:sz w:val="18"/>
          <w:szCs w:val="18"/>
        </w:rPr>
        <w:t xml:space="preserve"> 316.</w:t>
      </w:r>
    </w:p>
  </w:footnote>
  <w:footnote w:id="11">
    <w:p w14:paraId="098153EA" w14:textId="795D463B" w:rsidR="00EB1DD6" w:rsidRPr="009F2976" w:rsidRDefault="00EB1DD6" w:rsidP="009F2976">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9F2976" w:rsidRPr="009F2976">
        <w:rPr>
          <w:rFonts w:ascii="Aptos" w:eastAsia="Times New Roman" w:hAnsi="Aptos" w:cs="Calibri"/>
          <w:kern w:val="0"/>
          <w:sz w:val="18"/>
          <w:szCs w:val="18"/>
          <w:lang w:eastAsia="en-GB" w:bidi="he-IL"/>
          <w14:ligatures w14:val="none"/>
        </w:rPr>
        <w:t xml:space="preserve">Tyler Perry, ‘The Siege of Jerusalem in 70 CE’, </w:t>
      </w:r>
      <w:r w:rsidR="009F2976" w:rsidRPr="009F2976">
        <w:rPr>
          <w:rFonts w:ascii="Aptos" w:eastAsia="Times New Roman" w:hAnsi="Aptos" w:cs="Calibri"/>
          <w:i/>
          <w:iCs/>
          <w:kern w:val="0"/>
          <w:sz w:val="18"/>
          <w:szCs w:val="18"/>
          <w:lang w:eastAsia="en-GB" w:bidi="he-IL"/>
          <w14:ligatures w14:val="none"/>
        </w:rPr>
        <w:t xml:space="preserve">World History </w:t>
      </w:r>
      <w:proofErr w:type="spellStart"/>
      <w:r w:rsidR="009F2976" w:rsidRPr="009F2976">
        <w:rPr>
          <w:rFonts w:ascii="Aptos" w:eastAsia="Times New Roman" w:hAnsi="Aptos" w:cs="Calibri"/>
          <w:i/>
          <w:iCs/>
          <w:kern w:val="0"/>
          <w:sz w:val="18"/>
          <w:szCs w:val="18"/>
          <w:lang w:eastAsia="en-GB" w:bidi="he-IL"/>
          <w14:ligatures w14:val="none"/>
        </w:rPr>
        <w:t>Encyclopedia</w:t>
      </w:r>
      <w:proofErr w:type="spellEnd"/>
      <w:r w:rsidR="009F2976" w:rsidRPr="009F2976">
        <w:rPr>
          <w:rFonts w:ascii="Aptos" w:eastAsia="Times New Roman" w:hAnsi="Aptos" w:cs="Calibri"/>
          <w:kern w:val="0"/>
          <w:sz w:val="18"/>
          <w:szCs w:val="18"/>
          <w:lang w:eastAsia="en-GB" w:bidi="he-IL"/>
          <w14:ligatures w14:val="none"/>
        </w:rPr>
        <w:t>, 2022 &lt;</w:t>
      </w:r>
      <w:hyperlink r:id="rId2" w:history="1">
        <w:r w:rsidR="009F2976" w:rsidRPr="009F2976">
          <w:rPr>
            <w:rFonts w:ascii="Aptos" w:eastAsia="Times New Roman" w:hAnsi="Aptos" w:cs="Calibri"/>
            <w:color w:val="0000FF"/>
            <w:kern w:val="0"/>
            <w:sz w:val="18"/>
            <w:szCs w:val="18"/>
            <w:u w:val="single"/>
            <w:lang w:eastAsia="en-GB" w:bidi="he-IL"/>
            <w14:ligatures w14:val="none"/>
          </w:rPr>
          <w:t>https://www.worldhistory.org/article/1993/the-siege-of-jerusalem-in-70-ce/</w:t>
        </w:r>
      </w:hyperlink>
      <w:r w:rsidR="009F2976" w:rsidRPr="009F2976">
        <w:rPr>
          <w:rFonts w:ascii="Aptos" w:eastAsia="Times New Roman" w:hAnsi="Aptos" w:cs="Calibri"/>
          <w:kern w:val="0"/>
          <w:sz w:val="18"/>
          <w:szCs w:val="18"/>
          <w:lang w:eastAsia="en-GB" w:bidi="he-IL"/>
          <w14:ligatures w14:val="none"/>
        </w:rPr>
        <w:t>&gt;</w:t>
      </w:r>
      <w:r w:rsidRPr="009F2976">
        <w:rPr>
          <w:rFonts w:ascii="Aptos" w:hAnsi="Aptos"/>
          <w:sz w:val="18"/>
          <w:szCs w:val="18"/>
        </w:rPr>
        <w:t>.</w:t>
      </w:r>
      <w:r w:rsidRPr="009F2976">
        <w:rPr>
          <w:sz w:val="18"/>
          <w:szCs w:val="18"/>
        </w:rPr>
        <w:t xml:space="preserve"> </w:t>
      </w:r>
    </w:p>
  </w:footnote>
  <w:footnote w:id="12">
    <w:p w14:paraId="4F645B6C" w14:textId="4F0DC688" w:rsidR="007D5231" w:rsidRDefault="007D5231">
      <w:pPr>
        <w:pStyle w:val="FootnoteText"/>
      </w:pPr>
      <w:r>
        <w:rPr>
          <w:rStyle w:val="FootnoteReference"/>
        </w:rPr>
        <w:footnoteRef/>
      </w:r>
      <w:r>
        <w:t xml:space="preserve"> </w:t>
      </w:r>
      <w:r w:rsidR="009F2976" w:rsidRPr="00D066BB">
        <w:rPr>
          <w:sz w:val="18"/>
          <w:szCs w:val="18"/>
        </w:rPr>
        <w:t>Smallwood,</w:t>
      </w:r>
      <w:r w:rsidR="009F2976" w:rsidRPr="00D066BB">
        <w:rPr>
          <w:i/>
          <w:iCs/>
          <w:sz w:val="18"/>
          <w:szCs w:val="18"/>
        </w:rPr>
        <w:t xml:space="preserve"> The Jews under Roman Rule, </w:t>
      </w:r>
      <w:r w:rsidR="009F2976" w:rsidRPr="00D066BB">
        <w:rPr>
          <w:sz w:val="18"/>
          <w:szCs w:val="18"/>
        </w:rPr>
        <w:t>p.</w:t>
      </w:r>
      <w:r w:rsidR="009F2976" w:rsidRPr="00D066BB">
        <w:rPr>
          <w:i/>
          <w:iCs/>
          <w:sz w:val="18"/>
          <w:szCs w:val="18"/>
        </w:rPr>
        <w:t xml:space="preserve"> </w:t>
      </w:r>
      <w:r w:rsidR="009F2976" w:rsidRPr="00D066BB">
        <w:rPr>
          <w:sz w:val="18"/>
          <w:szCs w:val="18"/>
        </w:rPr>
        <w:t xml:space="preserve"> 31</w:t>
      </w:r>
      <w:r w:rsidR="009F2976">
        <w:rPr>
          <w:sz w:val="18"/>
          <w:szCs w:val="18"/>
        </w:rPr>
        <w:t>9.</w:t>
      </w:r>
      <w:r>
        <w:t xml:space="preserve"> </w:t>
      </w:r>
    </w:p>
  </w:footnote>
  <w:footnote w:id="13">
    <w:p w14:paraId="66CE27CE" w14:textId="7A27FEA7" w:rsidR="003B2CEC" w:rsidRDefault="003B2CEC">
      <w:pPr>
        <w:pStyle w:val="FootnoteText"/>
      </w:pPr>
      <w:r>
        <w:rPr>
          <w:rStyle w:val="FootnoteReference"/>
        </w:rPr>
        <w:footnoteRef/>
      </w:r>
      <w:r>
        <w:t xml:space="preserve"> </w:t>
      </w:r>
      <w:r w:rsidR="00E955CA">
        <w:rPr>
          <w:sz w:val="18"/>
          <w:szCs w:val="18"/>
        </w:rPr>
        <w:t>Ibid., p. 322.</w:t>
      </w:r>
    </w:p>
  </w:footnote>
  <w:footnote w:id="14">
    <w:p w14:paraId="48F9422B" w14:textId="46637DB7" w:rsidR="008802B2" w:rsidRDefault="008802B2" w:rsidP="00D20E1F">
      <w:pPr>
        <w:pStyle w:val="FootnoteText"/>
      </w:pPr>
      <w:r>
        <w:rPr>
          <w:rStyle w:val="FootnoteReference"/>
        </w:rPr>
        <w:footnoteRef/>
      </w:r>
      <w:r>
        <w:t xml:space="preserve"> </w:t>
      </w:r>
      <w:r w:rsidR="00E955CA" w:rsidRPr="000C1054">
        <w:rPr>
          <w:rFonts w:eastAsia="Times New Roman" w:cs="Calibri"/>
          <w:kern w:val="0"/>
          <w:sz w:val="18"/>
          <w:szCs w:val="18"/>
          <w:lang w:eastAsia="en-GB" w:bidi="he-IL"/>
          <w14:ligatures w14:val="none"/>
        </w:rPr>
        <w:t xml:space="preserve">Rosenstein, </w:t>
      </w:r>
      <w:r w:rsidR="00E955CA" w:rsidRPr="000C1054">
        <w:rPr>
          <w:rFonts w:eastAsia="Times New Roman" w:cs="Calibri"/>
          <w:i/>
          <w:iCs/>
          <w:kern w:val="0"/>
          <w:sz w:val="18"/>
          <w:szCs w:val="18"/>
          <w:lang w:eastAsia="en-GB" w:bidi="he-IL"/>
          <w14:ligatures w14:val="none"/>
        </w:rPr>
        <w:t>Turning Points in Jewish History</w:t>
      </w:r>
      <w:r w:rsidR="00E955CA">
        <w:rPr>
          <w:rFonts w:eastAsia="Times New Roman" w:cs="Calibri"/>
          <w:kern w:val="0"/>
          <w:sz w:val="18"/>
          <w:szCs w:val="18"/>
          <w:lang w:eastAsia="en-GB" w:bidi="he-IL"/>
          <w14:ligatures w14:val="none"/>
        </w:rPr>
        <w:t xml:space="preserve">, </w:t>
      </w:r>
      <w:r w:rsidR="00E955CA" w:rsidRPr="000C1054">
        <w:rPr>
          <w:rFonts w:eastAsia="Times New Roman" w:cs="Calibri"/>
          <w:kern w:val="0"/>
          <w:sz w:val="18"/>
          <w:szCs w:val="18"/>
          <w:lang w:eastAsia="en-GB" w:bidi="he-IL"/>
          <w14:ligatures w14:val="none"/>
        </w:rPr>
        <w:t>p</w:t>
      </w:r>
      <w:r w:rsidR="00E955CA" w:rsidRPr="000C1054">
        <w:rPr>
          <w:sz w:val="18"/>
          <w:szCs w:val="18"/>
        </w:rPr>
        <w:t>, 11</w:t>
      </w:r>
      <w:r w:rsidR="00E955CA">
        <w:rPr>
          <w:sz w:val="18"/>
          <w:szCs w:val="18"/>
        </w:rPr>
        <w:t>4.</w:t>
      </w:r>
      <w:r>
        <w:t xml:space="preserve"> </w:t>
      </w:r>
    </w:p>
  </w:footnote>
  <w:footnote w:id="15">
    <w:p w14:paraId="2062F273" w14:textId="66F051F4" w:rsidR="00B03F32" w:rsidRDefault="00B03F32"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 xml:space="preserve">Ibid., p. 114. </w:t>
      </w:r>
    </w:p>
  </w:footnote>
  <w:footnote w:id="16">
    <w:p w14:paraId="2C631905" w14:textId="6C711943" w:rsidR="00B03F32" w:rsidRDefault="00B03F32"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 p. 114.</w:t>
      </w:r>
    </w:p>
  </w:footnote>
  <w:footnote w:id="17">
    <w:p w14:paraId="2B675F80" w14:textId="44D8CF42" w:rsidR="00E45FA9" w:rsidRPr="00E955CA" w:rsidRDefault="00E45FA9" w:rsidP="00D20E1F">
      <w:pPr>
        <w:spacing w:line="240" w:lineRule="auto"/>
        <w:rPr>
          <w:rFonts w:ascii="Times New Roman" w:eastAsia="Times New Roman" w:hAnsi="Times New Roman" w:cs="Times New Roman"/>
          <w:kern w:val="0"/>
          <w:sz w:val="24"/>
          <w:szCs w:val="24"/>
          <w:lang w:eastAsia="en-GB" w:bidi="he-IL"/>
          <w14:ligatures w14:val="none"/>
        </w:rPr>
      </w:pPr>
      <w:r>
        <w:rPr>
          <w:rStyle w:val="FootnoteReference"/>
        </w:rPr>
        <w:footnoteRef/>
      </w:r>
      <w:r w:rsidR="00022E45">
        <w:t xml:space="preserve"> </w:t>
      </w:r>
      <w:r w:rsidR="00E955CA" w:rsidRPr="00E955CA">
        <w:rPr>
          <w:rFonts w:eastAsia="Times New Roman" w:cs="Calibri"/>
          <w:kern w:val="0"/>
          <w:sz w:val="18"/>
          <w:szCs w:val="18"/>
          <w:lang w:eastAsia="en-GB" w:bidi="he-IL"/>
          <w14:ligatures w14:val="none"/>
        </w:rPr>
        <w:t xml:space="preserve">Rebecca Denova, ‘Masada’, </w:t>
      </w:r>
      <w:r w:rsidR="00E955CA" w:rsidRPr="00E955CA">
        <w:rPr>
          <w:rFonts w:eastAsia="Times New Roman" w:cs="Calibri"/>
          <w:i/>
          <w:iCs/>
          <w:kern w:val="0"/>
          <w:sz w:val="18"/>
          <w:szCs w:val="18"/>
          <w:lang w:eastAsia="en-GB" w:bidi="he-IL"/>
          <w14:ligatures w14:val="none"/>
        </w:rPr>
        <w:t xml:space="preserve">World History </w:t>
      </w:r>
      <w:proofErr w:type="spellStart"/>
      <w:r w:rsidR="00E955CA" w:rsidRPr="00E955CA">
        <w:rPr>
          <w:rFonts w:eastAsia="Times New Roman" w:cs="Calibri"/>
          <w:i/>
          <w:iCs/>
          <w:kern w:val="0"/>
          <w:sz w:val="18"/>
          <w:szCs w:val="18"/>
          <w:lang w:eastAsia="en-GB" w:bidi="he-IL"/>
          <w14:ligatures w14:val="none"/>
        </w:rPr>
        <w:t>Encyclopedia</w:t>
      </w:r>
      <w:proofErr w:type="spellEnd"/>
      <w:r w:rsidR="00E955CA" w:rsidRPr="00E955CA">
        <w:rPr>
          <w:rFonts w:eastAsia="Times New Roman" w:cs="Calibri"/>
          <w:kern w:val="0"/>
          <w:sz w:val="18"/>
          <w:szCs w:val="18"/>
          <w:lang w:eastAsia="en-GB" w:bidi="he-IL"/>
          <w14:ligatures w14:val="none"/>
        </w:rPr>
        <w:t>, 2019 &lt;</w:t>
      </w:r>
      <w:hyperlink r:id="rId3" w:history="1">
        <w:r w:rsidR="00E955CA" w:rsidRPr="00E955CA">
          <w:rPr>
            <w:rFonts w:eastAsia="Times New Roman" w:cs="Calibri"/>
            <w:color w:val="0000FF"/>
            <w:kern w:val="0"/>
            <w:sz w:val="18"/>
            <w:szCs w:val="18"/>
            <w:u w:val="single"/>
            <w:lang w:eastAsia="en-GB" w:bidi="he-IL"/>
            <w14:ligatures w14:val="none"/>
          </w:rPr>
          <w:t>https://www.worldhistory.org/Masada/</w:t>
        </w:r>
      </w:hyperlink>
      <w:r w:rsidR="00E955CA" w:rsidRPr="00E955CA">
        <w:rPr>
          <w:rFonts w:eastAsia="Times New Roman" w:cs="Calibri"/>
          <w:kern w:val="0"/>
          <w:sz w:val="18"/>
          <w:szCs w:val="18"/>
          <w:lang w:eastAsia="en-GB" w:bidi="he-IL"/>
          <w14:ligatures w14:val="none"/>
        </w:rPr>
        <w:t>&gt;.</w:t>
      </w:r>
    </w:p>
  </w:footnote>
  <w:footnote w:id="18">
    <w:p w14:paraId="0A9F584B" w14:textId="6935FA28" w:rsidR="00296401" w:rsidRDefault="00296401"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w:t>
      </w:r>
      <w:r w:rsidR="00E955CA">
        <w:rPr>
          <w:rFonts w:eastAsia="Times New Roman" w:cs="Calibri"/>
          <w:kern w:val="0"/>
          <w:sz w:val="18"/>
          <w:szCs w:val="18"/>
          <w:lang w:eastAsia="en-GB" w:bidi="he-IL"/>
          <w14:ligatures w14:val="none"/>
        </w:rPr>
        <w:t>.</w:t>
      </w:r>
    </w:p>
  </w:footnote>
  <w:footnote w:id="19">
    <w:p w14:paraId="4D1B8F84" w14:textId="101FAEC0" w:rsidR="00296401" w:rsidRDefault="00296401"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w:t>
      </w:r>
      <w:r w:rsidR="00E955CA">
        <w:rPr>
          <w:rFonts w:eastAsia="Times New Roman" w:cs="Calibri"/>
          <w:kern w:val="0"/>
          <w:sz w:val="18"/>
          <w:szCs w:val="18"/>
          <w:lang w:eastAsia="en-GB" w:bidi="he-IL"/>
          <w14:ligatures w14:val="none"/>
        </w:rPr>
        <w:t>.</w:t>
      </w:r>
    </w:p>
  </w:footnote>
  <w:footnote w:id="20">
    <w:p w14:paraId="355D8BF4" w14:textId="54241E7B" w:rsidR="00296401" w:rsidRDefault="00296401"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w:t>
      </w:r>
      <w:r w:rsidR="00E955CA">
        <w:rPr>
          <w:rFonts w:eastAsia="Times New Roman" w:cs="Calibri"/>
          <w:kern w:val="0"/>
          <w:sz w:val="18"/>
          <w:szCs w:val="18"/>
          <w:lang w:eastAsia="en-GB" w:bidi="he-IL"/>
          <w14:ligatures w14:val="none"/>
        </w:rPr>
        <w:t>.</w:t>
      </w:r>
    </w:p>
  </w:footnote>
  <w:footnote w:id="21">
    <w:p w14:paraId="60CED0AD" w14:textId="7355233A" w:rsidR="00296401" w:rsidRDefault="00296401"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w:t>
      </w:r>
      <w:r w:rsidR="00E955CA">
        <w:rPr>
          <w:rFonts w:eastAsia="Times New Roman" w:cs="Calibri"/>
          <w:kern w:val="0"/>
          <w:sz w:val="18"/>
          <w:szCs w:val="18"/>
          <w:lang w:eastAsia="en-GB" w:bidi="he-IL"/>
          <w14:ligatures w14:val="none"/>
        </w:rPr>
        <w:t>.</w:t>
      </w:r>
    </w:p>
  </w:footnote>
  <w:footnote w:id="22">
    <w:p w14:paraId="79287029" w14:textId="34F3611D" w:rsidR="00296401" w:rsidRDefault="00296401"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w:t>
      </w:r>
      <w:r w:rsidR="00E955CA">
        <w:rPr>
          <w:rFonts w:eastAsia="Times New Roman" w:cs="Calibri"/>
          <w:kern w:val="0"/>
          <w:sz w:val="18"/>
          <w:szCs w:val="18"/>
          <w:lang w:eastAsia="en-GB" w:bidi="he-IL"/>
          <w14:ligatures w14:val="none"/>
        </w:rPr>
        <w:t>.</w:t>
      </w:r>
    </w:p>
  </w:footnote>
  <w:footnote w:id="23">
    <w:p w14:paraId="51553009" w14:textId="02B41862" w:rsidR="00296401" w:rsidRDefault="00296401" w:rsidP="00D20E1F">
      <w:pPr>
        <w:pStyle w:val="FootnoteText"/>
      </w:pPr>
      <w:r>
        <w:rPr>
          <w:rStyle w:val="FootnoteReference"/>
        </w:rPr>
        <w:footnoteRef/>
      </w:r>
      <w:r>
        <w:t xml:space="preserve"> </w:t>
      </w:r>
      <w:r w:rsidR="00E955CA">
        <w:rPr>
          <w:rFonts w:eastAsia="Times New Roman" w:cs="Calibri"/>
          <w:kern w:val="0"/>
          <w:sz w:val="18"/>
          <w:szCs w:val="18"/>
          <w:lang w:eastAsia="en-GB" w:bidi="he-IL"/>
          <w14:ligatures w14:val="none"/>
        </w:rPr>
        <w:t>Ibid</w:t>
      </w:r>
      <w:r w:rsidR="00E955CA">
        <w:rPr>
          <w:rFonts w:eastAsia="Times New Roman" w:cs="Calibri"/>
          <w:kern w:val="0"/>
          <w:sz w:val="18"/>
          <w:szCs w:val="18"/>
          <w:lang w:eastAsia="en-GB" w:bidi="he-IL"/>
          <w14:ligatures w14:val="none"/>
        </w:rPr>
        <w:t>.</w:t>
      </w:r>
    </w:p>
  </w:footnote>
  <w:footnote w:id="24">
    <w:p w14:paraId="5BC26345" w14:textId="2203FA19" w:rsidR="00300E09" w:rsidRPr="00E955CA" w:rsidRDefault="00300E09" w:rsidP="00D20E1F">
      <w:pPr>
        <w:spacing w:line="240" w:lineRule="auto"/>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E955CA" w:rsidRPr="00E955CA">
        <w:rPr>
          <w:rFonts w:eastAsia="Times New Roman" w:cs="Calibri"/>
          <w:kern w:val="0"/>
          <w:sz w:val="18"/>
          <w:szCs w:val="18"/>
          <w:lang w:eastAsia="en-GB" w:bidi="he-IL"/>
          <w14:ligatures w14:val="none"/>
        </w:rPr>
        <w:t xml:space="preserve">Eric D Huntsman, ‘The Reliability of Josephus: Can He Be Trusted?’, </w:t>
      </w:r>
      <w:r w:rsidR="00E955CA" w:rsidRPr="00E955CA">
        <w:rPr>
          <w:rFonts w:eastAsia="Times New Roman" w:cs="Calibri"/>
          <w:i/>
          <w:iCs/>
          <w:kern w:val="0"/>
          <w:sz w:val="18"/>
          <w:szCs w:val="18"/>
          <w:lang w:eastAsia="en-GB" w:bidi="he-IL"/>
          <w14:ligatures w14:val="none"/>
        </w:rPr>
        <w:t>BYU Studies</w:t>
      </w:r>
      <w:r w:rsidR="00E955CA" w:rsidRPr="00E955CA">
        <w:rPr>
          <w:rFonts w:eastAsia="Times New Roman" w:cs="Calibri"/>
          <w:kern w:val="0"/>
          <w:sz w:val="18"/>
          <w:szCs w:val="18"/>
          <w:lang w:eastAsia="en-GB" w:bidi="he-IL"/>
          <w14:ligatures w14:val="none"/>
        </w:rPr>
        <w:t xml:space="preserve">, 36.3 (1996), </w:t>
      </w:r>
      <w:r w:rsidR="00022E45">
        <w:rPr>
          <w:rFonts w:eastAsia="Times New Roman" w:cs="Calibri"/>
          <w:kern w:val="0"/>
          <w:sz w:val="18"/>
          <w:szCs w:val="18"/>
          <w:lang w:eastAsia="en-GB" w:bidi="he-IL"/>
          <w14:ligatures w14:val="none"/>
        </w:rPr>
        <w:t xml:space="preserve">p. </w:t>
      </w:r>
      <w:r w:rsidR="00E955CA">
        <w:rPr>
          <w:rFonts w:eastAsia="Times New Roman" w:cs="Calibri"/>
          <w:kern w:val="0"/>
          <w:sz w:val="18"/>
          <w:szCs w:val="18"/>
          <w:lang w:eastAsia="en-GB" w:bidi="he-IL"/>
          <w14:ligatures w14:val="none"/>
        </w:rPr>
        <w:t>397</w:t>
      </w:r>
      <w:r w:rsidR="00E955CA" w:rsidRPr="00E955CA">
        <w:rPr>
          <w:rFonts w:eastAsia="Times New Roman" w:cs="Calibri"/>
          <w:kern w:val="0"/>
          <w:sz w:val="18"/>
          <w:szCs w:val="18"/>
          <w:lang w:eastAsia="en-GB" w:bidi="he-IL"/>
          <w14:ligatures w14:val="none"/>
        </w:rPr>
        <w:t>.</w:t>
      </w:r>
    </w:p>
  </w:footnote>
  <w:footnote w:id="25">
    <w:p w14:paraId="48F13D81" w14:textId="7F711C45" w:rsidR="008F799D" w:rsidRDefault="008F799D" w:rsidP="00D20E1F">
      <w:pPr>
        <w:pStyle w:val="FootnoteText"/>
      </w:pPr>
      <w:r>
        <w:rPr>
          <w:rStyle w:val="FootnoteReference"/>
        </w:rPr>
        <w:footnoteRef/>
      </w:r>
      <w:r>
        <w:t xml:space="preserve"> </w:t>
      </w:r>
      <w:r w:rsidR="00022E45">
        <w:rPr>
          <w:rFonts w:eastAsia="Times New Roman" w:cs="Calibri"/>
          <w:kern w:val="0"/>
          <w:sz w:val="18"/>
          <w:szCs w:val="18"/>
          <w:lang w:eastAsia="en-GB" w:bidi="he-IL"/>
          <w14:ligatures w14:val="none"/>
        </w:rPr>
        <w:t>Ibid</w:t>
      </w:r>
      <w:r w:rsidR="00022E45">
        <w:t xml:space="preserve">., </w:t>
      </w:r>
      <w:r w:rsidR="00022E45" w:rsidRPr="00022E45">
        <w:rPr>
          <w:sz w:val="18"/>
          <w:szCs w:val="18"/>
        </w:rPr>
        <w:t>p. 3</w:t>
      </w:r>
      <w:r w:rsidRPr="00022E45">
        <w:rPr>
          <w:sz w:val="18"/>
          <w:szCs w:val="18"/>
        </w:rPr>
        <w:t xml:space="preserve">97. </w:t>
      </w:r>
    </w:p>
  </w:footnote>
  <w:footnote w:id="26">
    <w:p w14:paraId="1CD9F01D" w14:textId="244F82A2" w:rsidR="00DE4987" w:rsidRDefault="00DE4987" w:rsidP="00D20E1F">
      <w:pPr>
        <w:pStyle w:val="FootnoteText"/>
      </w:pPr>
      <w:r>
        <w:rPr>
          <w:rStyle w:val="FootnoteReference"/>
        </w:rPr>
        <w:footnoteRef/>
      </w:r>
      <w:r>
        <w:t xml:space="preserve"> </w:t>
      </w:r>
      <w:r w:rsidR="00022E45" w:rsidRPr="00E955CA">
        <w:rPr>
          <w:rFonts w:eastAsia="Times New Roman" w:cs="Calibri"/>
          <w:kern w:val="0"/>
          <w:sz w:val="18"/>
          <w:szCs w:val="18"/>
          <w:lang w:eastAsia="en-GB" w:bidi="he-IL"/>
          <w14:ligatures w14:val="none"/>
        </w:rPr>
        <w:t>Denova, ‘Masada</w:t>
      </w:r>
      <w:r w:rsidR="00022E45">
        <w:rPr>
          <w:rFonts w:eastAsia="Times New Roman" w:cs="Calibri"/>
          <w:kern w:val="0"/>
          <w:sz w:val="18"/>
          <w:szCs w:val="18"/>
          <w:lang w:eastAsia="en-GB" w:bidi="he-IL"/>
          <w14:ligatures w14:val="none"/>
        </w:rPr>
        <w:t xml:space="preserve">’. </w:t>
      </w:r>
    </w:p>
  </w:footnote>
  <w:footnote w:id="27">
    <w:p w14:paraId="5D9AF1C8" w14:textId="6301FA49" w:rsidR="00365556" w:rsidRPr="008B039A" w:rsidRDefault="00365556" w:rsidP="008B039A">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8B039A" w:rsidRPr="008B039A">
        <w:rPr>
          <w:rFonts w:eastAsia="Times New Roman" w:cs="Calibri"/>
          <w:kern w:val="0"/>
          <w:sz w:val="18"/>
          <w:szCs w:val="18"/>
          <w:lang w:eastAsia="en-GB" w:bidi="he-IL"/>
          <w14:ligatures w14:val="none"/>
        </w:rPr>
        <w:t xml:space="preserve">Martin Goodman, </w:t>
      </w:r>
      <w:r w:rsidR="008B039A" w:rsidRPr="008B039A">
        <w:rPr>
          <w:rFonts w:eastAsia="Times New Roman" w:cs="Calibri"/>
          <w:i/>
          <w:iCs/>
          <w:kern w:val="0"/>
          <w:sz w:val="18"/>
          <w:szCs w:val="18"/>
          <w:lang w:eastAsia="en-GB" w:bidi="he-IL"/>
          <w14:ligatures w14:val="none"/>
        </w:rPr>
        <w:t>A History of Judaism</w:t>
      </w:r>
      <w:r w:rsidR="008B039A" w:rsidRPr="008B039A">
        <w:rPr>
          <w:rFonts w:eastAsia="Times New Roman" w:cs="Calibri"/>
          <w:kern w:val="0"/>
          <w:sz w:val="18"/>
          <w:szCs w:val="18"/>
          <w:lang w:eastAsia="en-GB" w:bidi="he-IL"/>
          <w14:ligatures w14:val="none"/>
        </w:rPr>
        <w:t xml:space="preserve"> (Princeton; Oxford Princeton University Press, 2018</w:t>
      </w:r>
      <w:r w:rsidR="008B039A" w:rsidRPr="008B039A">
        <w:rPr>
          <w:rFonts w:eastAsia="Times New Roman" w:cs="Calibri"/>
          <w:kern w:val="0"/>
          <w:sz w:val="18"/>
          <w:szCs w:val="18"/>
          <w:lang w:eastAsia="en-GB" w:bidi="he-IL"/>
          <w14:ligatures w14:val="none"/>
        </w:rPr>
        <w:t>), p.</w:t>
      </w:r>
      <w:r w:rsidRPr="008B039A">
        <w:rPr>
          <w:sz w:val="18"/>
          <w:szCs w:val="18"/>
        </w:rPr>
        <w:t xml:space="preserve"> 219.</w:t>
      </w:r>
      <w:r>
        <w:t xml:space="preserve"> </w:t>
      </w:r>
    </w:p>
  </w:footnote>
  <w:footnote w:id="28">
    <w:p w14:paraId="26C7E38B" w14:textId="021A304B" w:rsidR="009747AE" w:rsidRDefault="009747AE">
      <w:pPr>
        <w:pStyle w:val="FootnoteText"/>
      </w:pPr>
      <w:r>
        <w:rPr>
          <w:rStyle w:val="FootnoteReference"/>
        </w:rPr>
        <w:footnoteRef/>
      </w:r>
      <w:r w:rsidR="008B039A">
        <w:rPr>
          <w:rFonts w:eastAsia="Times New Roman" w:cs="Calibri"/>
          <w:kern w:val="0"/>
          <w:sz w:val="18"/>
          <w:szCs w:val="18"/>
          <w:lang w:eastAsia="en-GB" w:bidi="he-IL"/>
          <w14:ligatures w14:val="none"/>
        </w:rPr>
        <w:t xml:space="preserve"> </w:t>
      </w:r>
      <w:r w:rsidR="008B039A">
        <w:rPr>
          <w:rFonts w:eastAsia="Times New Roman" w:cs="Calibri"/>
          <w:kern w:val="0"/>
          <w:sz w:val="18"/>
          <w:szCs w:val="18"/>
          <w:lang w:eastAsia="en-GB" w:bidi="he-IL"/>
          <w14:ligatures w14:val="none"/>
        </w:rPr>
        <w:t>Ibid</w:t>
      </w:r>
      <w:r>
        <w:t>,</w:t>
      </w:r>
      <w:r w:rsidR="008B039A">
        <w:t xml:space="preserve"> p. 219.</w:t>
      </w:r>
    </w:p>
  </w:footnote>
  <w:footnote w:id="29">
    <w:p w14:paraId="143C45BE" w14:textId="16CB69B0" w:rsidR="00916ED3" w:rsidRDefault="00916ED3">
      <w:pPr>
        <w:pStyle w:val="FootnoteText"/>
      </w:pPr>
      <w:r>
        <w:rPr>
          <w:rStyle w:val="FootnoteReference"/>
        </w:rPr>
        <w:footnoteRef/>
      </w:r>
      <w:r>
        <w:t xml:space="preserve"> </w:t>
      </w:r>
      <w:r w:rsidR="008B039A" w:rsidRPr="00E955CA">
        <w:rPr>
          <w:rFonts w:eastAsia="Times New Roman" w:cs="Calibri"/>
          <w:kern w:val="0"/>
          <w:sz w:val="18"/>
          <w:szCs w:val="18"/>
          <w:lang w:eastAsia="en-GB" w:bidi="he-IL"/>
          <w14:ligatures w14:val="none"/>
        </w:rPr>
        <w:t>Denova, ‘Masada</w:t>
      </w:r>
      <w:r w:rsidR="008B039A">
        <w:rPr>
          <w:rFonts w:eastAsia="Times New Roman" w:cs="Calibri"/>
          <w:kern w:val="0"/>
          <w:sz w:val="18"/>
          <w:szCs w:val="18"/>
          <w:lang w:eastAsia="en-GB" w:bidi="he-IL"/>
          <w14:ligatures w14:val="none"/>
        </w:rPr>
        <w:t>’.</w:t>
      </w:r>
    </w:p>
  </w:footnote>
  <w:footnote w:id="30">
    <w:p w14:paraId="15AD66E4" w14:textId="571C2C42" w:rsidR="00723EC5" w:rsidRDefault="00723EC5" w:rsidP="00723EC5">
      <w:pPr>
        <w:pStyle w:val="FootnoteText"/>
      </w:pPr>
      <w:r>
        <w:rPr>
          <w:rStyle w:val="FootnoteReference"/>
        </w:rPr>
        <w:footnoteRef/>
      </w:r>
      <w:r w:rsidR="008B039A">
        <w:t xml:space="preserve"> </w:t>
      </w:r>
      <w:r w:rsidR="008B039A" w:rsidRPr="008B039A">
        <w:rPr>
          <w:rFonts w:eastAsia="Times New Roman" w:cs="Calibri"/>
          <w:kern w:val="0"/>
          <w:sz w:val="18"/>
          <w:szCs w:val="18"/>
          <w:lang w:eastAsia="en-GB" w:bidi="he-IL"/>
          <w14:ligatures w14:val="none"/>
        </w:rPr>
        <w:t xml:space="preserve">Goodman, </w:t>
      </w:r>
      <w:r w:rsidR="008B039A" w:rsidRPr="008B039A">
        <w:rPr>
          <w:rFonts w:eastAsia="Times New Roman" w:cs="Calibri"/>
          <w:i/>
          <w:iCs/>
          <w:kern w:val="0"/>
          <w:sz w:val="18"/>
          <w:szCs w:val="18"/>
          <w:lang w:eastAsia="en-GB" w:bidi="he-IL"/>
          <w14:ligatures w14:val="none"/>
        </w:rPr>
        <w:t>A History of Judaism</w:t>
      </w:r>
      <w:r w:rsidR="009D5A14">
        <w:rPr>
          <w:rFonts w:eastAsia="Times New Roman" w:cs="Calibri"/>
          <w:i/>
          <w:iCs/>
          <w:kern w:val="0"/>
          <w:sz w:val="18"/>
          <w:szCs w:val="18"/>
          <w:lang w:eastAsia="en-GB" w:bidi="he-IL"/>
          <w14:ligatures w14:val="none"/>
        </w:rPr>
        <w:t xml:space="preserve">, </w:t>
      </w:r>
      <w:r w:rsidR="009D5A14" w:rsidRPr="009D5A14">
        <w:rPr>
          <w:rFonts w:eastAsia="Times New Roman" w:cs="Calibri"/>
          <w:kern w:val="0"/>
          <w:sz w:val="18"/>
          <w:szCs w:val="18"/>
          <w:lang w:eastAsia="en-GB" w:bidi="he-IL"/>
          <w14:ligatures w14:val="none"/>
        </w:rPr>
        <w:t>p. 52</w:t>
      </w:r>
      <w:r w:rsidRPr="009D5A14">
        <w:t xml:space="preserve">. </w:t>
      </w:r>
    </w:p>
  </w:footnote>
  <w:footnote w:id="31">
    <w:p w14:paraId="3850E8B3" w14:textId="4C1C4A54" w:rsidR="00723EC5" w:rsidRDefault="00723EC5" w:rsidP="00723EC5">
      <w:pPr>
        <w:pStyle w:val="FootnoteText"/>
      </w:pPr>
      <w:r>
        <w:rPr>
          <w:rStyle w:val="FootnoteReference"/>
        </w:rPr>
        <w:footnoteRef/>
      </w:r>
      <w:r>
        <w:t xml:space="preserve"> </w:t>
      </w:r>
      <w:r w:rsidR="009D5A14" w:rsidRPr="009D5A14">
        <w:rPr>
          <w:rFonts w:eastAsia="Times New Roman" w:cs="Calibri"/>
          <w:kern w:val="0"/>
          <w:sz w:val="18"/>
          <w:szCs w:val="18"/>
          <w:lang w:eastAsia="en-GB" w:bidi="he-IL"/>
          <w14:ligatures w14:val="none"/>
        </w:rPr>
        <w:t>Ibid</w:t>
      </w:r>
      <w:r w:rsidR="009D5A14" w:rsidRPr="009D5A14">
        <w:rPr>
          <w:sz w:val="18"/>
          <w:szCs w:val="18"/>
        </w:rPr>
        <w:t>, p. 52.</w:t>
      </w:r>
      <w:r w:rsidR="009D5A14" w:rsidRPr="009D5A14">
        <w:t xml:space="preserve"> </w:t>
      </w:r>
      <w:r w:rsidRPr="009D5A14">
        <w:t xml:space="preserve"> </w:t>
      </w:r>
    </w:p>
  </w:footnote>
  <w:footnote w:id="32">
    <w:p w14:paraId="12FBE83E" w14:textId="1A7A02B6" w:rsidR="00723EC5" w:rsidRDefault="00723EC5" w:rsidP="00723EC5">
      <w:pPr>
        <w:pStyle w:val="FootnoteText"/>
      </w:pPr>
      <w:r>
        <w:rPr>
          <w:rStyle w:val="FootnoteReference"/>
        </w:rPr>
        <w:footnoteRef/>
      </w:r>
      <w:r>
        <w:t xml:space="preserve"> </w:t>
      </w:r>
      <w:r w:rsidR="009D5A14" w:rsidRPr="009D5A14">
        <w:rPr>
          <w:rFonts w:eastAsia="Times New Roman" w:cs="Calibri"/>
          <w:kern w:val="0"/>
          <w:sz w:val="18"/>
          <w:szCs w:val="18"/>
          <w:lang w:eastAsia="en-GB" w:bidi="he-IL"/>
          <w14:ligatures w14:val="none"/>
        </w:rPr>
        <w:t>Ibid</w:t>
      </w:r>
      <w:r w:rsidR="009D5A14" w:rsidRPr="009D5A14">
        <w:rPr>
          <w:sz w:val="18"/>
          <w:szCs w:val="18"/>
        </w:rPr>
        <w:t>, p. 5</w:t>
      </w:r>
      <w:r w:rsidR="009D5A14">
        <w:rPr>
          <w:sz w:val="18"/>
          <w:szCs w:val="18"/>
        </w:rPr>
        <w:t>5.</w:t>
      </w:r>
    </w:p>
  </w:footnote>
  <w:footnote w:id="33">
    <w:p w14:paraId="33BA728A" w14:textId="21DDD945" w:rsidR="00723EC5" w:rsidRDefault="00723EC5" w:rsidP="00723EC5">
      <w:pPr>
        <w:pStyle w:val="FootnoteText"/>
      </w:pPr>
      <w:r>
        <w:rPr>
          <w:rStyle w:val="FootnoteReference"/>
        </w:rPr>
        <w:footnoteRef/>
      </w:r>
      <w:r w:rsidR="009D5A14" w:rsidRPr="009D5A14">
        <w:rPr>
          <w:rFonts w:eastAsia="Times New Roman" w:cs="Calibri"/>
          <w:kern w:val="0"/>
          <w:sz w:val="18"/>
          <w:szCs w:val="18"/>
          <w:lang w:eastAsia="en-GB" w:bidi="he-IL"/>
          <w14:ligatures w14:val="none"/>
        </w:rPr>
        <w:t>Ibid</w:t>
      </w:r>
      <w:r w:rsidR="009D5A14">
        <w:rPr>
          <w:rFonts w:eastAsia="Times New Roman" w:cs="Calibri"/>
          <w:kern w:val="0"/>
          <w:sz w:val="18"/>
          <w:szCs w:val="18"/>
          <w:lang w:eastAsia="en-GB" w:bidi="he-IL"/>
          <w14:ligatures w14:val="none"/>
        </w:rPr>
        <w:t xml:space="preserve">, p. 107. </w:t>
      </w:r>
      <w:r>
        <w:t xml:space="preserve"> </w:t>
      </w:r>
    </w:p>
  </w:footnote>
  <w:footnote w:id="34">
    <w:p w14:paraId="12C8DEB8" w14:textId="651E61EF" w:rsidR="00723EC5" w:rsidRDefault="00723EC5" w:rsidP="00723EC5">
      <w:pPr>
        <w:pStyle w:val="FootnoteText"/>
      </w:pPr>
      <w:r>
        <w:rPr>
          <w:rStyle w:val="FootnoteReference"/>
        </w:rPr>
        <w:footnoteRef/>
      </w:r>
      <w:r>
        <w:t xml:space="preserve"> </w:t>
      </w:r>
      <w:r w:rsidR="009D5A14" w:rsidRPr="00AE7954">
        <w:rPr>
          <w:rFonts w:ascii="Calibri" w:eastAsia="Times New Roman" w:hAnsi="Calibri" w:cs="Calibri"/>
          <w:kern w:val="0"/>
          <w:sz w:val="18"/>
          <w:szCs w:val="18"/>
          <w:lang w:eastAsia="en-GB" w:bidi="he-IL"/>
          <w14:ligatures w14:val="none"/>
        </w:rPr>
        <w:t xml:space="preserve">Aslan, </w:t>
      </w:r>
      <w:r w:rsidR="009D5A14" w:rsidRPr="00AE7954">
        <w:rPr>
          <w:rFonts w:ascii="Calibri" w:eastAsia="Times New Roman" w:hAnsi="Calibri" w:cs="Calibri"/>
          <w:i/>
          <w:iCs/>
          <w:kern w:val="0"/>
          <w:sz w:val="18"/>
          <w:szCs w:val="18"/>
          <w:lang w:eastAsia="en-GB" w:bidi="he-IL"/>
          <w14:ligatures w14:val="none"/>
        </w:rPr>
        <w:t>Zealot</w:t>
      </w:r>
      <w:r w:rsidR="009D5A14">
        <w:t>, p. 14.</w:t>
      </w:r>
      <w:r>
        <w:t xml:space="preserve"> </w:t>
      </w:r>
    </w:p>
  </w:footnote>
  <w:footnote w:id="35">
    <w:p w14:paraId="3F14F05E" w14:textId="4939585A" w:rsidR="00723EC5" w:rsidRDefault="00723EC5" w:rsidP="00723EC5">
      <w:pPr>
        <w:pStyle w:val="FootnoteText"/>
      </w:pPr>
      <w:r>
        <w:rPr>
          <w:rStyle w:val="FootnoteReference"/>
        </w:rPr>
        <w:footnoteRef/>
      </w:r>
      <w:r>
        <w:t xml:space="preserve"> </w:t>
      </w:r>
      <w:r w:rsidR="009D5A14" w:rsidRPr="008B039A">
        <w:rPr>
          <w:rFonts w:eastAsia="Times New Roman" w:cs="Calibri"/>
          <w:kern w:val="0"/>
          <w:sz w:val="18"/>
          <w:szCs w:val="18"/>
          <w:lang w:eastAsia="en-GB" w:bidi="he-IL"/>
          <w14:ligatures w14:val="none"/>
        </w:rPr>
        <w:t xml:space="preserve">Goodman, </w:t>
      </w:r>
      <w:r w:rsidR="009D5A14" w:rsidRPr="008B039A">
        <w:rPr>
          <w:rFonts w:eastAsia="Times New Roman" w:cs="Calibri"/>
          <w:i/>
          <w:iCs/>
          <w:kern w:val="0"/>
          <w:sz w:val="18"/>
          <w:szCs w:val="18"/>
          <w:lang w:eastAsia="en-GB" w:bidi="he-IL"/>
          <w14:ligatures w14:val="none"/>
        </w:rPr>
        <w:t>A History of Judaism</w:t>
      </w:r>
      <w:r w:rsidR="009D5A14">
        <w:rPr>
          <w:rFonts w:eastAsia="Times New Roman" w:cs="Calibri"/>
          <w:i/>
          <w:iCs/>
          <w:kern w:val="0"/>
          <w:sz w:val="18"/>
          <w:szCs w:val="18"/>
          <w:lang w:eastAsia="en-GB" w:bidi="he-IL"/>
          <w14:ligatures w14:val="none"/>
        </w:rPr>
        <w:t xml:space="preserve">, </w:t>
      </w:r>
      <w:r w:rsidR="009D5A14" w:rsidRPr="009D5A14">
        <w:rPr>
          <w:rFonts w:eastAsia="Times New Roman" w:cs="Calibri"/>
          <w:kern w:val="0"/>
          <w:sz w:val="18"/>
          <w:szCs w:val="18"/>
          <w:lang w:eastAsia="en-GB" w:bidi="he-IL"/>
          <w14:ligatures w14:val="none"/>
        </w:rPr>
        <w:t xml:space="preserve">p. </w:t>
      </w:r>
      <w:r w:rsidR="009D5A14">
        <w:rPr>
          <w:rFonts w:eastAsia="Times New Roman" w:cs="Calibri"/>
          <w:kern w:val="0"/>
          <w:sz w:val="18"/>
          <w:szCs w:val="18"/>
          <w:lang w:eastAsia="en-GB" w:bidi="he-IL"/>
          <w14:ligatures w14:val="none"/>
        </w:rPr>
        <w:t xml:space="preserve">105. </w:t>
      </w:r>
    </w:p>
  </w:footnote>
  <w:footnote w:id="36">
    <w:p w14:paraId="2156107B" w14:textId="12D68A2A" w:rsidR="00723EC5" w:rsidRDefault="00723EC5" w:rsidP="00723EC5">
      <w:pPr>
        <w:pStyle w:val="FootnoteText"/>
      </w:pPr>
      <w:r>
        <w:rPr>
          <w:rStyle w:val="FootnoteReference"/>
        </w:rPr>
        <w:footnoteRef/>
      </w:r>
      <w:r w:rsidR="009D5A14">
        <w:t xml:space="preserve"> </w:t>
      </w:r>
      <w:r w:rsidR="009D5A14" w:rsidRPr="009D5A14">
        <w:rPr>
          <w:rFonts w:eastAsia="Times New Roman" w:cs="Calibri"/>
          <w:kern w:val="0"/>
          <w:sz w:val="18"/>
          <w:szCs w:val="18"/>
          <w:lang w:eastAsia="en-GB" w:bidi="he-IL"/>
          <w14:ligatures w14:val="none"/>
        </w:rPr>
        <w:t>Ibid</w:t>
      </w:r>
      <w:r w:rsidR="009D5A14">
        <w:rPr>
          <w:rFonts w:eastAsia="Times New Roman" w:cs="Calibri"/>
          <w:kern w:val="0"/>
          <w:sz w:val="18"/>
          <w:szCs w:val="18"/>
          <w:lang w:eastAsia="en-GB" w:bidi="he-IL"/>
          <w14:ligatures w14:val="none"/>
        </w:rPr>
        <w:t xml:space="preserve">, p. 105. </w:t>
      </w:r>
      <w:r>
        <w:t xml:space="preserve"> </w:t>
      </w:r>
    </w:p>
  </w:footnote>
  <w:footnote w:id="37">
    <w:p w14:paraId="7DC2F959" w14:textId="78B53FF3" w:rsidR="00723EC5" w:rsidRDefault="00723EC5" w:rsidP="00723EC5">
      <w:pPr>
        <w:pStyle w:val="FootnoteText"/>
      </w:pPr>
      <w:r>
        <w:rPr>
          <w:rStyle w:val="FootnoteReference"/>
        </w:rPr>
        <w:footnoteRef/>
      </w:r>
      <w:r>
        <w:t xml:space="preserve"> </w:t>
      </w:r>
      <w:r w:rsidR="009D5A14" w:rsidRPr="008B039A">
        <w:rPr>
          <w:rFonts w:eastAsia="Times New Roman" w:cs="Calibri"/>
          <w:kern w:val="0"/>
          <w:sz w:val="18"/>
          <w:szCs w:val="18"/>
          <w:lang w:eastAsia="en-GB" w:bidi="he-IL"/>
          <w14:ligatures w14:val="none"/>
        </w:rPr>
        <w:t xml:space="preserve">Goodman, </w:t>
      </w:r>
      <w:r w:rsidR="009D5A14" w:rsidRPr="008B039A">
        <w:rPr>
          <w:rFonts w:eastAsia="Times New Roman" w:cs="Calibri"/>
          <w:i/>
          <w:iCs/>
          <w:kern w:val="0"/>
          <w:sz w:val="18"/>
          <w:szCs w:val="18"/>
          <w:lang w:eastAsia="en-GB" w:bidi="he-IL"/>
          <w14:ligatures w14:val="none"/>
        </w:rPr>
        <w:t>A History of Judaism</w:t>
      </w:r>
      <w:r w:rsidR="009D5A14">
        <w:rPr>
          <w:rFonts w:eastAsia="Times New Roman" w:cs="Calibri"/>
          <w:i/>
          <w:iCs/>
          <w:kern w:val="0"/>
          <w:sz w:val="18"/>
          <w:szCs w:val="18"/>
          <w:lang w:eastAsia="en-GB" w:bidi="he-IL"/>
          <w14:ligatures w14:val="none"/>
        </w:rPr>
        <w:t xml:space="preserve">, </w:t>
      </w:r>
      <w:r w:rsidR="009D5A14" w:rsidRPr="009D5A14">
        <w:rPr>
          <w:rFonts w:eastAsia="Times New Roman" w:cs="Calibri"/>
          <w:kern w:val="0"/>
          <w:sz w:val="18"/>
          <w:szCs w:val="18"/>
          <w:lang w:eastAsia="en-GB" w:bidi="he-IL"/>
          <w14:ligatures w14:val="none"/>
        </w:rPr>
        <w:t xml:space="preserve">p. </w:t>
      </w:r>
      <w:r w:rsidR="009D5A14">
        <w:rPr>
          <w:rFonts w:eastAsia="Times New Roman" w:cs="Calibri"/>
          <w:kern w:val="0"/>
          <w:sz w:val="18"/>
          <w:szCs w:val="18"/>
          <w:lang w:eastAsia="en-GB" w:bidi="he-IL"/>
          <w14:ligatures w14:val="none"/>
        </w:rPr>
        <w:t>1</w:t>
      </w:r>
      <w:r w:rsidR="009D5A14">
        <w:rPr>
          <w:rFonts w:eastAsia="Times New Roman" w:cs="Calibri"/>
          <w:kern w:val="0"/>
          <w:sz w:val="18"/>
          <w:szCs w:val="18"/>
          <w:lang w:eastAsia="en-GB" w:bidi="he-IL"/>
          <w14:ligatures w14:val="none"/>
        </w:rPr>
        <w:t>44.</w:t>
      </w:r>
    </w:p>
  </w:footnote>
  <w:footnote w:id="38">
    <w:p w14:paraId="42EA3D88" w14:textId="36D66EE2" w:rsidR="0079650B" w:rsidRPr="00D20E1F" w:rsidRDefault="0079650B">
      <w:pPr>
        <w:pStyle w:val="FootnoteText"/>
        <w:rPr>
          <w:sz w:val="18"/>
          <w:szCs w:val="18"/>
        </w:rPr>
      </w:pPr>
      <w:r>
        <w:rPr>
          <w:rStyle w:val="FootnoteReference"/>
        </w:rPr>
        <w:footnoteRef/>
      </w:r>
      <w:r>
        <w:t xml:space="preserve"> </w:t>
      </w:r>
      <w:r w:rsidR="009D5A14" w:rsidRPr="00D20E1F">
        <w:rPr>
          <w:rFonts w:eastAsia="Times New Roman" w:cs="Calibri"/>
          <w:kern w:val="0"/>
          <w:sz w:val="18"/>
          <w:szCs w:val="18"/>
          <w:lang w:eastAsia="en-GB" w:bidi="he-IL"/>
          <w14:ligatures w14:val="none"/>
        </w:rPr>
        <w:t>Ibid</w:t>
      </w:r>
      <w:r w:rsidR="009D5A14" w:rsidRPr="00D20E1F">
        <w:rPr>
          <w:sz w:val="18"/>
          <w:szCs w:val="18"/>
        </w:rPr>
        <w:t>, p. 241.</w:t>
      </w:r>
    </w:p>
  </w:footnote>
  <w:footnote w:id="39">
    <w:p w14:paraId="19DCE4EF" w14:textId="3ABA988F" w:rsidR="00CF6CEC" w:rsidRPr="00D20E1F" w:rsidRDefault="00CF6CEC">
      <w:pPr>
        <w:pStyle w:val="FootnoteText"/>
        <w:rPr>
          <w:sz w:val="18"/>
          <w:szCs w:val="18"/>
        </w:rPr>
      </w:pPr>
      <w:r w:rsidRPr="00D20E1F">
        <w:rPr>
          <w:rStyle w:val="FootnoteReference"/>
          <w:sz w:val="18"/>
          <w:szCs w:val="18"/>
        </w:rPr>
        <w:footnoteRef/>
      </w:r>
      <w:r w:rsidR="009D5A14" w:rsidRPr="00D20E1F">
        <w:rPr>
          <w:rFonts w:eastAsia="Times New Roman" w:cs="Calibri"/>
          <w:kern w:val="0"/>
          <w:sz w:val="18"/>
          <w:szCs w:val="18"/>
          <w:lang w:eastAsia="en-GB" w:bidi="he-IL"/>
          <w14:ligatures w14:val="none"/>
        </w:rPr>
        <w:t xml:space="preserve"> </w:t>
      </w:r>
      <w:r w:rsidR="009D5A14" w:rsidRPr="00D20E1F">
        <w:rPr>
          <w:rFonts w:eastAsia="Times New Roman" w:cs="Calibri"/>
          <w:kern w:val="0"/>
          <w:sz w:val="18"/>
          <w:szCs w:val="18"/>
          <w:lang w:eastAsia="en-GB" w:bidi="he-IL"/>
          <w14:ligatures w14:val="none"/>
        </w:rPr>
        <w:t>Ibid</w:t>
      </w:r>
      <w:r w:rsidR="009D5A14" w:rsidRPr="00D20E1F">
        <w:rPr>
          <w:rFonts w:eastAsia="Times New Roman" w:cs="Calibri"/>
          <w:kern w:val="0"/>
          <w:sz w:val="18"/>
          <w:szCs w:val="18"/>
          <w:lang w:eastAsia="en-GB" w:bidi="he-IL"/>
          <w14:ligatures w14:val="none"/>
        </w:rPr>
        <w:t xml:space="preserve">, p. 241-242. </w:t>
      </w:r>
    </w:p>
  </w:footnote>
  <w:footnote w:id="40">
    <w:p w14:paraId="60E985EF" w14:textId="571ECB15" w:rsidR="00162A78" w:rsidRDefault="00162A78">
      <w:pPr>
        <w:pStyle w:val="FootnoteText"/>
      </w:pPr>
      <w:r w:rsidRPr="00D20E1F">
        <w:rPr>
          <w:rStyle w:val="FootnoteReference"/>
          <w:sz w:val="18"/>
          <w:szCs w:val="18"/>
        </w:rPr>
        <w:footnoteRef/>
      </w:r>
      <w:r w:rsidR="009D5A14" w:rsidRPr="00D20E1F">
        <w:rPr>
          <w:rFonts w:eastAsia="Times New Roman" w:cs="Calibri"/>
          <w:kern w:val="0"/>
          <w:sz w:val="18"/>
          <w:szCs w:val="18"/>
          <w:lang w:eastAsia="en-GB" w:bidi="he-IL"/>
          <w14:ligatures w14:val="none"/>
        </w:rPr>
        <w:t xml:space="preserve"> </w:t>
      </w:r>
      <w:r w:rsidR="009D5A14" w:rsidRPr="00D20E1F">
        <w:rPr>
          <w:rFonts w:eastAsia="Times New Roman" w:cs="Calibri"/>
          <w:kern w:val="0"/>
          <w:sz w:val="18"/>
          <w:szCs w:val="18"/>
          <w:lang w:eastAsia="en-GB" w:bidi="he-IL"/>
          <w14:ligatures w14:val="none"/>
        </w:rPr>
        <w:t>Ibid</w:t>
      </w:r>
      <w:r w:rsidR="00523913" w:rsidRPr="00D20E1F">
        <w:rPr>
          <w:sz w:val="18"/>
          <w:szCs w:val="18"/>
        </w:rPr>
        <w:t>,</w:t>
      </w:r>
      <w:r w:rsidR="009D5A14" w:rsidRPr="00D20E1F">
        <w:rPr>
          <w:sz w:val="18"/>
          <w:szCs w:val="18"/>
        </w:rPr>
        <w:t xml:space="preserve"> p. 248-</w:t>
      </w:r>
      <w:r w:rsidR="00523913" w:rsidRPr="00D20E1F">
        <w:rPr>
          <w:sz w:val="18"/>
          <w:szCs w:val="18"/>
        </w:rPr>
        <w:t>249.</w:t>
      </w:r>
      <w:r w:rsidR="00523913">
        <w:t xml:space="preserve"> </w:t>
      </w:r>
    </w:p>
  </w:footnote>
  <w:footnote w:id="41">
    <w:p w14:paraId="4B8AEBD1" w14:textId="34C49E4D" w:rsidR="009605F7" w:rsidRPr="00D20E1F" w:rsidRDefault="009605F7">
      <w:pPr>
        <w:pStyle w:val="FootnoteText"/>
        <w:rPr>
          <w:sz w:val="18"/>
          <w:szCs w:val="18"/>
        </w:rPr>
      </w:pPr>
      <w:r w:rsidRPr="00D20E1F">
        <w:rPr>
          <w:rStyle w:val="FootnoteReference"/>
          <w:sz w:val="18"/>
          <w:szCs w:val="18"/>
        </w:rPr>
        <w:footnoteRef/>
      </w:r>
      <w:r w:rsidR="00D20E1F" w:rsidRPr="00D20E1F">
        <w:rPr>
          <w:rFonts w:eastAsia="Times New Roman" w:cs="Calibri"/>
          <w:kern w:val="0"/>
          <w:sz w:val="18"/>
          <w:szCs w:val="18"/>
          <w:lang w:eastAsia="en-GB" w:bidi="he-IL"/>
          <w14:ligatures w14:val="none"/>
        </w:rPr>
        <w:t xml:space="preserve"> </w:t>
      </w:r>
      <w:r w:rsidR="00D20E1F" w:rsidRPr="00D20E1F">
        <w:rPr>
          <w:rFonts w:eastAsia="Times New Roman" w:cs="Calibri"/>
          <w:kern w:val="0"/>
          <w:sz w:val="18"/>
          <w:szCs w:val="18"/>
          <w:lang w:eastAsia="en-GB" w:bidi="he-IL"/>
          <w14:ligatures w14:val="none"/>
        </w:rPr>
        <w:t>Ibid</w:t>
      </w:r>
      <w:r w:rsidRPr="00D20E1F">
        <w:rPr>
          <w:sz w:val="18"/>
          <w:szCs w:val="18"/>
        </w:rPr>
        <w:t>,</w:t>
      </w:r>
      <w:r w:rsidR="00D20E1F" w:rsidRPr="00D20E1F">
        <w:rPr>
          <w:sz w:val="18"/>
          <w:szCs w:val="18"/>
        </w:rPr>
        <w:t xml:space="preserve"> p. 251.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F16E1B"/>
    <w:multiLevelType w:val="hybridMultilevel"/>
    <w:tmpl w:val="7070EA6C"/>
    <w:lvl w:ilvl="0" w:tplc="8446E8AA">
      <w:start w:val="16"/>
      <w:numFmt w:val="bullet"/>
      <w:lvlText w:val=""/>
      <w:lvlJc w:val="left"/>
      <w:pPr>
        <w:ind w:left="720" w:hanging="360"/>
      </w:pPr>
      <w:rPr>
        <w:rFonts w:ascii="Symbol" w:eastAsiaTheme="minorHAnsi"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6793B"/>
    <w:multiLevelType w:val="hybridMultilevel"/>
    <w:tmpl w:val="38BE269A"/>
    <w:lvl w:ilvl="0" w:tplc="5B9E4EA4">
      <w:start w:val="16"/>
      <w:numFmt w:val="bullet"/>
      <w:lvlText w:val="-"/>
      <w:lvlJc w:val="left"/>
      <w:pPr>
        <w:ind w:left="720" w:hanging="360"/>
      </w:pPr>
      <w:rPr>
        <w:rFonts w:ascii="Aptos" w:eastAsiaTheme="minorHAnsi" w:hAnsi="Apto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A21C03"/>
    <w:multiLevelType w:val="hybridMultilevel"/>
    <w:tmpl w:val="61E047C8"/>
    <w:lvl w:ilvl="0" w:tplc="7B68B45A">
      <w:start w:val="10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3869932">
    <w:abstractNumId w:val="2"/>
  </w:num>
  <w:num w:numId="2" w16cid:durableId="1613708379">
    <w:abstractNumId w:val="0"/>
  </w:num>
  <w:num w:numId="3" w16cid:durableId="1022434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1sDA2NzMyMjMzt7RQ0lEKTi0uzszPAykwqQUAOO3E1SwAAAA="/>
  </w:docVars>
  <w:rsids>
    <w:rsidRoot w:val="000C56C1"/>
    <w:rsid w:val="00004841"/>
    <w:rsid w:val="00006A55"/>
    <w:rsid w:val="00012FFF"/>
    <w:rsid w:val="00022E45"/>
    <w:rsid w:val="00027622"/>
    <w:rsid w:val="00033773"/>
    <w:rsid w:val="00035759"/>
    <w:rsid w:val="00041737"/>
    <w:rsid w:val="00042222"/>
    <w:rsid w:val="00065843"/>
    <w:rsid w:val="00067781"/>
    <w:rsid w:val="00080C28"/>
    <w:rsid w:val="000842B4"/>
    <w:rsid w:val="000859C1"/>
    <w:rsid w:val="00085C14"/>
    <w:rsid w:val="00087C02"/>
    <w:rsid w:val="00090461"/>
    <w:rsid w:val="000B210F"/>
    <w:rsid w:val="000B23B8"/>
    <w:rsid w:val="000C1054"/>
    <w:rsid w:val="000C54CD"/>
    <w:rsid w:val="000C56C1"/>
    <w:rsid w:val="000E3F4D"/>
    <w:rsid w:val="0011026A"/>
    <w:rsid w:val="0013535F"/>
    <w:rsid w:val="00162A78"/>
    <w:rsid w:val="00175FA1"/>
    <w:rsid w:val="00183BE3"/>
    <w:rsid w:val="00184E3D"/>
    <w:rsid w:val="00185C93"/>
    <w:rsid w:val="0018779D"/>
    <w:rsid w:val="00187D4A"/>
    <w:rsid w:val="00193CAD"/>
    <w:rsid w:val="001A0D72"/>
    <w:rsid w:val="001A45CD"/>
    <w:rsid w:val="001B117C"/>
    <w:rsid w:val="001C5F8B"/>
    <w:rsid w:val="001C7E82"/>
    <w:rsid w:val="001D27B1"/>
    <w:rsid w:val="001E0F30"/>
    <w:rsid w:val="001F0835"/>
    <w:rsid w:val="00201CBC"/>
    <w:rsid w:val="002049E2"/>
    <w:rsid w:val="002115CE"/>
    <w:rsid w:val="002207AD"/>
    <w:rsid w:val="0022231A"/>
    <w:rsid w:val="002271C3"/>
    <w:rsid w:val="00240CCF"/>
    <w:rsid w:val="00243D33"/>
    <w:rsid w:val="0025251D"/>
    <w:rsid w:val="0028051A"/>
    <w:rsid w:val="00283156"/>
    <w:rsid w:val="00296401"/>
    <w:rsid w:val="002A0F0F"/>
    <w:rsid w:val="002A1119"/>
    <w:rsid w:val="002A6825"/>
    <w:rsid w:val="002B4D1A"/>
    <w:rsid w:val="002B6B33"/>
    <w:rsid w:val="002B75CB"/>
    <w:rsid w:val="002C128F"/>
    <w:rsid w:val="002F0B95"/>
    <w:rsid w:val="002F6D5F"/>
    <w:rsid w:val="00300E09"/>
    <w:rsid w:val="00304BDE"/>
    <w:rsid w:val="00335391"/>
    <w:rsid w:val="0033784C"/>
    <w:rsid w:val="00346B99"/>
    <w:rsid w:val="00363BDF"/>
    <w:rsid w:val="00365556"/>
    <w:rsid w:val="003778CE"/>
    <w:rsid w:val="003869CD"/>
    <w:rsid w:val="003A6B95"/>
    <w:rsid w:val="003B18BB"/>
    <w:rsid w:val="003B19C1"/>
    <w:rsid w:val="003B2CEC"/>
    <w:rsid w:val="003D7068"/>
    <w:rsid w:val="003E55A5"/>
    <w:rsid w:val="003E57CC"/>
    <w:rsid w:val="003F0B9A"/>
    <w:rsid w:val="003F7666"/>
    <w:rsid w:val="00405C27"/>
    <w:rsid w:val="0041053C"/>
    <w:rsid w:val="0041676B"/>
    <w:rsid w:val="00430DD0"/>
    <w:rsid w:val="00435933"/>
    <w:rsid w:val="004577AA"/>
    <w:rsid w:val="00471C76"/>
    <w:rsid w:val="004907E8"/>
    <w:rsid w:val="00495C71"/>
    <w:rsid w:val="004A3D25"/>
    <w:rsid w:val="004E57F4"/>
    <w:rsid w:val="00501F3A"/>
    <w:rsid w:val="005042CD"/>
    <w:rsid w:val="0050474E"/>
    <w:rsid w:val="00523913"/>
    <w:rsid w:val="00523C5B"/>
    <w:rsid w:val="00540C2E"/>
    <w:rsid w:val="005443C3"/>
    <w:rsid w:val="00553EBC"/>
    <w:rsid w:val="005602F6"/>
    <w:rsid w:val="00562894"/>
    <w:rsid w:val="0057031D"/>
    <w:rsid w:val="00572790"/>
    <w:rsid w:val="00580F79"/>
    <w:rsid w:val="005935C3"/>
    <w:rsid w:val="005B397B"/>
    <w:rsid w:val="005D145A"/>
    <w:rsid w:val="005D6971"/>
    <w:rsid w:val="005E2273"/>
    <w:rsid w:val="005E56F0"/>
    <w:rsid w:val="005F7674"/>
    <w:rsid w:val="00622EE7"/>
    <w:rsid w:val="00633E21"/>
    <w:rsid w:val="0067388F"/>
    <w:rsid w:val="00680B84"/>
    <w:rsid w:val="0068583A"/>
    <w:rsid w:val="00696935"/>
    <w:rsid w:val="006C576D"/>
    <w:rsid w:val="006C5C36"/>
    <w:rsid w:val="006C7D18"/>
    <w:rsid w:val="006E2552"/>
    <w:rsid w:val="00700240"/>
    <w:rsid w:val="00702040"/>
    <w:rsid w:val="00704E5D"/>
    <w:rsid w:val="00710986"/>
    <w:rsid w:val="007130D4"/>
    <w:rsid w:val="00723EC5"/>
    <w:rsid w:val="00726B8F"/>
    <w:rsid w:val="00727655"/>
    <w:rsid w:val="00735AF2"/>
    <w:rsid w:val="00747F04"/>
    <w:rsid w:val="00754452"/>
    <w:rsid w:val="00760E90"/>
    <w:rsid w:val="00764B3B"/>
    <w:rsid w:val="00773708"/>
    <w:rsid w:val="0079290B"/>
    <w:rsid w:val="00796146"/>
    <w:rsid w:val="0079650B"/>
    <w:rsid w:val="007A59A2"/>
    <w:rsid w:val="007A6FB8"/>
    <w:rsid w:val="007D1A7D"/>
    <w:rsid w:val="007D5231"/>
    <w:rsid w:val="007E17CE"/>
    <w:rsid w:val="007E7538"/>
    <w:rsid w:val="00814D1D"/>
    <w:rsid w:val="00817ABF"/>
    <w:rsid w:val="00834BE2"/>
    <w:rsid w:val="00835058"/>
    <w:rsid w:val="00841EC3"/>
    <w:rsid w:val="00843448"/>
    <w:rsid w:val="00843A4F"/>
    <w:rsid w:val="00857844"/>
    <w:rsid w:val="00870F4D"/>
    <w:rsid w:val="00871F20"/>
    <w:rsid w:val="008802B2"/>
    <w:rsid w:val="008871BC"/>
    <w:rsid w:val="008A3102"/>
    <w:rsid w:val="008B039A"/>
    <w:rsid w:val="008B4585"/>
    <w:rsid w:val="008C00C7"/>
    <w:rsid w:val="008C0641"/>
    <w:rsid w:val="008C0BC3"/>
    <w:rsid w:val="008C5AA4"/>
    <w:rsid w:val="008F1035"/>
    <w:rsid w:val="008F1E13"/>
    <w:rsid w:val="008F799D"/>
    <w:rsid w:val="00916ED3"/>
    <w:rsid w:val="009335E7"/>
    <w:rsid w:val="009343EB"/>
    <w:rsid w:val="009402FB"/>
    <w:rsid w:val="0094581C"/>
    <w:rsid w:val="009567BA"/>
    <w:rsid w:val="009605F7"/>
    <w:rsid w:val="0096157E"/>
    <w:rsid w:val="00962106"/>
    <w:rsid w:val="00970E61"/>
    <w:rsid w:val="00972404"/>
    <w:rsid w:val="009747AE"/>
    <w:rsid w:val="00977D2E"/>
    <w:rsid w:val="0098307C"/>
    <w:rsid w:val="009A50F6"/>
    <w:rsid w:val="009C2D08"/>
    <w:rsid w:val="009C783F"/>
    <w:rsid w:val="009D1720"/>
    <w:rsid w:val="009D2277"/>
    <w:rsid w:val="009D5A14"/>
    <w:rsid w:val="009E0539"/>
    <w:rsid w:val="009F2976"/>
    <w:rsid w:val="00A02FA9"/>
    <w:rsid w:val="00A2500A"/>
    <w:rsid w:val="00A35A6A"/>
    <w:rsid w:val="00A419D3"/>
    <w:rsid w:val="00A441E1"/>
    <w:rsid w:val="00A51E6B"/>
    <w:rsid w:val="00A5592D"/>
    <w:rsid w:val="00A63203"/>
    <w:rsid w:val="00A67388"/>
    <w:rsid w:val="00A67FF4"/>
    <w:rsid w:val="00A86D6D"/>
    <w:rsid w:val="00A86E48"/>
    <w:rsid w:val="00A87D4A"/>
    <w:rsid w:val="00A93C88"/>
    <w:rsid w:val="00A95025"/>
    <w:rsid w:val="00AA3527"/>
    <w:rsid w:val="00AB00F9"/>
    <w:rsid w:val="00AB7208"/>
    <w:rsid w:val="00AC1DC9"/>
    <w:rsid w:val="00AC59B7"/>
    <w:rsid w:val="00AC6063"/>
    <w:rsid w:val="00AE7954"/>
    <w:rsid w:val="00B036F7"/>
    <w:rsid w:val="00B03F32"/>
    <w:rsid w:val="00B07ADC"/>
    <w:rsid w:val="00B258AA"/>
    <w:rsid w:val="00B30DFD"/>
    <w:rsid w:val="00B45E3E"/>
    <w:rsid w:val="00B54A32"/>
    <w:rsid w:val="00B6771A"/>
    <w:rsid w:val="00B8092B"/>
    <w:rsid w:val="00B8435E"/>
    <w:rsid w:val="00B92FCC"/>
    <w:rsid w:val="00B93CE4"/>
    <w:rsid w:val="00B974C5"/>
    <w:rsid w:val="00BB4423"/>
    <w:rsid w:val="00BB69EA"/>
    <w:rsid w:val="00BC6849"/>
    <w:rsid w:val="00BE0944"/>
    <w:rsid w:val="00BF1EA3"/>
    <w:rsid w:val="00BF6F1F"/>
    <w:rsid w:val="00C13D13"/>
    <w:rsid w:val="00C17365"/>
    <w:rsid w:val="00C212A7"/>
    <w:rsid w:val="00C3448C"/>
    <w:rsid w:val="00C35BC0"/>
    <w:rsid w:val="00C36E7A"/>
    <w:rsid w:val="00C37D7F"/>
    <w:rsid w:val="00C50B88"/>
    <w:rsid w:val="00C91C8F"/>
    <w:rsid w:val="00CB4503"/>
    <w:rsid w:val="00CD25C5"/>
    <w:rsid w:val="00CD2AD7"/>
    <w:rsid w:val="00CD31DC"/>
    <w:rsid w:val="00CD6D8F"/>
    <w:rsid w:val="00CD6F65"/>
    <w:rsid w:val="00CF432C"/>
    <w:rsid w:val="00CF65FC"/>
    <w:rsid w:val="00CF6CEC"/>
    <w:rsid w:val="00CF6D63"/>
    <w:rsid w:val="00D00C85"/>
    <w:rsid w:val="00D017AE"/>
    <w:rsid w:val="00D066BB"/>
    <w:rsid w:val="00D103F9"/>
    <w:rsid w:val="00D14FDA"/>
    <w:rsid w:val="00D169DC"/>
    <w:rsid w:val="00D1738D"/>
    <w:rsid w:val="00D20E1F"/>
    <w:rsid w:val="00D22BFB"/>
    <w:rsid w:val="00D2608A"/>
    <w:rsid w:val="00D41E94"/>
    <w:rsid w:val="00D45EED"/>
    <w:rsid w:val="00D66D63"/>
    <w:rsid w:val="00D67D66"/>
    <w:rsid w:val="00D74488"/>
    <w:rsid w:val="00D779FD"/>
    <w:rsid w:val="00D8284C"/>
    <w:rsid w:val="00D867C8"/>
    <w:rsid w:val="00D9345F"/>
    <w:rsid w:val="00D9631F"/>
    <w:rsid w:val="00DA08B6"/>
    <w:rsid w:val="00DB10AF"/>
    <w:rsid w:val="00DB47DD"/>
    <w:rsid w:val="00DC3AE4"/>
    <w:rsid w:val="00DD4849"/>
    <w:rsid w:val="00DD637F"/>
    <w:rsid w:val="00DE4987"/>
    <w:rsid w:val="00E02EE4"/>
    <w:rsid w:val="00E04C71"/>
    <w:rsid w:val="00E05754"/>
    <w:rsid w:val="00E155F7"/>
    <w:rsid w:val="00E251B8"/>
    <w:rsid w:val="00E26371"/>
    <w:rsid w:val="00E34FA0"/>
    <w:rsid w:val="00E45FA9"/>
    <w:rsid w:val="00E620A4"/>
    <w:rsid w:val="00E65ED4"/>
    <w:rsid w:val="00E71ED0"/>
    <w:rsid w:val="00E955CA"/>
    <w:rsid w:val="00EB1DD6"/>
    <w:rsid w:val="00EB6837"/>
    <w:rsid w:val="00EC7BCD"/>
    <w:rsid w:val="00ED2E23"/>
    <w:rsid w:val="00EE0950"/>
    <w:rsid w:val="00EF2A97"/>
    <w:rsid w:val="00EF7681"/>
    <w:rsid w:val="00EF7D85"/>
    <w:rsid w:val="00EF7EF0"/>
    <w:rsid w:val="00F018EF"/>
    <w:rsid w:val="00F20E0A"/>
    <w:rsid w:val="00F24B2A"/>
    <w:rsid w:val="00F25FF1"/>
    <w:rsid w:val="00F26D94"/>
    <w:rsid w:val="00F26F79"/>
    <w:rsid w:val="00F27DB2"/>
    <w:rsid w:val="00F3077A"/>
    <w:rsid w:val="00F4166C"/>
    <w:rsid w:val="00F417CC"/>
    <w:rsid w:val="00F4783D"/>
    <w:rsid w:val="00F47B68"/>
    <w:rsid w:val="00F64429"/>
    <w:rsid w:val="00F77018"/>
    <w:rsid w:val="00F82015"/>
    <w:rsid w:val="00F941DF"/>
    <w:rsid w:val="00FA2300"/>
    <w:rsid w:val="00FB3582"/>
    <w:rsid w:val="00FB72F5"/>
    <w:rsid w:val="00FB7F69"/>
    <w:rsid w:val="00FC136E"/>
    <w:rsid w:val="00FD1140"/>
    <w:rsid w:val="00FE62F9"/>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871CD7"/>
  <w15:chartTrackingRefBased/>
  <w15:docId w15:val="{B76C1E80-3BBD-41E8-A1E4-D5B749773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401"/>
  </w:style>
  <w:style w:type="paragraph" w:styleId="Heading1">
    <w:name w:val="heading 1"/>
    <w:basedOn w:val="Normal"/>
    <w:next w:val="Normal"/>
    <w:link w:val="Heading1Char"/>
    <w:uiPriority w:val="9"/>
    <w:qFormat/>
    <w:rsid w:val="000C56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6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6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6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6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6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6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6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6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6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6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6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6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6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6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6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6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6C1"/>
    <w:rPr>
      <w:rFonts w:eastAsiaTheme="majorEastAsia" w:cstheme="majorBidi"/>
      <w:color w:val="272727" w:themeColor="text1" w:themeTint="D8"/>
    </w:rPr>
  </w:style>
  <w:style w:type="paragraph" w:styleId="Title">
    <w:name w:val="Title"/>
    <w:basedOn w:val="Normal"/>
    <w:next w:val="Normal"/>
    <w:link w:val="TitleChar"/>
    <w:uiPriority w:val="10"/>
    <w:qFormat/>
    <w:rsid w:val="000C56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6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6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6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6C1"/>
    <w:pPr>
      <w:spacing w:before="160"/>
      <w:jc w:val="center"/>
    </w:pPr>
    <w:rPr>
      <w:i/>
      <w:iCs/>
      <w:color w:val="404040" w:themeColor="text1" w:themeTint="BF"/>
    </w:rPr>
  </w:style>
  <w:style w:type="character" w:customStyle="1" w:styleId="QuoteChar">
    <w:name w:val="Quote Char"/>
    <w:basedOn w:val="DefaultParagraphFont"/>
    <w:link w:val="Quote"/>
    <w:uiPriority w:val="29"/>
    <w:rsid w:val="000C56C1"/>
    <w:rPr>
      <w:i/>
      <w:iCs/>
      <w:color w:val="404040" w:themeColor="text1" w:themeTint="BF"/>
    </w:rPr>
  </w:style>
  <w:style w:type="paragraph" w:styleId="ListParagraph">
    <w:name w:val="List Paragraph"/>
    <w:basedOn w:val="Normal"/>
    <w:uiPriority w:val="34"/>
    <w:qFormat/>
    <w:rsid w:val="000C56C1"/>
    <w:pPr>
      <w:ind w:left="720"/>
      <w:contextualSpacing/>
    </w:pPr>
  </w:style>
  <w:style w:type="character" w:styleId="IntenseEmphasis">
    <w:name w:val="Intense Emphasis"/>
    <w:basedOn w:val="DefaultParagraphFont"/>
    <w:uiPriority w:val="21"/>
    <w:qFormat/>
    <w:rsid w:val="000C56C1"/>
    <w:rPr>
      <w:i/>
      <w:iCs/>
      <w:color w:val="0F4761" w:themeColor="accent1" w:themeShade="BF"/>
    </w:rPr>
  </w:style>
  <w:style w:type="paragraph" w:styleId="IntenseQuote">
    <w:name w:val="Intense Quote"/>
    <w:basedOn w:val="Normal"/>
    <w:next w:val="Normal"/>
    <w:link w:val="IntenseQuoteChar"/>
    <w:uiPriority w:val="30"/>
    <w:qFormat/>
    <w:rsid w:val="000C56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6C1"/>
    <w:rPr>
      <w:i/>
      <w:iCs/>
      <w:color w:val="0F4761" w:themeColor="accent1" w:themeShade="BF"/>
    </w:rPr>
  </w:style>
  <w:style w:type="character" w:styleId="IntenseReference">
    <w:name w:val="Intense Reference"/>
    <w:basedOn w:val="DefaultParagraphFont"/>
    <w:uiPriority w:val="32"/>
    <w:qFormat/>
    <w:rsid w:val="000C56C1"/>
    <w:rPr>
      <w:b/>
      <w:bCs/>
      <w:smallCaps/>
      <w:color w:val="0F4761" w:themeColor="accent1" w:themeShade="BF"/>
      <w:spacing w:val="5"/>
    </w:rPr>
  </w:style>
  <w:style w:type="paragraph" w:styleId="FootnoteText">
    <w:name w:val="footnote text"/>
    <w:basedOn w:val="Normal"/>
    <w:link w:val="FootnoteTextChar"/>
    <w:uiPriority w:val="99"/>
    <w:semiHidden/>
    <w:unhideWhenUsed/>
    <w:rsid w:val="002964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6401"/>
    <w:rPr>
      <w:sz w:val="20"/>
      <w:szCs w:val="20"/>
    </w:rPr>
  </w:style>
  <w:style w:type="character" w:styleId="FootnoteReference">
    <w:name w:val="footnote reference"/>
    <w:basedOn w:val="DefaultParagraphFont"/>
    <w:uiPriority w:val="99"/>
    <w:semiHidden/>
    <w:unhideWhenUsed/>
    <w:rsid w:val="00296401"/>
    <w:rPr>
      <w:vertAlign w:val="superscript"/>
    </w:rPr>
  </w:style>
  <w:style w:type="paragraph" w:styleId="Header">
    <w:name w:val="header"/>
    <w:basedOn w:val="Normal"/>
    <w:link w:val="HeaderChar"/>
    <w:uiPriority w:val="99"/>
    <w:unhideWhenUsed/>
    <w:rsid w:val="00AC60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063"/>
  </w:style>
  <w:style w:type="paragraph" w:styleId="Footer">
    <w:name w:val="footer"/>
    <w:basedOn w:val="Normal"/>
    <w:link w:val="FooterChar"/>
    <w:uiPriority w:val="99"/>
    <w:unhideWhenUsed/>
    <w:rsid w:val="00AC60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063"/>
  </w:style>
  <w:style w:type="character" w:styleId="Hyperlink">
    <w:name w:val="Hyperlink"/>
    <w:basedOn w:val="DefaultParagraphFont"/>
    <w:uiPriority w:val="99"/>
    <w:semiHidden/>
    <w:unhideWhenUsed/>
    <w:rsid w:val="000C1054"/>
    <w:rPr>
      <w:color w:val="0000FF"/>
      <w:u w:val="single"/>
    </w:rPr>
  </w:style>
  <w:style w:type="paragraph" w:styleId="NormalWeb">
    <w:name w:val="Normal (Web)"/>
    <w:basedOn w:val="Normal"/>
    <w:uiPriority w:val="99"/>
    <w:semiHidden/>
    <w:unhideWhenUsed/>
    <w:rsid w:val="00B92FCC"/>
    <w:pPr>
      <w:spacing w:before="100" w:beforeAutospacing="1" w:after="100" w:afterAutospacing="1" w:line="240" w:lineRule="auto"/>
    </w:pPr>
    <w:rPr>
      <w:rFonts w:ascii="Times New Roman" w:eastAsia="Times New Roman" w:hAnsi="Times New Roman" w:cs="Times New Roman"/>
      <w:kern w:val="0"/>
      <w:sz w:val="24"/>
      <w:szCs w:val="24"/>
      <w:lang w:eastAsia="en-GB" w:bidi="he-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674623">
      <w:bodyDiv w:val="1"/>
      <w:marLeft w:val="0"/>
      <w:marRight w:val="0"/>
      <w:marTop w:val="0"/>
      <w:marBottom w:val="0"/>
      <w:divBdr>
        <w:top w:val="none" w:sz="0" w:space="0" w:color="auto"/>
        <w:left w:val="none" w:sz="0" w:space="0" w:color="auto"/>
        <w:bottom w:val="none" w:sz="0" w:space="0" w:color="auto"/>
        <w:right w:val="none" w:sz="0" w:space="0" w:color="auto"/>
      </w:divBdr>
      <w:divsChild>
        <w:div w:id="1884638491">
          <w:marLeft w:val="-720"/>
          <w:marRight w:val="0"/>
          <w:marTop w:val="0"/>
          <w:marBottom w:val="0"/>
          <w:divBdr>
            <w:top w:val="none" w:sz="0" w:space="0" w:color="auto"/>
            <w:left w:val="none" w:sz="0" w:space="0" w:color="auto"/>
            <w:bottom w:val="none" w:sz="0" w:space="0" w:color="auto"/>
            <w:right w:val="none" w:sz="0" w:space="0" w:color="auto"/>
          </w:divBdr>
        </w:div>
      </w:divsChild>
    </w:div>
    <w:div w:id="502353340">
      <w:bodyDiv w:val="1"/>
      <w:marLeft w:val="0"/>
      <w:marRight w:val="0"/>
      <w:marTop w:val="0"/>
      <w:marBottom w:val="0"/>
      <w:divBdr>
        <w:top w:val="none" w:sz="0" w:space="0" w:color="auto"/>
        <w:left w:val="none" w:sz="0" w:space="0" w:color="auto"/>
        <w:bottom w:val="none" w:sz="0" w:space="0" w:color="auto"/>
        <w:right w:val="none" w:sz="0" w:space="0" w:color="auto"/>
      </w:divBdr>
    </w:div>
    <w:div w:id="508758741">
      <w:bodyDiv w:val="1"/>
      <w:marLeft w:val="0"/>
      <w:marRight w:val="0"/>
      <w:marTop w:val="0"/>
      <w:marBottom w:val="0"/>
      <w:divBdr>
        <w:top w:val="none" w:sz="0" w:space="0" w:color="auto"/>
        <w:left w:val="none" w:sz="0" w:space="0" w:color="auto"/>
        <w:bottom w:val="none" w:sz="0" w:space="0" w:color="auto"/>
        <w:right w:val="none" w:sz="0" w:space="0" w:color="auto"/>
      </w:divBdr>
    </w:div>
    <w:div w:id="643239173">
      <w:bodyDiv w:val="1"/>
      <w:marLeft w:val="0"/>
      <w:marRight w:val="0"/>
      <w:marTop w:val="0"/>
      <w:marBottom w:val="0"/>
      <w:divBdr>
        <w:top w:val="none" w:sz="0" w:space="0" w:color="auto"/>
        <w:left w:val="none" w:sz="0" w:space="0" w:color="auto"/>
        <w:bottom w:val="none" w:sz="0" w:space="0" w:color="auto"/>
        <w:right w:val="none" w:sz="0" w:space="0" w:color="auto"/>
      </w:divBdr>
    </w:div>
    <w:div w:id="673797819">
      <w:bodyDiv w:val="1"/>
      <w:marLeft w:val="0"/>
      <w:marRight w:val="0"/>
      <w:marTop w:val="0"/>
      <w:marBottom w:val="0"/>
      <w:divBdr>
        <w:top w:val="none" w:sz="0" w:space="0" w:color="auto"/>
        <w:left w:val="none" w:sz="0" w:space="0" w:color="auto"/>
        <w:bottom w:val="none" w:sz="0" w:space="0" w:color="auto"/>
        <w:right w:val="none" w:sz="0" w:space="0" w:color="auto"/>
      </w:divBdr>
    </w:div>
    <w:div w:id="1307709960">
      <w:bodyDiv w:val="1"/>
      <w:marLeft w:val="0"/>
      <w:marRight w:val="0"/>
      <w:marTop w:val="0"/>
      <w:marBottom w:val="0"/>
      <w:divBdr>
        <w:top w:val="none" w:sz="0" w:space="0" w:color="auto"/>
        <w:left w:val="none" w:sz="0" w:space="0" w:color="auto"/>
        <w:bottom w:val="none" w:sz="0" w:space="0" w:color="auto"/>
        <w:right w:val="none" w:sz="0" w:space="0" w:color="auto"/>
      </w:divBdr>
    </w:div>
    <w:div w:id="1426685314">
      <w:bodyDiv w:val="1"/>
      <w:marLeft w:val="0"/>
      <w:marRight w:val="0"/>
      <w:marTop w:val="0"/>
      <w:marBottom w:val="0"/>
      <w:divBdr>
        <w:top w:val="none" w:sz="0" w:space="0" w:color="auto"/>
        <w:left w:val="none" w:sz="0" w:space="0" w:color="auto"/>
        <w:bottom w:val="none" w:sz="0" w:space="0" w:color="auto"/>
        <w:right w:val="none" w:sz="0" w:space="0" w:color="auto"/>
      </w:divBdr>
    </w:div>
    <w:div w:id="1464885527">
      <w:bodyDiv w:val="1"/>
      <w:marLeft w:val="0"/>
      <w:marRight w:val="0"/>
      <w:marTop w:val="0"/>
      <w:marBottom w:val="0"/>
      <w:divBdr>
        <w:top w:val="none" w:sz="0" w:space="0" w:color="auto"/>
        <w:left w:val="none" w:sz="0" w:space="0" w:color="auto"/>
        <w:bottom w:val="none" w:sz="0" w:space="0" w:color="auto"/>
        <w:right w:val="none" w:sz="0" w:space="0" w:color="auto"/>
      </w:divBdr>
    </w:div>
    <w:div w:id="1516463143">
      <w:bodyDiv w:val="1"/>
      <w:marLeft w:val="0"/>
      <w:marRight w:val="0"/>
      <w:marTop w:val="0"/>
      <w:marBottom w:val="0"/>
      <w:divBdr>
        <w:top w:val="none" w:sz="0" w:space="0" w:color="auto"/>
        <w:left w:val="none" w:sz="0" w:space="0" w:color="auto"/>
        <w:bottom w:val="none" w:sz="0" w:space="0" w:color="auto"/>
        <w:right w:val="none" w:sz="0" w:space="0" w:color="auto"/>
      </w:divBdr>
    </w:div>
    <w:div w:id="1541939358">
      <w:bodyDiv w:val="1"/>
      <w:marLeft w:val="0"/>
      <w:marRight w:val="0"/>
      <w:marTop w:val="0"/>
      <w:marBottom w:val="0"/>
      <w:divBdr>
        <w:top w:val="none" w:sz="0" w:space="0" w:color="auto"/>
        <w:left w:val="none" w:sz="0" w:space="0" w:color="auto"/>
        <w:bottom w:val="none" w:sz="0" w:space="0" w:color="auto"/>
        <w:right w:val="none" w:sz="0" w:space="0" w:color="auto"/>
      </w:divBdr>
    </w:div>
    <w:div w:id="1638217904">
      <w:bodyDiv w:val="1"/>
      <w:marLeft w:val="0"/>
      <w:marRight w:val="0"/>
      <w:marTop w:val="0"/>
      <w:marBottom w:val="0"/>
      <w:divBdr>
        <w:top w:val="none" w:sz="0" w:space="0" w:color="auto"/>
        <w:left w:val="none" w:sz="0" w:space="0" w:color="auto"/>
        <w:bottom w:val="none" w:sz="0" w:space="0" w:color="auto"/>
        <w:right w:val="none" w:sz="0" w:space="0" w:color="auto"/>
      </w:divBdr>
    </w:div>
    <w:div w:id="201413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worldhistory.org/Masada/" TargetMode="External"/><Relationship Id="rId2" Type="http://schemas.openxmlformats.org/officeDocument/2006/relationships/hyperlink" Target="https://www.worldhistory.org/article/1993/the-siege-of-jerusalem-in-70-ce/" TargetMode="External"/><Relationship Id="rId1" Type="http://schemas.openxmlformats.org/officeDocument/2006/relationships/hyperlink" Target="https://www.worldhistory.org/article/823/the-great-jewish-revolt-of-66-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2878</TotalTime>
  <Pages>7</Pages>
  <Words>2336</Words>
  <Characters>13321</Characters>
  <Application>Microsoft Office Word</Application>
  <DocSecurity>0</DocSecurity>
  <Lines>111</Lines>
  <Paragraphs>31</Paragraphs>
  <ScaleCrop>false</ScaleCrop>
  <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Neve Pule</dc:creator>
  <cp:keywords/>
  <dc:description/>
  <cp:lastModifiedBy>Neve Pule</cp:lastModifiedBy>
  <cp:revision>315</cp:revision>
  <cp:lastPrinted>2024-05-03T08:09:00Z</cp:lastPrinted>
  <dcterms:created xsi:type="dcterms:W3CDTF">2024-04-25T08:46:00Z</dcterms:created>
  <dcterms:modified xsi:type="dcterms:W3CDTF">2024-05-03T09:29:00Z</dcterms:modified>
</cp:coreProperties>
</file>