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3BB9" w:rsidRDefault="00DE3BB9">
      <w:pPr>
        <w:rPr>
          <w:rFonts w:ascii="Times New Roman" w:hAnsi="Times New Roman" w:cs="Times New Roman"/>
        </w:rPr>
      </w:pPr>
      <w:bookmarkStart w:id="0" w:name="_GoBack"/>
      <w:bookmarkEnd w:id="0"/>
    </w:p>
    <w:p w:rsidR="00DE3BB9" w:rsidRPr="00DE3BB9" w:rsidRDefault="00DE3BB9" w:rsidP="00DE3BB9">
      <w:pPr>
        <w:spacing w:after="0" w:line="240" w:lineRule="auto"/>
        <w:ind w:left="-180" w:right="-334"/>
        <w:rPr>
          <w:rFonts w:ascii="Trebuchet MS" w:eastAsia="SimSun" w:hAnsi="Trebuchet MS" w:cs="Tahoma"/>
          <w:color w:val="000000"/>
          <w:sz w:val="24"/>
          <w:szCs w:val="24"/>
          <w:lang w:eastAsia="zh-CN"/>
        </w:rPr>
      </w:pPr>
      <w:r w:rsidRPr="00DE3BB9">
        <w:rPr>
          <w:rFonts w:ascii="Georgia" w:eastAsia="SimSun" w:hAnsi="Georgia" w:cs="Times New Roman"/>
          <w:noProof/>
          <w:color w:val="000000"/>
          <w:sz w:val="21"/>
          <w:szCs w:val="21"/>
          <w:lang w:eastAsia="zh-CN"/>
        </w:rPr>
        <w:drawing>
          <wp:inline distT="0" distB="0" distL="0" distR="0">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DE3BB9" w:rsidRPr="00DE3BB9" w:rsidRDefault="00DE3BB9" w:rsidP="00DE3BB9">
      <w:pPr>
        <w:keepNext/>
        <w:spacing w:before="240" w:after="60" w:line="240" w:lineRule="auto"/>
        <w:jc w:val="center"/>
        <w:outlineLvl w:val="0"/>
        <w:rPr>
          <w:rFonts w:ascii="Arial" w:eastAsia="SimSun" w:hAnsi="Arial" w:cs="Arial"/>
          <w:b/>
          <w:bCs/>
          <w:kern w:val="32"/>
          <w:sz w:val="32"/>
          <w:szCs w:val="32"/>
          <w:lang w:val="cy-GB" w:eastAsia="zh-CN"/>
        </w:rPr>
      </w:pPr>
      <w:r w:rsidRPr="00DE3BB9">
        <w:rPr>
          <w:rFonts w:ascii="Arial" w:eastAsia="SimSun" w:hAnsi="Arial" w:cs="Arial"/>
          <w:b/>
          <w:bCs/>
          <w:kern w:val="32"/>
          <w:sz w:val="32"/>
          <w:szCs w:val="32"/>
          <w:lang w:val="cy-GB" w:eastAsia="zh-CN"/>
        </w:rPr>
        <w:t>Undergraduate assignment feedback form</w:t>
      </w:r>
    </w:p>
    <w:p w:rsidR="00DE3BB9" w:rsidRPr="00DE3BB9" w:rsidRDefault="00DE3BB9" w:rsidP="00DE3BB9">
      <w:pPr>
        <w:spacing w:after="0" w:line="240" w:lineRule="auto"/>
        <w:jc w:val="center"/>
        <w:rPr>
          <w:rFonts w:ascii="Arial" w:eastAsia="SimSun" w:hAnsi="Arial" w:cs="Arial"/>
          <w:b/>
          <w:sz w:val="24"/>
          <w:szCs w:val="24"/>
          <w:lang w:val="cy-GB" w:eastAsia="zh-CN"/>
        </w:rPr>
      </w:pPr>
      <w:r w:rsidRPr="00DE3BB9">
        <w:rPr>
          <w:rFonts w:ascii="Arial" w:eastAsia="SimSun" w:hAnsi="Arial" w:cs="Arial"/>
          <w:b/>
          <w:sz w:val="24"/>
          <w:szCs w:val="24"/>
          <w:lang w:val="cy-GB" w:eastAsia="zh-CN"/>
        </w:rPr>
        <w:t>(to be completed by marker)</w:t>
      </w:r>
    </w:p>
    <w:p w:rsidR="00DE3BB9" w:rsidRPr="00DE3BB9" w:rsidRDefault="00DE3BB9" w:rsidP="00DE3BB9">
      <w:pPr>
        <w:spacing w:after="0" w:line="240" w:lineRule="auto"/>
        <w:jc w:val="center"/>
        <w:rPr>
          <w:rFonts w:ascii="Arial" w:eastAsia="SimSun" w:hAnsi="Arial" w:cs="Arial"/>
          <w:b/>
          <w:sz w:val="24"/>
          <w:szCs w:val="24"/>
          <w:lang w:val="cy-GB" w:eastAsia="zh-CN"/>
        </w:rPr>
      </w:pPr>
    </w:p>
    <w:p w:rsidR="00DE3BB9" w:rsidRPr="00DE3BB9" w:rsidRDefault="00DE3BB9" w:rsidP="00DE3BB9">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E3BB9" w:rsidRPr="00DE3BB9" w:rsidTr="0033407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DE3BB9" w:rsidRPr="00DE3BB9" w:rsidRDefault="00DE3BB9" w:rsidP="00DE3BB9">
            <w:pPr>
              <w:spacing w:after="0" w:line="240" w:lineRule="auto"/>
              <w:ind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Student Name: Lesley Grace Moreton</w:t>
            </w:r>
          </w:p>
          <w:p w:rsidR="00DE3BB9" w:rsidRPr="00DE3BB9" w:rsidRDefault="00DE3BB9" w:rsidP="00DE3BB9">
            <w:pPr>
              <w:spacing w:after="0" w:line="240" w:lineRule="auto"/>
              <w:ind w:right="34"/>
              <w:rPr>
                <w:rFonts w:ascii="Calibri" w:eastAsia="SimSun" w:hAnsi="Calibri" w:cs="Tahoma"/>
                <w:i/>
                <w:color w:val="000000"/>
                <w:sz w:val="24"/>
                <w:szCs w:val="24"/>
                <w:lang w:eastAsia="zh-CN"/>
              </w:rPr>
            </w:pPr>
          </w:p>
        </w:tc>
      </w:tr>
      <w:tr w:rsidR="00DE3BB9" w:rsidRPr="00DE3BB9" w:rsidTr="0033407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DE3BB9" w:rsidRPr="00DE3BB9" w:rsidRDefault="00DE3BB9" w:rsidP="00DE3BB9">
            <w:pPr>
              <w:spacing w:after="0" w:line="240" w:lineRule="auto"/>
              <w:ind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Module title: Village to Empire</w:t>
            </w:r>
          </w:p>
        </w:tc>
        <w:tc>
          <w:tcPr>
            <w:tcW w:w="3967" w:type="dxa"/>
            <w:gridSpan w:val="2"/>
            <w:tcBorders>
              <w:top w:val="single" w:sz="4" w:space="0" w:color="auto"/>
              <w:left w:val="single" w:sz="4" w:space="0" w:color="auto"/>
              <w:bottom w:val="single" w:sz="4" w:space="0" w:color="auto"/>
              <w:right w:val="single" w:sz="4" w:space="0" w:color="auto"/>
            </w:tcBorders>
          </w:tcPr>
          <w:p w:rsidR="00DE3BB9" w:rsidRPr="00DE3BB9" w:rsidRDefault="00DE3BB9" w:rsidP="00DE3BB9">
            <w:pPr>
              <w:spacing w:after="0" w:line="240" w:lineRule="auto"/>
              <w:ind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Student number: 1600844</w:t>
            </w:r>
          </w:p>
        </w:tc>
      </w:tr>
      <w:tr w:rsidR="00DE3BB9" w:rsidRPr="00DE3BB9" w:rsidTr="0033407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DE3BB9" w:rsidRPr="00DE3BB9" w:rsidRDefault="00DE3BB9" w:rsidP="00DE3BB9">
            <w:pPr>
              <w:spacing w:after="0" w:line="240" w:lineRule="auto"/>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For completion by marker:</w:t>
            </w: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Comments:</w:t>
            </w: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p w:rsidR="00DE3BB9" w:rsidRPr="00DE3BB9" w:rsidRDefault="00DE3BB9" w:rsidP="00DE3BB9">
            <w:pPr>
              <w:spacing w:before="100" w:beforeAutospacing="1" w:after="100" w:afterAutospacing="1" w:line="240" w:lineRule="auto"/>
              <w:rPr>
                <w:rFonts w:ascii="Calibri" w:eastAsia="SimSun" w:hAnsi="Calibri" w:cs="Tahoma"/>
                <w:i/>
                <w:color w:val="000000"/>
                <w:sz w:val="24"/>
                <w:szCs w:val="24"/>
                <w:lang w:eastAsia="zh-CN"/>
              </w:rPr>
            </w:pPr>
          </w:p>
        </w:tc>
      </w:tr>
      <w:tr w:rsidR="00DE3BB9" w:rsidRPr="00DE3BB9" w:rsidTr="0033407F">
        <w:trPr>
          <w:trHeight w:val="492"/>
        </w:trPr>
        <w:tc>
          <w:tcPr>
            <w:tcW w:w="6768" w:type="dxa"/>
            <w:gridSpan w:val="2"/>
            <w:tcBorders>
              <w:top w:val="single" w:sz="4" w:space="0" w:color="auto"/>
            </w:tcBorders>
            <w:vAlign w:val="center"/>
          </w:tcPr>
          <w:p w:rsidR="00DE3BB9" w:rsidRPr="00DE3BB9" w:rsidRDefault="00DE3BB9" w:rsidP="00DE3BB9">
            <w:pPr>
              <w:spacing w:before="100" w:beforeAutospacing="1" w:after="100" w:afterAutospacing="1" w:line="240" w:lineRule="auto"/>
              <w:ind w:left="142"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DE3BB9" w:rsidRPr="00DE3BB9" w:rsidRDefault="00DE3BB9" w:rsidP="00DE3BB9">
            <w:pPr>
              <w:spacing w:before="100" w:beforeAutospacing="1" w:after="0" w:afterAutospacing="1" w:line="240" w:lineRule="auto"/>
              <w:ind w:left="142"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Date:</w:t>
            </w:r>
          </w:p>
        </w:tc>
      </w:tr>
      <w:tr w:rsidR="00DE3BB9" w:rsidRPr="00DE3BB9" w:rsidTr="0033407F">
        <w:tc>
          <w:tcPr>
            <w:tcW w:w="8755" w:type="dxa"/>
            <w:gridSpan w:val="3"/>
            <w:vAlign w:val="center"/>
          </w:tcPr>
          <w:p w:rsidR="00DE3BB9" w:rsidRPr="00DE3BB9" w:rsidRDefault="00DE3BB9" w:rsidP="00DE3BB9">
            <w:pPr>
              <w:spacing w:after="0" w:line="240" w:lineRule="auto"/>
              <w:ind w:left="142" w:right="34"/>
              <w:rPr>
                <w:rFonts w:ascii="Calibri" w:eastAsia="SimSun" w:hAnsi="Calibri" w:cs="Tahoma"/>
                <w:i/>
                <w:color w:val="000000"/>
                <w:sz w:val="24"/>
                <w:szCs w:val="24"/>
                <w:lang w:eastAsia="zh-CN"/>
              </w:rPr>
            </w:pPr>
            <w:r w:rsidRPr="00DE3BB9">
              <w:rPr>
                <w:rFonts w:ascii="Calibri" w:eastAsia="SimSun" w:hAnsi="Calibri" w:cs="Tahoma"/>
                <w:i/>
                <w:color w:val="000000"/>
                <w:sz w:val="24"/>
                <w:szCs w:val="24"/>
                <w:lang w:eastAsia="zh-CN"/>
              </w:rPr>
              <w:t xml:space="preserve">Provisional mark: </w:t>
            </w:r>
          </w:p>
          <w:p w:rsidR="00DE3BB9" w:rsidRPr="00DE3BB9" w:rsidRDefault="00DE3BB9" w:rsidP="00DE3BB9">
            <w:pPr>
              <w:spacing w:after="0" w:line="240" w:lineRule="auto"/>
              <w:ind w:left="142" w:right="34"/>
              <w:rPr>
                <w:rFonts w:ascii="Calibri" w:eastAsia="SimSun" w:hAnsi="Calibri" w:cs="Tahoma"/>
                <w:i/>
                <w:color w:val="000000"/>
                <w:sz w:val="24"/>
                <w:szCs w:val="24"/>
                <w:lang w:eastAsia="zh-CN"/>
              </w:rPr>
            </w:pPr>
            <w:r w:rsidRPr="00DE3BB9">
              <w:rPr>
                <w:rFonts w:ascii="Calibri" w:eastAsia="SimSun" w:hAnsi="Calibri" w:cs="Tahoma"/>
                <w:b/>
                <w:i/>
                <w:color w:val="000000"/>
                <w:sz w:val="24"/>
                <w:szCs w:val="24"/>
                <w:lang w:eastAsia="zh-CN"/>
              </w:rPr>
              <w:t>NB.</w:t>
            </w:r>
            <w:r w:rsidRPr="00DE3BB9">
              <w:rPr>
                <w:rFonts w:ascii="Calibri" w:eastAsia="SimSun" w:hAnsi="Calibri" w:cs="Tahoma"/>
                <w:i/>
                <w:color w:val="000000"/>
                <w:sz w:val="24"/>
                <w:szCs w:val="24"/>
                <w:lang w:eastAsia="zh-CN"/>
              </w:rPr>
              <w:t xml:space="preserve">  All marks are provisional until confirmed by the final examination board. </w:t>
            </w:r>
          </w:p>
        </w:tc>
      </w:tr>
    </w:tbl>
    <w:p w:rsidR="00DE3BB9" w:rsidRDefault="00DE3BB9">
      <w:pPr>
        <w:rPr>
          <w:rFonts w:ascii="Times New Roman" w:hAnsi="Times New Roman" w:cs="Times New Roman"/>
        </w:rPr>
      </w:pPr>
      <w:r>
        <w:rPr>
          <w:rFonts w:ascii="Times New Roman" w:hAnsi="Times New Roman" w:cs="Times New Roman"/>
        </w:rPr>
        <w:br w:type="page"/>
      </w:r>
    </w:p>
    <w:p w:rsidR="00CB23A5" w:rsidRDefault="00A47795">
      <w:pPr>
        <w:rPr>
          <w:rFonts w:ascii="Times New Roman" w:hAnsi="Times New Roman" w:cs="Times New Roman"/>
        </w:rPr>
      </w:pPr>
      <w:r>
        <w:rPr>
          <w:rFonts w:ascii="Times New Roman" w:hAnsi="Times New Roman" w:cs="Times New Roman"/>
        </w:rPr>
        <w:lastRenderedPageBreak/>
        <w:t>Village to Empires Essay Grace Moreton</w:t>
      </w:r>
    </w:p>
    <w:p w:rsidR="00A47795" w:rsidRDefault="00A47795">
      <w:pPr>
        <w:rPr>
          <w:rFonts w:ascii="Times New Roman" w:hAnsi="Times New Roman" w:cs="Times New Roman"/>
        </w:rPr>
      </w:pPr>
    </w:p>
    <w:p w:rsidR="00A47795" w:rsidRDefault="00A47795">
      <w:pPr>
        <w:rPr>
          <w:rFonts w:ascii="Times New Roman" w:hAnsi="Times New Roman" w:cs="Times New Roman"/>
        </w:rPr>
      </w:pPr>
      <w:r>
        <w:rPr>
          <w:rFonts w:ascii="Times New Roman" w:hAnsi="Times New Roman" w:cs="Times New Roman"/>
        </w:rPr>
        <w:t>As the Roman Empire expanded and assimilated cultures in the process, it not only makes it difficult to understand which parts are essentially Roman such as the belief in the divine right to conquer, but who exactly was the influence them. Where and who is often what modern scholarship debates on with the exception of the Etruscans, due mainly to the unique religious practices. Ron has been described, especially in its early history as an Etruscan city or at the very least “a fusion of native and Etruscan elements”,</w:t>
      </w:r>
      <w:r>
        <w:rPr>
          <w:rStyle w:val="FootnoteReference"/>
          <w:rFonts w:ascii="Times New Roman" w:hAnsi="Times New Roman" w:cs="Times New Roman"/>
        </w:rPr>
        <w:footnoteReference w:id="1"/>
      </w:r>
      <w:r>
        <w:rPr>
          <w:rFonts w:ascii="Times New Roman" w:hAnsi="Times New Roman" w:cs="Times New Roman"/>
        </w:rPr>
        <w:t xml:space="preserve"> with evidence being collected to support this claim from temple structures like those on Capitol Hill, to deities, to the fascination that lasted until the rise of Christianity in divination, augury and meteorological events. Throughout this essay I will explore the extent and impact of Etruscan influence in Roman religious institutions as well as any importance of the influence.</w:t>
      </w:r>
    </w:p>
    <w:p w:rsidR="00A47795" w:rsidRDefault="00A47795">
      <w:pPr>
        <w:rPr>
          <w:rFonts w:ascii="Times New Roman" w:hAnsi="Times New Roman" w:cs="Times New Roman"/>
        </w:rPr>
      </w:pPr>
    </w:p>
    <w:p w:rsidR="00A47795" w:rsidRDefault="00A47795">
      <w:pPr>
        <w:rPr>
          <w:rFonts w:ascii="Times New Roman" w:hAnsi="Times New Roman" w:cs="Times New Roman"/>
        </w:rPr>
      </w:pPr>
      <w:r>
        <w:rPr>
          <w:rFonts w:ascii="Times New Roman" w:hAnsi="Times New Roman" w:cs="Times New Roman"/>
        </w:rPr>
        <w:t>Ancient sources regarding this influence are varied, however the most obvious source that still visible today is an architecture. More specifically, architecture in temples that can only come from Etruscan temples as all other sources of religious influence – Greece, Egypt et cetera – do not have the same features.</w:t>
      </w:r>
      <w:r w:rsidR="005272CB">
        <w:rPr>
          <w:rFonts w:ascii="Times New Roman" w:hAnsi="Times New Roman" w:cs="Times New Roman"/>
        </w:rPr>
        <w:t xml:space="preserve"> The standard setup for Roman temple was have stairs leading to an altar on a podium in front of the main entrance where the public festivals and sacrifices would have taken place. Beyond that there were usually three cella that could only be viewed from the front. The best example of this is a temple on Capitoline with Jupiter in the centre and Juno and Minerva on either side.</w:t>
      </w:r>
      <w:r w:rsidR="005272CB">
        <w:rPr>
          <w:rStyle w:val="FootnoteReference"/>
          <w:rFonts w:ascii="Times New Roman" w:hAnsi="Times New Roman" w:cs="Times New Roman"/>
        </w:rPr>
        <w:footnoteReference w:id="2"/>
      </w:r>
      <w:r w:rsidR="005272CB">
        <w:rPr>
          <w:rFonts w:ascii="Times New Roman" w:hAnsi="Times New Roman" w:cs="Times New Roman"/>
        </w:rPr>
        <w:t xml:space="preserve"> At the temples in Veii, the same design can be found; stairs to raised podium, a triple cell a featuring the Etruscan equivalent to those featured on Capitol and broad-based columns. Whilst the Etruscans built largely from wood, have an accurate description from the Roman architect named Vitruvius in his work De Architectura as well as the resurgence of Etruscan style architecture during the Italian Renaissance.</w:t>
      </w:r>
      <w:r w:rsidR="005272CB">
        <w:rPr>
          <w:rStyle w:val="FootnoteReference"/>
          <w:rFonts w:ascii="Times New Roman" w:hAnsi="Times New Roman" w:cs="Times New Roman"/>
        </w:rPr>
        <w:footnoteReference w:id="3"/>
      </w:r>
      <w:r w:rsidR="005272CB">
        <w:rPr>
          <w:rFonts w:ascii="Times New Roman" w:hAnsi="Times New Roman" w:cs="Times New Roman"/>
        </w:rPr>
        <w:t xml:space="preserve"> However, there are issues that can be argued for both of these ancient sources. Vitruvius’s account was written in the first century BC during the Augustinian period where history of early Rome was being written from a collection of oral histories and myth.</w:t>
      </w:r>
      <w:r w:rsidR="000538A6">
        <w:rPr>
          <w:rFonts w:ascii="Times New Roman" w:hAnsi="Times New Roman" w:cs="Times New Roman"/>
        </w:rPr>
        <w:t xml:space="preserve"> Usually, this would cast doubt on any source claiming to be accurate when depicting early Roman or Etruscan history,</w:t>
      </w:r>
      <w:r w:rsidR="000538A6" w:rsidRPr="000538A6">
        <w:t xml:space="preserve"> </w:t>
      </w:r>
      <w:r w:rsidR="000538A6">
        <w:rPr>
          <w:rFonts w:ascii="Times New Roman" w:hAnsi="Times New Roman" w:cs="Times New Roman"/>
        </w:rPr>
        <w:t>b</w:t>
      </w:r>
      <w:r w:rsidR="000538A6" w:rsidRPr="000538A6">
        <w:rPr>
          <w:rFonts w:ascii="Times New Roman" w:hAnsi="Times New Roman" w:cs="Times New Roman"/>
        </w:rPr>
        <w:t>ut his account is largely supported by archaeological finds that been newly discovered with only minor discrepancies or measurements</w:t>
      </w:r>
      <w:r w:rsidR="000538A6">
        <w:rPr>
          <w:rFonts w:ascii="Times New Roman" w:hAnsi="Times New Roman" w:cs="Times New Roman"/>
        </w:rPr>
        <w:t>, so this aspect can be ruled out. Interestingly, the temple to Jupiter was built by Tarquinius Superbus, the last King of Rome and an Etruscan therefore,</w:t>
      </w:r>
      <w:r w:rsidR="000538A6">
        <w:rPr>
          <w:rStyle w:val="FootnoteReference"/>
          <w:rFonts w:ascii="Times New Roman" w:hAnsi="Times New Roman" w:cs="Times New Roman"/>
        </w:rPr>
        <w:footnoteReference w:id="4"/>
      </w:r>
      <w:r w:rsidR="000538A6">
        <w:rPr>
          <w:rFonts w:ascii="Times New Roman" w:hAnsi="Times New Roman" w:cs="Times New Roman"/>
        </w:rPr>
        <w:t xml:space="preserve"> the influence can be argued not to be influence at all, but a powerful Etruscan putting a huge and dominating mark on the landscape. It was at the time the “largest temple […] In the whole Etruscan world.” On the other hand, this perspective ignores a key concept that was present from the very beginning of Rome – the benefits of being a multi-ethnic and cultural society – and this style of building can be found right across the Roman Empire, for example in Bath at Aquae Sulis. This assimilation of the perceived best parts of each culture</w:t>
      </w:r>
      <w:r w:rsidR="005633F9">
        <w:rPr>
          <w:rFonts w:ascii="Times New Roman" w:hAnsi="Times New Roman" w:cs="Times New Roman"/>
        </w:rPr>
        <w:t xml:space="preserve"> is</w:t>
      </w:r>
      <w:r w:rsidR="000538A6">
        <w:rPr>
          <w:rFonts w:ascii="Times New Roman" w:hAnsi="Times New Roman" w:cs="Times New Roman"/>
        </w:rPr>
        <w:t xml:space="preserve"> how Rome thrived with particular deference to religious practices like divination.</w:t>
      </w:r>
    </w:p>
    <w:p w:rsidR="00776CDC" w:rsidRDefault="00776CDC">
      <w:pPr>
        <w:rPr>
          <w:rFonts w:ascii="Times New Roman" w:hAnsi="Times New Roman" w:cs="Times New Roman"/>
        </w:rPr>
      </w:pPr>
    </w:p>
    <w:p w:rsidR="00776CDC" w:rsidRDefault="00776CDC">
      <w:pPr>
        <w:rPr>
          <w:rFonts w:ascii="Times New Roman" w:hAnsi="Times New Roman" w:cs="Times New Roman"/>
        </w:rPr>
      </w:pPr>
      <w:r>
        <w:rPr>
          <w:rFonts w:ascii="Times New Roman" w:hAnsi="Times New Roman" w:cs="Times New Roman"/>
        </w:rPr>
        <w:lastRenderedPageBreak/>
        <w:t>The need for prior warning and foresight was of paramount importance for many ancient cultures and the Romans were no exception. It was vital to day-to-day proceedings such as marriages and political, judiciary matters with apparent severe consequences if any omens are divinations were ignored. For example, in the case of Flaminius who ignored the advice of the chicken owner and was badly defeated by Hannibal, the link between the two events demonstrates how intertwined religion and warfare were perceived to be.</w:t>
      </w:r>
      <w:r>
        <w:rPr>
          <w:rStyle w:val="FootnoteReference"/>
          <w:rFonts w:ascii="Times New Roman" w:hAnsi="Times New Roman" w:cs="Times New Roman"/>
        </w:rPr>
        <w:footnoteReference w:id="5"/>
      </w:r>
      <w:r>
        <w:rPr>
          <w:rFonts w:ascii="Times New Roman" w:hAnsi="Times New Roman" w:cs="Times New Roman"/>
        </w:rPr>
        <w:t xml:space="preserve"> the practice of augury and haruspices come from regular trade with the Etruscans and was gradually adopted by the Romans. Augury was readily accepted into Roman culture, the reading of birds and whether even found itself into their foundation myth. Romulus and Remus supposedly consulted the gods via augury when it came to founding and naming Rome as a city.</w:t>
      </w:r>
      <w:r>
        <w:rPr>
          <w:rStyle w:val="FootnoteReference"/>
          <w:rFonts w:ascii="Times New Roman" w:hAnsi="Times New Roman" w:cs="Times New Roman"/>
        </w:rPr>
        <w:footnoteReference w:id="6"/>
      </w:r>
      <w:r>
        <w:rPr>
          <w:rFonts w:ascii="Times New Roman" w:hAnsi="Times New Roman" w:cs="Times New Roman"/>
        </w:rPr>
        <w:t xml:space="preserve"> Haruspices, were slower to be integrated though perhaps that was because even though the rituals were publicly practised only the priests could view the entrails increasing the difficulty for an outsider to learn. All the more</w:t>
      </w:r>
      <w:r w:rsidR="00E5257F">
        <w:rPr>
          <w:rFonts w:ascii="Times New Roman" w:hAnsi="Times New Roman" w:cs="Times New Roman"/>
        </w:rPr>
        <w:t xml:space="preserve"> so</w:t>
      </w:r>
      <w:r>
        <w:rPr>
          <w:rFonts w:ascii="Times New Roman" w:hAnsi="Times New Roman" w:cs="Times New Roman"/>
        </w:rPr>
        <w:t xml:space="preserve"> when you consider that the bronze practice livers that we used to teach the art of divination were inscribed in Etruscan rather than Latin.</w:t>
      </w:r>
      <w:r>
        <w:rPr>
          <w:rStyle w:val="FootnoteReference"/>
          <w:rFonts w:ascii="Times New Roman" w:hAnsi="Times New Roman" w:cs="Times New Roman"/>
        </w:rPr>
        <w:footnoteReference w:id="7"/>
      </w:r>
      <w:r w:rsidR="00E5257F">
        <w:rPr>
          <w:rFonts w:ascii="Times New Roman" w:hAnsi="Times New Roman" w:cs="Times New Roman"/>
        </w:rPr>
        <w:t xml:space="preserve"> This too became vital to Roman culture. Many consoles and at later times Caesars were priests I feel take the successful Pontifex Maximus,</w:t>
      </w:r>
      <w:r w:rsidR="0011627B">
        <w:rPr>
          <w:rFonts w:ascii="Times New Roman" w:hAnsi="Times New Roman" w:cs="Times New Roman"/>
        </w:rPr>
        <w:t xml:space="preserve"> before they took office. It was such an integral part of judiciary proceedings that the neglect of augury could be used in defensive arguments.</w:t>
      </w:r>
      <w:r w:rsidR="0011627B">
        <w:rPr>
          <w:rStyle w:val="FootnoteReference"/>
          <w:rFonts w:ascii="Times New Roman" w:hAnsi="Times New Roman" w:cs="Times New Roman"/>
        </w:rPr>
        <w:footnoteReference w:id="8"/>
      </w:r>
      <w:r w:rsidR="0011627B">
        <w:rPr>
          <w:rFonts w:ascii="Times New Roman" w:hAnsi="Times New Roman" w:cs="Times New Roman"/>
        </w:rPr>
        <w:t xml:space="preserve"> with all literary sources regarding, at least indirectly, the influence of augury practices, you never hear any sign of how these were integrated all the genuine opinion of the author. Rather, he receives a public respect that was given to them. The advantage to this is that you are given a very clear message of the importance of augury however, is through the lens of what is deemed appropriate in that era. In the Augustinian period it was a highly favoured practice so there are no negative aspects betrayed during this time but by the time Christianity arises it</w:t>
      </w:r>
      <w:r w:rsidR="00FD4FD0">
        <w:rPr>
          <w:rFonts w:ascii="Times New Roman" w:hAnsi="Times New Roman" w:cs="Times New Roman"/>
        </w:rPr>
        <w:t xml:space="preserve"> i</w:t>
      </w:r>
      <w:r w:rsidR="0011627B">
        <w:rPr>
          <w:rFonts w:ascii="Times New Roman" w:hAnsi="Times New Roman" w:cs="Times New Roman"/>
        </w:rPr>
        <w:t xml:space="preserve">s completely shunned with no mentions of its origins. This change in attitude is why you </w:t>
      </w:r>
      <w:r w:rsidR="00C4192D">
        <w:rPr>
          <w:rFonts w:ascii="Times New Roman" w:hAnsi="Times New Roman" w:cs="Times New Roman"/>
        </w:rPr>
        <w:t>must</w:t>
      </w:r>
      <w:r w:rsidR="0011627B">
        <w:rPr>
          <w:rFonts w:ascii="Times New Roman" w:hAnsi="Times New Roman" w:cs="Times New Roman"/>
        </w:rPr>
        <w:t xml:space="preserve"> be so selective with such ancient sources</w:t>
      </w:r>
      <w:r w:rsidR="00FD4FD0">
        <w:rPr>
          <w:rFonts w:ascii="Times New Roman" w:hAnsi="Times New Roman" w:cs="Times New Roman"/>
        </w:rPr>
        <w:t>.</w:t>
      </w:r>
      <w:r w:rsidR="00F2369E">
        <w:rPr>
          <w:rFonts w:ascii="Times New Roman" w:hAnsi="Times New Roman" w:cs="Times New Roman"/>
        </w:rPr>
        <w:t xml:space="preserve"> </w:t>
      </w:r>
    </w:p>
    <w:p w:rsidR="003813E6" w:rsidRDefault="003813E6">
      <w:pPr>
        <w:rPr>
          <w:rFonts w:ascii="Times New Roman" w:hAnsi="Times New Roman" w:cs="Times New Roman"/>
        </w:rPr>
      </w:pPr>
    </w:p>
    <w:p w:rsidR="003813E6" w:rsidRDefault="009659A3">
      <w:pPr>
        <w:rPr>
          <w:rFonts w:ascii="Times New Roman" w:hAnsi="Times New Roman" w:cs="Times New Roman"/>
        </w:rPr>
      </w:pPr>
      <w:r>
        <w:rPr>
          <w:rFonts w:ascii="Times New Roman" w:hAnsi="Times New Roman" w:cs="Times New Roman"/>
        </w:rPr>
        <w:t>Another notable example of how frequent interaction with the Etruscans influenced religion in Rome is through the names and views of the gods. Although, the link is exceptionally hard to establish with certainty because of two reasons; one, proven public history and religion is not documented until centuries later when the Roman culture switch from oral to written histories. This means there is very little corroborating evidence to support the works of ancient sources such as Livy, and his foundations of Rome.</w:t>
      </w:r>
      <w:r>
        <w:rPr>
          <w:rStyle w:val="FootnoteReference"/>
          <w:rFonts w:ascii="Times New Roman" w:hAnsi="Times New Roman" w:cs="Times New Roman"/>
        </w:rPr>
        <w:footnoteReference w:id="9"/>
      </w:r>
      <w:r>
        <w:rPr>
          <w:rFonts w:ascii="Times New Roman" w:hAnsi="Times New Roman" w:cs="Times New Roman"/>
        </w:rPr>
        <w:t xml:space="preserve">  it can be argued however, there because it went from an oral tradition to a written one that the influences far stronger than the literary evidence suggests. For something to continue in an oral tradition must be favoured and the constant feature of the time, hence the worship of Apollo across the Mediterranean is one of the best examples of this. Temples to Apollo can be found in Greece and Etruria with the structures and trade links with Rome present before Roman cult Apollo was established, providing the influence to set up the conditions that get the worship Apollo into the written histories in later centuries. This brings the second issue into play, an issue that is particularly debated in modern scholarship – whose influence was it? Both the Greeks and the Etruscans use Apollo as a name for the same God and both cultures anthropomorphise the gods to the extent that they could be considered human and interact with mortals. An aspect the Roman culture only adopted after interaction with both nations.</w:t>
      </w:r>
      <w:r>
        <w:rPr>
          <w:rStyle w:val="FootnoteReference"/>
          <w:rFonts w:ascii="Times New Roman" w:hAnsi="Times New Roman" w:cs="Times New Roman"/>
        </w:rPr>
        <w:footnoteReference w:id="10"/>
      </w:r>
      <w:r w:rsidR="00C16AEC">
        <w:rPr>
          <w:rFonts w:ascii="Times New Roman" w:hAnsi="Times New Roman" w:cs="Times New Roman"/>
        </w:rPr>
        <w:t xml:space="preserve"> Whilst the layout of Roman temples and practices were modelled on the Etruscan culture, this similarity between Greek, Etruscan and Roman religious practices cast doubt as to who influenced who. Regarding the question about many gods across different pantheons having the same name – Apollo, Mars, Minerva or Menrva in Etruscan – this can be potentially </w:t>
      </w:r>
      <w:r w:rsidR="00C16AEC">
        <w:rPr>
          <w:rFonts w:ascii="Times New Roman" w:hAnsi="Times New Roman" w:cs="Times New Roman"/>
        </w:rPr>
        <w:lastRenderedPageBreak/>
        <w:t>explained with one quote, “Gods, like dogs will only answer to their names.”</w:t>
      </w:r>
      <w:r w:rsidR="00C16AEC">
        <w:rPr>
          <w:rStyle w:val="FootnoteReference"/>
          <w:rFonts w:ascii="Times New Roman" w:hAnsi="Times New Roman" w:cs="Times New Roman"/>
        </w:rPr>
        <w:footnoteReference w:id="11"/>
      </w:r>
      <w:r w:rsidR="00C16AEC">
        <w:rPr>
          <w:rFonts w:ascii="Times New Roman" w:hAnsi="Times New Roman" w:cs="Times New Roman"/>
        </w:rPr>
        <w:t xml:space="preserve"> In other words, when the Romans and the Etruscans were interacting, Rome was just starting to establish itself while Etruria was at the height of its power; what better way for a highly religious society to curry favour and guarantee success than to appeal to the gods who are perceived to have provided that for another city?</w:t>
      </w:r>
    </w:p>
    <w:p w:rsidR="005B17FD" w:rsidRDefault="005B17FD">
      <w:pPr>
        <w:rPr>
          <w:rFonts w:ascii="Times New Roman" w:hAnsi="Times New Roman" w:cs="Times New Roman"/>
        </w:rPr>
      </w:pPr>
    </w:p>
    <w:p w:rsidR="005102CE" w:rsidRDefault="005B17FD">
      <w:pPr>
        <w:rPr>
          <w:rFonts w:ascii="Times New Roman" w:hAnsi="Times New Roman" w:cs="Times New Roman"/>
        </w:rPr>
      </w:pPr>
      <w:r>
        <w:rPr>
          <w:rFonts w:ascii="Times New Roman" w:hAnsi="Times New Roman" w:cs="Times New Roman"/>
        </w:rPr>
        <w:t>The Etruscans did influence rose religious institutions and with the ability to access many ancient sources</w:t>
      </w:r>
      <w:r w:rsidR="005102CE">
        <w:rPr>
          <w:rFonts w:ascii="Times New Roman" w:hAnsi="Times New Roman" w:cs="Times New Roman"/>
        </w:rPr>
        <w:t>, it</w:t>
      </w:r>
      <w:r>
        <w:rPr>
          <w:rFonts w:ascii="Times New Roman" w:hAnsi="Times New Roman" w:cs="Times New Roman"/>
        </w:rPr>
        <w:t xml:space="preserve"> is present, however, mainly through understanding the context and the distance from the agendas present at the time is it visible in any other form except in architecture and archaeology.</w:t>
      </w:r>
    </w:p>
    <w:p w:rsidR="005102CE" w:rsidRDefault="005102CE">
      <w:pPr>
        <w:rPr>
          <w:rFonts w:ascii="Times New Roman" w:hAnsi="Times New Roman" w:cs="Times New Roman"/>
        </w:rPr>
      </w:pPr>
      <w:r>
        <w:rPr>
          <w:rFonts w:ascii="Times New Roman" w:hAnsi="Times New Roman" w:cs="Times New Roman"/>
        </w:rPr>
        <w:br w:type="page"/>
      </w:r>
    </w:p>
    <w:p w:rsidR="005B17FD" w:rsidRDefault="005102CE">
      <w:pPr>
        <w:rPr>
          <w:rFonts w:ascii="Times New Roman" w:hAnsi="Times New Roman" w:cs="Times New Roman"/>
          <w:u w:val="single"/>
        </w:rPr>
      </w:pPr>
      <w:r w:rsidRPr="005102CE">
        <w:rPr>
          <w:rFonts w:ascii="Times New Roman" w:hAnsi="Times New Roman" w:cs="Times New Roman"/>
          <w:u w:val="single"/>
        </w:rPr>
        <w:lastRenderedPageBreak/>
        <w:t>BIBLIOGRAPHY</w:t>
      </w:r>
    </w:p>
    <w:p w:rsidR="005102CE" w:rsidRDefault="005102CE">
      <w:pPr>
        <w:rPr>
          <w:rFonts w:ascii="Times New Roman" w:hAnsi="Times New Roman" w:cs="Times New Roman"/>
          <w:i/>
        </w:rPr>
      </w:pPr>
      <w:r>
        <w:rPr>
          <w:rFonts w:ascii="Times New Roman" w:hAnsi="Times New Roman" w:cs="Times New Roman"/>
          <w:i/>
        </w:rPr>
        <w:t>Modern scholarship:</w:t>
      </w:r>
    </w:p>
    <w:p w:rsidR="005102CE" w:rsidRPr="005102CE" w:rsidRDefault="005102CE" w:rsidP="005102CE">
      <w:pPr>
        <w:pStyle w:val="FootnoteText"/>
        <w:numPr>
          <w:ilvl w:val="0"/>
          <w:numId w:val="1"/>
        </w:numPr>
        <w:rPr>
          <w:rFonts w:ascii="Times New Roman" w:hAnsi="Times New Roman" w:cs="Times New Roman"/>
          <w:i/>
        </w:rPr>
      </w:pPr>
      <w:r w:rsidRPr="005102CE">
        <w:rPr>
          <w:rFonts w:ascii="Times New Roman" w:hAnsi="Times New Roman" w:cs="Times New Roman"/>
          <w:i/>
        </w:rPr>
        <w:t xml:space="preserve">S., D., 2017. </w:t>
      </w:r>
      <w:r w:rsidRPr="005102CE">
        <w:rPr>
          <w:rStyle w:val="Emphasis"/>
          <w:rFonts w:ascii="Times New Roman" w:hAnsi="Times New Roman" w:cs="Times New Roman"/>
          <w:i w:val="0"/>
        </w:rPr>
        <w:t>Rome in the Ancient World</w:t>
      </w:r>
      <w:r w:rsidRPr="005102CE">
        <w:rPr>
          <w:rFonts w:ascii="Times New Roman" w:hAnsi="Times New Roman" w:cs="Times New Roman"/>
          <w:i/>
        </w:rPr>
        <w:t>. Thames &amp; Hudson. P.38</w:t>
      </w:r>
    </w:p>
    <w:p w:rsidR="005102CE" w:rsidRDefault="005102CE" w:rsidP="005102CE">
      <w:pPr>
        <w:pStyle w:val="ListParagraph"/>
        <w:numPr>
          <w:ilvl w:val="0"/>
          <w:numId w:val="1"/>
        </w:numPr>
        <w:rPr>
          <w:rFonts w:ascii="Times New Roman" w:hAnsi="Times New Roman" w:cs="Times New Roman"/>
          <w:i/>
        </w:rPr>
      </w:pPr>
      <w:r w:rsidRPr="005102CE">
        <w:rPr>
          <w:rFonts w:ascii="Times New Roman" w:hAnsi="Times New Roman" w:cs="Times New Roman"/>
          <w:i/>
        </w:rPr>
        <w:t>Ogilvie, R., 1969. Ancient Culture and Society the Romans and their Gods. 10th ed. London: Chatto and Windus. P.24</w:t>
      </w:r>
    </w:p>
    <w:p w:rsidR="005102CE" w:rsidRPr="005102CE" w:rsidRDefault="005102CE" w:rsidP="005102CE">
      <w:pPr>
        <w:pStyle w:val="ListParagraph"/>
        <w:numPr>
          <w:ilvl w:val="0"/>
          <w:numId w:val="1"/>
        </w:numPr>
        <w:rPr>
          <w:rFonts w:ascii="Times New Roman" w:hAnsi="Times New Roman" w:cs="Times New Roman"/>
          <w:i/>
        </w:rPr>
      </w:pPr>
      <w:r w:rsidRPr="005102CE">
        <w:rPr>
          <w:rFonts w:ascii="Times New Roman" w:hAnsi="Times New Roman" w:cs="Times New Roman"/>
          <w:i/>
        </w:rPr>
        <w:t>Ogilvie, R., 1976. Early Rome and the Etruscans. 1st ed. Fontana: Harvester Press p.14</w:t>
      </w:r>
    </w:p>
    <w:p w:rsidR="005102CE" w:rsidRDefault="005102CE" w:rsidP="005102CE">
      <w:pPr>
        <w:pStyle w:val="ListParagraph"/>
        <w:numPr>
          <w:ilvl w:val="0"/>
          <w:numId w:val="2"/>
        </w:numPr>
        <w:rPr>
          <w:rFonts w:ascii="Times New Roman" w:hAnsi="Times New Roman" w:cs="Times New Roman"/>
          <w:i/>
        </w:rPr>
      </w:pPr>
      <w:r w:rsidRPr="005102CE">
        <w:rPr>
          <w:rFonts w:ascii="Times New Roman" w:hAnsi="Times New Roman" w:cs="Times New Roman"/>
          <w:i/>
        </w:rPr>
        <w:t>Cornell, T., 1995. The Beginnings of Rome. Psychology Press</w:t>
      </w:r>
    </w:p>
    <w:p w:rsidR="005102CE" w:rsidRPr="005102CE" w:rsidRDefault="005102CE" w:rsidP="005102CE">
      <w:pPr>
        <w:pStyle w:val="FootnoteText"/>
        <w:numPr>
          <w:ilvl w:val="0"/>
          <w:numId w:val="2"/>
        </w:numPr>
        <w:rPr>
          <w:rFonts w:ascii="Times New Roman" w:hAnsi="Times New Roman" w:cs="Times New Roman"/>
          <w:i/>
        </w:rPr>
      </w:pPr>
      <w:r w:rsidRPr="005102CE">
        <w:rPr>
          <w:rFonts w:ascii="Times New Roman" w:hAnsi="Times New Roman" w:cs="Times New Roman"/>
          <w:i/>
        </w:rPr>
        <w:t>Khan Academy. 2017. Temple of Minerva and the sculpture of Apollo (Veii) (article) | Khan Academy. [ONLINE] Available at: https://www.khanacademy.org/humanities/ancient-art-civilizations/etruscan/a/temple-of-minerva-and-the-sculpture-of-apollo-veii. [Accessed 09 December 2017].</w:t>
      </w:r>
    </w:p>
    <w:p w:rsidR="005102CE" w:rsidRDefault="005102CE" w:rsidP="005102CE">
      <w:pPr>
        <w:pStyle w:val="ListParagraph"/>
        <w:numPr>
          <w:ilvl w:val="0"/>
          <w:numId w:val="2"/>
        </w:numPr>
        <w:rPr>
          <w:rFonts w:ascii="Times New Roman" w:hAnsi="Times New Roman" w:cs="Times New Roman"/>
          <w:i/>
        </w:rPr>
      </w:pPr>
      <w:r w:rsidRPr="005102CE">
        <w:rPr>
          <w:rFonts w:ascii="Times New Roman" w:hAnsi="Times New Roman" w:cs="Times New Roman"/>
          <w:i/>
        </w:rPr>
        <w:t>Etruscan Art. 2017. Etruscan Art. [ONLINE] Available at: http://www.ou.edu/class/ahi4163/files/bronz12.html. [Accessed 09 December 2017].</w:t>
      </w:r>
    </w:p>
    <w:p w:rsidR="005102CE" w:rsidRPr="005102CE" w:rsidRDefault="005102CE" w:rsidP="005102CE">
      <w:pPr>
        <w:pStyle w:val="ListParagraph"/>
        <w:rPr>
          <w:rFonts w:ascii="Times New Roman" w:hAnsi="Times New Roman" w:cs="Times New Roman"/>
          <w:i/>
        </w:rPr>
      </w:pPr>
    </w:p>
    <w:p w:rsidR="005102CE" w:rsidRDefault="005102CE" w:rsidP="005102CE">
      <w:pPr>
        <w:rPr>
          <w:rFonts w:ascii="Times New Roman" w:hAnsi="Times New Roman" w:cs="Times New Roman"/>
        </w:rPr>
      </w:pPr>
      <w:r w:rsidRPr="005102CE">
        <w:rPr>
          <w:rFonts w:ascii="Times New Roman" w:hAnsi="Times New Roman" w:cs="Times New Roman"/>
        </w:rPr>
        <w:t>Ancient Sources:</w:t>
      </w:r>
    </w:p>
    <w:p w:rsidR="005102CE" w:rsidRDefault="005102CE" w:rsidP="005102CE">
      <w:pPr>
        <w:pStyle w:val="ListParagraph"/>
        <w:numPr>
          <w:ilvl w:val="0"/>
          <w:numId w:val="3"/>
        </w:numPr>
        <w:rPr>
          <w:rFonts w:ascii="Times New Roman" w:hAnsi="Times New Roman" w:cs="Times New Roman"/>
        </w:rPr>
      </w:pPr>
      <w:r w:rsidRPr="005102CE">
        <w:rPr>
          <w:rFonts w:ascii="Times New Roman" w:hAnsi="Times New Roman" w:cs="Times New Roman"/>
        </w:rPr>
        <w:t>M. Tullius Cicero, Divination, Divination Book I, section 77. 2017. M. Tullius Cicero, Divination, Divination Book I, section 77. [ONLINE] Available at: http://www.perseus.tufts.edu/hopper/text?doc=Perseus:text:2007.01.0043:book=1:section=77&amp;highlight=flaminiusv. [Accessed 09 December 2017].</w:t>
      </w:r>
    </w:p>
    <w:p w:rsidR="003A57D3" w:rsidRPr="003A57D3" w:rsidRDefault="003A57D3" w:rsidP="005102CE">
      <w:pPr>
        <w:pStyle w:val="ListParagraph"/>
        <w:numPr>
          <w:ilvl w:val="0"/>
          <w:numId w:val="3"/>
        </w:numPr>
        <w:rPr>
          <w:rFonts w:ascii="Times New Roman" w:hAnsi="Times New Roman" w:cs="Times New Roman"/>
        </w:rPr>
      </w:pPr>
      <w:r w:rsidRPr="003A57D3">
        <w:rPr>
          <w:rFonts w:ascii="Times New Roman" w:hAnsi="Times New Roman" w:cs="Times New Roman"/>
        </w:rPr>
        <w:t xml:space="preserve">M. Tullius Cicero, Speech before Roman Citizens on Behalf of Gaius Rabirius, Defendant Against the Charge of Treason, chapter 5. 2017. </w:t>
      </w:r>
      <w:r w:rsidRPr="003A57D3">
        <w:rPr>
          <w:rStyle w:val="Emphasis"/>
          <w:rFonts w:ascii="Times New Roman" w:hAnsi="Times New Roman" w:cs="Times New Roman"/>
        </w:rPr>
        <w:t xml:space="preserve">M. Tullius Cicero, Speech before Roman Citizens on Behalf of Gaius Rabirius, Defendant Against the Charge of Treason, chapter </w:t>
      </w:r>
      <w:proofErr w:type="gramStart"/>
      <w:r w:rsidRPr="003A57D3">
        <w:rPr>
          <w:rStyle w:val="Emphasis"/>
          <w:rFonts w:ascii="Times New Roman" w:hAnsi="Times New Roman" w:cs="Times New Roman"/>
        </w:rPr>
        <w:t xml:space="preserve">5 </w:t>
      </w:r>
      <w:r w:rsidRPr="003A57D3">
        <w:rPr>
          <w:rFonts w:ascii="Times New Roman" w:hAnsi="Times New Roman" w:cs="Times New Roman"/>
        </w:rPr>
        <w:t>.</w:t>
      </w:r>
      <w:proofErr w:type="gramEnd"/>
      <w:r w:rsidRPr="003A57D3">
        <w:rPr>
          <w:rFonts w:ascii="Times New Roman" w:hAnsi="Times New Roman" w:cs="Times New Roman"/>
        </w:rPr>
        <w:t xml:space="preserve"> [ONLINE] Available at: </w:t>
      </w:r>
      <w:hyperlink r:id="rId9" w:history="1">
        <w:r w:rsidRPr="003A57D3">
          <w:rPr>
            <w:rStyle w:val="Hyperlink"/>
            <w:rFonts w:ascii="Times New Roman" w:hAnsi="Times New Roman" w:cs="Times New Roman"/>
          </w:rPr>
          <w:t>http://www.perseus.tufts.edu/hopper/text?doc=Perseus:text:1999.02.0023:chapter=5&amp;highlight=augury</w:t>
        </w:r>
      </w:hyperlink>
      <w:r w:rsidRPr="003A57D3">
        <w:rPr>
          <w:rFonts w:ascii="Times New Roman" w:hAnsi="Times New Roman" w:cs="Times New Roman"/>
        </w:rPr>
        <w:t>. [Accessed 09 December 2017].</w:t>
      </w:r>
    </w:p>
    <w:p w:rsidR="003A57D3" w:rsidRDefault="003A57D3" w:rsidP="003A57D3">
      <w:pPr>
        <w:pStyle w:val="ListParagraph"/>
        <w:numPr>
          <w:ilvl w:val="0"/>
          <w:numId w:val="3"/>
        </w:numPr>
        <w:rPr>
          <w:rFonts w:ascii="Times New Roman" w:hAnsi="Times New Roman" w:cs="Times New Roman"/>
        </w:rPr>
      </w:pPr>
      <w:r w:rsidRPr="003A57D3">
        <w:rPr>
          <w:rFonts w:ascii="Times New Roman" w:hAnsi="Times New Roman" w:cs="Times New Roman"/>
        </w:rPr>
        <w:t>Titus Livius (Livy), The History of Rome, Book 1, chapter 6. 2017. Titus Livius (Livy), The History of Rome, Book 1, chapter 6. [ONLINE] Available at: http://www.perseus.tufts.edu/hopper/text?doc=Perseus:text:1999.02.0026:book=1:chapter=6&amp;highlight=augury. [Accessed 09 December 2017].</w:t>
      </w:r>
    </w:p>
    <w:p w:rsidR="003A57D3" w:rsidRPr="005102CE" w:rsidRDefault="003A57D3" w:rsidP="003A57D3">
      <w:pPr>
        <w:pStyle w:val="ListParagraph"/>
        <w:rPr>
          <w:rFonts w:ascii="Times New Roman" w:hAnsi="Times New Roman" w:cs="Times New Roman"/>
        </w:rPr>
      </w:pPr>
    </w:p>
    <w:p w:rsidR="005102CE" w:rsidRPr="005102CE" w:rsidRDefault="005102CE" w:rsidP="005102CE">
      <w:pPr>
        <w:rPr>
          <w:rFonts w:ascii="Times New Roman" w:hAnsi="Times New Roman" w:cs="Times New Roman"/>
        </w:rPr>
      </w:pPr>
    </w:p>
    <w:p w:rsidR="005102CE" w:rsidRPr="005102CE" w:rsidRDefault="005102CE">
      <w:pPr>
        <w:rPr>
          <w:rFonts w:ascii="Times New Roman" w:hAnsi="Times New Roman" w:cs="Times New Roman"/>
          <w:i/>
        </w:rPr>
      </w:pPr>
    </w:p>
    <w:p w:rsidR="00C16AEC" w:rsidRDefault="00C16AEC">
      <w:pPr>
        <w:rPr>
          <w:rFonts w:ascii="Times New Roman" w:hAnsi="Times New Roman" w:cs="Times New Roman"/>
        </w:rPr>
      </w:pPr>
    </w:p>
    <w:p w:rsidR="00C16AEC" w:rsidRPr="00A47795" w:rsidRDefault="00C16AEC">
      <w:pPr>
        <w:rPr>
          <w:rFonts w:ascii="Times New Roman" w:hAnsi="Times New Roman" w:cs="Times New Roman"/>
        </w:rPr>
      </w:pPr>
    </w:p>
    <w:sectPr w:rsidR="00C16AEC" w:rsidRPr="00A477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3D8C" w:rsidRDefault="00EF3D8C" w:rsidP="00A47795">
      <w:pPr>
        <w:spacing w:after="0" w:line="240" w:lineRule="auto"/>
      </w:pPr>
      <w:r>
        <w:separator/>
      </w:r>
    </w:p>
  </w:endnote>
  <w:endnote w:type="continuationSeparator" w:id="0">
    <w:p w:rsidR="00EF3D8C" w:rsidRDefault="00EF3D8C" w:rsidP="00A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3D8C" w:rsidRDefault="00EF3D8C" w:rsidP="00A47795">
      <w:pPr>
        <w:spacing w:after="0" w:line="240" w:lineRule="auto"/>
      </w:pPr>
      <w:r>
        <w:separator/>
      </w:r>
    </w:p>
  </w:footnote>
  <w:footnote w:type="continuationSeparator" w:id="0">
    <w:p w:rsidR="00EF3D8C" w:rsidRDefault="00EF3D8C" w:rsidP="00A47795">
      <w:pPr>
        <w:spacing w:after="0" w:line="240" w:lineRule="auto"/>
      </w:pPr>
      <w:r>
        <w:continuationSeparator/>
      </w:r>
    </w:p>
  </w:footnote>
  <w:footnote w:id="1">
    <w:p w:rsidR="00A47795" w:rsidRPr="005272CB" w:rsidRDefault="00A47795">
      <w:pPr>
        <w:pStyle w:val="FootnoteText"/>
        <w:rPr>
          <w:i/>
        </w:rPr>
      </w:pPr>
      <w:r>
        <w:rPr>
          <w:rStyle w:val="FootnoteReference"/>
        </w:rPr>
        <w:footnoteRef/>
      </w:r>
      <w:r>
        <w:t xml:space="preserve"> </w:t>
      </w:r>
      <w:r w:rsidRPr="00A47795">
        <w:rPr>
          <w:i/>
        </w:rPr>
        <w:t>Ogilvie, R., 1976. Early Rome and the Etruscans. 1st ed. Fontana: Harvester Press p.14</w:t>
      </w:r>
    </w:p>
  </w:footnote>
  <w:footnote w:id="2">
    <w:p w:rsidR="005272CB" w:rsidRDefault="005272CB">
      <w:pPr>
        <w:pStyle w:val="FootnoteText"/>
      </w:pPr>
      <w:r>
        <w:rPr>
          <w:rStyle w:val="FootnoteReference"/>
        </w:rPr>
        <w:footnoteRef/>
      </w:r>
      <w:r>
        <w:t xml:space="preserve"> </w:t>
      </w:r>
      <w:r w:rsidRPr="005272CB">
        <w:rPr>
          <w:i/>
        </w:rPr>
        <w:t>Cornell, T., 1995. The Beginnings of Rome. Psychology Press. p.96</w:t>
      </w:r>
    </w:p>
  </w:footnote>
  <w:footnote w:id="3">
    <w:p w:rsidR="005272CB" w:rsidRDefault="005272CB">
      <w:pPr>
        <w:pStyle w:val="FootnoteText"/>
      </w:pPr>
      <w:r>
        <w:rPr>
          <w:rStyle w:val="FootnoteReference"/>
        </w:rPr>
        <w:footnoteRef/>
      </w:r>
      <w:r>
        <w:t xml:space="preserve"> </w:t>
      </w:r>
      <w:r w:rsidRPr="005272CB">
        <w:t>Khan Academy. 2017. Temple of Minerva and the sculpture of Apollo (Veii) (article) | Khan Academy. [ONLINE] Available at: https://www.khanacademy.org/humanities/ancient-art-civilizations/etruscan/a/temple-of-minerva-and-the-sculpture-of-apollo-veii. [Accessed 09 December 2017].</w:t>
      </w:r>
    </w:p>
  </w:footnote>
  <w:footnote w:id="4">
    <w:p w:rsidR="000538A6" w:rsidRDefault="000538A6" w:rsidP="000538A6">
      <w:pPr>
        <w:pStyle w:val="FootnoteText"/>
      </w:pPr>
      <w:r>
        <w:rPr>
          <w:rStyle w:val="FootnoteReference"/>
        </w:rPr>
        <w:footnoteRef/>
      </w:r>
      <w:r>
        <w:t xml:space="preserve"> Ogilvie, R., 1976. Early Rome and the Etruscans. 1st ed. Fontana: Harvester Press p.71,</w:t>
      </w:r>
    </w:p>
    <w:p w:rsidR="000538A6" w:rsidRDefault="000538A6" w:rsidP="000538A6">
      <w:pPr>
        <w:pStyle w:val="FootnoteText"/>
      </w:pPr>
      <w:r>
        <w:t xml:space="preserve">  Cornell, T., 1995. The Beginnings of Rome. Psychology Press. p.96</w:t>
      </w:r>
    </w:p>
  </w:footnote>
  <w:footnote w:id="5">
    <w:p w:rsidR="00776CDC" w:rsidRPr="003A57D3" w:rsidRDefault="00776CDC">
      <w:pPr>
        <w:pStyle w:val="FootnoteText"/>
        <w:rPr>
          <w:rFonts w:ascii="Times New Roman" w:hAnsi="Times New Roman" w:cs="Times New Roman"/>
        </w:rPr>
      </w:pPr>
      <w:r>
        <w:rPr>
          <w:rStyle w:val="FootnoteReference"/>
        </w:rPr>
        <w:footnoteRef/>
      </w:r>
      <w:r>
        <w:t xml:space="preserve"> </w:t>
      </w:r>
      <w:proofErr w:type="spellStart"/>
      <w:r w:rsidR="003A57D3" w:rsidRPr="003A57D3">
        <w:rPr>
          <w:rFonts w:ascii="Times New Roman" w:hAnsi="Times New Roman" w:cs="Times New Roman"/>
        </w:rPr>
        <w:t>Cic</w:t>
      </w:r>
      <w:proofErr w:type="spellEnd"/>
      <w:r w:rsidR="003A57D3" w:rsidRPr="003A57D3">
        <w:rPr>
          <w:rFonts w:ascii="Times New Roman" w:hAnsi="Times New Roman" w:cs="Times New Roman"/>
        </w:rPr>
        <w:t>. Div. 1.77</w:t>
      </w:r>
    </w:p>
  </w:footnote>
  <w:footnote w:id="6">
    <w:p w:rsidR="00776CDC" w:rsidRPr="003A57D3" w:rsidRDefault="00776CDC">
      <w:pPr>
        <w:pStyle w:val="FootnoteText"/>
        <w:rPr>
          <w:rFonts w:ascii="Times New Roman" w:hAnsi="Times New Roman" w:cs="Times New Roman"/>
        </w:rPr>
      </w:pPr>
      <w:r w:rsidRPr="003A57D3">
        <w:rPr>
          <w:rStyle w:val="FootnoteReference"/>
          <w:rFonts w:ascii="Times New Roman" w:hAnsi="Times New Roman" w:cs="Times New Roman"/>
        </w:rPr>
        <w:footnoteRef/>
      </w:r>
      <w:r w:rsidRPr="003A57D3">
        <w:rPr>
          <w:rFonts w:ascii="Times New Roman" w:hAnsi="Times New Roman" w:cs="Times New Roman"/>
        </w:rPr>
        <w:t xml:space="preserve"> </w:t>
      </w:r>
      <w:r w:rsidR="003A57D3" w:rsidRPr="003A57D3">
        <w:rPr>
          <w:rFonts w:ascii="Times New Roman" w:hAnsi="Times New Roman" w:cs="Times New Roman"/>
        </w:rPr>
        <w:t>Liv. 1 6</w:t>
      </w:r>
    </w:p>
  </w:footnote>
  <w:footnote w:id="7">
    <w:p w:rsidR="00776CDC" w:rsidRPr="003A57D3" w:rsidRDefault="00776CDC">
      <w:pPr>
        <w:pStyle w:val="FootnoteText"/>
        <w:rPr>
          <w:rFonts w:ascii="Times New Roman" w:hAnsi="Times New Roman" w:cs="Times New Roman"/>
        </w:rPr>
      </w:pPr>
      <w:r w:rsidRPr="003A57D3">
        <w:rPr>
          <w:rStyle w:val="FootnoteReference"/>
          <w:rFonts w:ascii="Times New Roman" w:hAnsi="Times New Roman" w:cs="Times New Roman"/>
        </w:rPr>
        <w:footnoteRef/>
      </w:r>
      <w:r w:rsidRPr="003A57D3">
        <w:rPr>
          <w:rFonts w:ascii="Times New Roman" w:hAnsi="Times New Roman" w:cs="Times New Roman"/>
        </w:rPr>
        <w:t xml:space="preserve"> </w:t>
      </w:r>
      <w:bookmarkStart w:id="1" w:name="_Hlk500675466"/>
      <w:r w:rsidRPr="003A57D3">
        <w:rPr>
          <w:rFonts w:ascii="Times New Roman" w:hAnsi="Times New Roman" w:cs="Times New Roman"/>
        </w:rPr>
        <w:t xml:space="preserve">Etruscan Art. 2017. </w:t>
      </w:r>
      <w:r w:rsidRPr="003A57D3">
        <w:rPr>
          <w:rStyle w:val="Emphasis"/>
          <w:rFonts w:ascii="Times New Roman" w:hAnsi="Times New Roman" w:cs="Times New Roman"/>
        </w:rPr>
        <w:t>Etruscan Art</w:t>
      </w:r>
      <w:r w:rsidRPr="003A57D3">
        <w:rPr>
          <w:rFonts w:ascii="Times New Roman" w:hAnsi="Times New Roman" w:cs="Times New Roman"/>
        </w:rPr>
        <w:t xml:space="preserve">. [ONLINE] Available at: </w:t>
      </w:r>
      <w:hyperlink r:id="rId1" w:history="1">
        <w:r w:rsidRPr="003A57D3">
          <w:rPr>
            <w:rStyle w:val="Hyperlink"/>
            <w:rFonts w:ascii="Times New Roman" w:hAnsi="Times New Roman" w:cs="Times New Roman"/>
          </w:rPr>
          <w:t>http://www.ou.edu/class/ahi4163/files/bronz12.html</w:t>
        </w:r>
      </w:hyperlink>
      <w:r w:rsidRPr="003A57D3">
        <w:rPr>
          <w:rFonts w:ascii="Times New Roman" w:hAnsi="Times New Roman" w:cs="Times New Roman"/>
        </w:rPr>
        <w:t>. [Accessed 09 December 2017].</w:t>
      </w:r>
      <w:bookmarkEnd w:id="1"/>
    </w:p>
  </w:footnote>
  <w:footnote w:id="8">
    <w:p w:rsidR="0011627B" w:rsidRPr="003A57D3" w:rsidRDefault="0011627B">
      <w:pPr>
        <w:pStyle w:val="FootnoteText"/>
        <w:rPr>
          <w:rFonts w:ascii="Times New Roman" w:hAnsi="Times New Roman" w:cs="Times New Roman"/>
        </w:rPr>
      </w:pPr>
      <w:r w:rsidRPr="003A57D3">
        <w:rPr>
          <w:rStyle w:val="FootnoteReference"/>
          <w:rFonts w:ascii="Times New Roman" w:hAnsi="Times New Roman" w:cs="Times New Roman"/>
        </w:rPr>
        <w:footnoteRef/>
      </w:r>
      <w:r w:rsidRPr="003A57D3">
        <w:rPr>
          <w:rFonts w:ascii="Times New Roman" w:hAnsi="Times New Roman" w:cs="Times New Roman"/>
        </w:rPr>
        <w:t xml:space="preserve"> </w:t>
      </w:r>
      <w:proofErr w:type="spellStart"/>
      <w:r w:rsidR="003A57D3" w:rsidRPr="003A57D3">
        <w:rPr>
          <w:rFonts w:ascii="Times New Roman" w:hAnsi="Times New Roman" w:cs="Times New Roman"/>
        </w:rPr>
        <w:t>Cic</w:t>
      </w:r>
      <w:proofErr w:type="spellEnd"/>
      <w:r w:rsidR="003A57D3" w:rsidRPr="003A57D3">
        <w:rPr>
          <w:rFonts w:ascii="Times New Roman" w:hAnsi="Times New Roman" w:cs="Times New Roman"/>
        </w:rPr>
        <w:t xml:space="preserve">. </w:t>
      </w:r>
      <w:proofErr w:type="spellStart"/>
      <w:r w:rsidR="003A57D3" w:rsidRPr="003A57D3">
        <w:rPr>
          <w:rFonts w:ascii="Times New Roman" w:hAnsi="Times New Roman" w:cs="Times New Roman"/>
        </w:rPr>
        <w:t>Rab</w:t>
      </w:r>
      <w:proofErr w:type="spellEnd"/>
      <w:r w:rsidR="003A57D3" w:rsidRPr="003A57D3">
        <w:rPr>
          <w:rFonts w:ascii="Times New Roman" w:hAnsi="Times New Roman" w:cs="Times New Roman"/>
        </w:rPr>
        <w:t xml:space="preserve">. </w:t>
      </w:r>
      <w:proofErr w:type="spellStart"/>
      <w:r w:rsidR="003A57D3" w:rsidRPr="003A57D3">
        <w:rPr>
          <w:rFonts w:ascii="Times New Roman" w:hAnsi="Times New Roman" w:cs="Times New Roman"/>
        </w:rPr>
        <w:t>Perd</w:t>
      </w:r>
      <w:proofErr w:type="spellEnd"/>
      <w:r w:rsidR="003A57D3" w:rsidRPr="003A57D3">
        <w:rPr>
          <w:rFonts w:ascii="Times New Roman" w:hAnsi="Times New Roman" w:cs="Times New Roman"/>
        </w:rPr>
        <w:t>. 5</w:t>
      </w:r>
    </w:p>
  </w:footnote>
  <w:footnote w:id="9">
    <w:p w:rsidR="009659A3" w:rsidRPr="003A57D3" w:rsidRDefault="009659A3">
      <w:pPr>
        <w:pStyle w:val="FootnoteText"/>
        <w:rPr>
          <w:rFonts w:ascii="Times New Roman" w:hAnsi="Times New Roman" w:cs="Times New Roman"/>
        </w:rPr>
      </w:pPr>
      <w:r w:rsidRPr="003A57D3">
        <w:rPr>
          <w:rStyle w:val="FootnoteReference"/>
          <w:rFonts w:ascii="Times New Roman" w:hAnsi="Times New Roman" w:cs="Times New Roman"/>
        </w:rPr>
        <w:footnoteRef/>
      </w:r>
      <w:r w:rsidRPr="003A57D3">
        <w:rPr>
          <w:rFonts w:ascii="Times New Roman" w:hAnsi="Times New Roman" w:cs="Times New Roman"/>
        </w:rPr>
        <w:t xml:space="preserve"> </w:t>
      </w:r>
      <w:r w:rsidR="003A57D3" w:rsidRPr="003A57D3">
        <w:rPr>
          <w:rFonts w:ascii="Times New Roman" w:hAnsi="Times New Roman" w:cs="Times New Roman"/>
        </w:rPr>
        <w:t>Liv. 1 6</w:t>
      </w:r>
    </w:p>
  </w:footnote>
  <w:footnote w:id="10">
    <w:p w:rsidR="009659A3" w:rsidRPr="00C16AEC" w:rsidRDefault="009659A3">
      <w:pPr>
        <w:pStyle w:val="FootnoteText"/>
        <w:rPr>
          <w:i/>
        </w:rPr>
      </w:pPr>
      <w:r w:rsidRPr="003A57D3">
        <w:rPr>
          <w:rStyle w:val="FootnoteReference"/>
          <w:rFonts w:ascii="Times New Roman" w:hAnsi="Times New Roman" w:cs="Times New Roman"/>
          <w:i/>
        </w:rPr>
        <w:footnoteRef/>
      </w:r>
      <w:r w:rsidRPr="003A57D3">
        <w:rPr>
          <w:rFonts w:ascii="Times New Roman" w:hAnsi="Times New Roman" w:cs="Times New Roman"/>
          <w:i/>
        </w:rPr>
        <w:t xml:space="preserve"> S., D., 2017. </w:t>
      </w:r>
      <w:r w:rsidRPr="003A57D3">
        <w:rPr>
          <w:rStyle w:val="Emphasis"/>
          <w:rFonts w:ascii="Times New Roman" w:hAnsi="Times New Roman" w:cs="Times New Roman"/>
          <w:i w:val="0"/>
        </w:rPr>
        <w:t>Rome in the Ancient World</w:t>
      </w:r>
      <w:r w:rsidRPr="003A57D3">
        <w:rPr>
          <w:rFonts w:ascii="Times New Roman" w:hAnsi="Times New Roman" w:cs="Times New Roman"/>
          <w:i/>
        </w:rPr>
        <w:t>. Thames &amp; Hudson.</w:t>
      </w:r>
      <w:r w:rsidR="00C16AEC" w:rsidRPr="003A57D3">
        <w:rPr>
          <w:rFonts w:ascii="Times New Roman" w:hAnsi="Times New Roman" w:cs="Times New Roman"/>
          <w:i/>
        </w:rPr>
        <w:t xml:space="preserve"> P.38</w:t>
      </w:r>
    </w:p>
  </w:footnote>
  <w:footnote w:id="11">
    <w:p w:rsidR="00C16AEC" w:rsidRPr="00C16AEC" w:rsidRDefault="00C16AEC">
      <w:pPr>
        <w:pStyle w:val="FootnoteText"/>
        <w:rPr>
          <w:i/>
        </w:rPr>
      </w:pPr>
      <w:r w:rsidRPr="00C16AEC">
        <w:rPr>
          <w:rStyle w:val="FootnoteReference"/>
          <w:i/>
        </w:rPr>
        <w:footnoteRef/>
      </w:r>
      <w:r w:rsidRPr="00C16AEC">
        <w:rPr>
          <w:i/>
        </w:rPr>
        <w:t xml:space="preserve"> Ogilvie, R., 1969. Ancient Culture and Society the Romans and their Gods. 10th ed. London: Chatto and Windus. P.24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D7B32"/>
    <w:multiLevelType w:val="hybridMultilevel"/>
    <w:tmpl w:val="EADC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33FDA"/>
    <w:multiLevelType w:val="hybridMultilevel"/>
    <w:tmpl w:val="B5925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34CE9"/>
    <w:multiLevelType w:val="hybridMultilevel"/>
    <w:tmpl w:val="8A48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95"/>
    <w:rsid w:val="000538A6"/>
    <w:rsid w:val="0011627B"/>
    <w:rsid w:val="002E4106"/>
    <w:rsid w:val="003813E6"/>
    <w:rsid w:val="003A57D3"/>
    <w:rsid w:val="00465E64"/>
    <w:rsid w:val="005102CE"/>
    <w:rsid w:val="005272CB"/>
    <w:rsid w:val="00560002"/>
    <w:rsid w:val="005633F9"/>
    <w:rsid w:val="005B17FD"/>
    <w:rsid w:val="005E3819"/>
    <w:rsid w:val="00776CDC"/>
    <w:rsid w:val="007A168E"/>
    <w:rsid w:val="009659A3"/>
    <w:rsid w:val="00A47795"/>
    <w:rsid w:val="00C16AEC"/>
    <w:rsid w:val="00C4192D"/>
    <w:rsid w:val="00DB6D6B"/>
    <w:rsid w:val="00DE3BB9"/>
    <w:rsid w:val="00E5257F"/>
    <w:rsid w:val="00EF3D8C"/>
    <w:rsid w:val="00F2369E"/>
    <w:rsid w:val="00F5181C"/>
    <w:rsid w:val="00FD4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E1791D"/>
  <w15:chartTrackingRefBased/>
  <w15:docId w15:val="{C90AFB33-41B4-47B7-86B9-04B32E0B7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477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7795"/>
    <w:rPr>
      <w:sz w:val="20"/>
      <w:szCs w:val="20"/>
    </w:rPr>
  </w:style>
  <w:style w:type="character" w:styleId="FootnoteReference">
    <w:name w:val="footnote reference"/>
    <w:basedOn w:val="DefaultParagraphFont"/>
    <w:uiPriority w:val="99"/>
    <w:semiHidden/>
    <w:unhideWhenUsed/>
    <w:rsid w:val="00A47795"/>
    <w:rPr>
      <w:vertAlign w:val="superscript"/>
    </w:rPr>
  </w:style>
  <w:style w:type="character" w:styleId="Emphasis">
    <w:name w:val="Emphasis"/>
    <w:basedOn w:val="DefaultParagraphFont"/>
    <w:uiPriority w:val="20"/>
    <w:qFormat/>
    <w:rsid w:val="00776CDC"/>
    <w:rPr>
      <w:i/>
      <w:iCs/>
    </w:rPr>
  </w:style>
  <w:style w:type="character" w:styleId="Hyperlink">
    <w:name w:val="Hyperlink"/>
    <w:basedOn w:val="DefaultParagraphFont"/>
    <w:uiPriority w:val="99"/>
    <w:semiHidden/>
    <w:unhideWhenUsed/>
    <w:rsid w:val="00776CDC"/>
    <w:rPr>
      <w:color w:val="0000FF"/>
      <w:u w:val="single"/>
    </w:rPr>
  </w:style>
  <w:style w:type="paragraph" w:styleId="ListParagraph">
    <w:name w:val="List Paragraph"/>
    <w:basedOn w:val="Normal"/>
    <w:uiPriority w:val="34"/>
    <w:qFormat/>
    <w:rsid w:val="005102CE"/>
    <w:pPr>
      <w:ind w:left="720"/>
      <w:contextualSpacing/>
    </w:pPr>
  </w:style>
  <w:style w:type="character" w:styleId="FollowedHyperlink">
    <w:name w:val="FollowedHyperlink"/>
    <w:basedOn w:val="DefaultParagraphFont"/>
    <w:uiPriority w:val="99"/>
    <w:semiHidden/>
    <w:unhideWhenUsed/>
    <w:rsid w:val="003A57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perseus.tufts.edu/hopper/text?doc=Perseus:text:1999.02.0023:chapter=5&amp;highlight=augur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ou.edu/class/ahi4163/files/bronz1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D85BD-5D75-496C-A19D-07A4EDB21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5</Pages>
  <Words>1560</Words>
  <Characters>8892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7</cp:revision>
  <dcterms:created xsi:type="dcterms:W3CDTF">2017-12-09T10:42:00Z</dcterms:created>
  <dcterms:modified xsi:type="dcterms:W3CDTF">2017-12-10T13:39:00Z</dcterms:modified>
</cp:coreProperties>
</file>