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p14:paraId="2C078E63" wp14:textId="083F194C">
      <w:r w:rsidR="36F10CB3">
        <w:rPr/>
        <w:t>EVA THOMAS 2203669</w:t>
      </w:r>
    </w:p>
    <w:p w:rsidR="36F10CB3" w:rsidRDefault="36F10CB3" w14:paraId="3F5020F3" w14:textId="2F9CF80D">
      <w:r w:rsidR="36F10CB3">
        <w:rPr/>
        <w:t>CRIMINAL LAW – LAURA KNIGHT</w:t>
      </w:r>
    </w:p>
    <w:p w:rsidR="2EEA6595" w:rsidRDefault="2EEA6595" w14:paraId="1489FDF5" w14:textId="51075C7A"/>
    <w:p w:rsidR="36F10CB3" w:rsidP="2EEA6595" w:rsidRDefault="36F10CB3" w14:paraId="267166DD" w14:textId="6A57F151">
      <w:pPr>
        <w:spacing w:before="0" w:beforeAutospacing="off" w:after="0" w:afterAutospacing="off"/>
      </w:pPr>
      <w:r w:rsidRPr="2EEA6595" w:rsidR="36F10CB3">
        <w:rPr>
          <w:rFonts w:ascii="Arial" w:hAnsi="Arial" w:eastAsia="Arial" w:cs="Arial"/>
          <w:b w:val="1"/>
          <w:bCs w:val="1"/>
          <w:sz w:val="24"/>
          <w:szCs w:val="24"/>
        </w:rPr>
        <w:t xml:space="preserve">Assignment title: </w:t>
      </w:r>
    </w:p>
    <w:p w:rsidR="36F10CB3" w:rsidP="2EEA6595" w:rsidRDefault="36F10CB3" w14:paraId="2207DD47" w14:textId="287D8CC3">
      <w:pPr>
        <w:spacing w:before="0" w:beforeAutospacing="off" w:after="0" w:afterAutospacing="off"/>
      </w:pPr>
      <w:r w:rsidRPr="2EEA6595" w:rsidR="36F10CB3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</w:p>
    <w:p w:rsidR="36F10CB3" w:rsidP="2EEA6595" w:rsidRDefault="36F10CB3" w14:paraId="181E09F4" w14:textId="5B34F010">
      <w:pPr>
        <w:spacing w:before="0" w:beforeAutospacing="off" w:after="0" w:afterAutospacing="off"/>
      </w:pPr>
      <w:r w:rsidRPr="2EEA6595" w:rsidR="36F10CB3">
        <w:rPr>
          <w:rFonts w:ascii="Arial" w:hAnsi="Arial" w:eastAsia="Arial" w:cs="Arial"/>
          <w:b w:val="1"/>
          <w:bCs w:val="1"/>
          <w:sz w:val="24"/>
          <w:szCs w:val="24"/>
        </w:rPr>
        <w:t xml:space="preserve">Discuss the extent to which the criminal law is prepared to accept that a victim may consent to harm. </w:t>
      </w:r>
    </w:p>
    <w:p w:rsidR="36F10CB3" w:rsidP="2EEA6595" w:rsidRDefault="36F10CB3" w14:paraId="785B07A1" w14:textId="2A07AD7A">
      <w:pPr>
        <w:spacing w:before="0" w:beforeAutospacing="off" w:after="0" w:afterAutospacing="off"/>
      </w:pPr>
      <w:r w:rsidRPr="2EEA6595" w:rsidR="36F10CB3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</w:p>
    <w:p w:rsidR="36F10CB3" w:rsidP="2EEA6595" w:rsidRDefault="36F10CB3" w14:paraId="736CC942" w14:textId="40E26851">
      <w:pPr>
        <w:spacing w:before="0" w:beforeAutospacing="off" w:after="0" w:afterAutospacing="off"/>
      </w:pPr>
      <w:r w:rsidRPr="2EEA6595" w:rsidR="36F10CB3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</w:p>
    <w:p w:rsidR="42F30676" w:rsidP="2EEA6595" w:rsidRDefault="42F30676" w14:paraId="73BB1B87" w14:textId="4E4A0EA0">
      <w:pPr>
        <w:spacing w:before="0" w:beforeAutospacing="off" w:after="0" w:afterAutospacing="off"/>
        <w:rPr>
          <w:rFonts w:ascii="Calibri" w:hAnsi="Calibri" w:eastAsia="Calibri" w:cs="Calibri"/>
          <w:color w:val="auto"/>
          <w:sz w:val="24"/>
          <w:szCs w:val="24"/>
        </w:rPr>
      </w:pPr>
      <w:r w:rsidRPr="2EEA6595" w:rsidR="42F30676">
        <w:rPr>
          <w:rFonts w:ascii="Calibri" w:hAnsi="Calibri" w:eastAsia="Calibri" w:cs="Calibri"/>
          <w:color w:val="auto"/>
          <w:sz w:val="24"/>
          <w:szCs w:val="24"/>
        </w:rPr>
        <w:t>Throughout this assignment</w:t>
      </w:r>
      <w:r w:rsidRPr="2EEA6595" w:rsidR="08381F94">
        <w:rPr>
          <w:rFonts w:ascii="Calibri" w:hAnsi="Calibri" w:eastAsia="Calibri" w:cs="Calibri"/>
          <w:color w:val="auto"/>
          <w:sz w:val="24"/>
          <w:szCs w:val="24"/>
        </w:rPr>
        <w:t xml:space="preserve"> I will be touching on whether the criminal law acknowledges the ability to consent to harm and which</w:t>
      </w:r>
      <w:r w:rsidRPr="2EEA6595" w:rsidR="5105E843">
        <w:rPr>
          <w:rFonts w:ascii="Calibri" w:hAnsi="Calibri" w:eastAsia="Calibri" w:cs="Calibri"/>
          <w:color w:val="auto"/>
          <w:sz w:val="24"/>
          <w:szCs w:val="24"/>
        </w:rPr>
        <w:t xml:space="preserve"> offences the law acknowledges consent of the victim. I will also be discussing</w:t>
      </w:r>
      <w:r w:rsidRPr="2EEA6595" w:rsidR="28186F3D">
        <w:rPr>
          <w:rFonts w:ascii="Calibri" w:hAnsi="Calibri" w:eastAsia="Calibri" w:cs="Calibri"/>
          <w:color w:val="auto"/>
          <w:sz w:val="24"/>
          <w:szCs w:val="24"/>
        </w:rPr>
        <w:t xml:space="preserve"> the basis needed to be abided by for consent to act as a </w:t>
      </w:r>
      <w:r w:rsidRPr="2EEA6595" w:rsidR="28186F3D">
        <w:rPr>
          <w:rFonts w:ascii="Calibri" w:hAnsi="Calibri" w:eastAsia="Calibri" w:cs="Calibri"/>
          <w:color w:val="auto"/>
          <w:sz w:val="24"/>
          <w:szCs w:val="24"/>
        </w:rPr>
        <w:t>defense</w:t>
      </w:r>
      <w:r w:rsidRPr="2EEA6595" w:rsidR="28186F3D">
        <w:rPr>
          <w:rFonts w:ascii="Calibri" w:hAnsi="Calibri" w:eastAsia="Calibri" w:cs="Calibri"/>
          <w:color w:val="auto"/>
          <w:sz w:val="24"/>
          <w:szCs w:val="24"/>
        </w:rPr>
        <w:t xml:space="preserve"> in cases, the basis needed to be abided by to disregard the acknowledgeme</w:t>
      </w:r>
      <w:r w:rsidRPr="2EEA6595" w:rsidR="1202653B">
        <w:rPr>
          <w:rFonts w:ascii="Calibri" w:hAnsi="Calibri" w:eastAsia="Calibri" w:cs="Calibri"/>
          <w:color w:val="auto"/>
          <w:sz w:val="24"/>
          <w:szCs w:val="24"/>
        </w:rPr>
        <w:t xml:space="preserve">nt of the victims consent in cases, and any objections which may </w:t>
      </w:r>
      <w:r w:rsidRPr="2EEA6595" w:rsidR="1202653B">
        <w:rPr>
          <w:rFonts w:ascii="Calibri" w:hAnsi="Calibri" w:eastAsia="Calibri" w:cs="Calibri"/>
          <w:color w:val="auto"/>
          <w:sz w:val="24"/>
          <w:szCs w:val="24"/>
        </w:rPr>
        <w:t>have involvement</w:t>
      </w:r>
      <w:r w:rsidRPr="2EEA6595" w:rsidR="1202653B">
        <w:rPr>
          <w:rFonts w:ascii="Calibri" w:hAnsi="Calibri" w:eastAsia="Calibri" w:cs="Calibri"/>
          <w:color w:val="auto"/>
          <w:sz w:val="24"/>
          <w:szCs w:val="24"/>
        </w:rPr>
        <w:t xml:space="preserve"> in </w:t>
      </w:r>
      <w:r w:rsidRPr="2EEA6595" w:rsidR="69D0ABB8">
        <w:rPr>
          <w:rFonts w:ascii="Calibri" w:hAnsi="Calibri" w:eastAsia="Calibri" w:cs="Calibri"/>
          <w:color w:val="auto"/>
          <w:sz w:val="24"/>
          <w:szCs w:val="24"/>
        </w:rPr>
        <w:t>recognising a victim’s consent in certain cases.</w:t>
      </w:r>
    </w:p>
    <w:p w:rsidR="243A173C" w:rsidP="2EEA6595" w:rsidRDefault="243A173C" w14:paraId="75C09534" w14:textId="4E1BDB6D">
      <w:pPr>
        <w:rPr>
          <w:rFonts w:ascii="Calibri" w:hAnsi="Calibri" w:eastAsia="Calibri" w:cs="Calibri"/>
          <w:color w:val="auto"/>
          <w:sz w:val="24"/>
          <w:szCs w:val="24"/>
        </w:rPr>
      </w:pPr>
    </w:p>
    <w:p w:rsidR="243A173C" w:rsidP="2EEA6595" w:rsidRDefault="243A173C" w14:paraId="6D029350" w14:textId="0D52F80C">
      <w:pPr>
        <w:rPr>
          <w:rFonts w:ascii="Calibri" w:hAnsi="Calibri" w:eastAsia="Calibri" w:cs="Calibri"/>
          <w:color w:val="auto"/>
          <w:sz w:val="24"/>
          <w:szCs w:val="24"/>
        </w:rPr>
      </w:pPr>
      <w:r w:rsidRPr="2EEA6595" w:rsidR="243A173C">
        <w:rPr>
          <w:rFonts w:ascii="Calibri" w:hAnsi="Calibri" w:eastAsia="Calibri" w:cs="Calibri"/>
          <w:color w:val="auto"/>
          <w:sz w:val="24"/>
          <w:szCs w:val="24"/>
        </w:rPr>
        <w:t>England’s</w:t>
      </w:r>
      <w:r w:rsidRPr="2EEA6595" w:rsidR="383403D5">
        <w:rPr>
          <w:rFonts w:ascii="Calibri" w:hAnsi="Calibri" w:eastAsia="Calibri" w:cs="Calibri"/>
          <w:color w:val="auto"/>
          <w:sz w:val="24"/>
          <w:szCs w:val="24"/>
        </w:rPr>
        <w:t xml:space="preserve"> legal system’s</w:t>
      </w:r>
      <w:r w:rsidRPr="2EEA6595" w:rsidR="243A173C">
        <w:rPr>
          <w:rFonts w:ascii="Calibri" w:hAnsi="Calibri" w:eastAsia="Calibri" w:cs="Calibri"/>
          <w:color w:val="auto"/>
          <w:sz w:val="24"/>
          <w:szCs w:val="24"/>
        </w:rPr>
        <w:t xml:space="preserve"> current scene provides that an individual cannot consent to</w:t>
      </w:r>
      <w:r w:rsidRPr="2EEA6595" w:rsidR="7B314FE6">
        <w:rPr>
          <w:rFonts w:ascii="Calibri" w:hAnsi="Calibri" w:eastAsia="Calibri" w:cs="Calibri"/>
          <w:color w:val="auto"/>
          <w:sz w:val="24"/>
          <w:szCs w:val="24"/>
        </w:rPr>
        <w:t xml:space="preserve"> another individual causing them bodily harm </w:t>
      </w:r>
      <w:r w:rsidRPr="2EEA6595" w:rsidR="40AE5DBB">
        <w:rPr>
          <w:rFonts w:ascii="Calibri" w:hAnsi="Calibri" w:eastAsia="Calibri" w:cs="Calibri"/>
          <w:color w:val="auto"/>
          <w:sz w:val="24"/>
          <w:szCs w:val="24"/>
        </w:rPr>
        <w:t xml:space="preserve">except if it falls under a certain sector that defines it as lawful activity. </w:t>
      </w:r>
      <w:r w:rsidRPr="2EEA6595" w:rsidR="00A99E36">
        <w:rPr>
          <w:rFonts w:ascii="Calibri" w:hAnsi="Calibri" w:eastAsia="Calibri" w:cs="Calibri"/>
          <w:color w:val="auto"/>
          <w:sz w:val="24"/>
          <w:szCs w:val="24"/>
        </w:rPr>
        <w:t>Common Law has recently been structured</w:t>
      </w:r>
      <w:r w:rsidRPr="2EEA6595" w:rsidR="352E6514">
        <w:rPr>
          <w:rFonts w:ascii="Calibri" w:hAnsi="Calibri" w:eastAsia="Calibri" w:cs="Calibri"/>
          <w:color w:val="auto"/>
          <w:sz w:val="24"/>
          <w:szCs w:val="24"/>
        </w:rPr>
        <w:t xml:space="preserve"> by parliament by enacting the Domestic Abuse Act</w:t>
      </w:r>
      <w:r w:rsidRPr="2EEA6595" w:rsidR="1FAB489F">
        <w:rPr>
          <w:rFonts w:ascii="Calibri" w:hAnsi="Calibri" w:eastAsia="Calibri" w:cs="Calibri"/>
          <w:color w:val="auto"/>
          <w:sz w:val="24"/>
          <w:szCs w:val="24"/>
        </w:rPr>
        <w:t xml:space="preserve"> 2021, which bestows that one </w:t>
      </w:r>
      <w:r w:rsidRPr="2EEA6595" w:rsidR="54BF3305">
        <w:rPr>
          <w:rFonts w:ascii="Calibri" w:hAnsi="Calibri" w:eastAsia="Calibri" w:cs="Calibri"/>
          <w:color w:val="auto"/>
          <w:sz w:val="24"/>
          <w:szCs w:val="24"/>
        </w:rPr>
        <w:t>person</w:t>
      </w:r>
      <w:r w:rsidRPr="2EEA6595" w:rsidR="1FAB489F">
        <w:rPr>
          <w:rFonts w:ascii="Calibri" w:hAnsi="Calibri" w:eastAsia="Calibri" w:cs="Calibri"/>
          <w:color w:val="auto"/>
          <w:sz w:val="24"/>
          <w:szCs w:val="24"/>
        </w:rPr>
        <w:t xml:space="preserve"> is not able to consent to</w:t>
      </w:r>
      <w:r w:rsidRPr="2EEA6595" w:rsidR="5D74BC13">
        <w:rPr>
          <w:rFonts w:ascii="Calibri" w:hAnsi="Calibri" w:eastAsia="Calibri" w:cs="Calibri"/>
          <w:color w:val="auto"/>
          <w:sz w:val="24"/>
          <w:szCs w:val="24"/>
        </w:rPr>
        <w:t xml:space="preserve"> another </w:t>
      </w:r>
      <w:r w:rsidRPr="2EEA6595" w:rsidR="077CD3FD">
        <w:rPr>
          <w:rFonts w:ascii="Calibri" w:hAnsi="Calibri" w:eastAsia="Calibri" w:cs="Calibri"/>
          <w:color w:val="auto"/>
          <w:sz w:val="24"/>
          <w:szCs w:val="24"/>
        </w:rPr>
        <w:t>person causing bodily harm for the purpo</w:t>
      </w:r>
      <w:r w:rsidRPr="2EEA6595" w:rsidR="2207D661">
        <w:rPr>
          <w:rFonts w:ascii="Calibri" w:hAnsi="Calibri" w:eastAsia="Calibri" w:cs="Calibri"/>
          <w:color w:val="auto"/>
          <w:sz w:val="24"/>
          <w:szCs w:val="24"/>
        </w:rPr>
        <w:t>s</w:t>
      </w:r>
      <w:r w:rsidRPr="2EEA6595" w:rsidR="077CD3FD">
        <w:rPr>
          <w:rFonts w:ascii="Calibri" w:hAnsi="Calibri" w:eastAsia="Calibri" w:cs="Calibri"/>
          <w:color w:val="auto"/>
          <w:sz w:val="24"/>
          <w:szCs w:val="24"/>
        </w:rPr>
        <w:t>e of sexual gratification or pleasure.</w:t>
      </w:r>
      <w:r w:rsidRPr="2EEA6595" w:rsidR="077CD3FD">
        <w:rPr>
          <w:rFonts w:ascii="Calibri" w:hAnsi="Calibri" w:eastAsia="Calibri" w:cs="Calibri"/>
          <w:color w:val="auto"/>
          <w:sz w:val="24"/>
          <w:szCs w:val="24"/>
        </w:rPr>
        <w:t xml:space="preserve"> However, this provision also applies to </w:t>
      </w:r>
      <w:r w:rsidRPr="2EEA6595" w:rsidR="2359EBCB">
        <w:rPr>
          <w:rFonts w:ascii="Calibri" w:hAnsi="Calibri" w:eastAsia="Calibri" w:cs="Calibri"/>
          <w:color w:val="auto"/>
          <w:sz w:val="24"/>
          <w:szCs w:val="24"/>
        </w:rPr>
        <w:t>other areas of human life. Th</w:t>
      </w:r>
      <w:r w:rsidRPr="2EEA6595" w:rsidR="486CDE85">
        <w:rPr>
          <w:rFonts w:ascii="Calibri" w:hAnsi="Calibri" w:eastAsia="Calibri" w:cs="Calibri"/>
          <w:color w:val="auto"/>
          <w:sz w:val="24"/>
          <w:szCs w:val="24"/>
        </w:rPr>
        <w:t>is</w:t>
      </w:r>
      <w:r w:rsidRPr="2EEA6595" w:rsidR="2359EBCB">
        <w:rPr>
          <w:rFonts w:ascii="Calibri" w:hAnsi="Calibri" w:eastAsia="Calibri" w:cs="Calibri"/>
          <w:color w:val="auto"/>
          <w:sz w:val="24"/>
          <w:szCs w:val="24"/>
        </w:rPr>
        <w:t xml:space="preserve"> codification </w:t>
      </w:r>
      <w:r w:rsidRPr="2EEA6595" w:rsidR="20FBE838">
        <w:rPr>
          <w:rFonts w:ascii="Calibri" w:hAnsi="Calibri" w:eastAsia="Calibri" w:cs="Calibri"/>
          <w:color w:val="auto"/>
          <w:sz w:val="24"/>
          <w:szCs w:val="24"/>
        </w:rPr>
        <w:t>o</w:t>
      </w:r>
      <w:r w:rsidRPr="2EEA6595" w:rsidR="1BAF9AD4">
        <w:rPr>
          <w:rFonts w:ascii="Calibri" w:hAnsi="Calibri" w:eastAsia="Calibri" w:cs="Calibri"/>
          <w:color w:val="auto"/>
          <w:sz w:val="24"/>
          <w:szCs w:val="24"/>
        </w:rPr>
        <w:t xml:space="preserve">f common law </w:t>
      </w:r>
      <w:r w:rsidRPr="2EEA6595" w:rsidR="5EA39046">
        <w:rPr>
          <w:rFonts w:ascii="Calibri" w:hAnsi="Calibri" w:eastAsia="Calibri" w:cs="Calibri"/>
          <w:color w:val="auto"/>
          <w:sz w:val="24"/>
          <w:szCs w:val="24"/>
        </w:rPr>
        <w:t xml:space="preserve">has resulted in </w:t>
      </w:r>
      <w:r w:rsidRPr="2EEA6595" w:rsidR="1E94C09D">
        <w:rPr>
          <w:rFonts w:ascii="Calibri" w:hAnsi="Calibri" w:eastAsia="Calibri" w:cs="Calibri"/>
          <w:color w:val="auto"/>
          <w:sz w:val="24"/>
          <w:szCs w:val="24"/>
        </w:rPr>
        <w:t>the immoral development of legal doctrine.</w:t>
      </w:r>
      <w:r>
        <w:tab/>
      </w:r>
      <w:r>
        <w:tab/>
      </w:r>
    </w:p>
    <w:p w:rsidR="61B0CCCB" w:rsidP="2EEA6595" w:rsidRDefault="61B0CCCB" w14:paraId="4297B355" w14:textId="21B46C50">
      <w:pPr>
        <w:pStyle w:val="Normal"/>
        <w:spacing w:before="240" w:beforeAutospacing="off" w:after="240" w:afterAutospacing="off"/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</w:pPr>
      <w:r w:rsidRPr="2EEA6595" w:rsidR="61B0CCCB">
        <w:rPr>
          <w:rFonts w:ascii="Calibri" w:hAnsi="Calibri" w:eastAsia="Calibri" w:cs="Calibri"/>
          <w:color w:val="auto"/>
          <w:sz w:val="24"/>
          <w:szCs w:val="24"/>
        </w:rPr>
        <w:t xml:space="preserve">For example, any bodily harm which is caused </w:t>
      </w:r>
      <w:r w:rsidRPr="2EEA6595" w:rsidR="61B0CCCB">
        <w:rPr>
          <w:rFonts w:ascii="Calibri" w:hAnsi="Calibri" w:eastAsia="Calibri" w:cs="Calibri"/>
          <w:color w:val="auto"/>
          <w:sz w:val="24"/>
          <w:szCs w:val="24"/>
        </w:rPr>
        <w:t>as a result of</w:t>
      </w:r>
      <w:r w:rsidRPr="2EEA6595" w:rsidR="61B0CCCB">
        <w:rPr>
          <w:rFonts w:ascii="Calibri" w:hAnsi="Calibri" w:eastAsia="Calibri" w:cs="Calibri"/>
          <w:color w:val="auto"/>
          <w:sz w:val="24"/>
          <w:szCs w:val="24"/>
        </w:rPr>
        <w:t xml:space="preserve"> decorative piercing, contact sports and </w:t>
      </w:r>
      <w:r w:rsidRPr="2EEA6595" w:rsidR="2F030A0E">
        <w:rPr>
          <w:rFonts w:ascii="Calibri" w:hAnsi="Calibri" w:eastAsia="Calibri" w:cs="Calibri"/>
          <w:color w:val="auto"/>
          <w:sz w:val="24"/>
          <w:szCs w:val="24"/>
        </w:rPr>
        <w:t xml:space="preserve">cosmetic genital surgery are lawful. On </w:t>
      </w:r>
      <w:r w:rsidRPr="2EEA6595" w:rsidR="7526C500">
        <w:rPr>
          <w:rFonts w:ascii="Calibri" w:hAnsi="Calibri" w:eastAsia="Calibri" w:cs="Calibri"/>
          <w:color w:val="auto"/>
          <w:sz w:val="24"/>
          <w:szCs w:val="24"/>
        </w:rPr>
        <w:t xml:space="preserve">the other hand, non-surgical </w:t>
      </w:r>
      <w:r w:rsidRPr="2EEA6595" w:rsidR="06DAA5A2">
        <w:rPr>
          <w:rFonts w:ascii="Calibri" w:hAnsi="Calibri" w:eastAsia="Calibri" w:cs="Calibri"/>
          <w:color w:val="auto"/>
          <w:sz w:val="24"/>
          <w:szCs w:val="24"/>
        </w:rPr>
        <w:t xml:space="preserve">body modification, </w:t>
      </w:r>
      <w:r w:rsidRPr="2EEA6595" w:rsidR="4BB5ECFE">
        <w:rPr>
          <w:rFonts w:ascii="Calibri" w:hAnsi="Calibri" w:eastAsia="Calibri" w:cs="Calibri"/>
          <w:color w:val="auto"/>
          <w:sz w:val="24"/>
          <w:szCs w:val="24"/>
        </w:rPr>
        <w:t>BDSM and Female Genital Mutilation (FGM) are not lawful forms of bodily</w:t>
      </w:r>
      <w:r w:rsidRPr="2EEA6595" w:rsidR="171DBAA3">
        <w:rPr>
          <w:rFonts w:ascii="Calibri" w:hAnsi="Calibri" w:eastAsia="Calibri" w:cs="Calibri"/>
          <w:color w:val="auto"/>
          <w:sz w:val="24"/>
          <w:szCs w:val="24"/>
        </w:rPr>
        <w:t xml:space="preserve"> harm. </w:t>
      </w:r>
      <w:r w:rsidRPr="2EEA6595" w:rsidR="511F9A17">
        <w:rPr>
          <w:rFonts w:ascii="Calibri" w:hAnsi="Calibri" w:eastAsia="Calibri" w:cs="Calibri"/>
          <w:color w:val="auto"/>
          <w:sz w:val="24"/>
          <w:szCs w:val="24"/>
        </w:rPr>
        <w:t xml:space="preserve">These examples call attention to </w:t>
      </w:r>
      <w:r w:rsidRPr="2EEA6595" w:rsidR="6FC8E95F">
        <w:rPr>
          <w:rFonts w:ascii="Calibri" w:hAnsi="Calibri" w:eastAsia="Calibri" w:cs="Calibri"/>
          <w:color w:val="auto"/>
          <w:sz w:val="24"/>
          <w:szCs w:val="24"/>
        </w:rPr>
        <w:t>the inarticulateness</w:t>
      </w:r>
      <w:r w:rsidRPr="2EEA6595" w:rsidR="0686FEF9">
        <w:rPr>
          <w:rFonts w:ascii="Calibri" w:hAnsi="Calibri" w:eastAsia="Calibri" w:cs="Calibri"/>
          <w:color w:val="auto"/>
          <w:sz w:val="24"/>
          <w:szCs w:val="24"/>
        </w:rPr>
        <w:t xml:space="preserve"> of current doctrine and its lack of success to </w:t>
      </w:r>
      <w:r w:rsidRPr="2EEA6595" w:rsidR="38F181BC">
        <w:rPr>
          <w:rFonts w:ascii="Calibri" w:hAnsi="Calibri" w:eastAsia="Calibri" w:cs="Calibri"/>
          <w:color w:val="auto"/>
          <w:sz w:val="24"/>
          <w:szCs w:val="24"/>
        </w:rPr>
        <w:t xml:space="preserve">stabilize personal autonomy </w:t>
      </w:r>
      <w:r w:rsidRPr="2EEA6595" w:rsidR="1821BAC5">
        <w:rPr>
          <w:rFonts w:ascii="Calibri" w:hAnsi="Calibri" w:eastAsia="Calibri" w:cs="Calibri"/>
          <w:color w:val="auto"/>
          <w:sz w:val="24"/>
          <w:szCs w:val="24"/>
        </w:rPr>
        <w:t>with the paternal side of the role of criminal law</w:t>
      </w:r>
      <w:r w:rsidRPr="2EEA6595" w:rsidR="35561F65">
        <w:rPr>
          <w:rFonts w:ascii="Calibri" w:hAnsi="Calibri" w:eastAsia="Calibri" w:cs="Calibri"/>
          <w:color w:val="auto"/>
          <w:sz w:val="24"/>
          <w:szCs w:val="24"/>
        </w:rPr>
        <w:t xml:space="preserve"> which is aimed at</w:t>
      </w:r>
      <w:r w:rsidRPr="2EEA6595" w:rsidR="7B3D25BF">
        <w:rPr>
          <w:rFonts w:ascii="Calibri" w:hAnsi="Calibri" w:eastAsia="Calibri" w:cs="Calibri"/>
          <w:color w:val="auto"/>
          <w:sz w:val="24"/>
          <w:szCs w:val="24"/>
        </w:rPr>
        <w:t xml:space="preserve"> minimising </w:t>
      </w:r>
      <w:r w:rsidRPr="2EEA6595" w:rsidR="51581073">
        <w:rPr>
          <w:rFonts w:ascii="Calibri" w:hAnsi="Calibri" w:eastAsia="Calibri" w:cs="Calibri"/>
          <w:color w:val="auto"/>
          <w:sz w:val="24"/>
          <w:szCs w:val="24"/>
        </w:rPr>
        <w:t>the approbation of the law for significant violence</w:t>
      </w:r>
      <w:r w:rsidRPr="2EEA6595" w:rsidR="1E38172B">
        <w:rPr>
          <w:rFonts w:ascii="Calibri" w:hAnsi="Calibri" w:eastAsia="Calibri" w:cs="Calibri"/>
          <w:color w:val="auto"/>
          <w:sz w:val="24"/>
          <w:szCs w:val="24"/>
        </w:rPr>
        <w:t xml:space="preserve"> – if indefinite that is the criminal law’s role. There is a lack of </w:t>
      </w:r>
      <w:r w:rsidRPr="2EEA6595" w:rsidR="0885F319">
        <w:rPr>
          <w:rFonts w:ascii="Calibri" w:hAnsi="Calibri" w:eastAsia="Calibri" w:cs="Calibri"/>
          <w:color w:val="auto"/>
          <w:sz w:val="24"/>
          <w:szCs w:val="24"/>
        </w:rPr>
        <w:t xml:space="preserve">transparency </w:t>
      </w:r>
      <w:r w:rsidRPr="2EEA6595" w:rsidR="1932CD66">
        <w:rPr>
          <w:rFonts w:ascii="Calibri" w:hAnsi="Calibri" w:eastAsia="Calibri" w:cs="Calibri"/>
          <w:color w:val="auto"/>
          <w:sz w:val="24"/>
          <w:szCs w:val="24"/>
        </w:rPr>
        <w:t xml:space="preserve">within the law and </w:t>
      </w:r>
      <w:r w:rsidRPr="2EEA6595" w:rsidR="3D15E712">
        <w:rPr>
          <w:rFonts w:ascii="Calibri" w:hAnsi="Calibri" w:eastAsia="Calibri" w:cs="Calibri"/>
          <w:color w:val="auto"/>
          <w:sz w:val="24"/>
          <w:szCs w:val="24"/>
        </w:rPr>
        <w:t>persistent</w:t>
      </w:r>
      <w:r w:rsidRPr="2EEA6595" w:rsidR="1932CD66">
        <w:rPr>
          <w:rFonts w:ascii="Calibri" w:hAnsi="Calibri" w:eastAsia="Calibri" w:cs="Calibri"/>
          <w:color w:val="auto"/>
          <w:sz w:val="24"/>
          <w:szCs w:val="24"/>
        </w:rPr>
        <w:t xml:space="preserve"> failure to keep up to speed with evolving public attitudes to </w:t>
      </w:r>
      <w:r w:rsidRPr="2EEA6595" w:rsidR="1932CD66">
        <w:rPr>
          <w:rFonts w:ascii="Calibri" w:hAnsi="Calibri" w:eastAsia="Calibri" w:cs="Calibri"/>
          <w:color w:val="auto"/>
          <w:sz w:val="24"/>
          <w:szCs w:val="24"/>
        </w:rPr>
        <w:t>B</w:t>
      </w:r>
      <w:r w:rsidRPr="2EEA6595" w:rsidR="77CEC863">
        <w:rPr>
          <w:rFonts w:ascii="Calibri" w:hAnsi="Calibri" w:eastAsia="Calibri" w:cs="Calibri"/>
          <w:color w:val="auto"/>
          <w:sz w:val="24"/>
          <w:szCs w:val="24"/>
        </w:rPr>
        <w:t xml:space="preserve">DSM, </w:t>
      </w:r>
      <w:r w:rsidRPr="2EEA6595" w:rsidR="1821BAC5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2EEA6595" w:rsidR="7FFDFD53">
        <w:rPr>
          <w:rFonts w:ascii="Calibri" w:hAnsi="Calibri" w:eastAsia="Calibri" w:cs="Calibri"/>
          <w:color w:val="auto"/>
          <w:sz w:val="24"/>
          <w:szCs w:val="24"/>
        </w:rPr>
        <w:t>body</w:t>
      </w:r>
      <w:r w:rsidRPr="2EEA6595" w:rsidR="7FFDFD53">
        <w:rPr>
          <w:rFonts w:ascii="Calibri" w:hAnsi="Calibri" w:eastAsia="Calibri" w:cs="Calibri"/>
          <w:color w:val="auto"/>
          <w:sz w:val="24"/>
          <w:szCs w:val="24"/>
        </w:rPr>
        <w:t xml:space="preserve"> modification and horseplay, therefore reformation within </w:t>
      </w:r>
      <w:r w:rsidRPr="2EEA6595" w:rsidR="657C2291">
        <w:rPr>
          <w:rFonts w:ascii="Calibri" w:hAnsi="Calibri" w:eastAsia="Calibri" w:cs="Calibri"/>
          <w:color w:val="auto"/>
          <w:sz w:val="24"/>
          <w:szCs w:val="24"/>
        </w:rPr>
        <w:t>parliament is well overdue.</w:t>
      </w:r>
      <w:r>
        <w:tab/>
      </w:r>
      <w:r w:rsidRPr="2EEA6595" w:rsidR="4EEEDA8C">
        <w:rPr>
          <w:rFonts w:ascii="Calibri" w:hAnsi="Calibri" w:eastAsia="Calibri" w:cs="Calibri"/>
          <w:color w:val="auto"/>
          <w:sz w:val="24"/>
          <w:szCs w:val="24"/>
        </w:rPr>
        <w:t xml:space="preserve"> (</w:t>
      </w:r>
      <w:r w:rsidRPr="2EEA6595" w:rsidR="4EEEDA8C">
        <w:rPr>
          <w:rFonts w:ascii="Calibri" w:hAnsi="Calibri" w:eastAsia="Calibri" w:cs="Calibri"/>
          <w:noProof w:val="0"/>
          <w:color w:val="auto"/>
          <w:sz w:val="24"/>
          <w:szCs w:val="24"/>
          <w:lang w:val="en-GB"/>
        </w:rPr>
        <w:t>Professor Sally Kyd &amp; Dr Daniel Bansal, 2022)</w:t>
      </w:r>
    </w:p>
    <w:p w:rsidR="74F6C34A" w:rsidP="2EEA6595" w:rsidRDefault="74F6C34A" w14:paraId="139A2561" w14:textId="3F1FFC4C">
      <w:pPr>
        <w:spacing w:before="240" w:beforeAutospacing="off" w:after="240" w:afterAutospacing="off"/>
        <w:rPr>
          <w:rFonts w:ascii="Calibri" w:hAnsi="Calibri" w:eastAsia="Calibri" w:cs="Calibri"/>
          <w:color w:val="auto"/>
          <w:sz w:val="24"/>
          <w:szCs w:val="24"/>
        </w:rPr>
      </w:pPr>
      <w:r w:rsidRPr="2EEA6595" w:rsidR="74F6C34A">
        <w:rPr>
          <w:rFonts w:ascii="Calibri" w:hAnsi="Calibri" w:eastAsia="Calibri" w:cs="Calibri"/>
          <w:color w:val="auto"/>
          <w:sz w:val="24"/>
          <w:szCs w:val="24"/>
        </w:rPr>
        <w:t xml:space="preserve">In specific circumstances with regards to criminals, </w:t>
      </w:r>
      <w:r w:rsidRPr="2EEA6595" w:rsidR="4A724B97">
        <w:rPr>
          <w:rFonts w:ascii="Calibri" w:hAnsi="Calibri" w:eastAsia="Calibri" w:cs="Calibri"/>
          <w:color w:val="auto"/>
          <w:sz w:val="24"/>
          <w:szCs w:val="24"/>
        </w:rPr>
        <w:t>an evident</w:t>
      </w:r>
      <w:r w:rsidRPr="2EEA6595" w:rsidR="4A724B97">
        <w:rPr>
          <w:rFonts w:ascii="Calibri" w:hAnsi="Calibri" w:eastAsia="Calibri" w:cs="Calibri"/>
          <w:color w:val="auto"/>
          <w:sz w:val="24"/>
          <w:szCs w:val="24"/>
        </w:rPr>
        <w:t xml:space="preserve"> criminal act could have been committed</w:t>
      </w:r>
      <w:r w:rsidRPr="2EEA6595" w:rsidR="5047F9F4">
        <w:rPr>
          <w:rFonts w:ascii="Calibri" w:hAnsi="Calibri" w:eastAsia="Calibri" w:cs="Calibri"/>
          <w:color w:val="auto"/>
          <w:sz w:val="24"/>
          <w:szCs w:val="24"/>
        </w:rPr>
        <w:t xml:space="preserve">, but a crucial part of the crime that is </w:t>
      </w:r>
      <w:r w:rsidRPr="2EEA6595" w:rsidR="5047F9F4">
        <w:rPr>
          <w:rFonts w:ascii="Calibri" w:hAnsi="Calibri" w:eastAsia="Calibri" w:cs="Calibri"/>
          <w:color w:val="auto"/>
          <w:sz w:val="24"/>
          <w:szCs w:val="24"/>
        </w:rPr>
        <w:t>required</w:t>
      </w:r>
      <w:r w:rsidRPr="2EEA6595" w:rsidR="5047F9F4">
        <w:rPr>
          <w:rFonts w:ascii="Calibri" w:hAnsi="Calibri" w:eastAsia="Calibri" w:cs="Calibri"/>
          <w:color w:val="auto"/>
          <w:sz w:val="24"/>
          <w:szCs w:val="24"/>
        </w:rPr>
        <w:t xml:space="preserve"> is that the </w:t>
      </w:r>
      <w:r w:rsidRPr="2EEA6595" w:rsidR="27221726">
        <w:rPr>
          <w:rFonts w:ascii="Calibri" w:hAnsi="Calibri" w:eastAsia="Calibri" w:cs="Calibri"/>
          <w:color w:val="auto"/>
          <w:sz w:val="24"/>
          <w:szCs w:val="24"/>
        </w:rPr>
        <w:t>victim was opposed to the crime</w:t>
      </w:r>
      <w:r w:rsidRPr="2EEA6595" w:rsidR="0B7238EC">
        <w:rPr>
          <w:rFonts w:ascii="Calibri" w:hAnsi="Calibri" w:eastAsia="Calibri" w:cs="Calibri"/>
          <w:color w:val="auto"/>
          <w:sz w:val="24"/>
          <w:szCs w:val="24"/>
        </w:rPr>
        <w:t xml:space="preserve"> that has happened. In this instance, the </w:t>
      </w:r>
      <w:r w:rsidRPr="2EEA6595" w:rsidR="365493FE">
        <w:rPr>
          <w:rFonts w:ascii="Calibri" w:hAnsi="Calibri" w:eastAsia="Calibri" w:cs="Calibri"/>
          <w:color w:val="auto"/>
          <w:sz w:val="24"/>
          <w:szCs w:val="24"/>
        </w:rPr>
        <w:t>defence</w:t>
      </w:r>
      <w:r w:rsidRPr="2EEA6595" w:rsidR="0B7238EC">
        <w:rPr>
          <w:rFonts w:ascii="Calibri" w:hAnsi="Calibri" w:eastAsia="Calibri" w:cs="Calibri"/>
          <w:color w:val="auto"/>
          <w:sz w:val="24"/>
          <w:szCs w:val="24"/>
        </w:rPr>
        <w:t xml:space="preserve"> of consent </w:t>
      </w:r>
      <w:r w:rsidRPr="2EEA6595" w:rsidR="6A28F874">
        <w:rPr>
          <w:rFonts w:ascii="Calibri" w:hAnsi="Calibri" w:eastAsia="Calibri" w:cs="Calibri"/>
          <w:color w:val="auto"/>
          <w:sz w:val="24"/>
          <w:szCs w:val="24"/>
        </w:rPr>
        <w:t>is not available. However, if it can be proved that the victim con</w:t>
      </w:r>
      <w:r w:rsidRPr="2EEA6595" w:rsidR="6A28F874">
        <w:rPr>
          <w:rFonts w:ascii="Calibri" w:hAnsi="Calibri" w:eastAsia="Calibri" w:cs="Calibri"/>
          <w:color w:val="auto"/>
          <w:sz w:val="24"/>
          <w:szCs w:val="24"/>
        </w:rPr>
        <w:t>s</w:t>
      </w:r>
      <w:r w:rsidRPr="2EEA6595" w:rsidR="6A28F874">
        <w:rPr>
          <w:rFonts w:ascii="Calibri" w:hAnsi="Calibri" w:eastAsia="Calibri" w:cs="Calibri"/>
          <w:color w:val="auto"/>
          <w:sz w:val="24"/>
          <w:szCs w:val="24"/>
        </w:rPr>
        <w:t>e</w:t>
      </w:r>
      <w:r w:rsidRPr="2EEA6595" w:rsidR="6A28F874">
        <w:rPr>
          <w:rFonts w:ascii="Calibri" w:hAnsi="Calibri" w:eastAsia="Calibri" w:cs="Calibri"/>
          <w:color w:val="auto"/>
          <w:sz w:val="24"/>
          <w:szCs w:val="24"/>
        </w:rPr>
        <w:t>n</w:t>
      </w:r>
      <w:r w:rsidRPr="2EEA6595" w:rsidR="6A28F874">
        <w:rPr>
          <w:rFonts w:ascii="Calibri" w:hAnsi="Calibri" w:eastAsia="Calibri" w:cs="Calibri"/>
          <w:color w:val="auto"/>
          <w:sz w:val="24"/>
          <w:szCs w:val="24"/>
        </w:rPr>
        <w:t>t</w:t>
      </w:r>
      <w:r w:rsidRPr="2EEA6595" w:rsidR="6A28F874">
        <w:rPr>
          <w:rFonts w:ascii="Calibri" w:hAnsi="Calibri" w:eastAsia="Calibri" w:cs="Calibri"/>
          <w:color w:val="auto"/>
          <w:sz w:val="24"/>
          <w:szCs w:val="24"/>
        </w:rPr>
        <w:t>e</w:t>
      </w:r>
      <w:r w:rsidRPr="2EEA6595" w:rsidR="6A28F874">
        <w:rPr>
          <w:rFonts w:ascii="Calibri" w:hAnsi="Calibri" w:eastAsia="Calibri" w:cs="Calibri"/>
          <w:color w:val="auto"/>
          <w:sz w:val="24"/>
          <w:szCs w:val="24"/>
        </w:rPr>
        <w:t>d</w:t>
      </w:r>
      <w:r w:rsidRPr="2EEA6595" w:rsidR="6A28F874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2EEA6595" w:rsidR="6A28F874">
        <w:rPr>
          <w:rFonts w:ascii="Calibri" w:hAnsi="Calibri" w:eastAsia="Calibri" w:cs="Calibri"/>
          <w:color w:val="auto"/>
          <w:sz w:val="24"/>
          <w:szCs w:val="24"/>
        </w:rPr>
        <w:t>t</w:t>
      </w:r>
      <w:r w:rsidRPr="2EEA6595" w:rsidR="6A28F874">
        <w:rPr>
          <w:rFonts w:ascii="Calibri" w:hAnsi="Calibri" w:eastAsia="Calibri" w:cs="Calibri"/>
          <w:color w:val="auto"/>
          <w:sz w:val="24"/>
          <w:szCs w:val="24"/>
        </w:rPr>
        <w:t xml:space="preserve">o the act, the </w:t>
      </w:r>
      <w:r w:rsidRPr="2EEA6595" w:rsidR="6174AFB1">
        <w:rPr>
          <w:rFonts w:ascii="Calibri" w:hAnsi="Calibri" w:eastAsia="Calibri" w:cs="Calibri"/>
          <w:color w:val="auto"/>
          <w:sz w:val="24"/>
          <w:szCs w:val="24"/>
        </w:rPr>
        <w:t>defence</w:t>
      </w:r>
      <w:r w:rsidRPr="2EEA6595" w:rsidR="6A28F874">
        <w:rPr>
          <w:rFonts w:ascii="Calibri" w:hAnsi="Calibri" w:eastAsia="Calibri" w:cs="Calibri"/>
          <w:color w:val="auto"/>
          <w:sz w:val="24"/>
          <w:szCs w:val="24"/>
        </w:rPr>
        <w:t xml:space="preserve"> of consent is available, </w:t>
      </w:r>
      <w:r w:rsidRPr="2EEA6595" w:rsidR="549B5870">
        <w:rPr>
          <w:rFonts w:ascii="Calibri" w:hAnsi="Calibri" w:eastAsia="Calibri" w:cs="Calibri"/>
          <w:color w:val="auto"/>
          <w:sz w:val="24"/>
          <w:szCs w:val="24"/>
        </w:rPr>
        <w:t>therefore the</w:t>
      </w:r>
      <w:r w:rsidRPr="2EEA6595" w:rsidR="6A28F874">
        <w:rPr>
          <w:rFonts w:ascii="Calibri" w:hAnsi="Calibri" w:eastAsia="Calibri" w:cs="Calibri"/>
          <w:color w:val="auto"/>
          <w:sz w:val="24"/>
          <w:szCs w:val="24"/>
        </w:rPr>
        <w:t xml:space="preserve"> act was not a </w:t>
      </w:r>
      <w:r w:rsidRPr="2EEA6595" w:rsidR="670D2253">
        <w:rPr>
          <w:rFonts w:ascii="Calibri" w:hAnsi="Calibri" w:eastAsia="Calibri" w:cs="Calibri"/>
          <w:color w:val="auto"/>
          <w:sz w:val="24"/>
          <w:szCs w:val="24"/>
        </w:rPr>
        <w:t>crime.</w:t>
      </w:r>
    </w:p>
    <w:p w:rsidR="085B4515" w:rsidP="2EEA6595" w:rsidRDefault="085B4515" w14:paraId="6C8CCFC0" w14:textId="5E27099C">
      <w:pPr>
        <w:spacing w:before="240" w:beforeAutospacing="off" w:after="240" w:afterAutospacing="off"/>
        <w:rPr>
          <w:rFonts w:ascii="Calibri" w:hAnsi="Calibri" w:eastAsia="Calibri" w:cs="Calibri"/>
          <w:color w:val="auto"/>
          <w:sz w:val="24"/>
          <w:szCs w:val="24"/>
        </w:rPr>
      </w:pPr>
      <w:r w:rsidRPr="2EEA6595" w:rsidR="085B4515">
        <w:rPr>
          <w:rFonts w:ascii="Calibri" w:hAnsi="Calibri" w:eastAsia="Calibri" w:cs="Calibri"/>
          <w:color w:val="auto"/>
          <w:sz w:val="24"/>
          <w:szCs w:val="24"/>
        </w:rPr>
        <w:t xml:space="preserve">In some instances, crimes for which consent is a </w:t>
      </w:r>
      <w:r w:rsidRPr="2EEA6595" w:rsidR="085B4515">
        <w:rPr>
          <w:rFonts w:ascii="Calibri" w:hAnsi="Calibri" w:eastAsia="Calibri" w:cs="Calibri"/>
          <w:color w:val="auto"/>
          <w:sz w:val="24"/>
          <w:szCs w:val="24"/>
        </w:rPr>
        <w:t>possible defence</w:t>
      </w:r>
      <w:r w:rsidRPr="2EEA6595" w:rsidR="085B4515">
        <w:rPr>
          <w:rFonts w:ascii="Calibri" w:hAnsi="Calibri" w:eastAsia="Calibri" w:cs="Calibri"/>
          <w:color w:val="auto"/>
          <w:sz w:val="24"/>
          <w:szCs w:val="24"/>
        </w:rPr>
        <w:t xml:space="preserve"> include crimes that</w:t>
      </w:r>
      <w:r w:rsidRPr="2EEA6595" w:rsidR="06DB126D">
        <w:rPr>
          <w:rFonts w:ascii="Calibri" w:hAnsi="Calibri" w:eastAsia="Calibri" w:cs="Calibri"/>
          <w:color w:val="auto"/>
          <w:sz w:val="24"/>
          <w:szCs w:val="24"/>
        </w:rPr>
        <w:t xml:space="preserve"> result in bodily harm, i</w:t>
      </w:r>
      <w:r w:rsidRPr="2EEA6595" w:rsidR="148E1CBF">
        <w:rPr>
          <w:rFonts w:ascii="Calibri" w:hAnsi="Calibri" w:eastAsia="Calibri" w:cs="Calibri"/>
          <w:color w:val="auto"/>
          <w:sz w:val="24"/>
          <w:szCs w:val="24"/>
        </w:rPr>
        <w:t xml:space="preserve">ncluding assault and battery. Even though the circumstances under which consent is a </w:t>
      </w:r>
      <w:r w:rsidRPr="2EEA6595" w:rsidR="401F460F">
        <w:rPr>
          <w:rFonts w:ascii="Calibri" w:hAnsi="Calibri" w:eastAsia="Calibri" w:cs="Calibri"/>
          <w:color w:val="auto"/>
          <w:sz w:val="24"/>
          <w:szCs w:val="24"/>
        </w:rPr>
        <w:t>defence</w:t>
      </w:r>
      <w:r w:rsidRPr="2EEA6595" w:rsidR="148E1CBF">
        <w:rPr>
          <w:rFonts w:ascii="Calibri" w:hAnsi="Calibri" w:eastAsia="Calibri" w:cs="Calibri"/>
          <w:color w:val="auto"/>
          <w:sz w:val="24"/>
          <w:szCs w:val="24"/>
        </w:rPr>
        <w:t xml:space="preserve"> are limited</w:t>
      </w:r>
      <w:r w:rsidRPr="2EEA6595" w:rsidR="1500DA8D">
        <w:rPr>
          <w:rFonts w:ascii="Calibri" w:hAnsi="Calibri" w:eastAsia="Calibri" w:cs="Calibri"/>
          <w:color w:val="auto"/>
          <w:sz w:val="24"/>
          <w:szCs w:val="24"/>
        </w:rPr>
        <w:t>, there are certain instances wh</w:t>
      </w:r>
      <w:r w:rsidRPr="2EEA6595" w:rsidR="0973C5BF">
        <w:rPr>
          <w:rFonts w:ascii="Calibri" w:hAnsi="Calibri" w:eastAsia="Calibri" w:cs="Calibri"/>
          <w:color w:val="auto"/>
          <w:sz w:val="24"/>
          <w:szCs w:val="24"/>
        </w:rPr>
        <w:t>e</w:t>
      </w:r>
      <w:r w:rsidRPr="2EEA6595" w:rsidR="1500DA8D">
        <w:rPr>
          <w:rFonts w:ascii="Calibri" w:hAnsi="Calibri" w:eastAsia="Calibri" w:cs="Calibri"/>
          <w:color w:val="auto"/>
          <w:sz w:val="24"/>
          <w:szCs w:val="24"/>
        </w:rPr>
        <w:t>re victims can be held to consent to these crimes, for example, contact sports.</w:t>
      </w:r>
      <w:r w:rsidRPr="2EEA6595" w:rsidR="58286EC2">
        <w:rPr>
          <w:rFonts w:ascii="Calibri" w:hAnsi="Calibri" w:eastAsia="Calibri" w:cs="Calibri"/>
          <w:color w:val="auto"/>
          <w:sz w:val="24"/>
          <w:szCs w:val="24"/>
        </w:rPr>
        <w:t xml:space="preserve"> The individuals who </w:t>
      </w:r>
      <w:r w:rsidRPr="2EEA6595" w:rsidR="58286EC2">
        <w:rPr>
          <w:rFonts w:ascii="Calibri" w:hAnsi="Calibri" w:eastAsia="Calibri" w:cs="Calibri"/>
          <w:color w:val="auto"/>
          <w:sz w:val="24"/>
          <w:szCs w:val="24"/>
        </w:rPr>
        <w:t>participate</w:t>
      </w:r>
      <w:r w:rsidRPr="2EEA6595" w:rsidR="58286EC2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2EEA6595" w:rsidR="3708B1C6">
        <w:rPr>
          <w:rFonts w:ascii="Calibri" w:hAnsi="Calibri" w:eastAsia="Calibri" w:cs="Calibri"/>
          <w:color w:val="auto"/>
          <w:sz w:val="24"/>
          <w:szCs w:val="24"/>
        </w:rPr>
        <w:t>in this sports game are presumed to have consented to the physical contact made with other playe</w:t>
      </w:r>
      <w:r w:rsidRPr="2EEA6595" w:rsidR="1E3AA457">
        <w:rPr>
          <w:rFonts w:ascii="Calibri" w:hAnsi="Calibri" w:eastAsia="Calibri" w:cs="Calibri"/>
          <w:color w:val="auto"/>
          <w:sz w:val="24"/>
          <w:szCs w:val="24"/>
        </w:rPr>
        <w:t xml:space="preserve">rs and </w:t>
      </w:r>
      <w:r w:rsidRPr="2EEA6595" w:rsidR="1E3AA457">
        <w:rPr>
          <w:rFonts w:ascii="Calibri" w:hAnsi="Calibri" w:eastAsia="Calibri" w:cs="Calibri"/>
          <w:color w:val="auto"/>
          <w:sz w:val="24"/>
          <w:szCs w:val="24"/>
        </w:rPr>
        <w:t>possible outcomes</w:t>
      </w:r>
      <w:r w:rsidRPr="2EEA6595" w:rsidR="1E3AA457">
        <w:rPr>
          <w:rFonts w:ascii="Calibri" w:hAnsi="Calibri" w:eastAsia="Calibri" w:cs="Calibri"/>
          <w:color w:val="auto"/>
          <w:sz w:val="24"/>
          <w:szCs w:val="24"/>
        </w:rPr>
        <w:t xml:space="preserve"> of bodily harm throughout the game, as this is an </w:t>
      </w:r>
      <w:r w:rsidRPr="2EEA6595" w:rsidR="7E199D70">
        <w:rPr>
          <w:rFonts w:ascii="Calibri" w:hAnsi="Calibri" w:eastAsia="Calibri" w:cs="Calibri"/>
          <w:color w:val="auto"/>
          <w:sz w:val="24"/>
          <w:szCs w:val="24"/>
        </w:rPr>
        <w:t>inevitable factor of their sport.</w:t>
      </w:r>
    </w:p>
    <w:p w:rsidR="7E199D70" w:rsidP="2EEA6595" w:rsidRDefault="7E199D70" w14:paraId="70AC2CCC" w14:textId="56C59F49">
      <w:pPr>
        <w:pStyle w:val="Normal"/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2EEA6595" w:rsidR="7E199D70">
        <w:rPr>
          <w:rFonts w:ascii="Calibri" w:hAnsi="Calibri" w:eastAsia="Calibri" w:cs="Calibri"/>
          <w:color w:val="auto"/>
          <w:sz w:val="24"/>
          <w:szCs w:val="24"/>
        </w:rPr>
        <w:t>In order for</w:t>
      </w:r>
      <w:r w:rsidRPr="2EEA6595" w:rsidR="7E199D70">
        <w:rPr>
          <w:rFonts w:ascii="Calibri" w:hAnsi="Calibri" w:eastAsia="Calibri" w:cs="Calibri"/>
          <w:color w:val="auto"/>
          <w:sz w:val="24"/>
          <w:szCs w:val="24"/>
        </w:rPr>
        <w:t xml:space="preserve"> the defence of consent to be </w:t>
      </w:r>
      <w:r w:rsidRPr="2EEA6595" w:rsidR="7E199D70">
        <w:rPr>
          <w:rFonts w:ascii="Calibri" w:hAnsi="Calibri" w:eastAsia="Calibri" w:cs="Calibri"/>
          <w:color w:val="auto"/>
          <w:sz w:val="24"/>
          <w:szCs w:val="24"/>
        </w:rPr>
        <w:t>established</w:t>
      </w:r>
      <w:r w:rsidRPr="2EEA6595" w:rsidR="7E199D70">
        <w:rPr>
          <w:rFonts w:ascii="Calibri" w:hAnsi="Calibri" w:eastAsia="Calibri" w:cs="Calibri"/>
          <w:color w:val="auto"/>
          <w:sz w:val="24"/>
          <w:szCs w:val="24"/>
        </w:rPr>
        <w:t xml:space="preserve"> in these instances</w:t>
      </w:r>
      <w:r w:rsidRPr="2EEA6595" w:rsidR="791DBFF6">
        <w:rPr>
          <w:rFonts w:ascii="Calibri" w:hAnsi="Calibri" w:eastAsia="Calibri" w:cs="Calibri"/>
          <w:color w:val="auto"/>
          <w:sz w:val="24"/>
          <w:szCs w:val="24"/>
        </w:rPr>
        <w:t>, there must be some requirem</w:t>
      </w:r>
      <w:r w:rsidRPr="2EEA6595" w:rsidR="023D5363">
        <w:rPr>
          <w:rFonts w:ascii="Calibri" w:hAnsi="Calibri" w:eastAsia="Calibri" w:cs="Calibri"/>
          <w:color w:val="auto"/>
          <w:sz w:val="24"/>
          <w:szCs w:val="24"/>
        </w:rPr>
        <w:t>e</w:t>
      </w:r>
      <w:r w:rsidRPr="2EEA6595" w:rsidR="791DBFF6">
        <w:rPr>
          <w:rFonts w:ascii="Calibri" w:hAnsi="Calibri" w:eastAsia="Calibri" w:cs="Calibri"/>
          <w:color w:val="auto"/>
          <w:sz w:val="24"/>
          <w:szCs w:val="24"/>
        </w:rPr>
        <w:t>nts met.</w:t>
      </w:r>
      <w:r w:rsidRPr="2EEA6595" w:rsidR="7E65A0A4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2EEA6595" w:rsidR="74F81A23">
        <w:rPr>
          <w:rFonts w:ascii="Calibri" w:hAnsi="Calibri" w:eastAsia="Calibri" w:cs="Calibri"/>
          <w:color w:val="auto"/>
          <w:sz w:val="24"/>
          <w:szCs w:val="24"/>
        </w:rPr>
        <w:t xml:space="preserve">Firstly, a person cannot give consent to circumstances that could have the possibility of serious bodily harm. Secondly, </w:t>
      </w:r>
      <w:r w:rsidRPr="2EEA6595" w:rsidR="6534AEB1">
        <w:rPr>
          <w:rFonts w:ascii="Calibri" w:hAnsi="Calibri" w:eastAsia="Calibri" w:cs="Calibri"/>
          <w:color w:val="auto"/>
          <w:sz w:val="24"/>
          <w:szCs w:val="24"/>
        </w:rPr>
        <w:t>the possibility of harm must be</w:t>
      </w:r>
      <w:r w:rsidRPr="2EEA6595" w:rsidR="4AF0F9A8">
        <w:rPr>
          <w:rFonts w:ascii="Calibri" w:hAnsi="Calibri" w:eastAsia="Calibri" w:cs="Calibri"/>
          <w:color w:val="auto"/>
          <w:sz w:val="24"/>
          <w:szCs w:val="24"/>
        </w:rPr>
        <w:t xml:space="preserve"> a</w:t>
      </w:r>
      <w:r w:rsidRPr="2EEA6595" w:rsidR="6534AEB1">
        <w:rPr>
          <w:rFonts w:ascii="Calibri" w:hAnsi="Calibri" w:eastAsia="Calibri" w:cs="Calibri"/>
          <w:color w:val="auto"/>
          <w:sz w:val="24"/>
          <w:szCs w:val="24"/>
        </w:rPr>
        <w:t xml:space="preserve"> </w:t>
      </w:r>
      <w:r w:rsidRPr="2EEA6595" w:rsidR="44921558">
        <w:rPr>
          <w:rFonts w:ascii="Calibri" w:hAnsi="Calibri" w:eastAsia="Calibri" w:cs="Calibri"/>
          <w:color w:val="auto"/>
          <w:sz w:val="24"/>
          <w:szCs w:val="24"/>
        </w:rPr>
        <w:t xml:space="preserve">sensibly </w:t>
      </w:r>
      <w:r w:rsidRPr="2EEA6595" w:rsidR="03DA81D2">
        <w:rPr>
          <w:rFonts w:ascii="Calibri" w:hAnsi="Calibri" w:eastAsia="Calibri" w:cs="Calibri"/>
          <w:color w:val="auto"/>
          <w:sz w:val="24"/>
          <w:szCs w:val="24"/>
        </w:rPr>
        <w:t>foreseen</w:t>
      </w:r>
      <w:r w:rsidRPr="2EEA6595" w:rsidR="0203331C">
        <w:rPr>
          <w:rFonts w:ascii="Calibri" w:hAnsi="Calibri" w:eastAsia="Calibri" w:cs="Calibri"/>
          <w:color w:val="auto"/>
          <w:sz w:val="24"/>
          <w:szCs w:val="24"/>
        </w:rPr>
        <w:t xml:space="preserve"> factor of the conduct and a risk that would be </w:t>
      </w:r>
      <w:r w:rsidRPr="2EEA6595" w:rsidR="0203331C">
        <w:rPr>
          <w:rFonts w:ascii="Calibri" w:hAnsi="Calibri" w:eastAsia="Calibri" w:cs="Calibri"/>
          <w:color w:val="auto"/>
          <w:sz w:val="24"/>
          <w:szCs w:val="24"/>
        </w:rPr>
        <w:t>relatively accepted</w:t>
      </w:r>
      <w:r w:rsidRPr="2EEA6595" w:rsidR="0203331C">
        <w:rPr>
          <w:rFonts w:ascii="Calibri" w:hAnsi="Calibri" w:eastAsia="Calibri" w:cs="Calibri"/>
          <w:color w:val="auto"/>
          <w:sz w:val="24"/>
          <w:szCs w:val="24"/>
        </w:rPr>
        <w:t xml:space="preserve">. </w:t>
      </w:r>
      <w:r w:rsidRPr="2EEA6595" w:rsidR="2CF603A1">
        <w:rPr>
          <w:rFonts w:ascii="Calibri" w:hAnsi="Calibri" w:eastAsia="Calibri" w:cs="Calibri"/>
          <w:color w:val="auto"/>
          <w:sz w:val="24"/>
          <w:szCs w:val="24"/>
        </w:rPr>
        <w:t>Lastly, the person must be able to gain some sort of beneficial factor from the conduct so that the consent</w:t>
      </w:r>
      <w:r w:rsidRPr="2EEA6595" w:rsidR="730595D3">
        <w:rPr>
          <w:rFonts w:ascii="Calibri" w:hAnsi="Calibri" w:eastAsia="Calibri" w:cs="Calibri"/>
          <w:color w:val="auto"/>
          <w:sz w:val="24"/>
          <w:szCs w:val="24"/>
        </w:rPr>
        <w:t xml:space="preserve"> was justified. </w:t>
      </w:r>
      <w:r w:rsidRPr="2EEA6595" w:rsidR="25D4C083">
        <w:rPr>
          <w:rFonts w:ascii="Calibri" w:hAnsi="Calibri" w:eastAsia="Calibri" w:cs="Calibri"/>
          <w:color w:val="auto"/>
          <w:sz w:val="24"/>
          <w:szCs w:val="24"/>
        </w:rPr>
        <w:t>In view of the fact that</w:t>
      </w:r>
      <w:r w:rsidRPr="2EEA6595" w:rsidR="25D4C083">
        <w:rPr>
          <w:rFonts w:ascii="Calibri" w:hAnsi="Calibri" w:eastAsia="Calibri" w:cs="Calibri"/>
          <w:color w:val="auto"/>
          <w:sz w:val="24"/>
          <w:szCs w:val="24"/>
        </w:rPr>
        <w:t xml:space="preserve"> these required details are </w:t>
      </w:r>
      <w:r w:rsidRPr="2EEA6595" w:rsidR="57491164">
        <w:rPr>
          <w:rFonts w:ascii="Calibri" w:hAnsi="Calibri" w:eastAsia="Calibri" w:cs="Calibri"/>
          <w:color w:val="auto"/>
          <w:sz w:val="24"/>
          <w:szCs w:val="24"/>
        </w:rPr>
        <w:t>highly particular, their application is only relevant in very particular circumstances, and typi</w:t>
      </w:r>
      <w:r w:rsidRPr="2EEA6595" w:rsidR="4A37DFE7">
        <w:rPr>
          <w:rFonts w:ascii="Calibri" w:hAnsi="Calibri" w:eastAsia="Calibri" w:cs="Calibri"/>
          <w:color w:val="auto"/>
          <w:sz w:val="24"/>
          <w:szCs w:val="24"/>
        </w:rPr>
        <w:t>cally some sort of sporting event</w:t>
      </w:r>
      <w:r w:rsidRPr="2EEA6595" w:rsidR="082AFCCF">
        <w:rPr>
          <w:rFonts w:ascii="Calibri" w:hAnsi="Calibri" w:eastAsia="Calibri" w:cs="Calibri"/>
          <w:color w:val="auto"/>
          <w:sz w:val="24"/>
          <w:szCs w:val="24"/>
        </w:rPr>
        <w:t>. For example, a boxer could be held to consent to battery, that has come as an outcome fro</w:t>
      </w:r>
      <w:r w:rsidRPr="2EEA6595" w:rsidR="57E3FA01">
        <w:rPr>
          <w:rFonts w:ascii="Calibri" w:hAnsi="Calibri" w:eastAsia="Calibri" w:cs="Calibri"/>
          <w:color w:val="auto"/>
          <w:sz w:val="24"/>
          <w:szCs w:val="24"/>
        </w:rPr>
        <w:t>m their participation</w:t>
      </w:r>
      <w:r w:rsidRPr="2EEA6595" w:rsidR="18689F43">
        <w:rPr>
          <w:rFonts w:ascii="Calibri" w:hAnsi="Calibri" w:eastAsia="Calibri" w:cs="Calibri"/>
          <w:color w:val="auto"/>
          <w:sz w:val="24"/>
          <w:szCs w:val="24"/>
        </w:rPr>
        <w:t xml:space="preserve"> in the sport.</w:t>
      </w:r>
      <w:r w:rsidRPr="2EEA6595" w:rsidR="7B532247">
        <w:rPr>
          <w:rFonts w:ascii="Calibri" w:hAnsi="Calibri" w:eastAsia="Calibri" w:cs="Calibri"/>
          <w:color w:val="auto"/>
          <w:sz w:val="24"/>
          <w:szCs w:val="24"/>
        </w:rPr>
        <w:t xml:space="preserve"> (</w:t>
      </w:r>
      <w:r w:rsidRPr="2EEA6595" w:rsidR="7B5322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JUSTIA, 2023)</w:t>
      </w:r>
    </w:p>
    <w:p w:rsidR="2EEA6595" w:rsidP="2EEA6595" w:rsidRDefault="2EEA6595" w14:paraId="2824E3A6" w14:textId="382F8AD3">
      <w:pPr>
        <w:pStyle w:val="Normal"/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57ED9112" w:rsidP="2EEA6595" w:rsidRDefault="57ED9112" w14:paraId="0769AA4C" w14:textId="3E4C88E9">
      <w:pPr>
        <w:pStyle w:val="Normal"/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2EEA6595" w:rsidR="57ED91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Consent can also be a defence which is able to be applied to crimes which have lack of consent as one of the main</w:t>
      </w:r>
      <w:r w:rsidRPr="2EEA6595" w:rsidR="58724A4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elements of the crime. An example</w:t>
      </w:r>
      <w:r w:rsidRPr="2EEA6595" w:rsidR="301762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of this would be a rape or sexual assault crime</w:t>
      </w:r>
      <w:r w:rsidRPr="2EEA6595" w:rsidR="4527DA3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Since </w:t>
      </w:r>
      <w:r w:rsidRPr="2EEA6595" w:rsidR="2DBA4C9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both</w:t>
      </w:r>
      <w:r w:rsidRPr="2EEA6595" w:rsidR="61BD99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of these</w:t>
      </w:r>
      <w:r w:rsidRPr="2EEA6595" w:rsidR="4527DA3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crimes require the victim to have not given any consent to the sexual conduct’s </w:t>
      </w:r>
      <w:r w:rsidRPr="2EEA6595" w:rsidR="68CB9EB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occurrence</w:t>
      </w:r>
      <w:r w:rsidRPr="2EEA6595" w:rsidR="4527DA3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the defence</w:t>
      </w:r>
      <w:r w:rsidRPr="2EEA6595" w:rsidR="635A19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of consent</w:t>
      </w:r>
      <w:r w:rsidRPr="2EEA6595" w:rsidR="635A19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could </w:t>
      </w:r>
      <w:r w:rsidRPr="2EEA6595" w:rsidR="635A19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poss</w:t>
      </w:r>
      <w:r w:rsidRPr="2EEA6595" w:rsidR="635A19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ibly be</w:t>
      </w:r>
      <w:r w:rsidRPr="2EEA6595" w:rsidR="635A19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 available defence for the defendant to use</w:t>
      </w:r>
      <w:r w:rsidRPr="2EEA6595" w:rsidR="58EDBC0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Correspondingly, the </w:t>
      </w:r>
      <w:r w:rsidRPr="2EEA6595" w:rsidR="4C84A5D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defence of </w:t>
      </w:r>
      <w:r w:rsidRPr="2EEA6595" w:rsidR="58EDBC0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consent may also be a huge role-player </w:t>
      </w:r>
      <w:r w:rsidRPr="2EEA6595" w:rsidR="61FED0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 the resolution of certain crimes related to property, such as trespassing.</w:t>
      </w:r>
      <w:r w:rsidRPr="2EEA6595" w:rsidR="279247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 consent in question can be expressed or implied, but implied consent will often be much more diffic</w:t>
      </w:r>
      <w:r w:rsidRPr="2EEA6595" w:rsidR="279247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ult to </w:t>
      </w:r>
      <w:r w:rsidRPr="2EEA6595" w:rsidR="279247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es</w:t>
      </w:r>
      <w:r w:rsidRPr="2EEA6595" w:rsidR="279247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tablish</w:t>
      </w:r>
      <w:r w:rsidRPr="2EEA6595" w:rsidR="279247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as it is</w:t>
      </w:r>
      <w:r w:rsidRPr="2EEA6595" w:rsidR="279247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built </w:t>
      </w:r>
      <w:r w:rsidRPr="2EEA6595" w:rsidR="279247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main</w:t>
      </w:r>
      <w:r w:rsidRPr="2EEA6595" w:rsidR="279247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ly </w:t>
      </w:r>
      <w:r w:rsidRPr="2EEA6595" w:rsidR="1B5188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from</w:t>
      </w:r>
      <w:r w:rsidRPr="2EEA6595" w:rsidR="1B5188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presumption. (JUSTIA, 2023)</w:t>
      </w:r>
    </w:p>
    <w:p w:rsidR="3CAC88F8" w:rsidP="2EEA6595" w:rsidRDefault="3CAC88F8" w14:paraId="6D0D425C" w14:textId="11E2388C">
      <w:pPr>
        <w:pStyle w:val="Normal"/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2EEA6595" w:rsidR="3CAC88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Section 74 of the Sexual Offences Act 2003 defines consents as “if he agrees by </w:t>
      </w:r>
      <w:r w:rsidRPr="2EEA6595" w:rsidR="1728C64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choice and</w:t>
      </w:r>
      <w:r w:rsidRPr="2EEA6595" w:rsidR="3CAC88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has the freedom and capacity</w:t>
      </w:r>
      <w:r w:rsidRPr="2EEA6595" w:rsidR="4F2565B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to make that choice”</w:t>
      </w:r>
      <w:r w:rsidRPr="2EEA6595" w:rsidR="6F4F21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(CPS, 2021) </w:t>
      </w:r>
    </w:p>
    <w:p w:rsidR="62B8E7AA" w:rsidP="2EEA6595" w:rsidRDefault="62B8E7AA" w14:paraId="530AA2A9" w14:textId="547B36CD">
      <w:pPr>
        <w:pStyle w:val="Normal"/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2EEA6595" w:rsidR="62B8E7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There is a basis for </w:t>
      </w:r>
      <w:r w:rsidRPr="2EEA6595" w:rsidR="62B8E7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permitting</w:t>
      </w:r>
      <w:r w:rsidRPr="2EEA6595" w:rsidR="62B8E7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consent to either feature or not feature in the outcome of these cases, but in this example, the trial</w:t>
      </w:r>
      <w:r w:rsidRPr="2EEA6595" w:rsidR="70FC8F9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of a rape offence will be used for reference.</w:t>
      </w:r>
    </w:p>
    <w:p w:rsidR="70FC8F99" w:rsidP="2EEA6595" w:rsidRDefault="70FC8F99" w14:paraId="080DF808" w14:textId="2E912EF3">
      <w:pPr>
        <w:pStyle w:val="Normal"/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2EEA6595" w:rsidR="70FC8F9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During the trial of an offence of rape, the prosecution must consider the actus reus, which would be the physical element of the rape, and the </w:t>
      </w:r>
      <w:r w:rsidRPr="2EEA6595" w:rsidR="70FC8F9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mens</w:t>
      </w:r>
      <w:r w:rsidRPr="2EEA6595" w:rsidR="70FC8F9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rea, which is </w:t>
      </w:r>
      <w:r w:rsidRPr="2EEA6595" w:rsidR="66998C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the mental element of the crime</w:t>
      </w:r>
      <w:r w:rsidRPr="2EEA6595" w:rsidR="4D7AE3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The actus reus, or physical element of the crime has two components</w:t>
      </w:r>
      <w:r w:rsidRPr="2EEA6595" w:rsidR="3B3D78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: 1) the sexual intercourse; and 2) the </w:t>
      </w:r>
      <w:r w:rsidRPr="2EEA6595" w:rsidR="5FCED9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lack of consent on the part of the victim.</w:t>
      </w:r>
      <w:r w:rsidRPr="2EEA6595" w:rsidR="030978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 mental element also has 2 components and can be either 1) knowledge or awareness of the </w:t>
      </w:r>
      <w:r w:rsidRPr="2EEA6595" w:rsidR="5F7A35F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victim's</w:t>
      </w:r>
      <w:r w:rsidRPr="2EEA6595" w:rsidR="030978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lack of consent</w:t>
      </w:r>
      <w:r w:rsidRPr="2EEA6595" w:rsidR="00A0DE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or 2) reckless acts which </w:t>
      </w:r>
      <w:r w:rsidRPr="2EEA6595" w:rsidR="1EB44F5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occurred</w:t>
      </w:r>
      <w:r w:rsidRPr="2EEA6595" w:rsidR="00A0DE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even after the </w:t>
      </w:r>
      <w:r w:rsidRPr="2EEA6595" w:rsidR="1CD58B6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victim's</w:t>
      </w:r>
      <w:r w:rsidRPr="2EEA6595" w:rsidR="00A0DE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lack of consent was </w:t>
      </w:r>
      <w:r w:rsidRPr="2EEA6595" w:rsidR="796162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acknowledged. </w:t>
      </w:r>
    </w:p>
    <w:p w:rsidR="796162A3" w:rsidP="2EEA6595" w:rsidRDefault="796162A3" w14:paraId="39399AA4" w14:textId="3EFFBA5B">
      <w:pPr>
        <w:pStyle w:val="Normal"/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2EEA6595" w:rsidR="796162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The defendant who has been accused of the crime will be facing conviction on the basis of whether they fail to raise a reasonable doubt</w:t>
      </w:r>
      <w:r w:rsidRPr="2EEA6595" w:rsidR="63DFBE0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with the jury as to any components of the prosecution’s case,</w:t>
      </w:r>
      <w:r w:rsidRPr="2EEA6595" w:rsidR="7C0947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to be specific: 1) That there was an </w:t>
      </w:r>
      <w:r w:rsidRPr="2EEA6595" w:rsidR="3306710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occurrence</w:t>
      </w:r>
      <w:r w:rsidRPr="2EEA6595" w:rsidR="7C0947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of sexual intercourse</w:t>
      </w:r>
      <w:r w:rsidRPr="2EEA6595" w:rsidR="5EDF95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or 2) That there was no given consent from the victim</w:t>
      </w:r>
      <w:r w:rsidRPr="2EEA6595" w:rsidR="427D14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or 3)</w:t>
      </w:r>
      <w:r w:rsidRPr="2EEA6595" w:rsidR="21B143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That </w:t>
      </w:r>
      <w:r w:rsidRPr="2EEA6595" w:rsidR="47563F1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the perpetrator</w:t>
      </w:r>
      <w:r w:rsidRPr="2EEA6595" w:rsidR="21B143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knew </w:t>
      </w:r>
      <w:r w:rsidRPr="2EEA6595" w:rsidR="0225EB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that the victim did not consent</w:t>
      </w:r>
      <w:r w:rsidRPr="2EEA6595" w:rsidR="6D0994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or that </w:t>
      </w:r>
      <w:r w:rsidRPr="2EEA6595" w:rsidR="712AAFA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perpetrator </w:t>
      </w:r>
      <w:r w:rsidRPr="2EEA6595" w:rsidR="29947F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was reckless as to whether the victim was giving consent or not. </w:t>
      </w:r>
      <w:r w:rsidRPr="2EEA6595" w:rsidR="29947F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In accordance </w:t>
      </w:r>
      <w:r w:rsidRPr="2EEA6595" w:rsidR="6FB44B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with</w:t>
      </w:r>
      <w:r w:rsidRPr="2EEA6595" w:rsidR="29947F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current criminal law</w:t>
      </w:r>
      <w:r w:rsidRPr="2EEA6595" w:rsidR="1ECA00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the </w:t>
      </w:r>
      <w:r w:rsidRPr="2EEA6595" w:rsidR="18FA4B0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defendant's</w:t>
      </w:r>
      <w:r w:rsidRPr="2EEA6595" w:rsidR="1ECA00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actions are not </w:t>
      </w:r>
      <w:r w:rsidRPr="2EEA6595" w:rsidR="1ECA00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deemed</w:t>
      </w:r>
      <w:r w:rsidRPr="2EEA6595" w:rsidR="1ECA00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as reckless if they had honest belief </w:t>
      </w:r>
      <w:r w:rsidRPr="2EEA6595" w:rsidR="7E87EF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that the victim was consenting.</w:t>
      </w:r>
    </w:p>
    <w:p w:rsidR="5B2D5B0C" w:rsidP="2EEA6595" w:rsidRDefault="5B2D5B0C" w14:paraId="60DC3B16" w14:textId="51BEF18B">
      <w:pPr>
        <w:pStyle w:val="Normal"/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2EEA6595" w:rsidR="5B2D5B0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There is also a basis </w:t>
      </w:r>
      <w:r w:rsidRPr="2EEA6595" w:rsidR="36E6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for which the unlawful a</w:t>
      </w:r>
      <w:r w:rsidRPr="2EEA6595" w:rsidR="36E6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</w:t>
      </w:r>
      <w:r w:rsidRPr="2EEA6595" w:rsidR="36E6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</w:t>
      </w:r>
      <w:r w:rsidRPr="2EEA6595" w:rsidR="36E6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EEA6595" w:rsidR="36E6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</w:t>
      </w:r>
      <w:r w:rsidRPr="2EEA6595" w:rsidR="36E6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</w:t>
      </w:r>
      <w:r w:rsidRPr="2EEA6595" w:rsidR="36E6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</w:t>
      </w:r>
      <w:r w:rsidRPr="2EEA6595" w:rsidR="36E6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</w:t>
      </w:r>
      <w:r w:rsidRPr="2EEA6595" w:rsidR="36E6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</w:t>
      </w:r>
      <w:r w:rsidRPr="2EEA6595" w:rsidR="36E6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</w:t>
      </w:r>
      <w:r w:rsidRPr="2EEA6595" w:rsidR="36E6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</w:t>
      </w:r>
      <w:r w:rsidRPr="2EEA6595" w:rsidR="36E6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</w:t>
      </w:r>
      <w:r w:rsidRPr="2EEA6595" w:rsidR="36E6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</w:t>
      </w:r>
      <w:r w:rsidRPr="2EEA6595" w:rsidR="36E6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EEA6595" w:rsidR="36E6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</w:t>
      </w:r>
      <w:r w:rsidRPr="2EEA6595" w:rsidR="36E6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v</w:t>
      </w:r>
      <w:r w:rsidRPr="2EEA6595" w:rsidR="36E6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</w:t>
      </w:r>
      <w:r w:rsidRPr="2EEA6595" w:rsidR="36E6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</w:t>
      </w:r>
      <w:r w:rsidRPr="2EEA6595" w:rsidR="36E6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</w:t>
      </w:r>
      <w:r w:rsidRPr="2EEA6595" w:rsidR="36E6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u</w:t>
      </w:r>
      <w:r w:rsidRPr="2EEA6595" w:rsidR="36E6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</w:t>
      </w:r>
      <w:r w:rsidRPr="2EEA6595" w:rsidR="36E6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</w:t>
      </w:r>
      <w:r w:rsidRPr="2EEA6595" w:rsidR="36E6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</w:t>
      </w:r>
      <w:r w:rsidRPr="2EEA6595" w:rsidR="36E6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EEA6595" w:rsidR="36E6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</w:t>
      </w:r>
      <w:r w:rsidRPr="2EEA6595" w:rsidR="36E6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</w:t>
      </w:r>
      <w:r w:rsidRPr="2EEA6595" w:rsidR="36E6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</w:t>
      </w:r>
      <w:r w:rsidRPr="2EEA6595" w:rsidR="36E6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EEA6595" w:rsidR="36E6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</w:t>
      </w:r>
      <w:r w:rsidRPr="2EEA6595" w:rsidR="36E6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</w:t>
      </w:r>
      <w:r w:rsidRPr="2EEA6595" w:rsidR="36E6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k</w:t>
      </w:r>
      <w:r w:rsidRPr="2EEA6595" w:rsidR="36E6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</w:t>
      </w:r>
      <w:r w:rsidRPr="2EEA6595" w:rsidR="36E6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</w:t>
      </w:r>
      <w:r w:rsidRPr="2EEA6595" w:rsidR="36E6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</w:t>
      </w:r>
      <w:r w:rsidRPr="2EEA6595" w:rsidR="36E6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</w:t>
      </w:r>
      <w:r w:rsidRPr="2EEA6595" w:rsidR="36E6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</w:t>
      </w:r>
      <w:r w:rsidRPr="2EEA6595" w:rsidR="36E6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</w:t>
      </w:r>
      <w:r w:rsidRPr="2EEA6595" w:rsidR="36E6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g</w:t>
      </w:r>
      <w:r w:rsidRPr="2EEA6595" w:rsidR="36E6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</w:t>
      </w:r>
      <w:r w:rsidRPr="2EEA6595" w:rsidR="36E6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</w:t>
      </w:r>
      <w:r w:rsidRPr="2EEA6595" w:rsidR="36E6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</w:t>
      </w:r>
      <w:r w:rsidRPr="2EEA6595" w:rsidR="36E6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</w:t>
      </w:r>
      <w:r w:rsidRPr="2EEA6595" w:rsidR="36E6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</w:t>
      </w:r>
      <w:r w:rsidRPr="2EEA6595" w:rsidR="36E6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EEA6595" w:rsidR="36E6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f</w:t>
      </w:r>
      <w:r w:rsidRPr="2EEA6595" w:rsidR="36E6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</w:t>
      </w:r>
      <w:r w:rsidRPr="2EEA6595" w:rsidR="36E6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</w:t>
      </w:r>
      <w:r w:rsidRPr="2EEA6595" w:rsidR="36E6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EEA6595" w:rsidR="36E6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</w:t>
      </w:r>
      <w:r w:rsidRPr="2EEA6595" w:rsidR="36E6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</w:t>
      </w:r>
      <w:r w:rsidRPr="2EEA6595" w:rsidR="36E6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</w:t>
      </w:r>
      <w:r w:rsidRPr="2EEA6595" w:rsidR="36E6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</w:t>
      </w:r>
      <w:r w:rsidRPr="2EEA6595" w:rsidR="36E6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</w:t>
      </w:r>
      <w:r w:rsidRPr="2EEA6595" w:rsidR="36E6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</w:t>
      </w:r>
      <w:r w:rsidRPr="2EEA6595" w:rsidR="36E6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</w:t>
      </w:r>
      <w:r w:rsidRPr="2EEA6595" w:rsidR="36E6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EEA6595" w:rsidR="36E6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</w:t>
      </w:r>
      <w:r w:rsidRPr="2EEA6595" w:rsidR="36E6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</w:t>
      </w:r>
      <w:r w:rsidRPr="2EEA6595" w:rsidR="36E6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EEA6595" w:rsidR="36E6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</w:t>
      </w:r>
      <w:r w:rsidRPr="2EEA6595" w:rsidR="36E6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</w:t>
      </w:r>
      <w:r w:rsidRPr="2EEA6595" w:rsidR="36E6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</w:t>
      </w:r>
      <w:r w:rsidRPr="2EEA6595" w:rsidR="36E6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</w:t>
      </w:r>
      <w:r w:rsidRPr="2EEA6595" w:rsidR="36E6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</w:t>
      </w:r>
      <w:r w:rsidRPr="2EEA6595" w:rsidR="36E6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</w:t>
      </w:r>
      <w:r w:rsidRPr="2EEA6595" w:rsidR="36E6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</w:t>
      </w:r>
      <w:r w:rsidRPr="2EEA6595" w:rsidR="36E6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EEA6595" w:rsidR="36E6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</w:t>
      </w:r>
      <w:r w:rsidRPr="2EEA6595" w:rsidR="36E6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</w:t>
      </w:r>
      <w:r w:rsidRPr="2EEA6595" w:rsidR="36E6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</w:t>
      </w:r>
      <w:r w:rsidRPr="2EEA6595" w:rsidR="36E6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</w:t>
      </w:r>
      <w:r w:rsidRPr="2EEA6595" w:rsidR="36E6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</w:t>
      </w:r>
      <w:r w:rsidRPr="2EEA6595" w:rsidR="36E6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2EEA6595" w:rsidR="36E68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EEA6595" w:rsidR="57CAF0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 relation to criminal law, there are only a few exemptions that are recognised which can have the defence of con</w:t>
      </w:r>
      <w:r w:rsidRPr="2EEA6595" w:rsidR="44FCF2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sent utilised when defending the depiction of whether the crime is GBH or not.</w:t>
      </w:r>
      <w:r w:rsidRPr="2EEA6595" w:rsidR="1853333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 most common of these exemptions are </w:t>
      </w:r>
      <w:r w:rsidRPr="2EEA6595" w:rsidR="2D16A7E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consent for contact </w:t>
      </w:r>
      <w:r w:rsidRPr="2EEA6595" w:rsidR="417BEFF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sports and surgery. At this present time, tattoos and piercing</w:t>
      </w:r>
      <w:r w:rsidRPr="2EEA6595" w:rsidR="4F2BCA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 are an exception to the GBH crime</w:t>
      </w:r>
      <w:r w:rsidRPr="2EEA6595" w:rsidR="6E3303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However, extreme ca</w:t>
      </w:r>
      <w:r w:rsidRPr="2EEA6595" w:rsidR="31F42B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ses of body modification, such as tongue </w:t>
      </w:r>
      <w:r w:rsidRPr="2EEA6595" w:rsidR="48C75E0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splitting,</w:t>
      </w:r>
      <w:r w:rsidRPr="2EEA6595" w:rsidR="31F42B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ear re</w:t>
      </w:r>
      <w:r w:rsidRPr="2EEA6595" w:rsidR="31F42B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</w:t>
      </w:r>
      <w:r w:rsidRPr="2EEA6595" w:rsidR="31F42B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oval are not exempt to the GBH </w:t>
      </w:r>
      <w:r w:rsidRPr="2EEA6595" w:rsidR="17CAA07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crime.</w:t>
      </w:r>
      <w:r w:rsidRPr="2EEA6595" w:rsidR="31E9CB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(Harrison, A. 2019)</w:t>
      </w:r>
    </w:p>
    <w:p w:rsidR="4991A089" w:rsidP="2EEA6595" w:rsidRDefault="4991A089" w14:paraId="4AA47298" w14:textId="2120837F">
      <w:pPr>
        <w:pStyle w:val="Normal"/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2EEA6595" w:rsidR="4991A0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</w:t>
      </w:r>
      <w:r w:rsidRPr="2EEA6595" w:rsidR="6EA90A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he Court of Appeal was</w:t>
      </w:r>
      <w:r w:rsidRPr="2EEA6595" w:rsidR="79510A4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requested to decide on whether consent was </w:t>
      </w:r>
      <w:r w:rsidRPr="2EEA6595" w:rsidR="108CC0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able to be used</w:t>
      </w:r>
      <w:r w:rsidRPr="2EEA6595" w:rsidR="0841CC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2EEA6595" w:rsidR="18876E9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as a defence for body modification procedures that were </w:t>
      </w:r>
      <w:r w:rsidRPr="2EEA6595" w:rsidR="18876E9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deemed</w:t>
      </w:r>
      <w:r w:rsidRPr="2EEA6595" w:rsidR="18876E9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as extreme</w:t>
      </w:r>
      <w:r w:rsidRPr="2EEA6595" w:rsidR="550024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such as tongue splitting </w:t>
      </w:r>
      <w:r w:rsidRPr="2EEA6595" w:rsidR="550024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and in this case,</w:t>
      </w:r>
      <w:r w:rsidRPr="2EEA6595" w:rsidR="550024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 removal of an ear. </w:t>
      </w:r>
      <w:r w:rsidRPr="2EEA6595" w:rsidR="159FCE9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For the Court of Appeal, this was the very first time they had been asked to </w:t>
      </w:r>
      <w:r w:rsidRPr="2EEA6595" w:rsidR="35F91E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assess the lawfulness of a body modification to this extent. When the phrase ‘body modific</w:t>
      </w:r>
      <w:r w:rsidRPr="2EEA6595" w:rsidR="6A3939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ation’ is used, it is typically describing a wide range of procedures, which are all </w:t>
      </w:r>
      <w:r w:rsidRPr="2EEA6595" w:rsidR="6A3939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deemed</w:t>
      </w:r>
      <w:r w:rsidRPr="2EEA6595" w:rsidR="6A3939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as therapeutic, such as </w:t>
      </w:r>
      <w:r w:rsidRPr="2EEA6595" w:rsidR="7F3BD17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cosmetic surgery, male circumcision, </w:t>
      </w:r>
      <w:r w:rsidRPr="2EEA6595" w:rsidR="79EC2A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tattooing and piercings. The basis on which consent is not valid in these body modification cases is when the modification</w:t>
      </w:r>
      <w:r w:rsidRPr="2EEA6595" w:rsidR="743925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is classed as extreme. </w:t>
      </w:r>
      <w:r w:rsidRPr="2EEA6595" w:rsidR="0DAC5E3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 modification, in the eyes of the law, is classed as extreme when the modification that has been performed or offered by the tattooist or piercer is </w:t>
      </w:r>
      <w:r w:rsidRPr="2EEA6595" w:rsidR="0DAC5E3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deemed</w:t>
      </w:r>
      <w:r w:rsidRPr="2EEA6595" w:rsidR="0DAC5E3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as non-therapeutic</w:t>
      </w:r>
      <w:r w:rsidRPr="2EEA6595" w:rsidR="797A9D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Some examples of these extreme modification procedures include scarification (perma</w:t>
      </w:r>
      <w:r w:rsidRPr="2EEA6595" w:rsidR="0C85C2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nently and purposefully cutting the skin in a </w:t>
      </w:r>
      <w:r w:rsidRPr="2EEA6595" w:rsidR="0C85C2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pat</w:t>
      </w:r>
      <w:r w:rsidRPr="2EEA6595" w:rsidR="0C85C2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tern or shape to leave a scar), branding (burning a </w:t>
      </w:r>
      <w:r w:rsidRPr="2EEA6595" w:rsidR="14A5EF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mark</w:t>
      </w:r>
      <w:r w:rsidRPr="2EEA6595" w:rsidR="0C85C2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or design in</w:t>
      </w:r>
      <w:r w:rsidRPr="2EEA6595" w:rsidR="1C4717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to the skin, leaving a permanent scar)</w:t>
      </w:r>
      <w:r w:rsidRPr="2EEA6595" w:rsidR="3112344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and dermal implants (materials placed un</w:t>
      </w:r>
      <w:r w:rsidRPr="2EEA6595" w:rsidR="0BB2CE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</w:t>
      </w:r>
      <w:r w:rsidRPr="2EEA6595" w:rsidR="3112344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erneath the skin)</w:t>
      </w:r>
      <w:r w:rsidRPr="2EEA6595" w:rsidR="6105D4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2EEA6595" w:rsidR="0B3A9C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(Pegg, S. 2019)</w:t>
      </w:r>
    </w:p>
    <w:p w:rsidR="0B3A9C23" w:rsidP="2EEA6595" w:rsidRDefault="0B3A9C23" w14:paraId="54EA8B2C" w14:textId="04DD0121">
      <w:pPr>
        <w:pStyle w:val="Normal"/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2EEA6595" w:rsidR="0B3A9C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To conclude this assignment, the basis on which criminal law depicts the availability of the usage of consent </w:t>
      </w:r>
      <w:r w:rsidRPr="2EEA6595" w:rsidR="368267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as a defence in </w:t>
      </w:r>
      <w:r w:rsidRPr="2EEA6595" w:rsidR="368267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different types</w:t>
      </w:r>
      <w:r w:rsidRPr="2EEA6595" w:rsidR="368267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of cases such as rape, bodily harm, and body modification is not transparent, and ea</w:t>
      </w:r>
      <w:r w:rsidRPr="2EEA6595" w:rsidR="54F30D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ch case</w:t>
      </w:r>
      <w:r w:rsidRPr="2EEA6595" w:rsidR="6D2A3ED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 outcome that depends </w:t>
      </w:r>
      <w:r w:rsidRPr="2EEA6595" w:rsidR="5B5D6C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on </w:t>
      </w:r>
      <w:r w:rsidRPr="2EEA6595" w:rsidR="54F30D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whether </w:t>
      </w:r>
      <w:r w:rsidRPr="2EEA6595" w:rsidR="4BB45E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</w:t>
      </w:r>
      <w:r w:rsidRPr="2EEA6595" w:rsidR="54F30D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harm </w:t>
      </w:r>
      <w:r w:rsidRPr="2EEA6595" w:rsidR="524DAC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that has been caused </w:t>
      </w:r>
      <w:r w:rsidRPr="2EEA6595" w:rsidR="54F30D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is lawful or not has to fall within a very particular specification.</w:t>
      </w:r>
      <w:r w:rsidRPr="2EEA6595" w:rsidR="0C78D0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However, there are a few clear instances where a victim may consent to bodily harm</w:t>
      </w:r>
      <w:r w:rsidRPr="2EEA6595" w:rsidR="5AE1DAA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such as contact sports, in which criminal is prepared to accept the defence of consent.</w:t>
      </w:r>
    </w:p>
    <w:p w:rsidR="2EEA6595" w:rsidP="2EEA6595" w:rsidRDefault="2EEA6595" w14:paraId="5EC16C4B" w14:textId="7A3217BD">
      <w:pPr>
        <w:pStyle w:val="Normal"/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2EEA6595" w:rsidP="2EEA6595" w:rsidRDefault="2EEA6595" w14:paraId="2E119100" w14:textId="7B71D5BD">
      <w:pPr>
        <w:pStyle w:val="Normal"/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</w:p>
    <w:p w:rsidR="2EEA6595" w:rsidP="2EEA6595" w:rsidRDefault="2EEA6595" w14:paraId="3FD7BF44" w14:textId="7A8B73DC">
      <w:pPr>
        <w:pStyle w:val="Normal"/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</w:p>
    <w:p w:rsidR="2EEA6595" w:rsidP="2EEA6595" w:rsidRDefault="2EEA6595" w14:paraId="182D2C1D" w14:textId="6FC464B4">
      <w:pPr>
        <w:pStyle w:val="Normal"/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</w:p>
    <w:p w:rsidR="2EEA6595" w:rsidP="2EEA6595" w:rsidRDefault="2EEA6595" w14:paraId="6B970D6A" w14:textId="6232F519">
      <w:pPr>
        <w:spacing w:before="240" w:beforeAutospacing="off" w:after="240" w:afterAutospacing="off"/>
      </w:pPr>
    </w:p>
    <w:p w:rsidR="2EEA6595" w:rsidP="2EEA6595" w:rsidRDefault="2EEA6595" w14:paraId="72361F78" w14:textId="64E3E14F">
      <w:pPr>
        <w:spacing w:before="450" w:beforeAutospacing="off" w:after="750" w:afterAutospacing="off"/>
        <w:ind w:left="1872" w:right="1872"/>
      </w:pPr>
    </w:p>
    <w:p w:rsidR="2EEA6595" w:rsidP="2EEA6595" w:rsidRDefault="2EEA6595" w14:paraId="6B2A4360" w14:textId="082C935B">
      <w:pPr>
        <w:spacing w:before="240" w:beforeAutospacing="off" w:after="240" w:afterAutospacing="off"/>
      </w:pPr>
    </w:p>
    <w:p w:rsidR="2EEA6595" w:rsidP="2EEA6595" w:rsidRDefault="2EEA6595" w14:paraId="494739DA" w14:textId="6DA4B5C0">
      <w:pPr>
        <w:spacing w:before="240" w:beforeAutospacing="off" w:after="240" w:afterAutospacing="off"/>
      </w:pPr>
    </w:p>
    <w:p w:rsidR="2EEA6595" w:rsidP="2EEA6595" w:rsidRDefault="2EEA6595" w14:paraId="09E5EF23" w14:textId="4D90A552">
      <w:pPr>
        <w:spacing w:before="240" w:beforeAutospacing="off" w:after="240" w:afterAutospacing="off"/>
      </w:pPr>
    </w:p>
    <w:p w:rsidR="2EEA6595" w:rsidP="2EEA6595" w:rsidRDefault="2EEA6595" w14:paraId="6E034A41" w14:textId="11F08153">
      <w:pPr>
        <w:spacing w:before="0" w:beforeAutospacing="off" w:after="0" w:afterAutospacing="off"/>
      </w:pPr>
    </w:p>
    <w:p w:rsidR="2EEA6595" w:rsidP="2EEA6595" w:rsidRDefault="2EEA6595" w14:paraId="27C0093B" w14:textId="497AD0C2">
      <w:pPr>
        <w:spacing w:before="0" w:beforeAutospacing="off" w:after="0" w:afterAutospacing="off"/>
      </w:pPr>
    </w:p>
    <w:p w:rsidR="2EEA6595" w:rsidP="2EEA6595" w:rsidRDefault="2EEA6595" w14:paraId="6202F205" w14:textId="25959353">
      <w:pPr>
        <w:spacing w:before="0" w:beforeAutospacing="off" w:after="0" w:afterAutospacing="off"/>
      </w:pPr>
    </w:p>
    <w:p w:rsidR="2EEA6595" w:rsidP="2EEA6595" w:rsidRDefault="2EEA6595" w14:paraId="66675012" w14:textId="11204C2A">
      <w:pPr>
        <w:spacing w:before="0" w:beforeAutospacing="off" w:after="0" w:afterAutospacing="off"/>
      </w:pPr>
    </w:p>
    <w:p w:rsidR="2EEA6595" w:rsidP="2EEA6595" w:rsidRDefault="2EEA6595" w14:paraId="33E6AB15" w14:textId="0BB5BB34">
      <w:pPr>
        <w:spacing w:before="0" w:beforeAutospacing="off" w:after="0" w:afterAutospacing="off"/>
      </w:pPr>
    </w:p>
    <w:p w:rsidR="2EEA6595" w:rsidP="2EEA6595" w:rsidRDefault="2EEA6595" w14:paraId="3BACD9CF" w14:textId="393A5D26">
      <w:pPr>
        <w:spacing w:before="0" w:beforeAutospacing="off" w:after="0" w:afterAutospacing="off"/>
      </w:pPr>
    </w:p>
    <w:p w:rsidR="7D5CDA5E" w:rsidP="2EEA6595" w:rsidRDefault="7D5CDA5E" w14:paraId="78D9DDD5" w14:textId="259E22BD">
      <w:pPr>
        <w:spacing w:before="0" w:beforeAutospacing="off" w:after="0" w:afterAutospacing="off"/>
        <w:rPr>
          <w:b w:val="1"/>
          <w:bCs w:val="1"/>
          <w:u w:val="single"/>
        </w:rPr>
      </w:pPr>
      <w:r w:rsidRPr="2EEA6595" w:rsidR="7D5CDA5E">
        <w:rPr>
          <w:b w:val="1"/>
          <w:bCs w:val="1"/>
          <w:u w:val="single"/>
        </w:rPr>
        <w:t>Reference List:</w:t>
      </w:r>
    </w:p>
    <w:p w:rsidR="2EEA6595" w:rsidP="2EEA6595" w:rsidRDefault="2EEA6595" w14:paraId="6635F73D" w14:textId="04D9B200">
      <w:pPr>
        <w:spacing w:before="0" w:beforeAutospacing="off" w:after="0" w:afterAutospacing="off"/>
      </w:pPr>
    </w:p>
    <w:p w:rsidR="7D5CDA5E" w:rsidP="2EEA6595" w:rsidRDefault="7D5CDA5E" w14:paraId="4B5D319F" w14:textId="17AFAEA8">
      <w:pPr>
        <w:spacing w:before="0" w:beforeAutospacing="off" w:after="150" w:afterAutospacing="off" w:line="375" w:lineRule="auto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GB"/>
        </w:rPr>
      </w:pPr>
      <w:r w:rsidRPr="2EEA6595" w:rsidR="7D5CDA5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GB"/>
        </w:rPr>
        <w:t xml:space="preserve">Professor Sally Kyd &amp; Dr Daniel Bansal. (2022) </w:t>
      </w:r>
      <w:r w:rsidRPr="2EEA6595" w:rsidR="7D5CDA5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noProof w:val="0"/>
          <w:sz w:val="24"/>
          <w:szCs w:val="24"/>
          <w:lang w:val="en-GB"/>
        </w:rPr>
        <w:t xml:space="preserve">Consent to bodily injury and the criminal law. </w:t>
      </w:r>
      <w:r w:rsidRPr="2EEA6595" w:rsidR="7D5CDA5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GB"/>
        </w:rPr>
        <w:t xml:space="preserve">Available at: </w:t>
      </w:r>
      <w:hyperlink r:id="Re0b0ea6654bc4f8e">
        <w:r w:rsidRPr="2EEA6595" w:rsidR="7D5CDA5E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strike w:val="0"/>
            <w:dstrike w:val="0"/>
            <w:noProof w:val="0"/>
            <w:sz w:val="24"/>
            <w:szCs w:val="24"/>
            <w:u w:val="single"/>
            <w:lang w:val="en-GB"/>
          </w:rPr>
          <w:t>https://le.ac.uk/-/media/uol/docs/academic-departments/law/news/gta-projects-may-2022.pdf</w:t>
        </w:r>
      </w:hyperlink>
      <w:r w:rsidRPr="2EEA6595" w:rsidR="3502521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2EEA6595" w:rsidR="7D5CDA5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GB"/>
        </w:rPr>
        <w:t xml:space="preserve">(Accessed: 17/07/24) </w:t>
      </w:r>
    </w:p>
    <w:p w:rsidR="2EEA6595" w:rsidP="2EEA6595" w:rsidRDefault="2EEA6595" w14:paraId="680C430E" w14:textId="48A4D5BA">
      <w:pPr>
        <w:spacing w:before="0" w:beforeAutospacing="off" w:after="150" w:afterAutospacing="off" w:line="375" w:lineRule="auto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sz w:val="24"/>
          <w:szCs w:val="24"/>
          <w:lang w:val="en-GB"/>
        </w:rPr>
      </w:pPr>
    </w:p>
    <w:p w:rsidR="3EE641FB" w:rsidP="2EEA6595" w:rsidRDefault="3EE641FB" w14:paraId="25FB01B2" w14:textId="763918FA">
      <w:pPr>
        <w:shd w:val="clear" w:color="auto" w:fill="FBFBFB"/>
        <w:spacing w:before="0" w:beforeAutospacing="off" w:after="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</w:pPr>
      <w:r w:rsidRPr="2EEA6595" w:rsidR="3EE641F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J</w:t>
      </w:r>
      <w:r w:rsidRPr="2EEA6595" w:rsidR="7211EBF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USTIA (2023</w:t>
      </w:r>
      <w:r w:rsidRPr="2EEA6595" w:rsidR="7211EBF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)  </w:t>
      </w:r>
      <w:r w:rsidRPr="2EEA6595" w:rsidR="7211EBF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1A1A1A"/>
          <w:sz w:val="24"/>
          <w:szCs w:val="24"/>
          <w:lang w:val="en-GB"/>
        </w:rPr>
        <w:t>The</w:t>
      </w:r>
      <w:r w:rsidRPr="2EEA6595" w:rsidR="7211EBF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1A1A1A"/>
          <w:sz w:val="24"/>
          <w:szCs w:val="24"/>
          <w:lang w:val="en-GB"/>
        </w:rPr>
        <w:t xml:space="preserve"> Consent </w:t>
      </w:r>
      <w:r w:rsidRPr="2EEA6595" w:rsidR="7211EBF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1A1A1A"/>
          <w:sz w:val="24"/>
          <w:szCs w:val="24"/>
          <w:lang w:val="en-GB"/>
        </w:rPr>
        <w:t>Defense</w:t>
      </w:r>
      <w:r w:rsidRPr="2EEA6595" w:rsidR="7211EBF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1A1A1A"/>
          <w:sz w:val="24"/>
          <w:szCs w:val="24"/>
          <w:lang w:val="en-GB"/>
        </w:rPr>
        <w:t xml:space="preserve"> in Criminal Law Cases. </w:t>
      </w:r>
      <w:r w:rsidRPr="2EEA6595" w:rsidR="7211EBF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 xml:space="preserve">Available at: </w:t>
      </w:r>
      <w:hyperlink r:id="Ra011ef3cf8f84f22">
        <w:r w:rsidRPr="2EEA6595" w:rsidR="7211EBFC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https://www.justia.com/criminal/defenses/consent/</w:t>
        </w:r>
      </w:hyperlink>
      <w:r w:rsidRPr="2EEA6595" w:rsidR="7211EBF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  <w:t xml:space="preserve"> (Accessed: 19/07/24)</w:t>
      </w:r>
    </w:p>
    <w:p w:rsidR="2EEA6595" w:rsidP="2EEA6595" w:rsidRDefault="2EEA6595" w14:paraId="0DBAAC09" w14:textId="4FC73EEC">
      <w:pPr>
        <w:shd w:val="clear" w:color="auto" w:fill="FBFBFB"/>
        <w:spacing w:before="0" w:beforeAutospacing="off" w:after="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A1A1A"/>
          <w:sz w:val="24"/>
          <w:szCs w:val="24"/>
          <w:lang w:val="en-GB"/>
        </w:rPr>
      </w:pPr>
    </w:p>
    <w:p w:rsidR="75E4CDBE" w:rsidP="2EEA6595" w:rsidRDefault="75E4CDBE" w14:paraId="2D429BD3" w14:textId="68F3590C">
      <w:pPr>
        <w:shd w:val="clear" w:color="auto" w:fill="FBFBFB"/>
        <w:spacing w:before="0" w:beforeAutospacing="off" w:after="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</w:pPr>
      <w:r w:rsidRPr="2EEA6595" w:rsidR="75E4CD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CPS (2021) </w:t>
      </w:r>
    </w:p>
    <w:p w:rsidR="75E4CDBE" w:rsidP="2EEA6595" w:rsidRDefault="75E4CDBE" w14:paraId="7B095B21" w14:textId="034984E2">
      <w:pPr>
        <w:pStyle w:val="Heading1"/>
        <w:shd w:val="clear" w:color="auto" w:fill="FFFFFF" w:themeFill="background1"/>
        <w:spacing w:before="0" w:beforeAutospacing="off" w:after="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2554"/>
          <w:sz w:val="24"/>
          <w:szCs w:val="24"/>
          <w:lang w:val="en-GB"/>
        </w:rPr>
      </w:pPr>
      <w:r w:rsidRPr="2EEA6595" w:rsidR="75E4CDB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2554"/>
          <w:sz w:val="24"/>
          <w:szCs w:val="24"/>
          <w:lang w:val="en-GB"/>
        </w:rPr>
        <w:t xml:space="preserve">Rape and Sexual Offences - Chapter 6: Consent. </w:t>
      </w:r>
      <w:r w:rsidRPr="2EEA6595" w:rsidR="75E4CD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2554"/>
          <w:sz w:val="24"/>
          <w:szCs w:val="24"/>
          <w:lang w:val="en-GB"/>
        </w:rPr>
        <w:t xml:space="preserve">Available at: </w:t>
      </w:r>
      <w:hyperlink r:id="R616f05065cc44c3e">
        <w:r w:rsidRPr="2EEA6595" w:rsidR="75E4CDBE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https://www.cps.gov.uk/legal-guidance/rape-and-sexual-offences-chapter-6-consent</w:t>
        </w:r>
      </w:hyperlink>
      <w:r w:rsidRPr="2EEA6595" w:rsidR="75E4CD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2554"/>
          <w:sz w:val="24"/>
          <w:szCs w:val="24"/>
          <w:lang w:val="en-GB"/>
        </w:rPr>
        <w:t xml:space="preserve"> (Accessed: 19/07/24)</w:t>
      </w:r>
    </w:p>
    <w:p w:rsidR="2EEA6595" w:rsidP="2EEA6595" w:rsidRDefault="2EEA6595" w14:paraId="4973DE00" w14:textId="4018C738">
      <w:pPr>
        <w:pStyle w:val="Normal"/>
        <w:rPr>
          <w:rFonts w:ascii="Calibri" w:hAnsi="Calibri" w:eastAsia="Calibri" w:cs="Calibri"/>
          <w:b w:val="0"/>
          <w:bCs w:val="0"/>
          <w:noProof w:val="0"/>
          <w:lang w:val="en-GB"/>
        </w:rPr>
      </w:pPr>
    </w:p>
    <w:p w:rsidR="4250046C" w:rsidP="2EEA6595" w:rsidRDefault="4250046C" w14:paraId="7F534930" w14:textId="1A45F22A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</w:pPr>
      <w:r w:rsidRPr="2EEA6595" w:rsidR="425004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LRC (2019) </w:t>
      </w:r>
      <w:r w:rsidRPr="2EEA6595" w:rsidR="4250046C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KNOWLEDGE OR BELIEF CONCERNING CONSENT IN RAPE LAW. </w:t>
      </w:r>
      <w:r w:rsidRPr="2EEA6595" w:rsidR="425004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Available at: https://www.lawreform.ie/_fileupload/Reports/LRC%20122-2019%20Knowledge%20or%20Belief%20Concerning%20Consent%20in%20Rape%20Law.pdf (Accessed: 19/07/24)</w:t>
      </w:r>
    </w:p>
    <w:p w:rsidR="2EEA6595" w:rsidP="2EEA6595" w:rsidRDefault="2EEA6595" w14:paraId="7B7B76AD" w14:textId="757649D1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</w:pPr>
    </w:p>
    <w:p w:rsidR="46E7ADE9" w:rsidP="2EEA6595" w:rsidRDefault="46E7ADE9" w14:paraId="25983B23" w14:textId="0AA36E6B">
      <w:pPr>
        <w:pStyle w:val="Heading1"/>
        <w:shd w:val="clear" w:color="auto" w:fill="F5F3F0"/>
        <w:spacing w:before="0" w:beforeAutospacing="off" w:after="750" w:afterAutospacing="off"/>
        <w:jc w:val="left"/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</w:pPr>
      <w:r w:rsidRPr="2EEA6595" w:rsidR="46E7AD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Harrison, A. (2019) </w:t>
      </w:r>
      <w:r w:rsidRPr="2EEA6595" w:rsidR="7A2D7AAC">
        <w:rPr>
          <w:rFonts w:ascii="Calibri" w:hAnsi="Calibri" w:eastAsia="Calibri" w:cs="Calibri"/>
          <w:b w:val="0"/>
          <w:bCs w:val="0"/>
          <w:i w:val="1"/>
          <w:iCs w:val="1"/>
          <w:caps w:val="1"/>
          <w:noProof w:val="0"/>
          <w:color w:val="442341"/>
          <w:sz w:val="24"/>
          <w:szCs w:val="24"/>
          <w:lang w:val="en-GB"/>
        </w:rPr>
        <w:t>SHOULD BODY MODIFICATION BE REGULATED IN THE SAME WAY AS COSMETIC SURGERY?</w:t>
      </w:r>
      <w:r w:rsidRPr="2EEA6595" w:rsidR="7A2D7AAC">
        <w:rPr>
          <w:rFonts w:ascii="Calibri" w:hAnsi="Calibri" w:eastAsia="Calibri" w:cs="Calibri"/>
          <w:b w:val="0"/>
          <w:bCs w:val="0"/>
          <w:i w:val="0"/>
          <w:iCs w:val="0"/>
          <w:caps w:val="1"/>
          <w:noProof w:val="0"/>
          <w:color w:val="442341"/>
          <w:sz w:val="24"/>
          <w:szCs w:val="24"/>
          <w:lang w:val="en-GB"/>
        </w:rPr>
        <w:t xml:space="preserve"> </w:t>
      </w:r>
      <w:r w:rsidRPr="2EEA6595" w:rsidR="7A2D7AAC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Available at: </w:t>
      </w:r>
      <w:hyperlink r:id="R39fd95e6b0284579">
        <w:r w:rsidRPr="2EEA6595" w:rsidR="7A2D7AAC">
          <w:rPr>
            <w:rStyle w:val="Hyperlink"/>
            <w:rFonts w:ascii="Calibri" w:hAnsi="Calibri" w:eastAsia="Calibri" w:cs="Calibri"/>
            <w:b w:val="0"/>
            <w:bCs w:val="0"/>
            <w:noProof w:val="0"/>
            <w:sz w:val="24"/>
            <w:szCs w:val="24"/>
            <w:lang w:val="en-GB"/>
          </w:rPr>
          <w:t>https://www.hja.net/expert-comments/opinion/medical-negligence/should-body-modification-be-regulated-in-the-same-way-as-cosmetic-surgery/</w:t>
        </w:r>
      </w:hyperlink>
      <w:r w:rsidRPr="2EEA6595" w:rsidR="7A2D7AAC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(Accessed: 19/07/24)</w:t>
      </w:r>
    </w:p>
    <w:p w:rsidR="2EEA6595" w:rsidP="2EEA6595" w:rsidRDefault="2EEA6595" w14:paraId="222DA0DF" w14:textId="09330163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</w:pPr>
    </w:p>
    <w:p w:rsidR="7A2D7AAC" w:rsidP="2EEA6595" w:rsidRDefault="7A2D7AAC" w14:paraId="42F2E5BA" w14:textId="71B914DC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</w:pPr>
      <w:r w:rsidRPr="2EEA6595" w:rsidR="7A2D7A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Pegg, S. (2019) </w:t>
      </w:r>
      <w:r w:rsidRPr="2EEA6595" w:rsidR="7A2D7AAC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333333"/>
          <w:sz w:val="22"/>
          <w:szCs w:val="22"/>
          <w:lang w:val="en-GB"/>
        </w:rPr>
        <w:t>Not so Clear Cut: The Lawfulness of Body Modifications.</w:t>
      </w:r>
      <w:r w:rsidRPr="2EEA6595" w:rsidR="7A2D7A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Available at: https://irep.ntu.ac.uk/id/eprint/38092/1/1210781_Pegg.pdf (Accessed: 19/07/24)</w:t>
      </w:r>
    </w:p>
    <w:p w:rsidR="2EEA6595" w:rsidP="2EEA6595" w:rsidRDefault="2EEA6595" w14:paraId="574A11A4" w14:textId="5D2DC9D3">
      <w:pPr>
        <w:spacing w:before="0" w:beforeAutospacing="off" w:after="150" w:afterAutospacing="off" w:line="375" w:lineRule="auto"/>
        <w:jc w:val="left"/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</w:pPr>
    </w:p>
    <w:p w:rsidR="2EEA6595" w:rsidP="2EEA6595" w:rsidRDefault="2EEA6595" w14:paraId="25C3B1DC" w14:textId="74306017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</w:rPr>
      </w:pPr>
    </w:p>
    <w:p w:rsidR="243A173C" w:rsidP="2EEA6595" w:rsidRDefault="243A173C" w14:paraId="6FD12069" w14:textId="46994DD1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</w:rPr>
      </w:pPr>
    </w:p>
    <w:p w:rsidR="243A173C" w:rsidP="2EEA6595" w:rsidRDefault="243A173C" w14:paraId="5793C19A" w14:textId="2D580D97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</w:rPr>
      </w:pPr>
    </w:p>
    <w:p w:rsidR="243A173C" w:rsidP="2EEA6595" w:rsidRDefault="243A173C" w14:paraId="74C712C0" w14:textId="625B209D">
      <w:pPr>
        <w:pStyle w:val="Normal"/>
        <w:rPr>
          <w:rFonts w:ascii="Calibri" w:hAnsi="Calibri" w:eastAsia="Calibri" w:cs="Calibri"/>
          <w:b w:val="0"/>
          <w:bCs w:val="0"/>
          <w:sz w:val="24"/>
          <w:szCs w:val="24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f/4bpA8lhLlpkd" int2:id="HOpqcyYq">
      <int2:state int2:type="AugLoop_Text_Critique" int2:value="Rejected"/>
    </int2:textHash>
    <int2:textHash int2:hashCode="ypnpCXlvsG9C54" int2:id="n2wKo6kI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22a7140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2745044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279ac0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1fe6df9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f73248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54BCE60"/>
    <w:rsid w:val="0055DDB3"/>
    <w:rsid w:val="00A0DE2A"/>
    <w:rsid w:val="00A99E36"/>
    <w:rsid w:val="00AA7FE5"/>
    <w:rsid w:val="00C572C6"/>
    <w:rsid w:val="00CDA08E"/>
    <w:rsid w:val="0183C264"/>
    <w:rsid w:val="01975BBF"/>
    <w:rsid w:val="0200934B"/>
    <w:rsid w:val="0203331C"/>
    <w:rsid w:val="0225EB70"/>
    <w:rsid w:val="023D5363"/>
    <w:rsid w:val="024286A2"/>
    <w:rsid w:val="0292320B"/>
    <w:rsid w:val="0309788C"/>
    <w:rsid w:val="03DA81D2"/>
    <w:rsid w:val="04842E68"/>
    <w:rsid w:val="049AA71F"/>
    <w:rsid w:val="04D31B5C"/>
    <w:rsid w:val="052670D8"/>
    <w:rsid w:val="054BCE60"/>
    <w:rsid w:val="05680020"/>
    <w:rsid w:val="05C5F7B6"/>
    <w:rsid w:val="063BBDE7"/>
    <w:rsid w:val="0673B6C5"/>
    <w:rsid w:val="0686FEF9"/>
    <w:rsid w:val="06DAA5A2"/>
    <w:rsid w:val="06DB126D"/>
    <w:rsid w:val="06FAE5F9"/>
    <w:rsid w:val="070FF46B"/>
    <w:rsid w:val="077CD3FD"/>
    <w:rsid w:val="07BBA48A"/>
    <w:rsid w:val="082AFCCF"/>
    <w:rsid w:val="082DCCC0"/>
    <w:rsid w:val="08381F94"/>
    <w:rsid w:val="0841CC24"/>
    <w:rsid w:val="084939BD"/>
    <w:rsid w:val="085B4515"/>
    <w:rsid w:val="0885F319"/>
    <w:rsid w:val="09713FE5"/>
    <w:rsid w:val="0973C5BF"/>
    <w:rsid w:val="0A1AC601"/>
    <w:rsid w:val="0AE3DC99"/>
    <w:rsid w:val="0AF97527"/>
    <w:rsid w:val="0AFD3CF4"/>
    <w:rsid w:val="0B3A9C23"/>
    <w:rsid w:val="0B7238EC"/>
    <w:rsid w:val="0B802B25"/>
    <w:rsid w:val="0B80FDEC"/>
    <w:rsid w:val="0B9D427A"/>
    <w:rsid w:val="0BB2CEEC"/>
    <w:rsid w:val="0BDEFF64"/>
    <w:rsid w:val="0C4BDBDE"/>
    <w:rsid w:val="0C78D01D"/>
    <w:rsid w:val="0C85C214"/>
    <w:rsid w:val="0D1ED7DC"/>
    <w:rsid w:val="0D3C640F"/>
    <w:rsid w:val="0DAC5E3E"/>
    <w:rsid w:val="0EA2B55B"/>
    <w:rsid w:val="0EFEA5CF"/>
    <w:rsid w:val="0F995580"/>
    <w:rsid w:val="0FD9CC69"/>
    <w:rsid w:val="101CAC04"/>
    <w:rsid w:val="10666DE3"/>
    <w:rsid w:val="108CC0A2"/>
    <w:rsid w:val="10AE32E8"/>
    <w:rsid w:val="10F0F654"/>
    <w:rsid w:val="115F415D"/>
    <w:rsid w:val="1202653B"/>
    <w:rsid w:val="123B5393"/>
    <w:rsid w:val="1309100A"/>
    <w:rsid w:val="13B3EDF7"/>
    <w:rsid w:val="144363CE"/>
    <w:rsid w:val="145E3FB7"/>
    <w:rsid w:val="148E1CBF"/>
    <w:rsid w:val="14A5EF51"/>
    <w:rsid w:val="14F02175"/>
    <w:rsid w:val="1500DA8D"/>
    <w:rsid w:val="15705176"/>
    <w:rsid w:val="159FCE93"/>
    <w:rsid w:val="165EDF49"/>
    <w:rsid w:val="16766307"/>
    <w:rsid w:val="168CE64D"/>
    <w:rsid w:val="16D64A3F"/>
    <w:rsid w:val="171DBAA3"/>
    <w:rsid w:val="1728C641"/>
    <w:rsid w:val="178FDEFE"/>
    <w:rsid w:val="17CAA072"/>
    <w:rsid w:val="1821BAC5"/>
    <w:rsid w:val="1853333E"/>
    <w:rsid w:val="185EF0D0"/>
    <w:rsid w:val="18656AFC"/>
    <w:rsid w:val="18689F43"/>
    <w:rsid w:val="18876E98"/>
    <w:rsid w:val="18FA4B07"/>
    <w:rsid w:val="1932CD66"/>
    <w:rsid w:val="1A8AD03C"/>
    <w:rsid w:val="1B35E891"/>
    <w:rsid w:val="1B5188E9"/>
    <w:rsid w:val="1B7660AF"/>
    <w:rsid w:val="1B7FFFE9"/>
    <w:rsid w:val="1B9E4772"/>
    <w:rsid w:val="1BAF9AD4"/>
    <w:rsid w:val="1C4717AB"/>
    <w:rsid w:val="1C8FE3B1"/>
    <w:rsid w:val="1CD58B69"/>
    <w:rsid w:val="1D244FF8"/>
    <w:rsid w:val="1D6A49C7"/>
    <w:rsid w:val="1D6AB603"/>
    <w:rsid w:val="1DE2F841"/>
    <w:rsid w:val="1E38172B"/>
    <w:rsid w:val="1E3AA457"/>
    <w:rsid w:val="1E94C09D"/>
    <w:rsid w:val="1EB44F58"/>
    <w:rsid w:val="1EC34543"/>
    <w:rsid w:val="1ECA006D"/>
    <w:rsid w:val="1EE34787"/>
    <w:rsid w:val="1F12AA3B"/>
    <w:rsid w:val="1FAB489F"/>
    <w:rsid w:val="1FC2BDEA"/>
    <w:rsid w:val="20365184"/>
    <w:rsid w:val="20762835"/>
    <w:rsid w:val="20B0F4DF"/>
    <w:rsid w:val="20F87486"/>
    <w:rsid w:val="20FA9F92"/>
    <w:rsid w:val="20FBE838"/>
    <w:rsid w:val="2107501F"/>
    <w:rsid w:val="2182869E"/>
    <w:rsid w:val="21976D9B"/>
    <w:rsid w:val="21B143F8"/>
    <w:rsid w:val="2207D661"/>
    <w:rsid w:val="2242BFC4"/>
    <w:rsid w:val="225A671B"/>
    <w:rsid w:val="226F2906"/>
    <w:rsid w:val="231C6DB1"/>
    <w:rsid w:val="2359EBCB"/>
    <w:rsid w:val="23CB6B3C"/>
    <w:rsid w:val="2403DAA4"/>
    <w:rsid w:val="243A173C"/>
    <w:rsid w:val="2490E675"/>
    <w:rsid w:val="2498E10E"/>
    <w:rsid w:val="2586C4AA"/>
    <w:rsid w:val="25C5EBB2"/>
    <w:rsid w:val="25D4C083"/>
    <w:rsid w:val="26FF7865"/>
    <w:rsid w:val="27221726"/>
    <w:rsid w:val="2728911F"/>
    <w:rsid w:val="277E2273"/>
    <w:rsid w:val="2792471A"/>
    <w:rsid w:val="27A6107F"/>
    <w:rsid w:val="28186F3D"/>
    <w:rsid w:val="2867726C"/>
    <w:rsid w:val="28A6ACA8"/>
    <w:rsid w:val="29947F67"/>
    <w:rsid w:val="2A92E98B"/>
    <w:rsid w:val="2B2E1F4F"/>
    <w:rsid w:val="2BC2EA6A"/>
    <w:rsid w:val="2C1BD1D2"/>
    <w:rsid w:val="2C8523DF"/>
    <w:rsid w:val="2CF603A1"/>
    <w:rsid w:val="2D16A7E6"/>
    <w:rsid w:val="2D2CCA4A"/>
    <w:rsid w:val="2DBA4C9F"/>
    <w:rsid w:val="2E5D9D6A"/>
    <w:rsid w:val="2EEA6595"/>
    <w:rsid w:val="2F030A0E"/>
    <w:rsid w:val="2F140CD3"/>
    <w:rsid w:val="2FF5736D"/>
    <w:rsid w:val="3017621A"/>
    <w:rsid w:val="31123441"/>
    <w:rsid w:val="317421C5"/>
    <w:rsid w:val="31820A83"/>
    <w:rsid w:val="319059DC"/>
    <w:rsid w:val="31D90826"/>
    <w:rsid w:val="31E9CBEA"/>
    <w:rsid w:val="31F42BD3"/>
    <w:rsid w:val="32CDB8DF"/>
    <w:rsid w:val="3306710E"/>
    <w:rsid w:val="332B9C83"/>
    <w:rsid w:val="338F8E56"/>
    <w:rsid w:val="33B32EFC"/>
    <w:rsid w:val="341264C7"/>
    <w:rsid w:val="3502521C"/>
    <w:rsid w:val="352E6514"/>
    <w:rsid w:val="35413076"/>
    <w:rsid w:val="354C7217"/>
    <w:rsid w:val="35561F65"/>
    <w:rsid w:val="35F91E4A"/>
    <w:rsid w:val="365493FE"/>
    <w:rsid w:val="367E83DD"/>
    <w:rsid w:val="36826738"/>
    <w:rsid w:val="3685AA17"/>
    <w:rsid w:val="36DCA14D"/>
    <w:rsid w:val="36E68C04"/>
    <w:rsid w:val="36F10CB3"/>
    <w:rsid w:val="3708B1C6"/>
    <w:rsid w:val="37916727"/>
    <w:rsid w:val="383403D5"/>
    <w:rsid w:val="38D6E80B"/>
    <w:rsid w:val="38F181BC"/>
    <w:rsid w:val="39F17BC8"/>
    <w:rsid w:val="3A13CB58"/>
    <w:rsid w:val="3A3A6694"/>
    <w:rsid w:val="3B0D2794"/>
    <w:rsid w:val="3B3D786A"/>
    <w:rsid w:val="3C71A7F4"/>
    <w:rsid w:val="3CAC88F8"/>
    <w:rsid w:val="3D15E712"/>
    <w:rsid w:val="3D25297B"/>
    <w:rsid w:val="3D35525A"/>
    <w:rsid w:val="3D99D8DF"/>
    <w:rsid w:val="3DC1E260"/>
    <w:rsid w:val="3DF7D8FA"/>
    <w:rsid w:val="3EE641FB"/>
    <w:rsid w:val="3F175E71"/>
    <w:rsid w:val="3F4C0F62"/>
    <w:rsid w:val="3F5E85B1"/>
    <w:rsid w:val="3F940274"/>
    <w:rsid w:val="3FAD87B6"/>
    <w:rsid w:val="401F460F"/>
    <w:rsid w:val="407CB298"/>
    <w:rsid w:val="40AE5DBB"/>
    <w:rsid w:val="415A4ACF"/>
    <w:rsid w:val="417BEFF6"/>
    <w:rsid w:val="4250046C"/>
    <w:rsid w:val="427D1440"/>
    <w:rsid w:val="42CB018D"/>
    <w:rsid w:val="42ECCBBE"/>
    <w:rsid w:val="42F30676"/>
    <w:rsid w:val="440DCF0F"/>
    <w:rsid w:val="4457FA8A"/>
    <w:rsid w:val="44921558"/>
    <w:rsid w:val="44FCF21A"/>
    <w:rsid w:val="450F0A80"/>
    <w:rsid w:val="4527DA34"/>
    <w:rsid w:val="45695025"/>
    <w:rsid w:val="46AC7BAE"/>
    <w:rsid w:val="46E3C4C4"/>
    <w:rsid w:val="46E7ADE9"/>
    <w:rsid w:val="46F94916"/>
    <w:rsid w:val="474AFCB8"/>
    <w:rsid w:val="47563F15"/>
    <w:rsid w:val="47F2B471"/>
    <w:rsid w:val="486CDE85"/>
    <w:rsid w:val="48932BDA"/>
    <w:rsid w:val="48C25101"/>
    <w:rsid w:val="48C75E07"/>
    <w:rsid w:val="48F3AC48"/>
    <w:rsid w:val="497292A0"/>
    <w:rsid w:val="498BDD8C"/>
    <w:rsid w:val="4991A089"/>
    <w:rsid w:val="4A37DFE7"/>
    <w:rsid w:val="4A724B97"/>
    <w:rsid w:val="4AF0F9A8"/>
    <w:rsid w:val="4B4B95A7"/>
    <w:rsid w:val="4BB45E3A"/>
    <w:rsid w:val="4BB5ECFE"/>
    <w:rsid w:val="4C2C087E"/>
    <w:rsid w:val="4C3A7DA6"/>
    <w:rsid w:val="4C591246"/>
    <w:rsid w:val="4C84A5D2"/>
    <w:rsid w:val="4CE0A658"/>
    <w:rsid w:val="4D7AE346"/>
    <w:rsid w:val="4D8EB400"/>
    <w:rsid w:val="4ED3EE5B"/>
    <w:rsid w:val="4EEEDA8C"/>
    <w:rsid w:val="4F2565BD"/>
    <w:rsid w:val="4F2BCA50"/>
    <w:rsid w:val="4F4ACB27"/>
    <w:rsid w:val="4F52CA05"/>
    <w:rsid w:val="4F7B1974"/>
    <w:rsid w:val="4FE69418"/>
    <w:rsid w:val="4FFB1A10"/>
    <w:rsid w:val="503B61CD"/>
    <w:rsid w:val="5047F9F4"/>
    <w:rsid w:val="50F6CDD1"/>
    <w:rsid w:val="5105E843"/>
    <w:rsid w:val="511F9A17"/>
    <w:rsid w:val="51581073"/>
    <w:rsid w:val="51CE5E0F"/>
    <w:rsid w:val="51DF5DDD"/>
    <w:rsid w:val="51EB590E"/>
    <w:rsid w:val="51F9CC01"/>
    <w:rsid w:val="51FABB2C"/>
    <w:rsid w:val="523E7311"/>
    <w:rsid w:val="524DAC2F"/>
    <w:rsid w:val="52EBEC65"/>
    <w:rsid w:val="5374EF0B"/>
    <w:rsid w:val="538F73B5"/>
    <w:rsid w:val="53D6064C"/>
    <w:rsid w:val="549B5870"/>
    <w:rsid w:val="54AED571"/>
    <w:rsid w:val="54B2ED2D"/>
    <w:rsid w:val="54BF3305"/>
    <w:rsid w:val="54F30D5E"/>
    <w:rsid w:val="5500244D"/>
    <w:rsid w:val="5568A8C6"/>
    <w:rsid w:val="56611E24"/>
    <w:rsid w:val="56F1B377"/>
    <w:rsid w:val="5727FDFD"/>
    <w:rsid w:val="57491164"/>
    <w:rsid w:val="57CAF06F"/>
    <w:rsid w:val="57E3FA01"/>
    <w:rsid w:val="57ED9112"/>
    <w:rsid w:val="58286EC2"/>
    <w:rsid w:val="58724A42"/>
    <w:rsid w:val="58EDBC00"/>
    <w:rsid w:val="58F62A1B"/>
    <w:rsid w:val="591B38CB"/>
    <w:rsid w:val="59C3B7FB"/>
    <w:rsid w:val="59C51CCC"/>
    <w:rsid w:val="5A78772F"/>
    <w:rsid w:val="5A9EA266"/>
    <w:rsid w:val="5AE1DAA6"/>
    <w:rsid w:val="5AE702A2"/>
    <w:rsid w:val="5B06A6AD"/>
    <w:rsid w:val="5B2D5B0C"/>
    <w:rsid w:val="5B5D6C45"/>
    <w:rsid w:val="5B79E1AE"/>
    <w:rsid w:val="5BF9E76B"/>
    <w:rsid w:val="5C35612C"/>
    <w:rsid w:val="5CFD85CE"/>
    <w:rsid w:val="5D74BC13"/>
    <w:rsid w:val="5DA8174D"/>
    <w:rsid w:val="5EA39046"/>
    <w:rsid w:val="5EDF9578"/>
    <w:rsid w:val="5F2E6AF9"/>
    <w:rsid w:val="5F3056E0"/>
    <w:rsid w:val="5F7A35FF"/>
    <w:rsid w:val="5FCED9DE"/>
    <w:rsid w:val="610520CC"/>
    <w:rsid w:val="6105D455"/>
    <w:rsid w:val="6174AFB1"/>
    <w:rsid w:val="61B0CCCB"/>
    <w:rsid w:val="61BD9950"/>
    <w:rsid w:val="61F37E32"/>
    <w:rsid w:val="61FED002"/>
    <w:rsid w:val="6247F998"/>
    <w:rsid w:val="62B8E7AA"/>
    <w:rsid w:val="62F824FE"/>
    <w:rsid w:val="635A191F"/>
    <w:rsid w:val="63DFBE03"/>
    <w:rsid w:val="644AE287"/>
    <w:rsid w:val="6518110A"/>
    <w:rsid w:val="65241718"/>
    <w:rsid w:val="6534AEB1"/>
    <w:rsid w:val="657C2291"/>
    <w:rsid w:val="659613C7"/>
    <w:rsid w:val="65A4C7EA"/>
    <w:rsid w:val="65FF9CDD"/>
    <w:rsid w:val="6602D758"/>
    <w:rsid w:val="66998CFC"/>
    <w:rsid w:val="670D2253"/>
    <w:rsid w:val="67A19F82"/>
    <w:rsid w:val="67DFA324"/>
    <w:rsid w:val="68A91CB6"/>
    <w:rsid w:val="68CB9EBD"/>
    <w:rsid w:val="691FA22F"/>
    <w:rsid w:val="6923C624"/>
    <w:rsid w:val="692CB332"/>
    <w:rsid w:val="694492FD"/>
    <w:rsid w:val="6986CF11"/>
    <w:rsid w:val="69D0ABB8"/>
    <w:rsid w:val="69E401CD"/>
    <w:rsid w:val="69E85A53"/>
    <w:rsid w:val="6A28F874"/>
    <w:rsid w:val="6A3939F8"/>
    <w:rsid w:val="6ACBBEAD"/>
    <w:rsid w:val="6BA27F09"/>
    <w:rsid w:val="6D099490"/>
    <w:rsid w:val="6D0DAEB8"/>
    <w:rsid w:val="6D27883F"/>
    <w:rsid w:val="6D2A3ED5"/>
    <w:rsid w:val="6DB910D1"/>
    <w:rsid w:val="6DBD8F88"/>
    <w:rsid w:val="6DDD6266"/>
    <w:rsid w:val="6E330308"/>
    <w:rsid w:val="6E71B722"/>
    <w:rsid w:val="6E79FB18"/>
    <w:rsid w:val="6EA90A78"/>
    <w:rsid w:val="6EC1E9B4"/>
    <w:rsid w:val="6F4F2113"/>
    <w:rsid w:val="6F818568"/>
    <w:rsid w:val="6F985AF1"/>
    <w:rsid w:val="6FB44B97"/>
    <w:rsid w:val="6FC8E95F"/>
    <w:rsid w:val="7038575D"/>
    <w:rsid w:val="703B4A6F"/>
    <w:rsid w:val="707A7FD1"/>
    <w:rsid w:val="70C6A271"/>
    <w:rsid w:val="70FC8F99"/>
    <w:rsid w:val="712AAFAD"/>
    <w:rsid w:val="712B9542"/>
    <w:rsid w:val="71DE6276"/>
    <w:rsid w:val="71E17E4E"/>
    <w:rsid w:val="7211EBFC"/>
    <w:rsid w:val="722CF557"/>
    <w:rsid w:val="724521E1"/>
    <w:rsid w:val="72904582"/>
    <w:rsid w:val="730595D3"/>
    <w:rsid w:val="7329B012"/>
    <w:rsid w:val="738AC234"/>
    <w:rsid w:val="7439252F"/>
    <w:rsid w:val="743C280A"/>
    <w:rsid w:val="74F6C34A"/>
    <w:rsid w:val="74F81A23"/>
    <w:rsid w:val="7526C500"/>
    <w:rsid w:val="759E9167"/>
    <w:rsid w:val="75B4D487"/>
    <w:rsid w:val="75E4CDBE"/>
    <w:rsid w:val="76A79911"/>
    <w:rsid w:val="775D4CBD"/>
    <w:rsid w:val="77CEC863"/>
    <w:rsid w:val="78C3ADCA"/>
    <w:rsid w:val="790A672B"/>
    <w:rsid w:val="79142E4B"/>
    <w:rsid w:val="791DBFF6"/>
    <w:rsid w:val="79510A4F"/>
    <w:rsid w:val="796162A3"/>
    <w:rsid w:val="797A9D92"/>
    <w:rsid w:val="79EC2A08"/>
    <w:rsid w:val="7A2B7D2A"/>
    <w:rsid w:val="7A2D7AAC"/>
    <w:rsid w:val="7AEDD134"/>
    <w:rsid w:val="7AFB0908"/>
    <w:rsid w:val="7B314FE6"/>
    <w:rsid w:val="7B3D25BF"/>
    <w:rsid w:val="7B532247"/>
    <w:rsid w:val="7BDA09A3"/>
    <w:rsid w:val="7BED3451"/>
    <w:rsid w:val="7C0947D6"/>
    <w:rsid w:val="7C5B8B3C"/>
    <w:rsid w:val="7C6C684A"/>
    <w:rsid w:val="7CC76545"/>
    <w:rsid w:val="7D5CDA5E"/>
    <w:rsid w:val="7DF7477C"/>
    <w:rsid w:val="7E199D70"/>
    <w:rsid w:val="7E65A0A4"/>
    <w:rsid w:val="7E87EFA4"/>
    <w:rsid w:val="7EAD0265"/>
    <w:rsid w:val="7F3BD17D"/>
    <w:rsid w:val="7FA31477"/>
    <w:rsid w:val="7FFDF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4BCE60"/>
  <w15:chartTrackingRefBased/>
  <w15:docId w15:val="{2D045F5D-F8E9-4278-A642-C980C572D93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2EEA6595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2EEA6595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2EEA6595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2EEA6595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2EEA6595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2EEA6595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2EEA6595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2EEA6595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2EEA6595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2EEA6595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2EEA6595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2EEA6595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2EEA6595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2EEA6595"/>
    <w:rPr>
      <w:i w:val="1"/>
      <w:iCs w:val="1"/>
      <w:color w:val="0F4761" w:themeColor="accent1" w:themeTint="FF" w:themeShade="BF"/>
    </w:rPr>
    <w:pP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2EEA6595"/>
    <w:pPr>
      <w:spacing/>
      <w:ind w:left="720"/>
      <w:contextualSpacing/>
    </w:pPr>
  </w:style>
  <w:style w:type="paragraph" w:styleId="TOC1">
    <w:uiPriority w:val="39"/>
    <w:name w:val="toc 1"/>
    <w:basedOn w:val="Normal"/>
    <w:next w:val="Normal"/>
    <w:unhideWhenUsed/>
    <w:rsid w:val="2EEA6595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2EEA6595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2EEA6595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2EEA6595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2EEA6595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2EEA6595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2EEA6595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2EEA6595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2EEA6595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2EEA6595"/>
    <w:rPr>
      <w:sz w:val="20"/>
      <w:szCs w:val="20"/>
    </w:rPr>
    <w:pPr>
      <w:spacing w:after="0" w:line="240" w:lineRule="auto"/>
    </w:pPr>
  </w:style>
  <w:style w:type="paragraph" w:styleId="Footer">
    <w:uiPriority w:val="99"/>
    <w:name w:val="footer"/>
    <w:basedOn w:val="Normal"/>
    <w:unhideWhenUsed/>
    <w:link w:val="FooterChar"/>
    <w:rsid w:val="2EEA6595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noteText">
    <w:uiPriority w:val="99"/>
    <w:name w:val="footnote text"/>
    <w:basedOn w:val="Normal"/>
    <w:semiHidden/>
    <w:unhideWhenUsed/>
    <w:link w:val="FootnoteTextChar"/>
    <w:rsid w:val="2EEA6595"/>
    <w:rPr>
      <w:sz w:val="20"/>
      <w:szCs w:val="20"/>
    </w:rPr>
    <w:pPr>
      <w:spacing w:after="0" w:line="240" w:lineRule="auto"/>
    </w:pPr>
  </w:style>
  <w:style w:type="paragraph" w:styleId="Header">
    <w:uiPriority w:val="99"/>
    <w:name w:val="header"/>
    <w:basedOn w:val="Normal"/>
    <w:unhideWhenUsed/>
    <w:link w:val="HeaderChar"/>
    <w:rsid w:val="2EEA6595"/>
    <w:pPr>
      <w:tabs>
        <w:tab w:val="center" w:leader="none" w:pos="4680"/>
        <w:tab w:val="right" w:leader="none" w:pos="9360"/>
      </w:tabs>
      <w:spacing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le.ac.uk/-/media/uol/docs/academic-departments/law/news/gta-projects-may-2022.pdf" TargetMode="External" Id="Re0b0ea6654bc4f8e" /><Relationship Type="http://schemas.openxmlformats.org/officeDocument/2006/relationships/hyperlink" Target="https://www.justia.com/criminal/defenses/consent/" TargetMode="External" Id="Ra011ef3cf8f84f22" /><Relationship Type="http://schemas.openxmlformats.org/officeDocument/2006/relationships/hyperlink" Target="https://www.cps.gov.uk/legal-guidance/rape-and-sexual-offences-chapter-6-consent" TargetMode="External" Id="R616f05065cc44c3e" /><Relationship Type="http://schemas.openxmlformats.org/officeDocument/2006/relationships/hyperlink" Target="https://www.hja.net/expert-comments/opinion/medical-negligence/should-body-modification-be-regulated-in-the-same-way-as-cosmetic-surgery/" TargetMode="External" Id="R39fd95e6b0284579" /><Relationship Type="http://schemas.microsoft.com/office/2020/10/relationships/intelligence" Target="intelligence2.xml" Id="R7dcdc846744c4160" /><Relationship Type="http://schemas.openxmlformats.org/officeDocument/2006/relationships/numbering" Target="numbering.xml" Id="R4203b47094c24fa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2024-07-17T19:37:59.5995716Z</dcterms:created>
  <dcterms:modified xsi:type="dcterms:W3CDTF">2024-07-19T22:46:07.7881658Z</dcterms:modified>
  <dc:creator>Eva Thomas (2203669)</dc:creator>
  <lastModifiedBy>Eva Thomas (2203669)</lastModifiedBy>
</coreProperties>
</file>