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F354DB" w14:textId="41E61970" w:rsidR="00F6718E" w:rsidRDefault="00451B52" w:rsidP="00141704">
      <w:pPr>
        <w:spacing w:line="360" w:lineRule="auto"/>
        <w:rPr>
          <w:rFonts w:ascii="Arial" w:hAnsi="Arial" w:cs="Arial"/>
          <w:sz w:val="22"/>
          <w:szCs w:val="22"/>
        </w:rPr>
      </w:pPr>
      <w:r>
        <w:rPr>
          <w:rFonts w:ascii="Arial" w:hAnsi="Arial" w:cs="Arial"/>
          <w:sz w:val="22"/>
          <w:szCs w:val="22"/>
        </w:rPr>
        <w:t xml:space="preserve">Name : Margaret </w:t>
      </w:r>
      <w:proofErr w:type="spellStart"/>
      <w:r>
        <w:rPr>
          <w:rFonts w:ascii="Arial" w:hAnsi="Arial" w:cs="Arial"/>
          <w:sz w:val="22"/>
          <w:szCs w:val="22"/>
        </w:rPr>
        <w:t>Abena</w:t>
      </w:r>
      <w:proofErr w:type="spellEnd"/>
      <w:r>
        <w:rPr>
          <w:rFonts w:ascii="Arial" w:hAnsi="Arial" w:cs="Arial"/>
          <w:sz w:val="22"/>
          <w:szCs w:val="22"/>
        </w:rPr>
        <w:t xml:space="preserve"> </w:t>
      </w:r>
      <w:proofErr w:type="spellStart"/>
      <w:r>
        <w:rPr>
          <w:rFonts w:ascii="Arial" w:hAnsi="Arial" w:cs="Arial"/>
          <w:sz w:val="22"/>
          <w:szCs w:val="22"/>
        </w:rPr>
        <w:t>Kwaw</w:t>
      </w:r>
      <w:proofErr w:type="spellEnd"/>
    </w:p>
    <w:p w14:paraId="46C32F14" w14:textId="510DEC79" w:rsidR="00C9622B" w:rsidRDefault="005872C4" w:rsidP="00141704">
      <w:pPr>
        <w:spacing w:line="360" w:lineRule="auto"/>
        <w:rPr>
          <w:rFonts w:ascii="Arial" w:hAnsi="Arial" w:cs="Arial"/>
          <w:sz w:val="22"/>
          <w:szCs w:val="22"/>
        </w:rPr>
      </w:pPr>
      <w:r>
        <w:rPr>
          <w:rFonts w:ascii="Arial" w:hAnsi="Arial" w:cs="Arial"/>
          <w:sz w:val="22"/>
          <w:szCs w:val="22"/>
        </w:rPr>
        <w:t xml:space="preserve"> Student Number:2441376</w:t>
      </w:r>
    </w:p>
    <w:p w14:paraId="02DF064A" w14:textId="0A80CC2D" w:rsidR="00C9622B" w:rsidRDefault="00756A76" w:rsidP="00141704">
      <w:pPr>
        <w:spacing w:line="360" w:lineRule="auto"/>
        <w:rPr>
          <w:rFonts w:ascii="Arial" w:hAnsi="Arial" w:cs="Arial"/>
          <w:sz w:val="22"/>
          <w:szCs w:val="22"/>
        </w:rPr>
      </w:pPr>
      <w:r>
        <w:rPr>
          <w:rFonts w:ascii="Arial" w:hAnsi="Arial" w:cs="Arial"/>
          <w:sz w:val="22"/>
          <w:szCs w:val="22"/>
        </w:rPr>
        <w:t xml:space="preserve">Lecture: </w:t>
      </w:r>
      <w:proofErr w:type="spellStart"/>
      <w:r>
        <w:rPr>
          <w:rFonts w:ascii="Arial" w:hAnsi="Arial" w:cs="Arial"/>
          <w:sz w:val="22"/>
          <w:szCs w:val="22"/>
        </w:rPr>
        <w:t>Rizwan</w:t>
      </w:r>
      <w:proofErr w:type="spellEnd"/>
      <w:r>
        <w:rPr>
          <w:rFonts w:ascii="Arial" w:hAnsi="Arial" w:cs="Arial"/>
          <w:sz w:val="22"/>
          <w:szCs w:val="22"/>
        </w:rPr>
        <w:t xml:space="preserve"> </w:t>
      </w:r>
      <w:proofErr w:type="spellStart"/>
      <w:r w:rsidR="00446C69">
        <w:rPr>
          <w:rFonts w:ascii="Arial" w:hAnsi="Arial" w:cs="Arial"/>
          <w:sz w:val="22"/>
          <w:szCs w:val="22"/>
        </w:rPr>
        <w:t>Nadim</w:t>
      </w:r>
      <w:proofErr w:type="spellEnd"/>
    </w:p>
    <w:p w14:paraId="5B19EC0E" w14:textId="51BF64BD" w:rsidR="00C9622B" w:rsidRPr="00C9622B" w:rsidRDefault="00C9622B" w:rsidP="00C9622B">
      <w:pPr>
        <w:spacing w:line="360" w:lineRule="auto"/>
        <w:jc w:val="center"/>
        <w:rPr>
          <w:rFonts w:ascii="Arial" w:hAnsi="Arial" w:cs="Arial"/>
          <w:b/>
          <w:bCs/>
          <w:sz w:val="22"/>
          <w:szCs w:val="22"/>
        </w:rPr>
      </w:pPr>
    </w:p>
    <w:p w14:paraId="35A4A80A" w14:textId="77777777" w:rsidR="00F6718E" w:rsidRDefault="00F6718E" w:rsidP="00141704">
      <w:pPr>
        <w:spacing w:line="360" w:lineRule="auto"/>
        <w:rPr>
          <w:rFonts w:ascii="Arial" w:hAnsi="Arial" w:cs="Arial"/>
          <w:sz w:val="22"/>
          <w:szCs w:val="22"/>
        </w:rPr>
      </w:pPr>
    </w:p>
    <w:p w14:paraId="08CF4527" w14:textId="77777777" w:rsidR="00F6718E" w:rsidRDefault="00F6718E" w:rsidP="00141704">
      <w:pPr>
        <w:spacing w:line="360" w:lineRule="auto"/>
        <w:rPr>
          <w:rFonts w:ascii="Arial" w:hAnsi="Arial" w:cs="Arial"/>
          <w:sz w:val="22"/>
          <w:szCs w:val="22"/>
        </w:rPr>
        <w:sectPr w:rsidR="00F6718E" w:rsidSect="00F6718E">
          <w:footerReference w:type="even" r:id="rId7"/>
          <w:pgSz w:w="12240" w:h="15840"/>
          <w:pgMar w:top="1440" w:right="1440" w:bottom="1440" w:left="1440" w:header="708" w:footer="708" w:gutter="0"/>
          <w:pgNumType w:start="1"/>
          <w:cols w:space="708"/>
          <w:docGrid w:linePitch="360"/>
        </w:sectPr>
      </w:pPr>
    </w:p>
    <w:sdt>
      <w:sdtPr>
        <w:rPr>
          <w:rFonts w:ascii="Arial" w:eastAsiaTheme="minorHAnsi" w:hAnsi="Arial" w:cs="Arial"/>
          <w:b w:val="0"/>
          <w:bCs w:val="0"/>
          <w:color w:val="auto"/>
          <w:kern w:val="2"/>
          <w:sz w:val="22"/>
          <w:szCs w:val="22"/>
          <w:lang w:val="en-CA"/>
          <w14:ligatures w14:val="standardContextual"/>
        </w:rPr>
        <w:id w:val="-161482579"/>
        <w:docPartObj>
          <w:docPartGallery w:val="Table of Contents"/>
          <w:docPartUnique/>
        </w:docPartObj>
      </w:sdtPr>
      <w:sdtEndPr>
        <w:rPr>
          <w:noProof/>
        </w:rPr>
      </w:sdtEndPr>
      <w:sdtContent>
        <w:p w14:paraId="34D9192A" w14:textId="64506498" w:rsidR="00F6718E" w:rsidRPr="002C2BCE" w:rsidRDefault="00F6718E" w:rsidP="005A56F1">
          <w:pPr>
            <w:pStyle w:val="TOCHeading"/>
            <w:spacing w:line="360" w:lineRule="auto"/>
            <w:jc w:val="center"/>
            <w:rPr>
              <w:rFonts w:ascii="Arial" w:hAnsi="Arial" w:cs="Arial"/>
              <w:color w:val="auto"/>
              <w:sz w:val="22"/>
              <w:szCs w:val="22"/>
            </w:rPr>
          </w:pPr>
          <w:r w:rsidRPr="002C2BCE">
            <w:rPr>
              <w:rFonts w:ascii="Arial" w:hAnsi="Arial" w:cs="Arial"/>
              <w:color w:val="auto"/>
              <w:sz w:val="22"/>
              <w:szCs w:val="22"/>
            </w:rPr>
            <w:t>Table of Contents</w:t>
          </w:r>
        </w:p>
        <w:p w14:paraId="15B6D317" w14:textId="6A70B94C" w:rsidR="005A56F1" w:rsidRPr="005A56F1" w:rsidRDefault="00F6718E" w:rsidP="002C2BCE">
          <w:pPr>
            <w:pStyle w:val="TOC1"/>
            <w:rPr>
              <w:rFonts w:eastAsiaTheme="minorEastAsia"/>
              <w:noProof/>
            </w:rPr>
          </w:pPr>
          <w:r w:rsidRPr="005A56F1">
            <w:fldChar w:fldCharType="begin"/>
          </w:r>
          <w:r w:rsidRPr="005A56F1">
            <w:instrText xml:space="preserve"> TOC \o "1-3" \h \z \u </w:instrText>
          </w:r>
          <w:r w:rsidRPr="005A56F1">
            <w:fldChar w:fldCharType="separate"/>
          </w:r>
          <w:hyperlink w:anchor="_Toc235961280" w:history="1">
            <w:r w:rsidR="005A56F1" w:rsidRPr="005A56F1">
              <w:rPr>
                <w:rStyle w:val="Hyperlink"/>
                <w:rFonts w:ascii="Arial" w:hAnsi="Arial" w:cs="Arial"/>
                <w:b w:val="0"/>
                <w:bCs w:val="0"/>
                <w:i w:val="0"/>
                <w:iCs w:val="0"/>
                <w:noProof/>
                <w:sz w:val="22"/>
                <w:szCs w:val="22"/>
              </w:rPr>
              <w:t>Abstract</w:t>
            </w:r>
            <w:r w:rsidR="005A56F1" w:rsidRPr="005A56F1">
              <w:rPr>
                <w:noProof/>
                <w:webHidden/>
              </w:rPr>
              <w:tab/>
            </w:r>
            <w:r w:rsidR="005A56F1" w:rsidRPr="005A56F1">
              <w:rPr>
                <w:noProof/>
                <w:webHidden/>
              </w:rPr>
              <w:fldChar w:fldCharType="begin"/>
            </w:r>
            <w:r w:rsidR="005A56F1" w:rsidRPr="005A56F1">
              <w:rPr>
                <w:noProof/>
                <w:webHidden/>
              </w:rPr>
              <w:instrText xml:space="preserve"> PAGEREF _Toc235961280 \h </w:instrText>
            </w:r>
            <w:r w:rsidR="005A56F1" w:rsidRPr="005A56F1">
              <w:rPr>
                <w:noProof/>
                <w:webHidden/>
              </w:rPr>
            </w:r>
            <w:r w:rsidR="005A56F1" w:rsidRPr="005A56F1">
              <w:rPr>
                <w:noProof/>
                <w:webHidden/>
              </w:rPr>
              <w:fldChar w:fldCharType="separate"/>
            </w:r>
            <w:r w:rsidR="005A56F1" w:rsidRPr="005A56F1">
              <w:rPr>
                <w:noProof/>
                <w:webHidden/>
              </w:rPr>
              <w:t>1</w:t>
            </w:r>
            <w:r w:rsidR="005A56F1" w:rsidRPr="005A56F1">
              <w:rPr>
                <w:noProof/>
                <w:webHidden/>
              </w:rPr>
              <w:fldChar w:fldCharType="end"/>
            </w:r>
          </w:hyperlink>
        </w:p>
        <w:p w14:paraId="21CCDA3F" w14:textId="616ED0A6" w:rsidR="005A56F1" w:rsidRPr="005A56F1" w:rsidRDefault="005A56F1" w:rsidP="002C2BCE">
          <w:pPr>
            <w:pStyle w:val="TOC1"/>
            <w:rPr>
              <w:rFonts w:eastAsiaTheme="minorEastAsia"/>
              <w:noProof/>
            </w:rPr>
          </w:pPr>
          <w:hyperlink w:anchor="_Toc235961281" w:history="1">
            <w:r w:rsidRPr="005A56F1">
              <w:rPr>
                <w:rStyle w:val="Hyperlink"/>
                <w:rFonts w:ascii="Arial" w:hAnsi="Arial" w:cs="Arial"/>
                <w:b w:val="0"/>
                <w:bCs w:val="0"/>
                <w:i w:val="0"/>
                <w:iCs w:val="0"/>
                <w:noProof/>
                <w:sz w:val="22"/>
                <w:szCs w:val="22"/>
              </w:rPr>
              <w:t>Person Centred Care</w:t>
            </w:r>
            <w:r w:rsidRPr="005A56F1">
              <w:rPr>
                <w:noProof/>
                <w:webHidden/>
              </w:rPr>
              <w:tab/>
            </w:r>
            <w:r w:rsidRPr="005A56F1">
              <w:rPr>
                <w:noProof/>
                <w:webHidden/>
              </w:rPr>
              <w:fldChar w:fldCharType="begin"/>
            </w:r>
            <w:r w:rsidRPr="005A56F1">
              <w:rPr>
                <w:noProof/>
                <w:webHidden/>
              </w:rPr>
              <w:instrText xml:space="preserve"> PAGEREF _Toc235961281 \h </w:instrText>
            </w:r>
            <w:r w:rsidRPr="005A56F1">
              <w:rPr>
                <w:noProof/>
                <w:webHidden/>
              </w:rPr>
            </w:r>
            <w:r w:rsidRPr="005A56F1">
              <w:rPr>
                <w:noProof/>
                <w:webHidden/>
              </w:rPr>
              <w:fldChar w:fldCharType="separate"/>
            </w:r>
            <w:r w:rsidRPr="005A56F1">
              <w:rPr>
                <w:noProof/>
                <w:webHidden/>
              </w:rPr>
              <w:t>2</w:t>
            </w:r>
            <w:r w:rsidRPr="005A56F1">
              <w:rPr>
                <w:noProof/>
                <w:webHidden/>
              </w:rPr>
              <w:fldChar w:fldCharType="end"/>
            </w:r>
          </w:hyperlink>
        </w:p>
        <w:p w14:paraId="4ADD61E7" w14:textId="15555825" w:rsidR="005A56F1" w:rsidRPr="005A56F1" w:rsidRDefault="005A56F1" w:rsidP="002C2BCE">
          <w:pPr>
            <w:pStyle w:val="TOC1"/>
            <w:rPr>
              <w:rFonts w:eastAsiaTheme="minorEastAsia"/>
              <w:noProof/>
            </w:rPr>
          </w:pPr>
          <w:hyperlink w:anchor="_Toc235961282" w:history="1">
            <w:r w:rsidRPr="005A56F1">
              <w:rPr>
                <w:rStyle w:val="Hyperlink"/>
                <w:rFonts w:ascii="Arial" w:hAnsi="Arial" w:cs="Arial"/>
                <w:b w:val="0"/>
                <w:bCs w:val="0"/>
                <w:i w:val="0"/>
                <w:iCs w:val="0"/>
                <w:noProof/>
                <w:sz w:val="22"/>
                <w:szCs w:val="22"/>
              </w:rPr>
              <w:t>Models of PCC: The McCormack and McCance Person Centred Nursing Framework (PCNF)</w:t>
            </w:r>
            <w:r w:rsidRPr="005A56F1">
              <w:rPr>
                <w:noProof/>
                <w:webHidden/>
              </w:rPr>
              <w:tab/>
            </w:r>
            <w:r w:rsidRPr="005A56F1">
              <w:rPr>
                <w:noProof/>
                <w:webHidden/>
              </w:rPr>
              <w:fldChar w:fldCharType="begin"/>
            </w:r>
            <w:r w:rsidRPr="005A56F1">
              <w:rPr>
                <w:noProof/>
                <w:webHidden/>
              </w:rPr>
              <w:instrText xml:space="preserve"> PAGEREF _Toc235961282 \h </w:instrText>
            </w:r>
            <w:r w:rsidRPr="005A56F1">
              <w:rPr>
                <w:noProof/>
                <w:webHidden/>
              </w:rPr>
            </w:r>
            <w:r w:rsidRPr="005A56F1">
              <w:rPr>
                <w:noProof/>
                <w:webHidden/>
              </w:rPr>
              <w:fldChar w:fldCharType="separate"/>
            </w:r>
            <w:r w:rsidRPr="005A56F1">
              <w:rPr>
                <w:noProof/>
                <w:webHidden/>
              </w:rPr>
              <w:t>3</w:t>
            </w:r>
            <w:r w:rsidRPr="005A56F1">
              <w:rPr>
                <w:noProof/>
                <w:webHidden/>
              </w:rPr>
              <w:fldChar w:fldCharType="end"/>
            </w:r>
          </w:hyperlink>
        </w:p>
        <w:p w14:paraId="2A01AB8B" w14:textId="0F57EE8C" w:rsidR="005A56F1" w:rsidRPr="005A56F1" w:rsidRDefault="005A56F1" w:rsidP="002C2BCE">
          <w:pPr>
            <w:pStyle w:val="TOC1"/>
            <w:rPr>
              <w:rFonts w:eastAsiaTheme="minorEastAsia"/>
              <w:noProof/>
            </w:rPr>
          </w:pPr>
          <w:hyperlink w:anchor="_Toc235961283" w:history="1">
            <w:r w:rsidRPr="005A56F1">
              <w:rPr>
                <w:rStyle w:val="Hyperlink"/>
                <w:rFonts w:ascii="Arial" w:hAnsi="Arial" w:cs="Arial"/>
                <w:b w:val="0"/>
                <w:bCs w:val="0"/>
                <w:i w:val="0"/>
                <w:iCs w:val="0"/>
                <w:noProof/>
                <w:sz w:val="22"/>
                <w:szCs w:val="22"/>
              </w:rPr>
              <w:t>Ethical Fundamentals of Health and Social Care</w:t>
            </w:r>
            <w:r w:rsidRPr="005A56F1">
              <w:rPr>
                <w:noProof/>
                <w:webHidden/>
              </w:rPr>
              <w:tab/>
            </w:r>
            <w:r w:rsidRPr="005A56F1">
              <w:rPr>
                <w:noProof/>
                <w:webHidden/>
              </w:rPr>
              <w:fldChar w:fldCharType="begin"/>
            </w:r>
            <w:r w:rsidRPr="005A56F1">
              <w:rPr>
                <w:noProof/>
                <w:webHidden/>
              </w:rPr>
              <w:instrText xml:space="preserve"> PAGEREF _Toc235961283 \h </w:instrText>
            </w:r>
            <w:r w:rsidRPr="005A56F1">
              <w:rPr>
                <w:noProof/>
                <w:webHidden/>
              </w:rPr>
            </w:r>
            <w:r w:rsidRPr="005A56F1">
              <w:rPr>
                <w:noProof/>
                <w:webHidden/>
              </w:rPr>
              <w:fldChar w:fldCharType="separate"/>
            </w:r>
            <w:r w:rsidRPr="005A56F1">
              <w:rPr>
                <w:noProof/>
                <w:webHidden/>
              </w:rPr>
              <w:t>4</w:t>
            </w:r>
            <w:r w:rsidRPr="005A56F1">
              <w:rPr>
                <w:noProof/>
                <w:webHidden/>
              </w:rPr>
              <w:fldChar w:fldCharType="end"/>
            </w:r>
          </w:hyperlink>
        </w:p>
        <w:p w14:paraId="1D1EB80F" w14:textId="002BBA6F" w:rsidR="005A56F1" w:rsidRPr="005A56F1" w:rsidRDefault="005A56F1" w:rsidP="002C2BCE">
          <w:pPr>
            <w:pStyle w:val="TOC1"/>
            <w:rPr>
              <w:rFonts w:eastAsiaTheme="minorEastAsia"/>
              <w:noProof/>
            </w:rPr>
          </w:pPr>
          <w:hyperlink w:anchor="_Toc235961284" w:history="1">
            <w:r w:rsidRPr="005A56F1">
              <w:rPr>
                <w:rStyle w:val="Hyperlink"/>
                <w:rFonts w:ascii="Arial" w:hAnsi="Arial" w:cs="Arial"/>
                <w:b w:val="0"/>
                <w:bCs w:val="0"/>
                <w:i w:val="0"/>
                <w:iCs w:val="0"/>
                <w:noProof/>
                <w:sz w:val="22"/>
                <w:szCs w:val="22"/>
              </w:rPr>
              <w:t>Partnership Working (PW) in Health and Social Care</w:t>
            </w:r>
            <w:r w:rsidRPr="005A56F1">
              <w:rPr>
                <w:noProof/>
                <w:webHidden/>
              </w:rPr>
              <w:tab/>
            </w:r>
            <w:r w:rsidRPr="005A56F1">
              <w:rPr>
                <w:noProof/>
                <w:webHidden/>
              </w:rPr>
              <w:fldChar w:fldCharType="begin"/>
            </w:r>
            <w:r w:rsidRPr="005A56F1">
              <w:rPr>
                <w:noProof/>
                <w:webHidden/>
              </w:rPr>
              <w:instrText xml:space="preserve"> PAGEREF _Toc235961284 \h </w:instrText>
            </w:r>
            <w:r w:rsidRPr="005A56F1">
              <w:rPr>
                <w:noProof/>
                <w:webHidden/>
              </w:rPr>
            </w:r>
            <w:r w:rsidRPr="005A56F1">
              <w:rPr>
                <w:noProof/>
                <w:webHidden/>
              </w:rPr>
              <w:fldChar w:fldCharType="separate"/>
            </w:r>
            <w:r w:rsidRPr="005A56F1">
              <w:rPr>
                <w:noProof/>
                <w:webHidden/>
              </w:rPr>
              <w:t>4</w:t>
            </w:r>
            <w:r w:rsidRPr="005A56F1">
              <w:rPr>
                <w:noProof/>
                <w:webHidden/>
              </w:rPr>
              <w:fldChar w:fldCharType="end"/>
            </w:r>
          </w:hyperlink>
        </w:p>
        <w:p w14:paraId="3E87D2A5" w14:textId="7FD937FD" w:rsidR="005A56F1" w:rsidRPr="005A56F1" w:rsidRDefault="005A56F1" w:rsidP="002C2BCE">
          <w:pPr>
            <w:pStyle w:val="TOC1"/>
            <w:rPr>
              <w:rFonts w:eastAsiaTheme="minorEastAsia"/>
              <w:noProof/>
            </w:rPr>
          </w:pPr>
          <w:hyperlink w:anchor="_Toc235961285" w:history="1">
            <w:r w:rsidRPr="005A56F1">
              <w:rPr>
                <w:rStyle w:val="Hyperlink"/>
                <w:rFonts w:ascii="Arial" w:hAnsi="Arial" w:cs="Arial"/>
                <w:b w:val="0"/>
                <w:bCs w:val="0"/>
                <w:i w:val="0"/>
                <w:iCs w:val="0"/>
                <w:noProof/>
                <w:sz w:val="22"/>
                <w:szCs w:val="22"/>
              </w:rPr>
              <w:t>Policy and Legislation in Relation to PCC and PW</w:t>
            </w:r>
            <w:r w:rsidRPr="005A56F1">
              <w:rPr>
                <w:noProof/>
                <w:webHidden/>
              </w:rPr>
              <w:tab/>
            </w:r>
            <w:r w:rsidRPr="005A56F1">
              <w:rPr>
                <w:noProof/>
                <w:webHidden/>
              </w:rPr>
              <w:fldChar w:fldCharType="begin"/>
            </w:r>
            <w:r w:rsidRPr="005A56F1">
              <w:rPr>
                <w:noProof/>
                <w:webHidden/>
              </w:rPr>
              <w:instrText xml:space="preserve"> PAGEREF _Toc235961285 \h </w:instrText>
            </w:r>
            <w:r w:rsidRPr="005A56F1">
              <w:rPr>
                <w:noProof/>
                <w:webHidden/>
              </w:rPr>
            </w:r>
            <w:r w:rsidRPr="005A56F1">
              <w:rPr>
                <w:noProof/>
                <w:webHidden/>
              </w:rPr>
              <w:fldChar w:fldCharType="separate"/>
            </w:r>
            <w:r w:rsidRPr="005A56F1">
              <w:rPr>
                <w:noProof/>
                <w:webHidden/>
              </w:rPr>
              <w:t>5</w:t>
            </w:r>
            <w:r w:rsidRPr="005A56F1">
              <w:rPr>
                <w:noProof/>
                <w:webHidden/>
              </w:rPr>
              <w:fldChar w:fldCharType="end"/>
            </w:r>
          </w:hyperlink>
        </w:p>
        <w:p w14:paraId="7BA8CA72" w14:textId="51E0ED63" w:rsidR="005A56F1" w:rsidRPr="005A56F1" w:rsidRDefault="005A56F1" w:rsidP="002C2BCE">
          <w:pPr>
            <w:pStyle w:val="TOC1"/>
            <w:rPr>
              <w:rFonts w:eastAsiaTheme="minorEastAsia"/>
              <w:noProof/>
            </w:rPr>
          </w:pPr>
          <w:hyperlink w:anchor="_Toc235961286" w:history="1">
            <w:r w:rsidRPr="005A56F1">
              <w:rPr>
                <w:rStyle w:val="Hyperlink"/>
                <w:rFonts w:ascii="Arial" w:hAnsi="Arial" w:cs="Arial"/>
                <w:b w:val="0"/>
                <w:bCs w:val="0"/>
                <w:i w:val="0"/>
                <w:iCs w:val="0"/>
                <w:noProof/>
                <w:sz w:val="22"/>
                <w:szCs w:val="22"/>
              </w:rPr>
              <w:t>Recommendations for Future Development</w:t>
            </w:r>
            <w:r w:rsidRPr="005A56F1">
              <w:rPr>
                <w:noProof/>
                <w:webHidden/>
              </w:rPr>
              <w:tab/>
            </w:r>
            <w:r w:rsidRPr="005A56F1">
              <w:rPr>
                <w:noProof/>
                <w:webHidden/>
              </w:rPr>
              <w:fldChar w:fldCharType="begin"/>
            </w:r>
            <w:r w:rsidRPr="005A56F1">
              <w:rPr>
                <w:noProof/>
                <w:webHidden/>
              </w:rPr>
              <w:instrText xml:space="preserve"> PAGEREF _Toc235961286 \h </w:instrText>
            </w:r>
            <w:r w:rsidRPr="005A56F1">
              <w:rPr>
                <w:noProof/>
                <w:webHidden/>
              </w:rPr>
            </w:r>
            <w:r w:rsidRPr="005A56F1">
              <w:rPr>
                <w:noProof/>
                <w:webHidden/>
              </w:rPr>
              <w:fldChar w:fldCharType="separate"/>
            </w:r>
            <w:r w:rsidRPr="005A56F1">
              <w:rPr>
                <w:noProof/>
                <w:webHidden/>
              </w:rPr>
              <w:t>6</w:t>
            </w:r>
            <w:r w:rsidRPr="005A56F1">
              <w:rPr>
                <w:noProof/>
                <w:webHidden/>
              </w:rPr>
              <w:fldChar w:fldCharType="end"/>
            </w:r>
          </w:hyperlink>
        </w:p>
        <w:p w14:paraId="156B74B2" w14:textId="3CFAEAAC" w:rsidR="005A56F1" w:rsidRPr="005A56F1" w:rsidRDefault="005A56F1" w:rsidP="002C2BCE">
          <w:pPr>
            <w:pStyle w:val="TOC1"/>
            <w:rPr>
              <w:rFonts w:eastAsiaTheme="minorEastAsia"/>
              <w:noProof/>
            </w:rPr>
          </w:pPr>
          <w:hyperlink w:anchor="_Toc235961287" w:history="1">
            <w:r w:rsidRPr="005A56F1">
              <w:rPr>
                <w:rStyle w:val="Hyperlink"/>
                <w:rFonts w:ascii="Arial" w:hAnsi="Arial" w:cs="Arial"/>
                <w:b w:val="0"/>
                <w:bCs w:val="0"/>
                <w:i w:val="0"/>
                <w:iCs w:val="0"/>
                <w:noProof/>
                <w:sz w:val="22"/>
                <w:szCs w:val="22"/>
              </w:rPr>
              <w:t>Conclusion</w:t>
            </w:r>
            <w:r w:rsidRPr="005A56F1">
              <w:rPr>
                <w:noProof/>
                <w:webHidden/>
              </w:rPr>
              <w:tab/>
            </w:r>
            <w:r w:rsidRPr="005A56F1">
              <w:rPr>
                <w:noProof/>
                <w:webHidden/>
              </w:rPr>
              <w:fldChar w:fldCharType="begin"/>
            </w:r>
            <w:r w:rsidRPr="005A56F1">
              <w:rPr>
                <w:noProof/>
                <w:webHidden/>
              </w:rPr>
              <w:instrText xml:space="preserve"> PAGEREF _Toc235961287 \h </w:instrText>
            </w:r>
            <w:r w:rsidRPr="005A56F1">
              <w:rPr>
                <w:noProof/>
                <w:webHidden/>
              </w:rPr>
            </w:r>
            <w:r w:rsidRPr="005A56F1">
              <w:rPr>
                <w:noProof/>
                <w:webHidden/>
              </w:rPr>
              <w:fldChar w:fldCharType="separate"/>
            </w:r>
            <w:r w:rsidRPr="005A56F1">
              <w:rPr>
                <w:noProof/>
                <w:webHidden/>
              </w:rPr>
              <w:t>7</w:t>
            </w:r>
            <w:r w:rsidRPr="005A56F1">
              <w:rPr>
                <w:noProof/>
                <w:webHidden/>
              </w:rPr>
              <w:fldChar w:fldCharType="end"/>
            </w:r>
          </w:hyperlink>
        </w:p>
        <w:p w14:paraId="56689F1D" w14:textId="66BC9D51" w:rsidR="005A56F1" w:rsidRPr="005A56F1" w:rsidRDefault="005A56F1" w:rsidP="002C2BCE">
          <w:pPr>
            <w:pStyle w:val="TOC1"/>
            <w:rPr>
              <w:rFonts w:eastAsiaTheme="minorEastAsia"/>
              <w:noProof/>
            </w:rPr>
          </w:pPr>
          <w:hyperlink w:anchor="_Toc235961288" w:history="1">
            <w:r w:rsidRPr="005A56F1">
              <w:rPr>
                <w:rStyle w:val="Hyperlink"/>
                <w:rFonts w:ascii="Arial" w:hAnsi="Arial" w:cs="Arial"/>
                <w:b w:val="0"/>
                <w:bCs w:val="0"/>
                <w:i w:val="0"/>
                <w:iCs w:val="0"/>
                <w:noProof/>
                <w:sz w:val="22"/>
                <w:szCs w:val="22"/>
              </w:rPr>
              <w:t>References</w:t>
            </w:r>
            <w:r w:rsidRPr="005A56F1">
              <w:rPr>
                <w:noProof/>
                <w:webHidden/>
              </w:rPr>
              <w:tab/>
            </w:r>
            <w:r w:rsidRPr="005A56F1">
              <w:rPr>
                <w:noProof/>
                <w:webHidden/>
              </w:rPr>
              <w:fldChar w:fldCharType="begin"/>
            </w:r>
            <w:r w:rsidRPr="005A56F1">
              <w:rPr>
                <w:noProof/>
                <w:webHidden/>
              </w:rPr>
              <w:instrText xml:space="preserve"> PAGEREF _Toc235961288 \h </w:instrText>
            </w:r>
            <w:r w:rsidRPr="005A56F1">
              <w:rPr>
                <w:noProof/>
                <w:webHidden/>
              </w:rPr>
            </w:r>
            <w:r w:rsidRPr="005A56F1">
              <w:rPr>
                <w:noProof/>
                <w:webHidden/>
              </w:rPr>
              <w:fldChar w:fldCharType="separate"/>
            </w:r>
            <w:r w:rsidRPr="005A56F1">
              <w:rPr>
                <w:noProof/>
                <w:webHidden/>
              </w:rPr>
              <w:t>8</w:t>
            </w:r>
            <w:r w:rsidRPr="005A56F1">
              <w:rPr>
                <w:noProof/>
                <w:webHidden/>
              </w:rPr>
              <w:fldChar w:fldCharType="end"/>
            </w:r>
          </w:hyperlink>
        </w:p>
        <w:p w14:paraId="6ACC1435" w14:textId="06ACFC32" w:rsidR="00F6718E" w:rsidRDefault="00F6718E" w:rsidP="005A56F1">
          <w:pPr>
            <w:spacing w:line="360" w:lineRule="auto"/>
            <w:rPr>
              <w:rFonts w:ascii="Arial" w:hAnsi="Arial" w:cs="Arial"/>
              <w:sz w:val="22"/>
              <w:szCs w:val="22"/>
            </w:rPr>
            <w:sectPr w:rsidR="00F6718E" w:rsidSect="00F6718E">
              <w:footerReference w:type="default" r:id="rId8"/>
              <w:pgSz w:w="12240" w:h="15840"/>
              <w:pgMar w:top="1440" w:right="1440" w:bottom="1440" w:left="1440" w:header="708" w:footer="708" w:gutter="0"/>
              <w:pgNumType w:fmt="lowerRoman" w:start="2"/>
              <w:cols w:space="708"/>
              <w:docGrid w:linePitch="360"/>
            </w:sectPr>
          </w:pPr>
          <w:r w:rsidRPr="005A56F1">
            <w:rPr>
              <w:rFonts w:ascii="Arial" w:hAnsi="Arial" w:cs="Arial"/>
              <w:noProof/>
              <w:sz w:val="22"/>
              <w:szCs w:val="22"/>
            </w:rPr>
            <w:fldChar w:fldCharType="end"/>
          </w:r>
        </w:p>
      </w:sdtContent>
    </w:sdt>
    <w:p w14:paraId="2593CD10" w14:textId="76796AB0" w:rsidR="00F6718E" w:rsidRPr="005A56F1" w:rsidRDefault="00007696" w:rsidP="00E53BA4">
      <w:pPr>
        <w:pStyle w:val="Heading1"/>
        <w:spacing w:line="360" w:lineRule="auto"/>
        <w:jc w:val="center"/>
        <w:rPr>
          <w:rFonts w:ascii="Arial" w:hAnsi="Arial" w:cs="Arial"/>
          <w:szCs w:val="22"/>
        </w:rPr>
      </w:pPr>
      <w:bookmarkStart w:id="0" w:name="_Toc235961280"/>
      <w:r w:rsidRPr="005A56F1">
        <w:rPr>
          <w:rFonts w:ascii="Arial" w:hAnsi="Arial" w:cs="Arial"/>
          <w:szCs w:val="22"/>
        </w:rPr>
        <w:t>Abstract</w:t>
      </w:r>
      <w:bookmarkEnd w:id="0"/>
    </w:p>
    <w:p w14:paraId="55EE3E36" w14:textId="2BEA5860" w:rsidR="00007696" w:rsidRPr="005A56F1" w:rsidRDefault="00007696" w:rsidP="00E53BA4">
      <w:pPr>
        <w:spacing w:line="360" w:lineRule="auto"/>
        <w:jc w:val="both"/>
        <w:rPr>
          <w:rFonts w:ascii="Arial" w:hAnsi="Arial" w:cs="Arial"/>
          <w:sz w:val="22"/>
          <w:szCs w:val="22"/>
        </w:rPr>
      </w:pPr>
      <w:r w:rsidRPr="005A56F1">
        <w:rPr>
          <w:rFonts w:ascii="Arial" w:hAnsi="Arial" w:cs="Arial"/>
          <w:sz w:val="22"/>
          <w:szCs w:val="22"/>
        </w:rPr>
        <w:t xml:space="preserve">Health and social care services in the UK </w:t>
      </w:r>
      <w:r w:rsidR="00E53BA4" w:rsidRPr="005A56F1">
        <w:rPr>
          <w:rFonts w:ascii="Arial" w:hAnsi="Arial" w:cs="Arial"/>
          <w:sz w:val="22"/>
          <w:szCs w:val="22"/>
        </w:rPr>
        <w:t>have</w:t>
      </w:r>
      <w:r w:rsidRPr="005A56F1">
        <w:rPr>
          <w:rFonts w:ascii="Arial" w:hAnsi="Arial" w:cs="Arial"/>
          <w:sz w:val="22"/>
          <w:szCs w:val="22"/>
        </w:rPr>
        <w:t xml:space="preserve"> seen a shift towards person</w:t>
      </w:r>
      <w:r w:rsidR="00E53BA4" w:rsidRPr="005A56F1">
        <w:rPr>
          <w:rFonts w:ascii="Arial" w:hAnsi="Arial" w:cs="Arial"/>
          <w:sz w:val="22"/>
          <w:szCs w:val="22"/>
        </w:rPr>
        <w:t>-cent</w:t>
      </w:r>
      <w:r w:rsidRPr="005A56F1">
        <w:rPr>
          <w:rFonts w:ascii="Arial" w:hAnsi="Arial" w:cs="Arial"/>
          <w:sz w:val="22"/>
          <w:szCs w:val="22"/>
        </w:rPr>
        <w:t xml:space="preserve">red care (PCC) in contemporary practice. This report critically evaluates PCC and partnership working with emphasis on the community nursing </w:t>
      </w:r>
      <w:r w:rsidR="00E53BA4" w:rsidRPr="005A56F1">
        <w:rPr>
          <w:rFonts w:ascii="Arial" w:hAnsi="Arial" w:cs="Arial"/>
          <w:sz w:val="22"/>
          <w:szCs w:val="22"/>
        </w:rPr>
        <w:t xml:space="preserve">setting and </w:t>
      </w:r>
      <w:r w:rsidRPr="005A56F1">
        <w:rPr>
          <w:rFonts w:ascii="Arial" w:hAnsi="Arial" w:cs="Arial"/>
          <w:sz w:val="22"/>
          <w:szCs w:val="22"/>
        </w:rPr>
        <w:t>explores ethical fundamentals. It explains the McCorma</w:t>
      </w:r>
      <w:r w:rsidR="00E53BA4" w:rsidRPr="005A56F1">
        <w:rPr>
          <w:rFonts w:ascii="Arial" w:hAnsi="Arial" w:cs="Arial"/>
          <w:sz w:val="22"/>
          <w:szCs w:val="22"/>
        </w:rPr>
        <w:t>c</w:t>
      </w:r>
      <w:r w:rsidRPr="005A56F1">
        <w:rPr>
          <w:rFonts w:ascii="Arial" w:hAnsi="Arial" w:cs="Arial"/>
          <w:sz w:val="22"/>
          <w:szCs w:val="22"/>
        </w:rPr>
        <w:t xml:space="preserve">k and McCance Person Centered Nursing framework as a theoretical foundation of PCC. The Care Act 2014 and the Health and Care Act 2012 are discussed as legislative frameworks for PCC and partnership working.  The report highlights three critical gaps in implementing PCC and PW, with emphasis on community nursing, including a low workforce, communication barriers, and inadequate funding. As a recommendation, </w:t>
      </w:r>
      <w:r w:rsidR="00E53BA4" w:rsidRPr="005A56F1">
        <w:rPr>
          <w:rFonts w:ascii="Arial" w:hAnsi="Arial" w:cs="Arial"/>
          <w:sz w:val="22"/>
          <w:szCs w:val="22"/>
        </w:rPr>
        <w:t xml:space="preserve">recruitment should be intensified and more funding allocated to community nursing. </w:t>
      </w:r>
    </w:p>
    <w:p w14:paraId="06221496" w14:textId="6423E66A" w:rsidR="00007696" w:rsidRPr="005A56F1" w:rsidRDefault="00007696" w:rsidP="00007696">
      <w:pPr>
        <w:rPr>
          <w:rFonts w:ascii="Arial" w:hAnsi="Arial" w:cs="Arial"/>
          <w:b/>
          <w:bCs/>
          <w:sz w:val="22"/>
          <w:szCs w:val="22"/>
        </w:rPr>
      </w:pPr>
      <w:r w:rsidRPr="005A56F1">
        <w:rPr>
          <w:rFonts w:ascii="Arial" w:hAnsi="Arial" w:cs="Arial"/>
          <w:b/>
          <w:bCs/>
          <w:sz w:val="22"/>
          <w:szCs w:val="22"/>
        </w:rPr>
        <w:br w:type="page"/>
      </w:r>
    </w:p>
    <w:p w14:paraId="5E11ED70" w14:textId="49F24FD2" w:rsidR="003B77E3" w:rsidRPr="005A56F1" w:rsidRDefault="003B77E3" w:rsidP="00F6718E">
      <w:pPr>
        <w:spacing w:line="360" w:lineRule="auto"/>
        <w:rPr>
          <w:rFonts w:ascii="Arial" w:hAnsi="Arial" w:cs="Arial"/>
          <w:b/>
          <w:bCs/>
          <w:sz w:val="22"/>
          <w:szCs w:val="22"/>
        </w:rPr>
      </w:pPr>
      <w:r w:rsidRPr="005A56F1">
        <w:rPr>
          <w:rFonts w:ascii="Arial" w:hAnsi="Arial" w:cs="Arial"/>
          <w:b/>
          <w:bCs/>
          <w:sz w:val="22"/>
          <w:szCs w:val="22"/>
        </w:rPr>
        <w:t xml:space="preserve">Introduction </w:t>
      </w:r>
    </w:p>
    <w:p w14:paraId="71D3C134" w14:textId="7EF08220" w:rsidR="003B77E3" w:rsidRPr="005A56F1" w:rsidRDefault="003B77E3" w:rsidP="00F6718E">
      <w:pPr>
        <w:spacing w:line="360" w:lineRule="auto"/>
        <w:jc w:val="both"/>
        <w:rPr>
          <w:rFonts w:ascii="Arial" w:hAnsi="Arial" w:cs="Arial"/>
          <w:sz w:val="22"/>
          <w:szCs w:val="22"/>
        </w:rPr>
      </w:pPr>
      <w:r w:rsidRPr="005A56F1">
        <w:rPr>
          <w:rFonts w:ascii="Arial" w:hAnsi="Arial" w:cs="Arial"/>
          <w:sz w:val="22"/>
          <w:szCs w:val="22"/>
        </w:rPr>
        <w:t xml:space="preserve">Health and social care services in the UK have witnessed significant transformation over the years, shifting from disease management care to person-centred care (PCC, Santana et al., 2018). </w:t>
      </w:r>
      <w:r w:rsidR="00C01DE6" w:rsidRPr="005A56F1">
        <w:rPr>
          <w:rFonts w:ascii="Arial" w:hAnsi="Arial" w:cs="Arial"/>
          <w:sz w:val="22"/>
          <w:szCs w:val="22"/>
        </w:rPr>
        <w:t>Within this context</w:t>
      </w:r>
      <w:r w:rsidRPr="005A56F1">
        <w:rPr>
          <w:rFonts w:ascii="Arial" w:hAnsi="Arial" w:cs="Arial"/>
          <w:sz w:val="22"/>
          <w:szCs w:val="22"/>
        </w:rPr>
        <w:t xml:space="preserve">, person-centered care and partnership working (PW) have become a strong foundation </w:t>
      </w:r>
      <w:r w:rsidR="00C01DE6" w:rsidRPr="005A56F1">
        <w:rPr>
          <w:rFonts w:ascii="Arial" w:hAnsi="Arial" w:cs="Arial"/>
          <w:sz w:val="22"/>
          <w:szCs w:val="22"/>
        </w:rPr>
        <w:t>for</w:t>
      </w:r>
      <w:r w:rsidRPr="005A56F1">
        <w:rPr>
          <w:rFonts w:ascii="Arial" w:hAnsi="Arial" w:cs="Arial"/>
          <w:sz w:val="22"/>
          <w:szCs w:val="22"/>
        </w:rPr>
        <w:t xml:space="preserve"> care delivery (Glasby, 2017). This report </w:t>
      </w:r>
      <w:r w:rsidR="00C01DE6" w:rsidRPr="005A56F1">
        <w:rPr>
          <w:rFonts w:ascii="Arial" w:hAnsi="Arial" w:cs="Arial"/>
          <w:sz w:val="22"/>
          <w:szCs w:val="22"/>
        </w:rPr>
        <w:t xml:space="preserve">provides a critical examination of the workings of PCC and PW within a community care setting. The </w:t>
      </w:r>
      <w:r w:rsidR="005C286F" w:rsidRPr="005A56F1">
        <w:rPr>
          <w:rFonts w:ascii="Arial" w:hAnsi="Arial" w:cs="Arial"/>
          <w:sz w:val="22"/>
          <w:szCs w:val="22"/>
        </w:rPr>
        <w:t xml:space="preserve">report also </w:t>
      </w:r>
      <w:r w:rsidR="00C01DE6" w:rsidRPr="005A56F1">
        <w:rPr>
          <w:rFonts w:ascii="Arial" w:hAnsi="Arial" w:cs="Arial"/>
          <w:sz w:val="22"/>
          <w:szCs w:val="22"/>
        </w:rPr>
        <w:t>highlight</w:t>
      </w:r>
      <w:r w:rsidR="005C286F" w:rsidRPr="005A56F1">
        <w:rPr>
          <w:rFonts w:ascii="Arial" w:hAnsi="Arial" w:cs="Arial"/>
          <w:sz w:val="22"/>
          <w:szCs w:val="22"/>
        </w:rPr>
        <w:t>s</w:t>
      </w:r>
      <w:r w:rsidR="00C01DE6" w:rsidRPr="005A56F1">
        <w:rPr>
          <w:rFonts w:ascii="Arial" w:hAnsi="Arial" w:cs="Arial"/>
          <w:sz w:val="22"/>
          <w:szCs w:val="22"/>
        </w:rPr>
        <w:t xml:space="preserve"> one theory that underpins PCC. Further, ethical foundations, application of PW</w:t>
      </w:r>
      <w:r w:rsidR="005C286F" w:rsidRPr="005A56F1">
        <w:rPr>
          <w:rFonts w:ascii="Arial" w:hAnsi="Arial" w:cs="Arial"/>
          <w:sz w:val="22"/>
          <w:szCs w:val="22"/>
        </w:rPr>
        <w:t xml:space="preserve"> in community care settings</w:t>
      </w:r>
      <w:r w:rsidR="00C01DE6" w:rsidRPr="005A56F1">
        <w:rPr>
          <w:rFonts w:ascii="Arial" w:hAnsi="Arial" w:cs="Arial"/>
          <w:sz w:val="22"/>
          <w:szCs w:val="22"/>
        </w:rPr>
        <w:t xml:space="preserve">, and </w:t>
      </w:r>
      <w:r w:rsidR="005C286F" w:rsidRPr="005A56F1">
        <w:rPr>
          <w:rFonts w:ascii="Arial" w:hAnsi="Arial" w:cs="Arial"/>
          <w:sz w:val="22"/>
          <w:szCs w:val="22"/>
        </w:rPr>
        <w:t xml:space="preserve">relevant policy and </w:t>
      </w:r>
      <w:r w:rsidR="00C01DE6" w:rsidRPr="005A56F1">
        <w:rPr>
          <w:rFonts w:ascii="Arial" w:hAnsi="Arial" w:cs="Arial"/>
          <w:sz w:val="22"/>
          <w:szCs w:val="22"/>
        </w:rPr>
        <w:t>legislation relating to PCC are explored. The report ends with a recommendation for the future development of PCC.</w:t>
      </w:r>
    </w:p>
    <w:p w14:paraId="68CD2B39" w14:textId="59694D43" w:rsidR="00141704" w:rsidRPr="005A56F1" w:rsidRDefault="005C286F" w:rsidP="00F6718E">
      <w:pPr>
        <w:pStyle w:val="Heading1"/>
        <w:spacing w:line="360" w:lineRule="auto"/>
        <w:rPr>
          <w:rFonts w:ascii="Arial" w:hAnsi="Arial" w:cs="Arial"/>
          <w:szCs w:val="22"/>
        </w:rPr>
      </w:pPr>
      <w:bookmarkStart w:id="1" w:name="_Toc235961281"/>
      <w:r w:rsidRPr="005A56F1">
        <w:rPr>
          <w:rFonts w:ascii="Arial" w:hAnsi="Arial" w:cs="Arial"/>
          <w:szCs w:val="22"/>
        </w:rPr>
        <w:t>Person Centred Care</w:t>
      </w:r>
      <w:bookmarkEnd w:id="1"/>
    </w:p>
    <w:p w14:paraId="4B99F455" w14:textId="3ECF9CAD" w:rsidR="00EC23D9" w:rsidRPr="005A56F1" w:rsidRDefault="005C286F" w:rsidP="00F6718E">
      <w:pPr>
        <w:spacing w:line="360" w:lineRule="auto"/>
        <w:jc w:val="both"/>
        <w:rPr>
          <w:rFonts w:ascii="Arial" w:hAnsi="Arial" w:cs="Arial"/>
          <w:sz w:val="22"/>
          <w:szCs w:val="22"/>
        </w:rPr>
      </w:pPr>
      <w:r w:rsidRPr="005A56F1">
        <w:rPr>
          <w:rFonts w:ascii="Arial" w:hAnsi="Arial" w:cs="Arial"/>
          <w:sz w:val="22"/>
          <w:szCs w:val="22"/>
        </w:rPr>
        <w:t xml:space="preserve">By large, </w:t>
      </w:r>
      <w:bookmarkStart w:id="2" w:name="OLE_LINK3"/>
      <w:r w:rsidRPr="005A56F1">
        <w:rPr>
          <w:rFonts w:ascii="Arial" w:hAnsi="Arial" w:cs="Arial"/>
          <w:sz w:val="22"/>
          <w:szCs w:val="22"/>
        </w:rPr>
        <w:t xml:space="preserve">PCC is widely </w:t>
      </w:r>
      <w:bookmarkEnd w:id="2"/>
      <w:r w:rsidR="00EC23D9" w:rsidRPr="005A56F1">
        <w:rPr>
          <w:rFonts w:ascii="Arial" w:hAnsi="Arial" w:cs="Arial"/>
          <w:kern w:val="0"/>
          <w:sz w:val="22"/>
          <w:szCs w:val="22"/>
          <w14:ligatures w14:val="none"/>
        </w:rPr>
        <w:t>recognized as a holistic approach to healthcare that considers not only the physical and psychological needs of a patient but also social, cultural, and spiritual needs while</w:t>
      </w:r>
      <w:r w:rsidR="00EC23D9" w:rsidRPr="005A56F1">
        <w:rPr>
          <w:rFonts w:ascii="Arial" w:hAnsi="Arial" w:cs="Arial"/>
          <w:sz w:val="22"/>
          <w:szCs w:val="22"/>
        </w:rPr>
        <w:t xml:space="preserve"> making them active participants in the care (</w:t>
      </w:r>
      <w:proofErr w:type="spellStart"/>
      <w:r w:rsidR="00EC23D9" w:rsidRPr="005A56F1">
        <w:rPr>
          <w:rFonts w:ascii="Arial" w:hAnsi="Arial" w:cs="Arial"/>
          <w:sz w:val="22"/>
          <w:szCs w:val="22"/>
        </w:rPr>
        <w:t>Damat</w:t>
      </w:r>
      <w:proofErr w:type="spellEnd"/>
      <w:r w:rsidR="00EC23D9" w:rsidRPr="005A56F1">
        <w:rPr>
          <w:rFonts w:ascii="Arial" w:hAnsi="Arial" w:cs="Arial"/>
          <w:sz w:val="22"/>
          <w:szCs w:val="22"/>
        </w:rPr>
        <w:t xml:space="preserve"> et al., 2026). According to McCormack and McCance (2017), PCC is an approach to care that emphasises good relations between all professionals and service users by respecting the individual’s values, and active participation in care decisions. </w:t>
      </w:r>
      <w:r w:rsidR="002167A2" w:rsidRPr="005A56F1">
        <w:rPr>
          <w:rFonts w:ascii="Arial" w:hAnsi="Arial" w:cs="Arial"/>
          <w:sz w:val="22"/>
          <w:szCs w:val="22"/>
        </w:rPr>
        <w:t>PCC is a standard of care that prioritises the patient in the delivery of healthcare services (McCance &amp; McCormack, 2025).</w:t>
      </w:r>
    </w:p>
    <w:p w14:paraId="438D28B7" w14:textId="68B0E70C" w:rsidR="00B02D45" w:rsidRPr="005A56F1" w:rsidRDefault="00EC23D9" w:rsidP="00F6718E">
      <w:pPr>
        <w:spacing w:line="360" w:lineRule="auto"/>
        <w:jc w:val="both"/>
        <w:rPr>
          <w:rFonts w:ascii="Arial" w:hAnsi="Arial" w:cs="Arial"/>
          <w:sz w:val="22"/>
          <w:szCs w:val="22"/>
        </w:rPr>
      </w:pPr>
      <w:r w:rsidRPr="005A56F1">
        <w:rPr>
          <w:rFonts w:ascii="Arial" w:hAnsi="Arial" w:cs="Arial"/>
          <w:sz w:val="22"/>
          <w:szCs w:val="22"/>
        </w:rPr>
        <w:t>Evidence suggests that the main benefits of PCC are improved patient outcomes and enhanced quality of life</w:t>
      </w:r>
      <w:r w:rsidR="00D604A3" w:rsidRPr="005A56F1">
        <w:rPr>
          <w:rFonts w:ascii="Arial" w:hAnsi="Arial" w:cs="Arial"/>
          <w:sz w:val="22"/>
          <w:szCs w:val="22"/>
        </w:rPr>
        <w:t xml:space="preserve"> (Nkhoma et al., 2022). By focusing on the individual's values and preferences and involving the individual in care decisions, the individual’s dignity is preserved, </w:t>
      </w:r>
      <w:r w:rsidR="00D604A3" w:rsidRPr="005A56F1">
        <w:rPr>
          <w:rFonts w:ascii="Arial" w:hAnsi="Arial" w:cs="Arial"/>
          <w:kern w:val="0"/>
          <w:sz w:val="22"/>
          <w:szCs w:val="22"/>
          <w14:ligatures w14:val="none"/>
        </w:rPr>
        <w:t>leading to greater satisfaction and a greater willingness to adhere to care plans, ultimately improving</w:t>
      </w:r>
      <w:r w:rsidR="00D604A3" w:rsidRPr="005A56F1">
        <w:rPr>
          <w:rFonts w:ascii="Arial" w:hAnsi="Arial" w:cs="Arial"/>
          <w:sz w:val="22"/>
          <w:szCs w:val="22"/>
        </w:rPr>
        <w:t xml:space="preserve"> care outcomes. Health Foundation (2014) also adds that PCC promotes autonomy and dignity in care. In community care, PCC ensures </w:t>
      </w:r>
      <w:r w:rsidR="00B02D45" w:rsidRPr="005A56F1">
        <w:rPr>
          <w:rFonts w:ascii="Arial" w:hAnsi="Arial" w:cs="Arial"/>
          <w:sz w:val="22"/>
          <w:szCs w:val="22"/>
        </w:rPr>
        <w:t xml:space="preserve">that </w:t>
      </w:r>
      <w:r w:rsidR="00D604A3" w:rsidRPr="005A56F1">
        <w:rPr>
          <w:rFonts w:ascii="Arial" w:hAnsi="Arial" w:cs="Arial"/>
          <w:sz w:val="22"/>
          <w:szCs w:val="22"/>
        </w:rPr>
        <w:t>the therapeutic relationship between users and care professionals is maintained (McCormack and McCance, 2016;</w:t>
      </w:r>
      <w:r w:rsidR="00B02D45" w:rsidRPr="005A56F1">
        <w:rPr>
          <w:rFonts w:ascii="Arial" w:hAnsi="Arial" w:cs="Arial"/>
          <w:sz w:val="22"/>
          <w:szCs w:val="22"/>
        </w:rPr>
        <w:t xml:space="preserve"> </w:t>
      </w:r>
      <w:r w:rsidR="00D604A3" w:rsidRPr="005A56F1">
        <w:rPr>
          <w:rFonts w:ascii="Arial" w:hAnsi="Arial" w:cs="Arial"/>
          <w:sz w:val="22"/>
          <w:szCs w:val="22"/>
        </w:rPr>
        <w:t>2017).</w:t>
      </w:r>
    </w:p>
    <w:p w14:paraId="7B904843" w14:textId="0AD07069" w:rsidR="00F526F0" w:rsidRPr="005A56F1" w:rsidRDefault="00B02D45" w:rsidP="00F6718E">
      <w:pPr>
        <w:spacing w:line="360" w:lineRule="auto"/>
        <w:jc w:val="both"/>
        <w:rPr>
          <w:rFonts w:ascii="Arial" w:hAnsi="Arial" w:cs="Arial"/>
          <w:sz w:val="22"/>
          <w:szCs w:val="22"/>
        </w:rPr>
      </w:pPr>
      <w:r w:rsidRPr="005A56F1">
        <w:rPr>
          <w:rFonts w:ascii="Arial" w:hAnsi="Arial" w:cs="Arial"/>
          <w:kern w:val="0"/>
          <w:sz w:val="22"/>
          <w:szCs w:val="22"/>
          <w14:ligatures w14:val="none"/>
        </w:rPr>
        <w:t>Among its limitations, staff shortages and growing patient demand are often cited as factors</w:t>
      </w:r>
      <w:r w:rsidRPr="005A56F1">
        <w:rPr>
          <w:rFonts w:ascii="Arial" w:hAnsi="Arial" w:cs="Arial"/>
          <w:sz w:val="22"/>
          <w:szCs w:val="22"/>
        </w:rPr>
        <w:t xml:space="preserve"> restricting the implementation of PCC. This is because fewer staff restrict the time available for relationship building between a patient and the care professional as necessitated by the PCC framework (McCormack and McCance, 2017). Another limitation is resistance to change among older staff accustomed to traditional task-based ways of operating (Kelsall-Knight &amp; Stevens, 2024). Such</w:t>
      </w:r>
      <w:r w:rsidR="00F526F0" w:rsidRPr="005A56F1">
        <w:rPr>
          <w:rFonts w:ascii="Arial" w:hAnsi="Arial" w:cs="Arial"/>
          <w:sz w:val="22"/>
          <w:szCs w:val="22"/>
        </w:rPr>
        <w:t xml:space="preserve"> staff, especially in community nursing, make it difficult to implement PCC. Summer </w:t>
      </w:r>
      <w:proofErr w:type="spellStart"/>
      <w:r w:rsidR="00F526F0" w:rsidRPr="005A56F1">
        <w:rPr>
          <w:rFonts w:ascii="Arial" w:hAnsi="Arial" w:cs="Arial"/>
          <w:sz w:val="22"/>
          <w:szCs w:val="22"/>
        </w:rPr>
        <w:t>Meranius</w:t>
      </w:r>
      <w:proofErr w:type="spellEnd"/>
      <w:r w:rsidR="00F526F0" w:rsidRPr="005A56F1">
        <w:rPr>
          <w:rFonts w:ascii="Arial" w:hAnsi="Arial" w:cs="Arial"/>
          <w:sz w:val="22"/>
          <w:szCs w:val="22"/>
        </w:rPr>
        <w:t xml:space="preserve"> et al. (2020) also mention high financial costs and potential staff neglect as other limitations to the practice of PCC. Despite the limitations of practicing PCC, it remains the core foundation of contemporary nursing practice in the UK (McCormack &amp; McCance, 2016; 2017).</w:t>
      </w:r>
    </w:p>
    <w:p w14:paraId="5B7BCED0" w14:textId="40D8E00B" w:rsidR="003B77E3" w:rsidRPr="005A56F1" w:rsidRDefault="00790749" w:rsidP="00F6718E">
      <w:pPr>
        <w:pStyle w:val="Heading1"/>
        <w:spacing w:line="360" w:lineRule="auto"/>
        <w:rPr>
          <w:rFonts w:ascii="Arial" w:hAnsi="Arial" w:cs="Arial"/>
          <w:szCs w:val="22"/>
        </w:rPr>
      </w:pPr>
      <w:bookmarkStart w:id="3" w:name="_Toc235961282"/>
      <w:r w:rsidRPr="005A56F1">
        <w:rPr>
          <w:rFonts w:ascii="Arial" w:hAnsi="Arial" w:cs="Arial"/>
          <w:szCs w:val="22"/>
        </w:rPr>
        <w:t>Models of PCC: The McCormack and McCance</w:t>
      </w:r>
      <w:r w:rsidR="005573FE" w:rsidRPr="005A56F1">
        <w:rPr>
          <w:rFonts w:ascii="Arial" w:hAnsi="Arial" w:cs="Arial"/>
          <w:szCs w:val="22"/>
        </w:rPr>
        <w:t xml:space="preserve"> Person Centred Nursing Framework (PCNF)</w:t>
      </w:r>
      <w:bookmarkEnd w:id="3"/>
      <w:r w:rsidRPr="005A56F1">
        <w:rPr>
          <w:rFonts w:ascii="Arial" w:hAnsi="Arial" w:cs="Arial"/>
          <w:szCs w:val="22"/>
        </w:rPr>
        <w:t xml:space="preserve"> </w:t>
      </w:r>
    </w:p>
    <w:p w14:paraId="737889AD" w14:textId="2F313D3C" w:rsidR="003B77E3" w:rsidRPr="005A56F1" w:rsidRDefault="005573FE" w:rsidP="00F6718E">
      <w:pPr>
        <w:spacing w:line="360" w:lineRule="auto"/>
        <w:jc w:val="both"/>
        <w:rPr>
          <w:rFonts w:ascii="Arial" w:hAnsi="Arial" w:cs="Arial"/>
          <w:sz w:val="22"/>
          <w:szCs w:val="22"/>
        </w:rPr>
      </w:pPr>
      <w:r w:rsidRPr="005A56F1">
        <w:rPr>
          <w:rFonts w:ascii="Arial" w:hAnsi="Arial" w:cs="Arial"/>
          <w:sz w:val="22"/>
          <w:szCs w:val="22"/>
        </w:rPr>
        <w:t>According to McCormack and McCance</w:t>
      </w:r>
      <w:r w:rsidR="00742BBD" w:rsidRPr="005A56F1">
        <w:rPr>
          <w:rFonts w:ascii="Arial" w:hAnsi="Arial" w:cs="Arial"/>
          <w:sz w:val="22"/>
          <w:szCs w:val="22"/>
        </w:rPr>
        <w:t>’s</w:t>
      </w:r>
      <w:r w:rsidRPr="005A56F1">
        <w:rPr>
          <w:rFonts w:ascii="Arial" w:hAnsi="Arial" w:cs="Arial"/>
          <w:sz w:val="22"/>
          <w:szCs w:val="22"/>
        </w:rPr>
        <w:t xml:space="preserve"> person centered nursing framework, high-quality </w:t>
      </w:r>
      <w:r w:rsidR="003E65E7" w:rsidRPr="005A56F1">
        <w:rPr>
          <w:rFonts w:ascii="Arial" w:hAnsi="Arial" w:cs="Arial"/>
          <w:sz w:val="22"/>
          <w:szCs w:val="22"/>
        </w:rPr>
        <w:t>person-centred</w:t>
      </w:r>
      <w:r w:rsidRPr="005A56F1">
        <w:rPr>
          <w:rFonts w:ascii="Arial" w:hAnsi="Arial" w:cs="Arial"/>
          <w:sz w:val="22"/>
          <w:szCs w:val="22"/>
        </w:rPr>
        <w:t xml:space="preserve"> care is contingent on four interrelated components of prerequisites, care environment, person-centred processes, and expected outcomes (McCormack &amp; McCance, 2021).</w:t>
      </w:r>
    </w:p>
    <w:p w14:paraId="6F240279" w14:textId="0F01FC7F" w:rsidR="00742BBD" w:rsidRPr="005A56F1" w:rsidRDefault="00742BBD" w:rsidP="00F6718E">
      <w:pPr>
        <w:spacing w:line="360" w:lineRule="auto"/>
        <w:jc w:val="both"/>
        <w:rPr>
          <w:rFonts w:ascii="Arial" w:hAnsi="Arial" w:cs="Arial"/>
          <w:sz w:val="22"/>
          <w:szCs w:val="22"/>
        </w:rPr>
      </w:pPr>
      <w:r w:rsidRPr="005A56F1">
        <w:rPr>
          <w:rFonts w:ascii="Arial" w:hAnsi="Arial" w:cs="Arial"/>
          <w:sz w:val="22"/>
          <w:szCs w:val="22"/>
        </w:rPr>
        <w:t>The prerequisites cover attributes of the practitioner, such as professional competence, interpersonal skills, and clarity of beliefs and values. It generally refers to personal and professional attributes that enable professionals to establish trusting relationships with the service users (McCormack &amp; McCance, 2021). The care environment refers to organi</w:t>
      </w:r>
      <w:r w:rsidR="00363961" w:rsidRPr="005A56F1">
        <w:rPr>
          <w:rFonts w:ascii="Arial" w:hAnsi="Arial" w:cs="Arial"/>
          <w:sz w:val="22"/>
          <w:szCs w:val="22"/>
        </w:rPr>
        <w:t>z</w:t>
      </w:r>
      <w:r w:rsidRPr="005A56F1">
        <w:rPr>
          <w:rFonts w:ascii="Arial" w:hAnsi="Arial" w:cs="Arial"/>
          <w:sz w:val="22"/>
          <w:szCs w:val="22"/>
        </w:rPr>
        <w:t xml:space="preserve">ational factors such as staffing levels, </w:t>
      </w:r>
      <w:r w:rsidR="00363961" w:rsidRPr="005A56F1">
        <w:rPr>
          <w:rFonts w:ascii="Arial" w:hAnsi="Arial" w:cs="Arial"/>
          <w:sz w:val="22"/>
          <w:szCs w:val="22"/>
        </w:rPr>
        <w:t xml:space="preserve">supportive workplace culture, skill mix, and shared decision-making systems that either enable or restrict person-centered practice. Good staff strength, supportive </w:t>
      </w:r>
      <w:r w:rsidR="00363961" w:rsidRPr="005A56F1">
        <w:rPr>
          <w:rFonts w:ascii="Arial" w:hAnsi="Arial" w:cs="Arial"/>
          <w:kern w:val="0"/>
          <w:sz w:val="22"/>
          <w:szCs w:val="22"/>
          <w14:ligatures w14:val="none"/>
        </w:rPr>
        <w:t>culture, and effective leadership promote PCC practice, while inadequate staffing, unsupportive workplace culture, low skill level,</w:t>
      </w:r>
      <w:r w:rsidR="00363961" w:rsidRPr="005A56F1">
        <w:rPr>
          <w:rFonts w:ascii="Arial" w:hAnsi="Arial" w:cs="Arial"/>
          <w:sz w:val="22"/>
          <w:szCs w:val="22"/>
        </w:rPr>
        <w:t xml:space="preserve"> and monopoly decision-making restrict PCC practice</w:t>
      </w:r>
      <w:r w:rsidR="00193808" w:rsidRPr="005A56F1">
        <w:rPr>
          <w:rFonts w:ascii="Arial" w:hAnsi="Arial" w:cs="Arial"/>
          <w:sz w:val="22"/>
          <w:szCs w:val="22"/>
        </w:rPr>
        <w:t xml:space="preserve"> (McCormack &amp; McCance, 2021). The person-centered process, the core of PCC delivery, includes working with the service user’s values and beliefs, engagement in decision-making, and providing holistic care. </w:t>
      </w:r>
      <w:r w:rsidR="00E109FE" w:rsidRPr="005A56F1">
        <w:rPr>
          <w:rFonts w:ascii="Arial" w:hAnsi="Arial" w:cs="Arial"/>
          <w:sz w:val="22"/>
          <w:szCs w:val="22"/>
        </w:rPr>
        <w:t>The last component, the outcome, covers the results of the PCC practice, including patient satisfaction or dissatisfaction and involvement in care decisions. The outcome of satisfaction is attained when the PCC is successfully implemented (McCormack &amp; McCance, 2021).</w:t>
      </w:r>
    </w:p>
    <w:p w14:paraId="64B519E5" w14:textId="0E3970EC" w:rsidR="00E109FE" w:rsidRPr="005A56F1" w:rsidRDefault="00E109FE" w:rsidP="00F6718E">
      <w:pPr>
        <w:spacing w:line="360" w:lineRule="auto"/>
        <w:jc w:val="both"/>
        <w:rPr>
          <w:rFonts w:ascii="Arial" w:hAnsi="Arial" w:cs="Arial"/>
          <w:sz w:val="22"/>
          <w:szCs w:val="22"/>
        </w:rPr>
      </w:pPr>
      <w:r w:rsidRPr="005A56F1">
        <w:rPr>
          <w:rFonts w:ascii="Arial" w:hAnsi="Arial" w:cs="Arial"/>
          <w:sz w:val="22"/>
          <w:szCs w:val="22"/>
        </w:rPr>
        <w:t>The main advantage of this framework, in contrast to other frameworks of theories in PCC, is that it connects the care professionals, the organization, and care processes directly to measurable outcomes (Byrne et al., 2020). This makes i</w:t>
      </w:r>
      <w:r w:rsidR="00327461" w:rsidRPr="005A56F1">
        <w:rPr>
          <w:rFonts w:ascii="Arial" w:hAnsi="Arial" w:cs="Arial"/>
          <w:sz w:val="22"/>
          <w:szCs w:val="22"/>
        </w:rPr>
        <w:t>t</w:t>
      </w:r>
      <w:r w:rsidRPr="005A56F1">
        <w:rPr>
          <w:rFonts w:ascii="Arial" w:hAnsi="Arial" w:cs="Arial"/>
          <w:sz w:val="22"/>
          <w:szCs w:val="22"/>
        </w:rPr>
        <w:t xml:space="preserve"> easy to evaluate the effectiveness of the application of PC.</w:t>
      </w:r>
      <w:r w:rsidR="00F137B6" w:rsidRPr="005A56F1">
        <w:rPr>
          <w:rFonts w:ascii="Arial" w:hAnsi="Arial" w:cs="Arial"/>
          <w:sz w:val="22"/>
          <w:szCs w:val="22"/>
        </w:rPr>
        <w:t xml:space="preserve"> On the other hand, it relies on assumptions which may not hold for many healthcare </w:t>
      </w:r>
      <w:r w:rsidR="00F83089" w:rsidRPr="005A56F1">
        <w:rPr>
          <w:rFonts w:ascii="Arial" w:hAnsi="Arial" w:cs="Arial"/>
          <w:sz w:val="22"/>
          <w:szCs w:val="22"/>
        </w:rPr>
        <w:t>organisation.</w:t>
      </w:r>
      <w:r w:rsidR="00327461" w:rsidRPr="005A56F1">
        <w:rPr>
          <w:rFonts w:ascii="Arial" w:hAnsi="Arial" w:cs="Arial"/>
          <w:sz w:val="22"/>
          <w:szCs w:val="22"/>
        </w:rPr>
        <w:t xml:space="preserve"> For instance, many care facilities in reality lack resources and are understaffed, which effectively reduces the ability to implement meaningful patient engagement. Community nursing </w:t>
      </w:r>
      <w:r w:rsidR="00327461" w:rsidRPr="005A56F1">
        <w:rPr>
          <w:rFonts w:ascii="Arial" w:hAnsi="Arial" w:cs="Arial"/>
          <w:kern w:val="0"/>
          <w:sz w:val="22"/>
          <w:szCs w:val="22"/>
          <w14:ligatures w14:val="none"/>
        </w:rPr>
        <w:t>teams, especially when understaffed, are unable to fully engage with patients as they would with</w:t>
      </w:r>
      <w:r w:rsidR="00327461" w:rsidRPr="005A56F1">
        <w:rPr>
          <w:rFonts w:ascii="Arial" w:hAnsi="Arial" w:cs="Arial"/>
          <w:sz w:val="22"/>
          <w:szCs w:val="22"/>
        </w:rPr>
        <w:t xml:space="preserve"> more staff.</w:t>
      </w:r>
    </w:p>
    <w:p w14:paraId="25872F63" w14:textId="5D5CD056" w:rsidR="00E109FE" w:rsidRPr="005A56F1" w:rsidRDefault="00327461" w:rsidP="00F6718E">
      <w:pPr>
        <w:pStyle w:val="Heading1"/>
        <w:spacing w:line="360" w:lineRule="auto"/>
        <w:rPr>
          <w:rFonts w:ascii="Arial" w:hAnsi="Arial" w:cs="Arial"/>
          <w:szCs w:val="22"/>
        </w:rPr>
      </w:pPr>
      <w:bookmarkStart w:id="4" w:name="_Toc235961283"/>
      <w:r w:rsidRPr="005A56F1">
        <w:rPr>
          <w:rFonts w:ascii="Arial" w:hAnsi="Arial" w:cs="Arial"/>
          <w:szCs w:val="22"/>
        </w:rPr>
        <w:t>Ethical Fundamentals of Health and Social Care</w:t>
      </w:r>
      <w:bookmarkEnd w:id="4"/>
      <w:r w:rsidRPr="005A56F1">
        <w:rPr>
          <w:rFonts w:ascii="Arial" w:hAnsi="Arial" w:cs="Arial"/>
          <w:szCs w:val="22"/>
        </w:rPr>
        <w:t xml:space="preserve"> </w:t>
      </w:r>
    </w:p>
    <w:p w14:paraId="1DA508FC" w14:textId="1CE83564" w:rsidR="003B77E3" w:rsidRPr="005A56F1" w:rsidRDefault="00327461" w:rsidP="00F6718E">
      <w:pPr>
        <w:spacing w:line="360" w:lineRule="auto"/>
        <w:jc w:val="both"/>
        <w:rPr>
          <w:rFonts w:ascii="Arial" w:hAnsi="Arial" w:cs="Arial"/>
          <w:sz w:val="22"/>
          <w:szCs w:val="22"/>
        </w:rPr>
      </w:pPr>
      <w:r w:rsidRPr="005A56F1">
        <w:rPr>
          <w:rFonts w:ascii="Arial" w:hAnsi="Arial" w:cs="Arial"/>
          <w:sz w:val="22"/>
          <w:szCs w:val="22"/>
        </w:rPr>
        <w:t>Ethics are a crucial aspect of nursing practice that all professionals are expected to conform to provide safe</w:t>
      </w:r>
      <w:r w:rsidR="003E65E7" w:rsidRPr="005A56F1">
        <w:rPr>
          <w:rFonts w:ascii="Arial" w:hAnsi="Arial" w:cs="Arial"/>
          <w:sz w:val="22"/>
          <w:szCs w:val="22"/>
        </w:rPr>
        <w:t>, respectful</w:t>
      </w:r>
      <w:r w:rsidR="00BB34E1" w:rsidRPr="005A56F1">
        <w:rPr>
          <w:rFonts w:ascii="Arial" w:hAnsi="Arial" w:cs="Arial"/>
          <w:sz w:val="22"/>
          <w:szCs w:val="22"/>
        </w:rPr>
        <w:t>,</w:t>
      </w:r>
      <w:r w:rsidRPr="005A56F1">
        <w:rPr>
          <w:rFonts w:ascii="Arial" w:hAnsi="Arial" w:cs="Arial"/>
          <w:sz w:val="22"/>
          <w:szCs w:val="22"/>
        </w:rPr>
        <w:t xml:space="preserve"> and compassionate care (Nursing and Midwifery Council [NMC], 2018).</w:t>
      </w:r>
      <w:r w:rsidR="003E65E7" w:rsidRPr="005A56F1">
        <w:rPr>
          <w:rFonts w:ascii="Arial" w:hAnsi="Arial" w:cs="Arial"/>
          <w:sz w:val="22"/>
          <w:szCs w:val="22"/>
        </w:rPr>
        <w:t xml:space="preserve"> By and large, </w:t>
      </w:r>
      <w:r w:rsidR="00BB34E1" w:rsidRPr="005A56F1">
        <w:rPr>
          <w:rFonts w:ascii="Arial" w:hAnsi="Arial" w:cs="Arial"/>
          <w:sz w:val="22"/>
          <w:szCs w:val="22"/>
        </w:rPr>
        <w:t xml:space="preserve">the ethical fundamentals </w:t>
      </w:r>
      <w:r w:rsidR="00BB34E1" w:rsidRPr="005A56F1">
        <w:rPr>
          <w:rFonts w:ascii="Arial" w:hAnsi="Arial" w:cs="Arial"/>
          <w:kern w:val="0"/>
          <w:sz w:val="22"/>
          <w:szCs w:val="22"/>
          <w14:ligatures w14:val="none"/>
        </w:rPr>
        <w:t>of Beauchamp and Childress (2019), four ethical principles of autonomy, beneficence, non-maleficence,</w:t>
      </w:r>
      <w:r w:rsidR="002D1DAE" w:rsidRPr="005A56F1">
        <w:rPr>
          <w:rFonts w:ascii="Arial" w:hAnsi="Arial" w:cs="Arial"/>
          <w:kern w:val="0"/>
          <w:sz w:val="22"/>
          <w:szCs w:val="22"/>
          <w14:ligatures w14:val="none"/>
        </w:rPr>
        <w:t xml:space="preserve"> </w:t>
      </w:r>
      <w:r w:rsidR="00BB34E1" w:rsidRPr="005A56F1">
        <w:rPr>
          <w:rFonts w:ascii="Arial" w:hAnsi="Arial" w:cs="Arial"/>
          <w:kern w:val="0"/>
          <w:sz w:val="22"/>
          <w:szCs w:val="22"/>
          <w14:ligatures w14:val="none"/>
        </w:rPr>
        <w:t>and justice,</w:t>
      </w:r>
      <w:r w:rsidR="00BB34E1" w:rsidRPr="005A56F1">
        <w:rPr>
          <w:rFonts w:ascii="Arial" w:hAnsi="Arial" w:cs="Arial"/>
          <w:sz w:val="22"/>
          <w:szCs w:val="22"/>
        </w:rPr>
        <w:t xml:space="preserve"> form the core ethical foundations in health and social care practice</w:t>
      </w:r>
      <w:r w:rsidR="00010FCB" w:rsidRPr="005A56F1">
        <w:rPr>
          <w:rFonts w:ascii="Arial" w:hAnsi="Arial" w:cs="Arial"/>
          <w:sz w:val="22"/>
          <w:szCs w:val="22"/>
        </w:rPr>
        <w:t xml:space="preserve"> </w:t>
      </w:r>
    </w:p>
    <w:p w14:paraId="26FD9C17" w14:textId="2CBBD83D" w:rsidR="00010FCB" w:rsidRPr="005A56F1" w:rsidRDefault="00010FCB" w:rsidP="00F6718E">
      <w:pPr>
        <w:spacing w:line="360" w:lineRule="auto"/>
        <w:jc w:val="both"/>
        <w:rPr>
          <w:rFonts w:ascii="Arial" w:hAnsi="Arial" w:cs="Arial"/>
          <w:sz w:val="22"/>
          <w:szCs w:val="22"/>
        </w:rPr>
      </w:pPr>
      <w:r w:rsidRPr="005A56F1">
        <w:rPr>
          <w:rFonts w:ascii="Arial" w:hAnsi="Arial" w:cs="Arial"/>
          <w:sz w:val="22"/>
          <w:szCs w:val="22"/>
        </w:rPr>
        <w:t xml:space="preserve">Autonomy reflects the need to respect </w:t>
      </w:r>
      <w:r w:rsidRPr="005A56F1">
        <w:rPr>
          <w:rFonts w:ascii="Arial" w:hAnsi="Arial" w:cs="Arial"/>
          <w:kern w:val="0"/>
          <w:sz w:val="22"/>
          <w:szCs w:val="22"/>
          <w14:ligatures w14:val="none"/>
        </w:rPr>
        <w:t>service users' rights to make informed decisions about their care without the influence of care professionals.</w:t>
      </w:r>
      <w:r w:rsidRPr="005A56F1">
        <w:rPr>
          <w:rFonts w:ascii="Arial" w:hAnsi="Arial" w:cs="Arial"/>
          <w:sz w:val="22"/>
          <w:szCs w:val="22"/>
        </w:rPr>
        <w:t xml:space="preserve"> Beneficence is the requirement for a care professional to act in the best interests of the service user. Non-maleficence, on the other hand, obliges care professionals to desist from causing harm and to carefully consider </w:t>
      </w:r>
      <w:r w:rsidR="004B5AFD" w:rsidRPr="005A56F1">
        <w:rPr>
          <w:rFonts w:ascii="Arial" w:hAnsi="Arial" w:cs="Arial"/>
          <w:sz w:val="22"/>
          <w:szCs w:val="22"/>
        </w:rPr>
        <w:t xml:space="preserve">the </w:t>
      </w:r>
      <w:r w:rsidRPr="005A56F1">
        <w:rPr>
          <w:rFonts w:ascii="Arial" w:hAnsi="Arial" w:cs="Arial"/>
          <w:sz w:val="22"/>
          <w:szCs w:val="22"/>
        </w:rPr>
        <w:t xml:space="preserve">risks and benefits of their interventions. Justice, which is the last, requires the service user to have fair and equitable access to all healthcare services. </w:t>
      </w:r>
    </w:p>
    <w:p w14:paraId="05649EFE" w14:textId="0A049054" w:rsidR="00742BBD" w:rsidRPr="005A56F1" w:rsidRDefault="004B5AFD" w:rsidP="00F6718E">
      <w:pPr>
        <w:spacing w:line="360" w:lineRule="auto"/>
        <w:jc w:val="both"/>
        <w:rPr>
          <w:rFonts w:ascii="Arial" w:hAnsi="Arial" w:cs="Arial"/>
          <w:sz w:val="22"/>
          <w:szCs w:val="22"/>
        </w:rPr>
      </w:pPr>
      <w:r w:rsidRPr="005A56F1">
        <w:rPr>
          <w:rFonts w:ascii="Arial" w:hAnsi="Arial" w:cs="Arial"/>
          <w:sz w:val="22"/>
          <w:szCs w:val="22"/>
        </w:rPr>
        <w:t xml:space="preserve">One key cited strength of these principles is that they are simple and easy to apply in different healthcare situations (Beauchamp and Childress, 2019).  </w:t>
      </w:r>
      <w:r w:rsidR="0036429E" w:rsidRPr="005A56F1">
        <w:rPr>
          <w:rFonts w:ascii="Arial" w:hAnsi="Arial" w:cs="Arial"/>
          <w:sz w:val="22"/>
          <w:szCs w:val="22"/>
        </w:rPr>
        <w:t xml:space="preserve">It is important to note that implementing these ethics may conflict with practice. For instance, having to respect a person’s decision when knowing it leads to harm raises a conflict between autonomy and non-maleficence. Another dilemma is when a service user with mental capacity declines a recommended intervention. This is one of the limitations of these, as it does not provide resolution for conflicts (Johnstone, 2022). In most </w:t>
      </w:r>
      <w:r w:rsidR="0036429E" w:rsidRPr="005A56F1">
        <w:rPr>
          <w:rFonts w:ascii="Arial" w:hAnsi="Arial" w:cs="Arial"/>
          <w:kern w:val="0"/>
          <w:sz w:val="22"/>
          <w:szCs w:val="22"/>
          <w14:ligatures w14:val="none"/>
        </w:rPr>
        <w:t>cases, PW provides a way to resolve these tensions through communication.</w:t>
      </w:r>
      <w:r w:rsidR="0036429E" w:rsidRPr="005A56F1">
        <w:rPr>
          <w:rFonts w:ascii="Arial" w:hAnsi="Arial" w:cs="Arial"/>
          <w:sz w:val="22"/>
          <w:szCs w:val="22"/>
        </w:rPr>
        <w:t xml:space="preserve"> </w:t>
      </w:r>
      <w:r w:rsidR="00B10BFE" w:rsidRPr="005A56F1">
        <w:rPr>
          <w:rFonts w:ascii="Arial" w:hAnsi="Arial" w:cs="Arial"/>
          <w:sz w:val="22"/>
          <w:szCs w:val="22"/>
        </w:rPr>
        <w:t xml:space="preserve">While family members add care, professionals may prioritize safety, the individual may </w:t>
      </w:r>
      <w:proofErr w:type="spellStart"/>
      <w:r w:rsidR="00B10BFE" w:rsidRPr="005A56F1">
        <w:rPr>
          <w:rFonts w:ascii="Arial" w:hAnsi="Arial" w:cs="Arial"/>
          <w:sz w:val="22"/>
          <w:szCs w:val="22"/>
        </w:rPr>
        <w:t>prioritse</w:t>
      </w:r>
      <w:proofErr w:type="spellEnd"/>
      <w:r w:rsidR="00B10BFE" w:rsidRPr="005A56F1">
        <w:rPr>
          <w:rFonts w:ascii="Arial" w:hAnsi="Arial" w:cs="Arial"/>
          <w:sz w:val="22"/>
          <w:szCs w:val="22"/>
        </w:rPr>
        <w:t xml:space="preserve"> autonomy. Regardless, the care professional has a responsibility to promote and ensure safety of the service user as mandated in the Code (NMC, 2018) </w:t>
      </w:r>
    </w:p>
    <w:p w14:paraId="69158E9A" w14:textId="4CC10D9B" w:rsidR="004B5AFD" w:rsidRPr="005A56F1" w:rsidRDefault="004B5AFD" w:rsidP="00F6718E">
      <w:pPr>
        <w:pStyle w:val="Heading1"/>
        <w:spacing w:line="360" w:lineRule="auto"/>
        <w:rPr>
          <w:rFonts w:ascii="Arial" w:hAnsi="Arial" w:cs="Arial"/>
          <w:szCs w:val="22"/>
        </w:rPr>
      </w:pPr>
      <w:bookmarkStart w:id="5" w:name="_Toc235961284"/>
      <w:r w:rsidRPr="005A56F1">
        <w:rPr>
          <w:rFonts w:ascii="Arial" w:hAnsi="Arial" w:cs="Arial"/>
          <w:szCs w:val="22"/>
        </w:rPr>
        <w:t xml:space="preserve">Partnership Working </w:t>
      </w:r>
      <w:r w:rsidR="00B10BFE" w:rsidRPr="005A56F1">
        <w:rPr>
          <w:rFonts w:ascii="Arial" w:hAnsi="Arial" w:cs="Arial"/>
          <w:szCs w:val="22"/>
        </w:rPr>
        <w:t xml:space="preserve">(PW) </w:t>
      </w:r>
      <w:r w:rsidRPr="005A56F1">
        <w:rPr>
          <w:rFonts w:ascii="Arial" w:hAnsi="Arial" w:cs="Arial"/>
          <w:szCs w:val="22"/>
        </w:rPr>
        <w:t>in Health and Social Care</w:t>
      </w:r>
      <w:bookmarkEnd w:id="5"/>
      <w:r w:rsidRPr="005A56F1">
        <w:rPr>
          <w:rFonts w:ascii="Arial" w:hAnsi="Arial" w:cs="Arial"/>
          <w:szCs w:val="22"/>
        </w:rPr>
        <w:t xml:space="preserve"> </w:t>
      </w:r>
    </w:p>
    <w:p w14:paraId="165E9C7E" w14:textId="77777777" w:rsidR="005E3EED" w:rsidRPr="005A56F1" w:rsidRDefault="00B10BFE" w:rsidP="00F6718E">
      <w:pPr>
        <w:spacing w:line="360" w:lineRule="auto"/>
        <w:jc w:val="both"/>
        <w:rPr>
          <w:rFonts w:ascii="Arial" w:hAnsi="Arial" w:cs="Arial"/>
          <w:sz w:val="22"/>
          <w:szCs w:val="22"/>
        </w:rPr>
      </w:pPr>
      <w:r w:rsidRPr="005A56F1">
        <w:rPr>
          <w:rFonts w:ascii="Arial" w:hAnsi="Arial" w:cs="Arial"/>
          <w:sz w:val="22"/>
          <w:szCs w:val="22"/>
        </w:rPr>
        <w:t xml:space="preserve">Partnership working is defined as </w:t>
      </w:r>
      <w:r w:rsidRPr="005A56F1">
        <w:rPr>
          <w:rFonts w:ascii="Arial" w:hAnsi="Arial" w:cs="Arial"/>
          <w:kern w:val="0"/>
          <w:sz w:val="22"/>
          <w:szCs w:val="22"/>
          <w14:ligatures w14:val="none"/>
        </w:rPr>
        <w:t>cooperative working among different care professionals or between care professionals and service users.</w:t>
      </w:r>
      <w:r w:rsidRPr="005A56F1">
        <w:rPr>
          <w:rFonts w:ascii="Arial" w:hAnsi="Arial" w:cs="Arial"/>
          <w:sz w:val="22"/>
          <w:szCs w:val="22"/>
        </w:rPr>
        <w:t xml:space="preserve"> </w:t>
      </w:r>
      <w:r w:rsidR="0006030F" w:rsidRPr="005A56F1">
        <w:rPr>
          <w:rFonts w:ascii="Arial" w:hAnsi="Arial" w:cs="Arial"/>
          <w:sz w:val="22"/>
          <w:szCs w:val="22"/>
        </w:rPr>
        <w:t xml:space="preserve">Glasby and Dickinson (2014) </w:t>
      </w:r>
      <w:r w:rsidR="0006030F" w:rsidRPr="005A56F1">
        <w:rPr>
          <w:rFonts w:ascii="Arial" w:hAnsi="Arial" w:cs="Arial"/>
          <w:kern w:val="0"/>
          <w:sz w:val="22"/>
          <w:szCs w:val="22"/>
          <w14:ligatures w14:val="none"/>
        </w:rPr>
        <w:t>put it as a collaborative approach among professionals, agencies, and service users to</w:t>
      </w:r>
      <w:r w:rsidR="0006030F" w:rsidRPr="005A56F1">
        <w:rPr>
          <w:rFonts w:ascii="Arial" w:hAnsi="Arial" w:cs="Arial"/>
          <w:sz w:val="22"/>
          <w:szCs w:val="22"/>
        </w:rPr>
        <w:t xml:space="preserve"> deliver and evaluate care. The coming into force of the Integrated Care Systems under the Health and Care Act, 2022, heightened the recognition of partnership working in care settings in the UK. As with primary care, the central aim for working in partnership is to provide coordinated care that addresses the complex needs of the service user. </w:t>
      </w:r>
      <w:r w:rsidR="001C027B" w:rsidRPr="005A56F1">
        <w:rPr>
          <w:rFonts w:ascii="Arial" w:hAnsi="Arial" w:cs="Arial"/>
          <w:sz w:val="22"/>
          <w:szCs w:val="22"/>
        </w:rPr>
        <w:t xml:space="preserve">Given the growing demand and complex needs of service users, partnership working has been inescapable. </w:t>
      </w:r>
      <w:r w:rsidR="00BC3F16" w:rsidRPr="005A56F1">
        <w:rPr>
          <w:rFonts w:ascii="Arial" w:hAnsi="Arial" w:cs="Arial"/>
          <w:sz w:val="22"/>
          <w:szCs w:val="22"/>
        </w:rPr>
        <w:t xml:space="preserve">For instance, a single patient may need the services of a psychologist, physiotherapist, tissue viability nurse, </w:t>
      </w:r>
      <w:r w:rsidR="00BD07D1" w:rsidRPr="005A56F1">
        <w:rPr>
          <w:rFonts w:ascii="Arial" w:hAnsi="Arial" w:cs="Arial"/>
          <w:sz w:val="22"/>
          <w:szCs w:val="22"/>
        </w:rPr>
        <w:t>general practitioner</w:t>
      </w:r>
      <w:r w:rsidR="00BC3F16" w:rsidRPr="005A56F1">
        <w:rPr>
          <w:rFonts w:ascii="Arial" w:hAnsi="Arial" w:cs="Arial"/>
          <w:sz w:val="22"/>
          <w:szCs w:val="22"/>
        </w:rPr>
        <w:t>, and social service</w:t>
      </w:r>
      <w:r w:rsidR="00BD07D1" w:rsidRPr="005A56F1">
        <w:rPr>
          <w:rFonts w:ascii="Arial" w:hAnsi="Arial" w:cs="Arial"/>
          <w:sz w:val="22"/>
          <w:szCs w:val="22"/>
        </w:rPr>
        <w:t>s</w:t>
      </w:r>
      <w:r w:rsidR="00BC3F16" w:rsidRPr="005A56F1">
        <w:rPr>
          <w:rFonts w:ascii="Arial" w:hAnsi="Arial" w:cs="Arial"/>
          <w:sz w:val="22"/>
          <w:szCs w:val="22"/>
        </w:rPr>
        <w:t>.</w:t>
      </w:r>
      <w:r w:rsidR="00B94402" w:rsidRPr="005A56F1">
        <w:rPr>
          <w:rFonts w:ascii="Arial" w:hAnsi="Arial" w:cs="Arial"/>
          <w:sz w:val="22"/>
          <w:szCs w:val="22"/>
        </w:rPr>
        <w:t xml:space="preserve"> While </w:t>
      </w:r>
      <w:r w:rsidR="005E3EED" w:rsidRPr="005A56F1">
        <w:rPr>
          <w:rFonts w:ascii="Arial" w:hAnsi="Arial" w:cs="Arial"/>
          <w:sz w:val="22"/>
          <w:szCs w:val="22"/>
        </w:rPr>
        <w:t>PW</w:t>
      </w:r>
      <w:r w:rsidR="00B94402" w:rsidRPr="005A56F1">
        <w:rPr>
          <w:rFonts w:ascii="Arial" w:hAnsi="Arial" w:cs="Arial"/>
          <w:sz w:val="22"/>
          <w:szCs w:val="22"/>
        </w:rPr>
        <w:t xml:space="preserve"> will ensure that such a patient </w:t>
      </w:r>
      <w:r w:rsidR="00BD07D1" w:rsidRPr="005A56F1">
        <w:rPr>
          <w:rFonts w:ascii="Arial" w:hAnsi="Arial" w:cs="Arial"/>
          <w:sz w:val="22"/>
          <w:szCs w:val="22"/>
        </w:rPr>
        <w:t>receive</w:t>
      </w:r>
      <w:r w:rsidR="00B94402" w:rsidRPr="005A56F1">
        <w:rPr>
          <w:rFonts w:ascii="Arial" w:hAnsi="Arial" w:cs="Arial"/>
          <w:sz w:val="22"/>
          <w:szCs w:val="22"/>
        </w:rPr>
        <w:t>s</w:t>
      </w:r>
      <w:r w:rsidR="00C12CEE" w:rsidRPr="005A56F1">
        <w:rPr>
          <w:rFonts w:ascii="Arial" w:hAnsi="Arial" w:cs="Arial"/>
          <w:sz w:val="22"/>
          <w:szCs w:val="22"/>
        </w:rPr>
        <w:t xml:space="preserve"> the required care, it </w:t>
      </w:r>
      <w:r w:rsidR="00BD07D1" w:rsidRPr="005A56F1">
        <w:rPr>
          <w:rFonts w:ascii="Arial" w:hAnsi="Arial" w:cs="Arial"/>
          <w:sz w:val="22"/>
          <w:szCs w:val="22"/>
        </w:rPr>
        <w:t>removes</w:t>
      </w:r>
      <w:r w:rsidR="00C12CEE" w:rsidRPr="005A56F1">
        <w:rPr>
          <w:rFonts w:ascii="Arial" w:hAnsi="Arial" w:cs="Arial"/>
          <w:sz w:val="22"/>
          <w:szCs w:val="22"/>
        </w:rPr>
        <w:t xml:space="preserve"> duplication in the delivery process</w:t>
      </w:r>
      <w:r w:rsidR="00BD07D1" w:rsidRPr="005A56F1">
        <w:rPr>
          <w:rFonts w:ascii="Arial" w:hAnsi="Arial" w:cs="Arial"/>
          <w:sz w:val="22"/>
          <w:szCs w:val="22"/>
        </w:rPr>
        <w:t xml:space="preserve"> and improves continuity of care.</w:t>
      </w:r>
      <w:r w:rsidR="005E3EED" w:rsidRPr="005A56F1">
        <w:rPr>
          <w:rFonts w:ascii="Arial" w:hAnsi="Arial" w:cs="Arial"/>
          <w:sz w:val="22"/>
          <w:szCs w:val="22"/>
        </w:rPr>
        <w:t xml:space="preserve"> </w:t>
      </w:r>
    </w:p>
    <w:p w14:paraId="114BE59A" w14:textId="45BB809A" w:rsidR="00BD07D1" w:rsidRPr="005A56F1" w:rsidRDefault="005E3EED" w:rsidP="00F6718E">
      <w:pPr>
        <w:spacing w:line="360" w:lineRule="auto"/>
        <w:jc w:val="both"/>
        <w:rPr>
          <w:rFonts w:ascii="Arial" w:hAnsi="Arial" w:cs="Arial"/>
          <w:sz w:val="22"/>
          <w:szCs w:val="22"/>
        </w:rPr>
      </w:pPr>
      <w:r w:rsidRPr="005A56F1">
        <w:rPr>
          <w:rFonts w:ascii="Arial" w:hAnsi="Arial" w:cs="Arial"/>
          <w:sz w:val="22"/>
          <w:szCs w:val="22"/>
        </w:rPr>
        <w:t xml:space="preserve">Within community nursing specifically, PW operates most visibly through multidisciplinary team (MDT) working. District nurses routinely collaborate with GPs, social workers, occupational and physiotherapists to deliver care to patients in their own homes. </w:t>
      </w:r>
      <w:r w:rsidR="00BD07D1" w:rsidRPr="005A56F1">
        <w:rPr>
          <w:rFonts w:ascii="Arial" w:hAnsi="Arial" w:cs="Arial"/>
          <w:sz w:val="22"/>
          <w:szCs w:val="22"/>
        </w:rPr>
        <w:t xml:space="preserve">In </w:t>
      </w:r>
      <w:r w:rsidRPr="005A56F1">
        <w:rPr>
          <w:rFonts w:ascii="Arial" w:hAnsi="Arial" w:cs="Arial"/>
          <w:sz w:val="22"/>
          <w:szCs w:val="22"/>
        </w:rPr>
        <w:t>such</w:t>
      </w:r>
      <w:r w:rsidR="00BD07D1" w:rsidRPr="005A56F1">
        <w:rPr>
          <w:rFonts w:ascii="Arial" w:hAnsi="Arial" w:cs="Arial"/>
          <w:sz w:val="22"/>
          <w:szCs w:val="22"/>
        </w:rPr>
        <w:t xml:space="preserve"> settings, PW facilitates the independence of </w:t>
      </w:r>
      <w:r w:rsidR="00BD07D1" w:rsidRPr="005A56F1">
        <w:rPr>
          <w:rFonts w:ascii="Arial" w:hAnsi="Arial" w:cs="Arial"/>
          <w:kern w:val="0"/>
          <w:sz w:val="22"/>
          <w:szCs w:val="22"/>
          <w14:ligatures w14:val="none"/>
        </w:rPr>
        <w:t>individuals with complex care needs who would otherwise be confined to a residential</w:t>
      </w:r>
      <w:r w:rsidR="00BD07D1" w:rsidRPr="005A56F1">
        <w:rPr>
          <w:rFonts w:ascii="Arial" w:hAnsi="Arial" w:cs="Arial"/>
          <w:sz w:val="22"/>
          <w:szCs w:val="22"/>
        </w:rPr>
        <w:t xml:space="preserve"> home. A person may be supported at home by community nurses, occupational therapists, and social workers, improving both outcomes and costs. In essence, PW also saves the service user costs.</w:t>
      </w:r>
      <w:r w:rsidR="007600F9" w:rsidRPr="005A56F1">
        <w:rPr>
          <w:rFonts w:ascii="Arial" w:hAnsi="Arial" w:cs="Arial"/>
          <w:sz w:val="22"/>
          <w:szCs w:val="22"/>
        </w:rPr>
        <w:t xml:space="preserve"> PW and PCC implementation here is made possible through seamless information flow among stakehol</w:t>
      </w:r>
      <w:r w:rsidR="00C9622B" w:rsidRPr="005A56F1">
        <w:rPr>
          <w:rFonts w:ascii="Arial" w:hAnsi="Arial" w:cs="Arial"/>
          <w:sz w:val="22"/>
          <w:szCs w:val="22"/>
        </w:rPr>
        <w:t>d</w:t>
      </w:r>
      <w:r w:rsidR="007600F9" w:rsidRPr="005A56F1">
        <w:rPr>
          <w:rFonts w:ascii="Arial" w:hAnsi="Arial" w:cs="Arial"/>
          <w:sz w:val="22"/>
          <w:szCs w:val="22"/>
        </w:rPr>
        <w:t xml:space="preserve">ers. </w:t>
      </w:r>
    </w:p>
    <w:p w14:paraId="4C2316AE" w14:textId="738D154E" w:rsidR="003D3CBF" w:rsidRPr="005A56F1" w:rsidRDefault="00BD07D1" w:rsidP="007600F9">
      <w:pPr>
        <w:spacing w:line="360" w:lineRule="auto"/>
        <w:jc w:val="both"/>
        <w:rPr>
          <w:rFonts w:ascii="Arial" w:hAnsi="Arial" w:cs="Arial"/>
          <w:sz w:val="22"/>
          <w:szCs w:val="22"/>
        </w:rPr>
      </w:pPr>
      <w:r w:rsidRPr="005A56F1">
        <w:rPr>
          <w:rFonts w:ascii="Arial" w:hAnsi="Arial" w:cs="Arial"/>
          <w:sz w:val="22"/>
          <w:szCs w:val="22"/>
        </w:rPr>
        <w:t xml:space="preserve">Nonetheless, PW has its own limitations. Communication barriers make it difficult to implement PW. This may come not only from language barriers but also from varying Information Technology systems, and inconsistent information sharing patterns especially between different care organisations. </w:t>
      </w:r>
      <w:r w:rsidR="00D70AE7" w:rsidRPr="005A56F1">
        <w:rPr>
          <w:rFonts w:ascii="Arial" w:hAnsi="Arial" w:cs="Arial"/>
          <w:sz w:val="22"/>
          <w:szCs w:val="22"/>
        </w:rPr>
        <w:t xml:space="preserve">Further, information sharing, which is crucial to effective PW, may be restricted by confidentiality requirements and incompatible digital records systems. </w:t>
      </w:r>
      <w:r w:rsidRPr="005A56F1">
        <w:rPr>
          <w:rFonts w:ascii="Arial" w:hAnsi="Arial" w:cs="Arial"/>
          <w:sz w:val="22"/>
          <w:szCs w:val="22"/>
        </w:rPr>
        <w:t xml:space="preserve">Again, in community </w:t>
      </w:r>
      <w:r w:rsidRPr="005A56F1">
        <w:rPr>
          <w:rFonts w:ascii="Arial" w:hAnsi="Arial" w:cs="Arial"/>
          <w:kern w:val="0"/>
          <w:sz w:val="22"/>
          <w:szCs w:val="22"/>
          <w14:ligatures w14:val="none"/>
        </w:rPr>
        <w:t>settings, the service user may encounter multiple professionals from different organisations who may not always be aware of each other</w:t>
      </w:r>
      <w:r w:rsidR="003D3CBF" w:rsidRPr="005A56F1">
        <w:rPr>
          <w:rFonts w:ascii="Arial" w:hAnsi="Arial" w:cs="Arial"/>
          <w:kern w:val="0"/>
          <w:sz w:val="22"/>
          <w:szCs w:val="22"/>
          <w14:ligatures w14:val="none"/>
        </w:rPr>
        <w:t>’</w:t>
      </w:r>
      <w:r w:rsidRPr="005A56F1">
        <w:rPr>
          <w:rFonts w:ascii="Arial" w:hAnsi="Arial" w:cs="Arial"/>
          <w:kern w:val="0"/>
          <w:sz w:val="22"/>
          <w:szCs w:val="22"/>
          <w14:ligatures w14:val="none"/>
        </w:rPr>
        <w:t>s involvement and interventions delivered.</w:t>
      </w:r>
      <w:r w:rsidR="00D70AE7" w:rsidRPr="005A56F1">
        <w:rPr>
          <w:rFonts w:ascii="Arial" w:hAnsi="Arial" w:cs="Arial"/>
          <w:kern w:val="0"/>
          <w:sz w:val="22"/>
          <w:szCs w:val="22"/>
          <w14:ligatures w14:val="none"/>
        </w:rPr>
        <w:t xml:space="preserve"> Overall, while PW improves coordination, continuity, and quality of care, its successful implementation largely rests on effective communication and organizational support.  </w:t>
      </w:r>
    </w:p>
    <w:p w14:paraId="06DE208A" w14:textId="4663231D" w:rsidR="003D3CBF" w:rsidRPr="005A56F1" w:rsidRDefault="003D3CBF" w:rsidP="00F6718E">
      <w:pPr>
        <w:pStyle w:val="Heading1"/>
        <w:spacing w:line="360" w:lineRule="auto"/>
        <w:rPr>
          <w:rFonts w:ascii="Arial" w:hAnsi="Arial" w:cs="Arial"/>
          <w:szCs w:val="22"/>
        </w:rPr>
      </w:pPr>
      <w:bookmarkStart w:id="6" w:name="_Toc235961285"/>
      <w:r w:rsidRPr="005A56F1">
        <w:rPr>
          <w:rFonts w:ascii="Arial" w:hAnsi="Arial" w:cs="Arial"/>
          <w:szCs w:val="22"/>
        </w:rPr>
        <w:t>Policy and Legislation in Relation to PCC and PW</w:t>
      </w:r>
      <w:bookmarkEnd w:id="6"/>
    </w:p>
    <w:p w14:paraId="71174158" w14:textId="77777777" w:rsidR="001C3C0D" w:rsidRPr="005A56F1" w:rsidRDefault="00F052B9" w:rsidP="00F6718E">
      <w:pPr>
        <w:spacing w:line="360" w:lineRule="auto"/>
        <w:jc w:val="both"/>
        <w:rPr>
          <w:rFonts w:ascii="Arial" w:hAnsi="Arial" w:cs="Arial"/>
          <w:sz w:val="22"/>
          <w:szCs w:val="22"/>
        </w:rPr>
      </w:pPr>
      <w:r w:rsidRPr="005A56F1">
        <w:rPr>
          <w:rFonts w:ascii="Arial" w:hAnsi="Arial" w:cs="Arial"/>
          <w:sz w:val="22"/>
          <w:szCs w:val="22"/>
        </w:rPr>
        <w:t xml:space="preserve">In the </w:t>
      </w:r>
      <w:r w:rsidRPr="005A56F1">
        <w:rPr>
          <w:rFonts w:ascii="Arial" w:hAnsi="Arial" w:cs="Arial"/>
          <w:kern w:val="0"/>
          <w:sz w:val="22"/>
          <w:szCs w:val="22"/>
          <w14:ligatures w14:val="none"/>
        </w:rPr>
        <w:t>UK, partnership working and PCC are not delivered in isolation, but rather supported by</w:t>
      </w:r>
      <w:r w:rsidRPr="005A56F1">
        <w:rPr>
          <w:rFonts w:ascii="Arial" w:hAnsi="Arial" w:cs="Arial"/>
          <w:sz w:val="22"/>
          <w:szCs w:val="22"/>
        </w:rPr>
        <w:t xml:space="preserve"> </w:t>
      </w:r>
      <w:r w:rsidR="00654048" w:rsidRPr="005A56F1">
        <w:rPr>
          <w:rFonts w:ascii="Arial" w:hAnsi="Arial" w:cs="Arial"/>
          <w:sz w:val="22"/>
          <w:szCs w:val="22"/>
        </w:rPr>
        <w:t>comprehensive policies a</w:t>
      </w:r>
      <w:r w:rsidR="0017081D" w:rsidRPr="005A56F1">
        <w:rPr>
          <w:rFonts w:ascii="Arial" w:hAnsi="Arial" w:cs="Arial"/>
          <w:sz w:val="22"/>
          <w:szCs w:val="22"/>
        </w:rPr>
        <w:t>nd</w:t>
      </w:r>
      <w:r w:rsidR="00654048" w:rsidRPr="005A56F1">
        <w:rPr>
          <w:rFonts w:ascii="Arial" w:hAnsi="Arial" w:cs="Arial"/>
          <w:sz w:val="22"/>
          <w:szCs w:val="22"/>
        </w:rPr>
        <w:t xml:space="preserve"> </w:t>
      </w:r>
      <w:r w:rsidR="0017081D" w:rsidRPr="005A56F1">
        <w:rPr>
          <w:rFonts w:ascii="Arial" w:hAnsi="Arial" w:cs="Arial"/>
          <w:sz w:val="22"/>
          <w:szCs w:val="22"/>
        </w:rPr>
        <w:t>legislation</w:t>
      </w:r>
      <w:r w:rsidR="00654048" w:rsidRPr="005A56F1">
        <w:rPr>
          <w:rFonts w:ascii="Arial" w:hAnsi="Arial" w:cs="Arial"/>
          <w:sz w:val="22"/>
          <w:szCs w:val="22"/>
        </w:rPr>
        <w:t xml:space="preserve">. </w:t>
      </w:r>
      <w:r w:rsidR="0017081D" w:rsidRPr="005A56F1">
        <w:rPr>
          <w:rFonts w:ascii="Arial" w:hAnsi="Arial" w:cs="Arial"/>
          <w:sz w:val="22"/>
          <w:szCs w:val="22"/>
        </w:rPr>
        <w:t xml:space="preserve">Among such legislation is the Care Act 2014 and the Health and Social Care Act 2012. The Health and Social Care Act 2012 restructured the NHS in England with the aim of improving health outcomes, increasing patient involvement, and promoting integration between users and care providers (Health and Care Act, 2012). This legislation promotes PCC by requiring care providers to involve service users in decisions about their care, </w:t>
      </w:r>
      <w:r w:rsidR="00B27806" w:rsidRPr="005A56F1">
        <w:rPr>
          <w:rFonts w:ascii="Arial" w:hAnsi="Arial" w:cs="Arial"/>
          <w:sz w:val="22"/>
          <w:szCs w:val="22"/>
        </w:rPr>
        <w:t xml:space="preserve">popularising the “no decision about me, without me” </w:t>
      </w:r>
      <w:r w:rsidR="009768EE" w:rsidRPr="005A56F1">
        <w:rPr>
          <w:rFonts w:ascii="Arial" w:hAnsi="Arial" w:cs="Arial"/>
          <w:sz w:val="22"/>
          <w:szCs w:val="22"/>
        </w:rPr>
        <w:t>catchphrase, and</w:t>
      </w:r>
      <w:r w:rsidR="0017081D" w:rsidRPr="005A56F1">
        <w:rPr>
          <w:rFonts w:ascii="Arial" w:hAnsi="Arial" w:cs="Arial"/>
          <w:sz w:val="22"/>
          <w:szCs w:val="22"/>
        </w:rPr>
        <w:t xml:space="preserve"> promotes PW by encouraging closer cooperation between NHS organisations, local authorities, and stakeholders. </w:t>
      </w:r>
      <w:r w:rsidR="009768EE" w:rsidRPr="005A56F1">
        <w:rPr>
          <w:rFonts w:ascii="Arial" w:hAnsi="Arial" w:cs="Arial"/>
          <w:sz w:val="22"/>
          <w:szCs w:val="22"/>
        </w:rPr>
        <w:t xml:space="preserve">For example, in community settings this </w:t>
      </w:r>
      <w:r w:rsidR="001C3C0D" w:rsidRPr="005A56F1">
        <w:rPr>
          <w:rFonts w:ascii="Arial" w:hAnsi="Arial" w:cs="Arial"/>
          <w:sz w:val="22"/>
          <w:szCs w:val="22"/>
        </w:rPr>
        <w:t xml:space="preserve">is reflected in practices such as agreeing care plans collaboratively with patients in their homes rather than imposing a care </w:t>
      </w:r>
      <w:proofErr w:type="spellStart"/>
      <w:r w:rsidR="001C3C0D" w:rsidRPr="005A56F1">
        <w:rPr>
          <w:rFonts w:ascii="Arial" w:hAnsi="Arial" w:cs="Arial"/>
          <w:sz w:val="22"/>
          <w:szCs w:val="22"/>
        </w:rPr>
        <w:t>pathways.</w:t>
      </w:r>
      <w:r w:rsidR="00B27806" w:rsidRPr="005A56F1">
        <w:rPr>
          <w:rFonts w:ascii="Arial" w:hAnsi="Arial" w:cs="Arial"/>
          <w:sz w:val="22"/>
          <w:szCs w:val="22"/>
        </w:rPr>
        <w:t>More</w:t>
      </w:r>
      <w:proofErr w:type="spellEnd"/>
      <w:r w:rsidR="00B27806" w:rsidRPr="005A56F1">
        <w:rPr>
          <w:rFonts w:ascii="Arial" w:hAnsi="Arial" w:cs="Arial"/>
          <w:sz w:val="22"/>
          <w:szCs w:val="22"/>
        </w:rPr>
        <w:t xml:space="preserve"> recently, the introduction of the Integrated Care System (2022) in the Health and Care Act 2012 has increased recognition of partnership working</w:t>
      </w:r>
      <w:r w:rsidR="009768EE" w:rsidRPr="005A56F1">
        <w:rPr>
          <w:rFonts w:ascii="Arial" w:hAnsi="Arial" w:cs="Arial"/>
          <w:sz w:val="22"/>
          <w:szCs w:val="22"/>
        </w:rPr>
        <w:t xml:space="preserve"> in healthcare</w:t>
      </w:r>
      <w:r w:rsidR="00B27806" w:rsidRPr="005A56F1">
        <w:rPr>
          <w:rFonts w:ascii="Arial" w:hAnsi="Arial" w:cs="Arial"/>
          <w:sz w:val="22"/>
          <w:szCs w:val="22"/>
        </w:rPr>
        <w:t xml:space="preserve">. </w:t>
      </w:r>
      <w:r w:rsidR="001C3C0D" w:rsidRPr="005A56F1">
        <w:rPr>
          <w:rFonts w:ascii="Arial" w:hAnsi="Arial" w:cs="Arial"/>
          <w:sz w:val="22"/>
          <w:szCs w:val="22"/>
        </w:rPr>
        <w:t xml:space="preserve">This means that community </w:t>
      </w:r>
      <w:r w:rsidR="001C3C0D" w:rsidRPr="005A56F1">
        <w:rPr>
          <w:rFonts w:ascii="Arial" w:hAnsi="Arial" w:cs="Arial"/>
          <w:kern w:val="0"/>
          <w:sz w:val="22"/>
          <w:szCs w:val="22"/>
          <w14:ligatures w14:val="none"/>
        </w:rPr>
        <w:t>nursing teams, which were regarded as informal arrangements in care delivery, are now regarded as formal components of the</w:t>
      </w:r>
      <w:r w:rsidR="001C3C0D" w:rsidRPr="005A56F1">
        <w:rPr>
          <w:rFonts w:ascii="Arial" w:hAnsi="Arial" w:cs="Arial"/>
          <w:sz w:val="22"/>
          <w:szCs w:val="22"/>
        </w:rPr>
        <w:t xml:space="preserve"> care delivery process.  </w:t>
      </w:r>
    </w:p>
    <w:p w14:paraId="1ED28E03" w14:textId="467EC071" w:rsidR="009768EE" w:rsidRPr="005A56F1" w:rsidRDefault="00B27806" w:rsidP="00F6718E">
      <w:pPr>
        <w:spacing w:line="360" w:lineRule="auto"/>
        <w:jc w:val="both"/>
        <w:rPr>
          <w:rFonts w:ascii="Arial" w:hAnsi="Arial" w:cs="Arial"/>
          <w:sz w:val="22"/>
          <w:szCs w:val="22"/>
        </w:rPr>
      </w:pPr>
      <w:r w:rsidRPr="005A56F1">
        <w:rPr>
          <w:rFonts w:ascii="Arial" w:hAnsi="Arial" w:cs="Arial"/>
          <w:sz w:val="22"/>
          <w:szCs w:val="22"/>
        </w:rPr>
        <w:t xml:space="preserve">The Care Act (2014), on the other hand, is the main legislation governing adult social care in England. It places the individual wellbeing at the center of care delivery, requiring stakeholders to promote personal choice, independence, and active involvement in care planning. </w:t>
      </w:r>
      <w:r w:rsidR="009768EE" w:rsidRPr="005A56F1">
        <w:rPr>
          <w:rFonts w:ascii="Arial" w:hAnsi="Arial" w:cs="Arial"/>
          <w:sz w:val="22"/>
          <w:szCs w:val="22"/>
        </w:rPr>
        <w:t>Both legislation</w:t>
      </w:r>
      <w:r w:rsidR="001C3C0D" w:rsidRPr="005A56F1">
        <w:rPr>
          <w:rFonts w:ascii="Arial" w:hAnsi="Arial" w:cs="Arial"/>
          <w:sz w:val="22"/>
          <w:szCs w:val="22"/>
        </w:rPr>
        <w:t>s</w:t>
      </w:r>
      <w:r w:rsidR="009768EE" w:rsidRPr="005A56F1">
        <w:rPr>
          <w:rFonts w:ascii="Arial" w:hAnsi="Arial" w:cs="Arial"/>
          <w:sz w:val="22"/>
          <w:szCs w:val="22"/>
        </w:rPr>
        <w:t xml:space="preserve"> reinforce PCC and PW in healthcare.</w:t>
      </w:r>
      <w:r w:rsidR="001C3C0D" w:rsidRPr="005A56F1">
        <w:rPr>
          <w:rFonts w:ascii="Arial" w:hAnsi="Arial" w:cs="Arial"/>
          <w:sz w:val="22"/>
          <w:szCs w:val="22"/>
        </w:rPr>
        <w:t xml:space="preserve"> </w:t>
      </w:r>
      <w:r w:rsidR="009768EE" w:rsidRPr="005A56F1">
        <w:rPr>
          <w:rFonts w:ascii="Arial" w:hAnsi="Arial" w:cs="Arial"/>
          <w:sz w:val="22"/>
          <w:szCs w:val="22"/>
        </w:rPr>
        <w:t xml:space="preserve">Similarly, </w:t>
      </w:r>
      <w:r w:rsidR="001C3C0D" w:rsidRPr="005A56F1">
        <w:rPr>
          <w:rFonts w:ascii="Arial" w:hAnsi="Arial" w:cs="Arial"/>
          <w:sz w:val="22"/>
          <w:szCs w:val="22"/>
        </w:rPr>
        <w:t xml:space="preserve">the Equality Act (2010), another piece of legislation supporting PCC and PW, protects individuals from discrimination and promotes equitable access to health and social services regardless of demographic characteristics such as age, disability, and gender. The legislation aligns with the ethical principle of justice and ensures the delivery of PCC. In a community nursing setting, the Equality Act (2010) will require teams to arrange interpreters for persons in events where there is a language barrier between care professionals and service users. </w:t>
      </w:r>
    </w:p>
    <w:p w14:paraId="20BDD744" w14:textId="7F4BE623" w:rsidR="00B27806" w:rsidRPr="005A56F1" w:rsidRDefault="001C3C0D" w:rsidP="00F6718E">
      <w:pPr>
        <w:spacing w:line="360" w:lineRule="auto"/>
        <w:jc w:val="both"/>
        <w:rPr>
          <w:rFonts w:ascii="Arial" w:hAnsi="Arial" w:cs="Arial"/>
          <w:sz w:val="22"/>
          <w:szCs w:val="22"/>
        </w:rPr>
      </w:pPr>
      <w:r w:rsidRPr="005A56F1">
        <w:rPr>
          <w:rFonts w:ascii="Arial" w:hAnsi="Arial" w:cs="Arial"/>
          <w:sz w:val="22"/>
          <w:szCs w:val="22"/>
        </w:rPr>
        <w:t>These policies promote PW and PCC rather than hinder their implementation. Nonetheless, they have their own limitations</w:t>
      </w:r>
      <w:r w:rsidR="009B7019" w:rsidRPr="005A56F1">
        <w:rPr>
          <w:rFonts w:ascii="Arial" w:hAnsi="Arial" w:cs="Arial"/>
          <w:sz w:val="22"/>
          <w:szCs w:val="22"/>
        </w:rPr>
        <w:t xml:space="preserve">. For instance, although the Care ACT 2014 requires practitioners to prioritize individual wellness, limited funding and resources can make it difficult to provide all the services or choices a service user wants. The individual’s preferences are duly acknowledged but not fully achieved in practice. </w:t>
      </w:r>
    </w:p>
    <w:p w14:paraId="6FB0991E" w14:textId="016FFE7C" w:rsidR="003D3CBF" w:rsidRPr="005A56F1" w:rsidRDefault="003D3CBF" w:rsidP="00F6718E">
      <w:pPr>
        <w:pStyle w:val="Heading1"/>
        <w:spacing w:line="360" w:lineRule="auto"/>
        <w:rPr>
          <w:rFonts w:ascii="Arial" w:hAnsi="Arial" w:cs="Arial"/>
          <w:szCs w:val="22"/>
        </w:rPr>
      </w:pPr>
      <w:bookmarkStart w:id="7" w:name="_Toc235961286"/>
      <w:r w:rsidRPr="005A56F1">
        <w:rPr>
          <w:rFonts w:ascii="Arial" w:hAnsi="Arial" w:cs="Arial"/>
          <w:szCs w:val="22"/>
        </w:rPr>
        <w:t>Recommendations for Future Development</w:t>
      </w:r>
      <w:bookmarkEnd w:id="7"/>
      <w:r w:rsidRPr="005A56F1">
        <w:rPr>
          <w:rFonts w:ascii="Arial" w:hAnsi="Arial" w:cs="Arial"/>
          <w:szCs w:val="22"/>
        </w:rPr>
        <w:t xml:space="preserve"> </w:t>
      </w:r>
    </w:p>
    <w:p w14:paraId="625EFF83" w14:textId="7FA7AFDE" w:rsidR="00F77363" w:rsidRPr="005A56F1" w:rsidRDefault="00F05982" w:rsidP="00F6718E">
      <w:pPr>
        <w:spacing w:line="360" w:lineRule="auto"/>
        <w:jc w:val="both"/>
        <w:rPr>
          <w:rFonts w:ascii="Arial" w:hAnsi="Arial" w:cs="Arial"/>
          <w:sz w:val="22"/>
          <w:szCs w:val="22"/>
        </w:rPr>
      </w:pPr>
      <w:r w:rsidRPr="005A56F1">
        <w:rPr>
          <w:rFonts w:ascii="Arial" w:hAnsi="Arial" w:cs="Arial"/>
          <w:sz w:val="22"/>
          <w:szCs w:val="22"/>
        </w:rPr>
        <w:t xml:space="preserve">Building on the identified gaps in this report, targeted improvements for PCC delivery and PW should focus on workforce capacity, communication, and adequate funding. </w:t>
      </w:r>
    </w:p>
    <w:p w14:paraId="24CB7682" w14:textId="6F909C0F" w:rsidR="00C01DE6" w:rsidRPr="005A56F1" w:rsidRDefault="00F77363" w:rsidP="00F6718E">
      <w:pPr>
        <w:spacing w:line="360" w:lineRule="auto"/>
        <w:jc w:val="both"/>
        <w:rPr>
          <w:rFonts w:ascii="Arial" w:hAnsi="Arial" w:cs="Arial"/>
          <w:sz w:val="22"/>
          <w:szCs w:val="22"/>
        </w:rPr>
      </w:pPr>
      <w:r w:rsidRPr="005A56F1">
        <w:rPr>
          <w:rFonts w:ascii="Arial" w:hAnsi="Arial" w:cs="Arial"/>
          <w:sz w:val="22"/>
          <w:szCs w:val="22"/>
        </w:rPr>
        <w:t>First and foremost,</w:t>
      </w:r>
      <w:r w:rsidR="00E830D0" w:rsidRPr="005A56F1">
        <w:rPr>
          <w:rFonts w:ascii="Arial" w:hAnsi="Arial" w:cs="Arial"/>
          <w:sz w:val="22"/>
          <w:szCs w:val="22"/>
        </w:rPr>
        <w:t xml:space="preserve"> the evidence suggests inadequate</w:t>
      </w:r>
      <w:r w:rsidRPr="005A56F1">
        <w:rPr>
          <w:rFonts w:ascii="Arial" w:hAnsi="Arial" w:cs="Arial"/>
          <w:sz w:val="22"/>
          <w:szCs w:val="22"/>
        </w:rPr>
        <w:t xml:space="preserve"> </w:t>
      </w:r>
      <w:r w:rsidR="00E830D0" w:rsidRPr="005A56F1">
        <w:rPr>
          <w:rFonts w:ascii="Arial" w:hAnsi="Arial" w:cs="Arial"/>
          <w:sz w:val="22"/>
          <w:szCs w:val="22"/>
        </w:rPr>
        <w:t xml:space="preserve">workforce in community nursing impedes the delivery of PCC (Dixon-Woods et al., 2024). Therefore, </w:t>
      </w:r>
      <w:r w:rsidRPr="005A56F1">
        <w:rPr>
          <w:rFonts w:ascii="Arial" w:hAnsi="Arial" w:cs="Arial"/>
          <w:sz w:val="22"/>
          <w:szCs w:val="22"/>
        </w:rPr>
        <w:t>there should be a deliberate increase in investment towards community nursing</w:t>
      </w:r>
      <w:r w:rsidR="00E830D0" w:rsidRPr="005A56F1">
        <w:rPr>
          <w:rFonts w:ascii="Arial" w:hAnsi="Arial" w:cs="Arial"/>
          <w:sz w:val="22"/>
          <w:szCs w:val="22"/>
        </w:rPr>
        <w:t xml:space="preserve">. This implies an increase in recruitment and retention strategies to attract new employees and retain existing ones. Secondly, </w:t>
      </w:r>
      <w:r w:rsidR="008B5286" w:rsidRPr="005A56F1">
        <w:rPr>
          <w:rFonts w:ascii="Arial" w:hAnsi="Arial" w:cs="Arial"/>
          <w:sz w:val="22"/>
          <w:szCs w:val="22"/>
        </w:rPr>
        <w:t xml:space="preserve">communication is among the problem that limits the success of PCC and PW (Kelsall-Knight &amp; Stevens, 2024). On this score, interoperable records management should be implemented to ease and standardise communication across different stakeholders in PCC and PW. This would ensure up-to-date and accurate information is shared with community nurses.  Lastly, policymakers and organisations should ensure adequate funding for community nursing to ensure full implementation of assessments. </w:t>
      </w:r>
      <w:r w:rsidR="003F79CE" w:rsidRPr="005A56F1">
        <w:rPr>
          <w:rFonts w:ascii="Arial" w:hAnsi="Arial" w:cs="Arial"/>
          <w:sz w:val="22"/>
          <w:szCs w:val="22"/>
        </w:rPr>
        <w:t>In particular</w:t>
      </w:r>
      <w:r w:rsidR="008B5286" w:rsidRPr="005A56F1">
        <w:rPr>
          <w:rFonts w:ascii="Arial" w:hAnsi="Arial" w:cs="Arial"/>
          <w:sz w:val="22"/>
          <w:szCs w:val="22"/>
        </w:rPr>
        <w:t xml:space="preserve">, policymakers should ensure that the Care Act 2014 and NHS </w:t>
      </w:r>
      <w:r w:rsidR="003F79CE" w:rsidRPr="005A56F1">
        <w:rPr>
          <w:rFonts w:ascii="Arial" w:hAnsi="Arial" w:cs="Arial"/>
          <w:sz w:val="22"/>
          <w:szCs w:val="22"/>
        </w:rPr>
        <w:t>funding</w:t>
      </w:r>
      <w:r w:rsidR="008B5286" w:rsidRPr="005A56F1">
        <w:rPr>
          <w:rFonts w:ascii="Arial" w:hAnsi="Arial" w:cs="Arial"/>
          <w:sz w:val="22"/>
          <w:szCs w:val="22"/>
        </w:rPr>
        <w:t xml:space="preserve"> arrangement</w:t>
      </w:r>
      <w:r w:rsidR="003F79CE" w:rsidRPr="005A56F1">
        <w:rPr>
          <w:rFonts w:ascii="Arial" w:hAnsi="Arial" w:cs="Arial"/>
          <w:sz w:val="22"/>
          <w:szCs w:val="22"/>
        </w:rPr>
        <w:t>s</w:t>
      </w:r>
      <w:r w:rsidR="008B5286" w:rsidRPr="005A56F1">
        <w:rPr>
          <w:rFonts w:ascii="Arial" w:hAnsi="Arial" w:cs="Arial"/>
          <w:sz w:val="22"/>
          <w:szCs w:val="22"/>
        </w:rPr>
        <w:t xml:space="preserve"> are </w:t>
      </w:r>
      <w:r w:rsidR="003F79CE" w:rsidRPr="005A56F1">
        <w:rPr>
          <w:rFonts w:ascii="Arial" w:hAnsi="Arial" w:cs="Arial"/>
          <w:sz w:val="22"/>
          <w:szCs w:val="22"/>
        </w:rPr>
        <w:t>aligned</w:t>
      </w:r>
      <w:r w:rsidR="008B5286" w:rsidRPr="005A56F1">
        <w:rPr>
          <w:rFonts w:ascii="Arial" w:hAnsi="Arial" w:cs="Arial"/>
          <w:sz w:val="22"/>
          <w:szCs w:val="22"/>
        </w:rPr>
        <w:t xml:space="preserve"> so that people receive</w:t>
      </w:r>
      <w:r w:rsidR="003F79CE" w:rsidRPr="005A56F1">
        <w:rPr>
          <w:rFonts w:ascii="Arial" w:hAnsi="Arial" w:cs="Arial"/>
          <w:sz w:val="22"/>
          <w:szCs w:val="22"/>
        </w:rPr>
        <w:t xml:space="preserve"> support based</w:t>
      </w:r>
      <w:r w:rsidR="008B5286" w:rsidRPr="005A56F1">
        <w:rPr>
          <w:rFonts w:ascii="Arial" w:hAnsi="Arial" w:cs="Arial"/>
          <w:sz w:val="22"/>
          <w:szCs w:val="22"/>
        </w:rPr>
        <w:t xml:space="preserve"> on what matters to them rather than </w:t>
      </w:r>
      <w:r w:rsidR="003F79CE" w:rsidRPr="005A56F1">
        <w:rPr>
          <w:rFonts w:ascii="Arial" w:hAnsi="Arial" w:cs="Arial"/>
          <w:sz w:val="22"/>
          <w:szCs w:val="22"/>
        </w:rPr>
        <w:t xml:space="preserve">on </w:t>
      </w:r>
      <w:r w:rsidR="008B5286" w:rsidRPr="005A56F1">
        <w:rPr>
          <w:rFonts w:ascii="Arial" w:hAnsi="Arial" w:cs="Arial"/>
          <w:sz w:val="22"/>
          <w:szCs w:val="22"/>
        </w:rPr>
        <w:t xml:space="preserve">what services can afford to provide. </w:t>
      </w:r>
    </w:p>
    <w:p w14:paraId="653E8E39" w14:textId="43869131" w:rsidR="00F05982" w:rsidRPr="005A56F1" w:rsidRDefault="003F79CE" w:rsidP="005A56F1">
      <w:pPr>
        <w:pStyle w:val="Heading1"/>
        <w:rPr>
          <w:rFonts w:ascii="Arial" w:hAnsi="Arial" w:cs="Arial"/>
          <w:szCs w:val="22"/>
        </w:rPr>
      </w:pPr>
      <w:bookmarkStart w:id="8" w:name="_Toc235961287"/>
      <w:r w:rsidRPr="005A56F1">
        <w:rPr>
          <w:rFonts w:ascii="Arial" w:hAnsi="Arial" w:cs="Arial"/>
          <w:szCs w:val="22"/>
        </w:rPr>
        <w:t>Conclusion</w:t>
      </w:r>
      <w:bookmarkEnd w:id="8"/>
    </w:p>
    <w:p w14:paraId="4C97BABB" w14:textId="4BFFEBBA" w:rsidR="006A1221" w:rsidRPr="005A56F1" w:rsidRDefault="003F79CE" w:rsidP="00F6718E">
      <w:pPr>
        <w:spacing w:line="360" w:lineRule="auto"/>
        <w:jc w:val="both"/>
        <w:rPr>
          <w:rFonts w:ascii="Arial" w:hAnsi="Arial" w:cs="Arial"/>
          <w:sz w:val="22"/>
          <w:szCs w:val="22"/>
        </w:rPr>
      </w:pPr>
      <w:r w:rsidRPr="005A56F1">
        <w:rPr>
          <w:rFonts w:ascii="Arial" w:hAnsi="Arial" w:cs="Arial"/>
          <w:sz w:val="22"/>
          <w:szCs w:val="22"/>
        </w:rPr>
        <w:t xml:space="preserve">This report examined PCC and partnership working within the community nursing setting, explored the theoretical foundation, ethical dimension, and legislative context. </w:t>
      </w:r>
      <w:r w:rsidRPr="005A56F1">
        <w:rPr>
          <w:rFonts w:ascii="Arial" w:hAnsi="Arial" w:cs="Arial"/>
          <w:kern w:val="0"/>
          <w:sz w:val="22"/>
          <w:szCs w:val="22"/>
          <w14:ligatures w14:val="none"/>
        </w:rPr>
        <w:t>Overall, the report demonstrates that person-centered care and partnership working are fundamental to delivering safe, coordinated care within a community</w:t>
      </w:r>
      <w:r w:rsidRPr="005A56F1">
        <w:rPr>
          <w:rFonts w:ascii="Arial" w:hAnsi="Arial" w:cs="Arial"/>
          <w:sz w:val="22"/>
          <w:szCs w:val="22"/>
        </w:rPr>
        <w:t xml:space="preserve"> nursing context. Further, communication and funding are critical to the effective implementation of PCC and PW. </w:t>
      </w:r>
    </w:p>
    <w:p w14:paraId="54A4A94E" w14:textId="7847893B" w:rsidR="00F05982" w:rsidRPr="005A56F1" w:rsidRDefault="006A1221" w:rsidP="00F6718E">
      <w:pPr>
        <w:spacing w:line="360" w:lineRule="auto"/>
        <w:rPr>
          <w:rFonts w:ascii="Arial" w:hAnsi="Arial" w:cs="Arial"/>
          <w:sz w:val="22"/>
          <w:szCs w:val="22"/>
        </w:rPr>
      </w:pPr>
      <w:r w:rsidRPr="005A56F1">
        <w:rPr>
          <w:rFonts w:ascii="Arial" w:hAnsi="Arial" w:cs="Arial"/>
          <w:sz w:val="22"/>
          <w:szCs w:val="22"/>
        </w:rPr>
        <w:br w:type="page"/>
      </w:r>
    </w:p>
    <w:p w14:paraId="1F2192F6" w14:textId="2BE4CE1B" w:rsidR="003B77E3" w:rsidRDefault="003B77E3" w:rsidP="00342B3B">
      <w:pPr>
        <w:pStyle w:val="Heading1"/>
        <w:jc w:val="center"/>
      </w:pPr>
      <w:bookmarkStart w:id="9" w:name="_Toc235961288"/>
      <w:r w:rsidRPr="00EC23D9">
        <w:t>References</w:t>
      </w:r>
      <w:bookmarkEnd w:id="9"/>
    </w:p>
    <w:p w14:paraId="464D21AE" w14:textId="77777777" w:rsidR="00F6718E" w:rsidRPr="00F6718E" w:rsidRDefault="00F6718E" w:rsidP="00F6718E">
      <w:pPr>
        <w:spacing w:before="240"/>
        <w:jc w:val="both"/>
        <w:rPr>
          <w:rFonts w:ascii="Arial" w:hAnsi="Arial" w:cs="Arial"/>
          <w:sz w:val="22"/>
          <w:szCs w:val="22"/>
        </w:rPr>
      </w:pPr>
      <w:r w:rsidRPr="00F6718E">
        <w:rPr>
          <w:rFonts w:ascii="Arial" w:hAnsi="Arial" w:cs="Arial"/>
          <w:sz w:val="22"/>
          <w:szCs w:val="22"/>
        </w:rPr>
        <w:t xml:space="preserve">Beauchamp, T. and Childress, J., 2019. Principles of biomedical ethics: marking its fortieth anniversary. </w:t>
      </w:r>
      <w:r w:rsidRPr="00F6718E">
        <w:rPr>
          <w:rFonts w:ascii="Arial" w:hAnsi="Arial" w:cs="Arial"/>
          <w:i/>
          <w:iCs/>
          <w:sz w:val="22"/>
          <w:szCs w:val="22"/>
        </w:rPr>
        <w:t>The American Journal of Bioethics</w:t>
      </w:r>
      <w:r w:rsidRPr="00F6718E">
        <w:rPr>
          <w:rFonts w:ascii="Arial" w:hAnsi="Arial" w:cs="Arial"/>
          <w:sz w:val="22"/>
          <w:szCs w:val="22"/>
        </w:rPr>
        <w:t>, 19(11), pp.9-12.</w:t>
      </w:r>
    </w:p>
    <w:p w14:paraId="1811E748" w14:textId="77777777" w:rsidR="00F6718E" w:rsidRPr="00F6718E" w:rsidRDefault="00F6718E" w:rsidP="00F6718E">
      <w:pPr>
        <w:spacing w:before="240" w:line="360" w:lineRule="auto"/>
        <w:jc w:val="both"/>
        <w:rPr>
          <w:rFonts w:ascii="Arial" w:hAnsi="Arial" w:cs="Arial"/>
          <w:sz w:val="22"/>
          <w:szCs w:val="22"/>
        </w:rPr>
      </w:pPr>
      <w:r w:rsidRPr="00F6718E">
        <w:rPr>
          <w:rFonts w:ascii="Arial" w:hAnsi="Arial" w:cs="Arial"/>
          <w:sz w:val="22"/>
          <w:szCs w:val="22"/>
        </w:rPr>
        <w:t xml:space="preserve">Byrne, A.L., Baldwin, A. and Harvey, C., 2020. Whose centre is it anyway? Defining person-centred care in nursing: An integrative review. </w:t>
      </w:r>
      <w:proofErr w:type="spellStart"/>
      <w:r w:rsidRPr="00F6718E">
        <w:rPr>
          <w:rFonts w:ascii="Arial" w:hAnsi="Arial" w:cs="Arial"/>
          <w:i/>
          <w:iCs/>
          <w:sz w:val="22"/>
          <w:szCs w:val="22"/>
        </w:rPr>
        <w:t>PloS</w:t>
      </w:r>
      <w:proofErr w:type="spellEnd"/>
      <w:r w:rsidRPr="00F6718E">
        <w:rPr>
          <w:rFonts w:ascii="Arial" w:hAnsi="Arial" w:cs="Arial"/>
          <w:i/>
          <w:iCs/>
          <w:sz w:val="22"/>
          <w:szCs w:val="22"/>
        </w:rPr>
        <w:t xml:space="preserve"> one</w:t>
      </w:r>
      <w:r w:rsidRPr="00F6718E">
        <w:rPr>
          <w:rFonts w:ascii="Arial" w:hAnsi="Arial" w:cs="Arial"/>
          <w:sz w:val="22"/>
          <w:szCs w:val="22"/>
        </w:rPr>
        <w:t>, 15(3), p.e0229923.</w:t>
      </w:r>
    </w:p>
    <w:p w14:paraId="00BD07E1" w14:textId="233FA4FB" w:rsidR="00F23B11" w:rsidRPr="00F6718E" w:rsidRDefault="00F6718E" w:rsidP="00F6718E">
      <w:pPr>
        <w:spacing w:before="240"/>
        <w:jc w:val="both"/>
        <w:rPr>
          <w:rFonts w:ascii="Arial" w:hAnsi="Arial" w:cs="Arial"/>
          <w:sz w:val="22"/>
          <w:szCs w:val="22"/>
        </w:rPr>
      </w:pPr>
      <w:r w:rsidRPr="00F6718E">
        <w:rPr>
          <w:rFonts w:ascii="Arial" w:hAnsi="Arial" w:cs="Arial"/>
          <w:sz w:val="22"/>
          <w:szCs w:val="22"/>
        </w:rPr>
        <w:t>Care Act 2014</w:t>
      </w:r>
      <w:r w:rsidR="00F23B11">
        <w:rPr>
          <w:rFonts w:ascii="Arial" w:hAnsi="Arial" w:cs="Arial"/>
          <w:sz w:val="22"/>
          <w:szCs w:val="22"/>
        </w:rPr>
        <w:t xml:space="preserve">. Available at: </w:t>
      </w:r>
      <w:hyperlink r:id="rId9" w:history="1">
        <w:r w:rsidR="00F23B11" w:rsidRPr="00D8135E">
          <w:rPr>
            <w:rStyle w:val="Hyperlink"/>
            <w:rFonts w:ascii="Arial" w:hAnsi="Arial" w:cs="Arial"/>
            <w:sz w:val="22"/>
            <w:szCs w:val="22"/>
          </w:rPr>
          <w:t>https://www.legislation.gov.uk/ukpga/2014/23/contents</w:t>
        </w:r>
      </w:hyperlink>
      <w:r w:rsidR="00F23B11">
        <w:rPr>
          <w:rFonts w:ascii="Arial" w:hAnsi="Arial" w:cs="Arial"/>
          <w:sz w:val="22"/>
          <w:szCs w:val="22"/>
        </w:rPr>
        <w:t xml:space="preserve"> (Accessed July 11 2026).</w:t>
      </w:r>
    </w:p>
    <w:p w14:paraId="66369C20" w14:textId="77777777" w:rsidR="00F6718E" w:rsidRPr="00F6718E" w:rsidRDefault="00F6718E" w:rsidP="00F6718E">
      <w:pPr>
        <w:spacing w:before="240" w:line="360" w:lineRule="auto"/>
        <w:jc w:val="both"/>
        <w:rPr>
          <w:rFonts w:ascii="Arial" w:hAnsi="Arial" w:cs="Arial"/>
          <w:sz w:val="22"/>
          <w:szCs w:val="22"/>
        </w:rPr>
      </w:pPr>
      <w:r w:rsidRPr="00F6718E">
        <w:rPr>
          <w:rFonts w:ascii="Arial" w:hAnsi="Arial" w:cs="Arial"/>
          <w:sz w:val="22"/>
          <w:szCs w:val="22"/>
        </w:rPr>
        <w:t xml:space="preserve">Damant, J., </w:t>
      </w:r>
      <w:proofErr w:type="spellStart"/>
      <w:r w:rsidRPr="00F6718E">
        <w:rPr>
          <w:rFonts w:ascii="Arial" w:hAnsi="Arial" w:cs="Arial"/>
          <w:sz w:val="22"/>
          <w:szCs w:val="22"/>
        </w:rPr>
        <w:t>Hamashima</w:t>
      </w:r>
      <w:proofErr w:type="spellEnd"/>
      <w:r w:rsidRPr="00F6718E">
        <w:rPr>
          <w:rFonts w:ascii="Arial" w:hAnsi="Arial" w:cs="Arial"/>
          <w:sz w:val="22"/>
          <w:szCs w:val="22"/>
        </w:rPr>
        <w:t xml:space="preserve">, Y., Toma, M., Smith, N., Taylor, J., Caprioli, T., Jasim, S., Prato, L., </w:t>
      </w:r>
      <w:proofErr w:type="spellStart"/>
      <w:r w:rsidRPr="00F6718E">
        <w:rPr>
          <w:rFonts w:ascii="Arial" w:hAnsi="Arial" w:cs="Arial"/>
          <w:sz w:val="22"/>
          <w:szCs w:val="22"/>
        </w:rPr>
        <w:t>Mcleod</w:t>
      </w:r>
      <w:proofErr w:type="spellEnd"/>
      <w:r w:rsidRPr="00F6718E">
        <w:rPr>
          <w:rFonts w:ascii="Arial" w:hAnsi="Arial" w:cs="Arial"/>
          <w:sz w:val="22"/>
          <w:szCs w:val="22"/>
        </w:rPr>
        <w:t>, H., Giebel, C. and Peters, M., 2026. Investigating Person</w:t>
      </w:r>
      <w:r w:rsidRPr="00F6718E">
        <w:rPr>
          <w:rFonts w:ascii="Cambria Math" w:hAnsi="Cambria Math" w:cs="Cambria Math"/>
          <w:sz w:val="22"/>
          <w:szCs w:val="22"/>
        </w:rPr>
        <w:t>‐</w:t>
      </w:r>
      <w:r w:rsidRPr="00F6718E">
        <w:rPr>
          <w:rFonts w:ascii="Arial" w:hAnsi="Arial" w:cs="Arial"/>
          <w:sz w:val="22"/>
          <w:szCs w:val="22"/>
        </w:rPr>
        <w:t xml:space="preserve">Centred Care Planning in Care Homes Across England: An Exploratory Study of Practices and Contextual Factors. </w:t>
      </w:r>
      <w:r w:rsidRPr="00F6718E">
        <w:rPr>
          <w:rFonts w:ascii="Arial" w:hAnsi="Arial" w:cs="Arial"/>
          <w:i/>
          <w:iCs/>
          <w:sz w:val="22"/>
          <w:szCs w:val="22"/>
        </w:rPr>
        <w:t>Journal of Advanced Nursing</w:t>
      </w:r>
      <w:r w:rsidRPr="00F6718E">
        <w:rPr>
          <w:rFonts w:ascii="Arial" w:hAnsi="Arial" w:cs="Arial"/>
          <w:sz w:val="22"/>
          <w:szCs w:val="22"/>
        </w:rPr>
        <w:t>, 82(1), pp.617-631.</w:t>
      </w:r>
    </w:p>
    <w:p w14:paraId="58105E5A" w14:textId="77777777" w:rsidR="00F6718E" w:rsidRPr="00F6718E" w:rsidRDefault="00F6718E" w:rsidP="00F6718E">
      <w:pPr>
        <w:spacing w:before="240"/>
        <w:jc w:val="both"/>
        <w:rPr>
          <w:rFonts w:ascii="Arial" w:hAnsi="Arial" w:cs="Arial"/>
          <w:sz w:val="22"/>
          <w:szCs w:val="22"/>
        </w:rPr>
      </w:pPr>
      <w:r w:rsidRPr="00F6718E">
        <w:rPr>
          <w:rFonts w:ascii="Arial" w:hAnsi="Arial" w:cs="Arial"/>
          <w:sz w:val="22"/>
          <w:szCs w:val="22"/>
        </w:rPr>
        <w:t xml:space="preserve">Dixon-Woods, M., Summers, C., Morgan, M. and Patel, K., 2024. The future of the NHS depends on its workforce. </w:t>
      </w:r>
      <w:r w:rsidRPr="00F6718E">
        <w:rPr>
          <w:rFonts w:ascii="Arial" w:hAnsi="Arial" w:cs="Arial"/>
          <w:i/>
          <w:iCs/>
          <w:sz w:val="22"/>
          <w:szCs w:val="22"/>
        </w:rPr>
        <w:t>BMJ</w:t>
      </w:r>
      <w:r w:rsidRPr="00F6718E">
        <w:rPr>
          <w:rFonts w:ascii="Arial" w:hAnsi="Arial" w:cs="Arial"/>
          <w:sz w:val="22"/>
          <w:szCs w:val="22"/>
        </w:rPr>
        <w:t>, 384</w:t>
      </w:r>
    </w:p>
    <w:p w14:paraId="070094AA" w14:textId="77777777" w:rsidR="00F6718E" w:rsidRPr="00F6718E" w:rsidRDefault="00F6718E" w:rsidP="00F6718E">
      <w:pPr>
        <w:spacing w:before="240"/>
        <w:jc w:val="both"/>
        <w:rPr>
          <w:rFonts w:ascii="Arial" w:hAnsi="Arial" w:cs="Arial"/>
          <w:sz w:val="22"/>
          <w:szCs w:val="22"/>
        </w:rPr>
      </w:pPr>
      <w:r w:rsidRPr="00F6718E">
        <w:rPr>
          <w:rFonts w:ascii="Arial" w:hAnsi="Arial" w:cs="Arial"/>
          <w:sz w:val="22"/>
          <w:szCs w:val="22"/>
        </w:rPr>
        <w:t>Glasby, J. and Dickinson, H., 2014. Partnership working in health and social care: what is integrated care and how can we deliver it?. Policy Press.</w:t>
      </w:r>
    </w:p>
    <w:p w14:paraId="3C53FBCD" w14:textId="77777777" w:rsidR="00F6718E" w:rsidRPr="00F6718E" w:rsidRDefault="00F6718E" w:rsidP="00F6718E">
      <w:pPr>
        <w:spacing w:before="240" w:line="360" w:lineRule="auto"/>
        <w:jc w:val="both"/>
        <w:rPr>
          <w:rFonts w:ascii="Arial" w:hAnsi="Arial" w:cs="Arial"/>
          <w:sz w:val="22"/>
          <w:szCs w:val="22"/>
        </w:rPr>
      </w:pPr>
      <w:r w:rsidRPr="00F6718E">
        <w:rPr>
          <w:rFonts w:ascii="Arial" w:hAnsi="Arial" w:cs="Arial"/>
          <w:sz w:val="22"/>
          <w:szCs w:val="22"/>
        </w:rPr>
        <w:t xml:space="preserve">Glasby, J., 2017. </w:t>
      </w:r>
      <w:r w:rsidRPr="00F6718E">
        <w:rPr>
          <w:rFonts w:ascii="Arial" w:hAnsi="Arial" w:cs="Arial"/>
          <w:i/>
          <w:iCs/>
          <w:sz w:val="22"/>
          <w:szCs w:val="22"/>
        </w:rPr>
        <w:t>Partnership working in health and social care</w:t>
      </w:r>
      <w:r w:rsidRPr="00F6718E">
        <w:rPr>
          <w:rFonts w:ascii="Arial" w:hAnsi="Arial" w:cs="Arial"/>
          <w:sz w:val="22"/>
          <w:szCs w:val="22"/>
        </w:rPr>
        <w:t xml:space="preserve"> (pp. 71-94). Policy Press.</w:t>
      </w:r>
    </w:p>
    <w:p w14:paraId="75AFB060" w14:textId="4D8C40F1" w:rsidR="00F23B11" w:rsidRDefault="00F23B11" w:rsidP="00F6718E">
      <w:pPr>
        <w:spacing w:before="240"/>
        <w:jc w:val="both"/>
        <w:rPr>
          <w:rFonts w:ascii="Arial" w:hAnsi="Arial" w:cs="Arial"/>
          <w:sz w:val="22"/>
          <w:szCs w:val="22"/>
        </w:rPr>
      </w:pPr>
      <w:r>
        <w:rPr>
          <w:rFonts w:ascii="Arial" w:hAnsi="Arial" w:cs="Arial"/>
          <w:sz w:val="22"/>
          <w:szCs w:val="22"/>
        </w:rPr>
        <w:t>Equality Act 2010. Available at:</w:t>
      </w:r>
      <w:r w:rsidRPr="00F23B11">
        <w:t xml:space="preserve"> </w:t>
      </w:r>
      <w:hyperlink r:id="rId10" w:history="1">
        <w:r w:rsidRPr="00D8135E">
          <w:rPr>
            <w:rStyle w:val="Hyperlink"/>
            <w:rFonts w:ascii="Arial" w:hAnsi="Arial" w:cs="Arial"/>
            <w:sz w:val="22"/>
            <w:szCs w:val="22"/>
          </w:rPr>
          <w:t>https://www.legislation.gov.uk/ukpga/2010/15/contents</w:t>
        </w:r>
      </w:hyperlink>
      <w:r>
        <w:rPr>
          <w:rFonts w:ascii="Arial" w:hAnsi="Arial" w:cs="Arial"/>
          <w:sz w:val="22"/>
          <w:szCs w:val="22"/>
        </w:rPr>
        <w:t xml:space="preserve"> (Accessed July 11 2026).</w:t>
      </w:r>
    </w:p>
    <w:p w14:paraId="7CEFAA3B" w14:textId="18A44CD2" w:rsidR="00F6718E" w:rsidRPr="00F6718E" w:rsidRDefault="00F6718E" w:rsidP="00F6718E">
      <w:pPr>
        <w:spacing w:before="240"/>
        <w:jc w:val="both"/>
        <w:rPr>
          <w:rFonts w:ascii="Arial" w:hAnsi="Arial" w:cs="Arial"/>
          <w:sz w:val="22"/>
          <w:szCs w:val="22"/>
        </w:rPr>
      </w:pPr>
      <w:r w:rsidRPr="00F6718E">
        <w:rPr>
          <w:rFonts w:ascii="Arial" w:hAnsi="Arial" w:cs="Arial"/>
          <w:sz w:val="22"/>
          <w:szCs w:val="22"/>
        </w:rPr>
        <w:t xml:space="preserve">Health and Care Act 2012. </w:t>
      </w:r>
      <w:r w:rsidR="00F23B11">
        <w:rPr>
          <w:rFonts w:ascii="Arial" w:hAnsi="Arial" w:cs="Arial"/>
          <w:sz w:val="22"/>
          <w:szCs w:val="22"/>
        </w:rPr>
        <w:t xml:space="preserve">Available at: </w:t>
      </w:r>
      <w:hyperlink r:id="rId11" w:history="1">
        <w:r w:rsidR="00F23B11" w:rsidRPr="00D8135E">
          <w:rPr>
            <w:rStyle w:val="Hyperlink"/>
            <w:rFonts w:ascii="Arial" w:hAnsi="Arial" w:cs="Arial"/>
            <w:sz w:val="22"/>
            <w:szCs w:val="22"/>
          </w:rPr>
          <w:t>https://www.legislation.gov.uk/ukpga/2012/7/contents</w:t>
        </w:r>
      </w:hyperlink>
      <w:r w:rsidR="00F23B11">
        <w:rPr>
          <w:rFonts w:ascii="Arial" w:hAnsi="Arial" w:cs="Arial"/>
          <w:sz w:val="22"/>
          <w:szCs w:val="22"/>
        </w:rPr>
        <w:t xml:space="preserve"> (Accessed July 11 2026).</w:t>
      </w:r>
    </w:p>
    <w:p w14:paraId="11629392" w14:textId="77777777" w:rsidR="00F6718E" w:rsidRPr="00F6718E" w:rsidRDefault="00F6718E" w:rsidP="00F6718E">
      <w:pPr>
        <w:spacing w:before="240"/>
        <w:jc w:val="both"/>
        <w:rPr>
          <w:rFonts w:ascii="Arial" w:hAnsi="Arial" w:cs="Arial"/>
          <w:sz w:val="22"/>
          <w:szCs w:val="22"/>
        </w:rPr>
      </w:pPr>
      <w:r w:rsidRPr="00F6718E">
        <w:rPr>
          <w:rFonts w:ascii="Arial" w:hAnsi="Arial" w:cs="Arial"/>
          <w:sz w:val="22"/>
          <w:szCs w:val="22"/>
        </w:rPr>
        <w:t xml:space="preserve">Johnstone, M.J., 2022. </w:t>
      </w:r>
      <w:r w:rsidRPr="00F6718E">
        <w:rPr>
          <w:rFonts w:ascii="Arial" w:hAnsi="Arial" w:cs="Arial"/>
          <w:i/>
          <w:iCs/>
          <w:sz w:val="22"/>
          <w:szCs w:val="22"/>
        </w:rPr>
        <w:t>Bioethics: a nursing perspective</w:t>
      </w:r>
      <w:r w:rsidRPr="00F6718E">
        <w:rPr>
          <w:rFonts w:ascii="Arial" w:hAnsi="Arial" w:cs="Arial"/>
          <w:sz w:val="22"/>
          <w:szCs w:val="22"/>
        </w:rPr>
        <w:t>. Elsevier Health Sciences.</w:t>
      </w:r>
    </w:p>
    <w:p w14:paraId="0DC3FE84" w14:textId="77777777" w:rsidR="00F6718E" w:rsidRPr="00F6718E" w:rsidRDefault="00F6718E" w:rsidP="00F6718E">
      <w:pPr>
        <w:spacing w:before="240"/>
        <w:jc w:val="both"/>
        <w:rPr>
          <w:rFonts w:ascii="Arial" w:hAnsi="Arial" w:cs="Arial"/>
          <w:sz w:val="22"/>
          <w:szCs w:val="22"/>
        </w:rPr>
      </w:pPr>
      <w:r w:rsidRPr="00F6718E">
        <w:rPr>
          <w:rFonts w:ascii="Arial" w:hAnsi="Arial" w:cs="Arial"/>
          <w:sz w:val="22"/>
          <w:szCs w:val="22"/>
        </w:rPr>
        <w:t xml:space="preserve">Kelsall-Knight, L. and Stevens, R., 2024. Exploring the implementation of person-centred care in nursing practice. </w:t>
      </w:r>
      <w:r w:rsidRPr="00F6718E">
        <w:rPr>
          <w:rFonts w:ascii="Arial" w:hAnsi="Arial" w:cs="Arial"/>
          <w:i/>
          <w:iCs/>
          <w:sz w:val="22"/>
          <w:szCs w:val="22"/>
        </w:rPr>
        <w:t>Nurs Stand</w:t>
      </w:r>
      <w:r w:rsidRPr="00F6718E">
        <w:rPr>
          <w:rFonts w:ascii="Arial" w:hAnsi="Arial" w:cs="Arial"/>
          <w:sz w:val="22"/>
          <w:szCs w:val="22"/>
        </w:rPr>
        <w:t>, 39(1), pp.70-5.</w:t>
      </w:r>
    </w:p>
    <w:p w14:paraId="4BE20724" w14:textId="77777777" w:rsidR="00F6718E" w:rsidRPr="00F6718E" w:rsidRDefault="00F6718E" w:rsidP="00F6718E">
      <w:pPr>
        <w:spacing w:before="240" w:line="360" w:lineRule="auto"/>
        <w:jc w:val="both"/>
        <w:rPr>
          <w:rFonts w:ascii="Arial" w:hAnsi="Arial" w:cs="Arial"/>
          <w:sz w:val="22"/>
          <w:szCs w:val="22"/>
        </w:rPr>
      </w:pPr>
      <w:r w:rsidRPr="00F6718E">
        <w:rPr>
          <w:rFonts w:ascii="Arial" w:hAnsi="Arial" w:cs="Arial"/>
          <w:sz w:val="22"/>
          <w:szCs w:val="22"/>
        </w:rPr>
        <w:t>McCance, T. and McCormack, B., 2017. The person-centred practice framework. Person-centred practice in nursing and health care: Theory and practice, pp.36-64.</w:t>
      </w:r>
    </w:p>
    <w:p w14:paraId="3938CD4A" w14:textId="77777777" w:rsidR="00F6718E" w:rsidRPr="00F6718E" w:rsidRDefault="00F6718E" w:rsidP="00F6718E">
      <w:pPr>
        <w:spacing w:before="240" w:line="360" w:lineRule="auto"/>
        <w:jc w:val="both"/>
        <w:rPr>
          <w:rFonts w:ascii="Arial" w:hAnsi="Arial" w:cs="Arial"/>
          <w:sz w:val="22"/>
          <w:szCs w:val="22"/>
        </w:rPr>
      </w:pPr>
      <w:r w:rsidRPr="00F6718E">
        <w:rPr>
          <w:rFonts w:ascii="Arial" w:hAnsi="Arial" w:cs="Arial"/>
          <w:sz w:val="22"/>
          <w:szCs w:val="22"/>
        </w:rPr>
        <w:t xml:space="preserve">McCance, T. and McCormack, B., 2025. The Person-centred Nursing Framework: a mid-range theory for nursing practice. </w:t>
      </w:r>
      <w:r w:rsidRPr="00F6718E">
        <w:rPr>
          <w:rFonts w:ascii="Arial" w:hAnsi="Arial" w:cs="Arial"/>
          <w:i/>
          <w:iCs/>
          <w:sz w:val="22"/>
          <w:szCs w:val="22"/>
        </w:rPr>
        <w:t>Journal of Research in Nursing,</w:t>
      </w:r>
      <w:r w:rsidRPr="00F6718E">
        <w:rPr>
          <w:rFonts w:ascii="Arial" w:hAnsi="Arial" w:cs="Arial"/>
          <w:sz w:val="22"/>
          <w:szCs w:val="22"/>
        </w:rPr>
        <w:t xml:space="preserve"> 30(1), pp.47-60.</w:t>
      </w:r>
    </w:p>
    <w:p w14:paraId="53286839" w14:textId="77777777" w:rsidR="00F6718E" w:rsidRPr="00F6718E" w:rsidRDefault="00F6718E" w:rsidP="00F6718E">
      <w:pPr>
        <w:spacing w:before="240" w:line="360" w:lineRule="auto"/>
        <w:jc w:val="both"/>
        <w:rPr>
          <w:rFonts w:ascii="Arial" w:hAnsi="Arial" w:cs="Arial"/>
          <w:sz w:val="22"/>
          <w:szCs w:val="22"/>
        </w:rPr>
      </w:pPr>
      <w:r w:rsidRPr="00F6718E">
        <w:rPr>
          <w:rFonts w:ascii="Arial" w:hAnsi="Arial" w:cs="Arial"/>
          <w:sz w:val="22"/>
          <w:szCs w:val="22"/>
        </w:rPr>
        <w:t xml:space="preserve">McCormack, B. and McCance, T. eds., 2016. </w:t>
      </w:r>
      <w:r w:rsidRPr="00F6718E">
        <w:rPr>
          <w:rFonts w:ascii="Arial" w:hAnsi="Arial" w:cs="Arial"/>
          <w:i/>
          <w:iCs/>
          <w:sz w:val="22"/>
          <w:szCs w:val="22"/>
        </w:rPr>
        <w:t>Person-centred practice in nursing and health care: theory and practice</w:t>
      </w:r>
      <w:r w:rsidRPr="00F6718E">
        <w:rPr>
          <w:rFonts w:ascii="Arial" w:hAnsi="Arial" w:cs="Arial"/>
          <w:sz w:val="22"/>
          <w:szCs w:val="22"/>
        </w:rPr>
        <w:t>. John Wiley &amp; Sons.</w:t>
      </w:r>
    </w:p>
    <w:p w14:paraId="50333277" w14:textId="77777777" w:rsidR="00F6718E" w:rsidRPr="00F6718E" w:rsidRDefault="00F6718E" w:rsidP="00F6718E">
      <w:pPr>
        <w:spacing w:before="240" w:line="360" w:lineRule="auto"/>
        <w:jc w:val="both"/>
        <w:rPr>
          <w:rFonts w:ascii="Arial" w:hAnsi="Arial" w:cs="Arial"/>
          <w:sz w:val="22"/>
          <w:szCs w:val="22"/>
        </w:rPr>
      </w:pPr>
      <w:r w:rsidRPr="00F6718E">
        <w:rPr>
          <w:rFonts w:ascii="Arial" w:hAnsi="Arial" w:cs="Arial"/>
          <w:sz w:val="22"/>
          <w:szCs w:val="22"/>
        </w:rPr>
        <w:t xml:space="preserve">McCormack, B. and McCance, T., 2021. </w:t>
      </w:r>
      <w:r w:rsidRPr="00F6718E">
        <w:rPr>
          <w:rFonts w:ascii="Arial" w:hAnsi="Arial" w:cs="Arial"/>
          <w:i/>
          <w:iCs/>
          <w:sz w:val="22"/>
          <w:szCs w:val="22"/>
        </w:rPr>
        <w:t>The person-centred nursing framework. In Person-centred nursing research: Methodology, methods and outcomes</w:t>
      </w:r>
      <w:r w:rsidRPr="00F6718E">
        <w:rPr>
          <w:rFonts w:ascii="Arial" w:hAnsi="Arial" w:cs="Arial"/>
          <w:sz w:val="22"/>
          <w:szCs w:val="22"/>
        </w:rPr>
        <w:t xml:space="preserve"> (pp. 13-27). Cham: Springer International Publishing.</w:t>
      </w:r>
    </w:p>
    <w:p w14:paraId="5723DE50" w14:textId="77777777" w:rsidR="00F6718E" w:rsidRPr="00F6718E" w:rsidRDefault="00F6718E" w:rsidP="00F6718E">
      <w:pPr>
        <w:spacing w:before="240" w:line="360" w:lineRule="auto"/>
        <w:jc w:val="both"/>
        <w:rPr>
          <w:rFonts w:ascii="Arial" w:hAnsi="Arial" w:cs="Arial"/>
          <w:sz w:val="22"/>
          <w:szCs w:val="22"/>
        </w:rPr>
      </w:pPr>
      <w:r w:rsidRPr="00F6718E">
        <w:rPr>
          <w:rFonts w:ascii="Arial" w:hAnsi="Arial" w:cs="Arial"/>
          <w:sz w:val="22"/>
          <w:szCs w:val="22"/>
        </w:rPr>
        <w:t xml:space="preserve">Nkhoma, K.B., Cook, A., Giusti, A., Farrant, L., Petrus, R., Petersen, I., Gwyther, L., </w:t>
      </w:r>
      <w:proofErr w:type="spellStart"/>
      <w:r w:rsidRPr="00F6718E">
        <w:rPr>
          <w:rFonts w:ascii="Arial" w:hAnsi="Arial" w:cs="Arial"/>
          <w:sz w:val="22"/>
          <w:szCs w:val="22"/>
        </w:rPr>
        <w:t>Venkatapuram</w:t>
      </w:r>
      <w:proofErr w:type="spellEnd"/>
      <w:r w:rsidRPr="00F6718E">
        <w:rPr>
          <w:rFonts w:ascii="Arial" w:hAnsi="Arial" w:cs="Arial"/>
          <w:sz w:val="22"/>
          <w:szCs w:val="22"/>
        </w:rPr>
        <w:t>, S. and Harding, R., 2022. A systematic review of impact of person-centred interventions for serious physical illness in terms of outcomes and costs. BMJ open, 12(7), p.e054386.</w:t>
      </w:r>
    </w:p>
    <w:p w14:paraId="16149029" w14:textId="23560A9F" w:rsidR="00F6718E" w:rsidRPr="00F6718E" w:rsidRDefault="00F6718E" w:rsidP="00F6718E">
      <w:pPr>
        <w:spacing w:before="240" w:line="360" w:lineRule="auto"/>
        <w:jc w:val="both"/>
        <w:rPr>
          <w:rFonts w:ascii="Arial" w:hAnsi="Arial" w:cs="Arial"/>
          <w:sz w:val="22"/>
          <w:szCs w:val="22"/>
        </w:rPr>
      </w:pPr>
      <w:r w:rsidRPr="00F6718E">
        <w:rPr>
          <w:rFonts w:ascii="Arial" w:hAnsi="Arial" w:cs="Arial"/>
          <w:sz w:val="22"/>
          <w:szCs w:val="22"/>
        </w:rPr>
        <w:t xml:space="preserve">Nursing and Midwifery Council, 2018. The Code. Professional standards of practice and behaviour for nurses, midwives and nursing associates. Available at: </w:t>
      </w:r>
      <w:hyperlink r:id="rId12" w:history="1">
        <w:r w:rsidRPr="00F6718E">
          <w:rPr>
            <w:rStyle w:val="Hyperlink"/>
            <w:rFonts w:ascii="Arial" w:hAnsi="Arial" w:cs="Arial"/>
            <w:sz w:val="22"/>
            <w:szCs w:val="22"/>
          </w:rPr>
          <w:t>https://www.nmc.org.uk/standards/code/read-the-code-online/</w:t>
        </w:r>
      </w:hyperlink>
      <w:r w:rsidRPr="00F6718E">
        <w:rPr>
          <w:rFonts w:ascii="Arial" w:hAnsi="Arial" w:cs="Arial"/>
          <w:sz w:val="22"/>
          <w:szCs w:val="22"/>
        </w:rPr>
        <w:t xml:space="preserve"> </w:t>
      </w:r>
      <w:r w:rsidR="00F23B11">
        <w:rPr>
          <w:rFonts w:ascii="Arial" w:hAnsi="Arial" w:cs="Arial"/>
          <w:sz w:val="22"/>
          <w:szCs w:val="22"/>
        </w:rPr>
        <w:t>(Accessed July 10 2026).</w:t>
      </w:r>
    </w:p>
    <w:p w14:paraId="2DEB3A5B" w14:textId="77777777" w:rsidR="00F6718E" w:rsidRPr="00F6718E" w:rsidRDefault="00F6718E" w:rsidP="00F6718E">
      <w:pPr>
        <w:spacing w:before="240" w:line="360" w:lineRule="auto"/>
        <w:jc w:val="both"/>
        <w:rPr>
          <w:rFonts w:ascii="Arial" w:hAnsi="Arial" w:cs="Arial"/>
          <w:sz w:val="22"/>
          <w:szCs w:val="22"/>
        </w:rPr>
      </w:pPr>
      <w:r w:rsidRPr="00F6718E">
        <w:rPr>
          <w:rFonts w:ascii="Arial" w:hAnsi="Arial" w:cs="Arial"/>
          <w:sz w:val="22"/>
          <w:szCs w:val="22"/>
        </w:rPr>
        <w:t>Santana, M.J., Manalili, K., Jolley, R.J., Zelinsky, S., Quan, H. and Lu, M., 2018. How to practice person</w:t>
      </w:r>
      <w:r w:rsidRPr="00F6718E">
        <w:rPr>
          <w:rFonts w:ascii="Cambria Math" w:hAnsi="Cambria Math" w:cs="Cambria Math"/>
          <w:sz w:val="22"/>
          <w:szCs w:val="22"/>
        </w:rPr>
        <w:t>‐</w:t>
      </w:r>
      <w:r w:rsidRPr="00F6718E">
        <w:rPr>
          <w:rFonts w:ascii="Arial" w:hAnsi="Arial" w:cs="Arial"/>
          <w:sz w:val="22"/>
          <w:szCs w:val="22"/>
        </w:rPr>
        <w:t xml:space="preserve">centred care: A conceptual framework. </w:t>
      </w:r>
      <w:r w:rsidRPr="00F6718E">
        <w:rPr>
          <w:rFonts w:ascii="Arial" w:hAnsi="Arial" w:cs="Arial"/>
          <w:i/>
          <w:iCs/>
          <w:sz w:val="22"/>
          <w:szCs w:val="22"/>
        </w:rPr>
        <w:t>Health Expectations</w:t>
      </w:r>
      <w:r w:rsidRPr="00F6718E">
        <w:rPr>
          <w:rFonts w:ascii="Arial" w:hAnsi="Arial" w:cs="Arial"/>
          <w:sz w:val="22"/>
          <w:szCs w:val="22"/>
        </w:rPr>
        <w:t>, 21(2), pp.429-440.</w:t>
      </w:r>
    </w:p>
    <w:p w14:paraId="342A7725" w14:textId="77777777" w:rsidR="00F6718E" w:rsidRPr="00F6718E" w:rsidRDefault="00F6718E" w:rsidP="00F6718E">
      <w:pPr>
        <w:spacing w:before="240" w:line="360" w:lineRule="auto"/>
        <w:jc w:val="both"/>
        <w:rPr>
          <w:rFonts w:ascii="Arial" w:hAnsi="Arial" w:cs="Arial"/>
          <w:sz w:val="22"/>
          <w:szCs w:val="22"/>
        </w:rPr>
      </w:pPr>
      <w:r w:rsidRPr="00F6718E">
        <w:rPr>
          <w:rFonts w:ascii="Arial" w:hAnsi="Arial" w:cs="Arial"/>
          <w:sz w:val="22"/>
          <w:szCs w:val="22"/>
        </w:rPr>
        <w:t xml:space="preserve">Summer </w:t>
      </w:r>
      <w:proofErr w:type="spellStart"/>
      <w:r w:rsidRPr="00F6718E">
        <w:rPr>
          <w:rFonts w:ascii="Arial" w:hAnsi="Arial" w:cs="Arial"/>
          <w:sz w:val="22"/>
          <w:szCs w:val="22"/>
        </w:rPr>
        <w:t>Meranius</w:t>
      </w:r>
      <w:proofErr w:type="spellEnd"/>
      <w:r w:rsidRPr="00F6718E">
        <w:rPr>
          <w:rFonts w:ascii="Arial" w:hAnsi="Arial" w:cs="Arial"/>
          <w:sz w:val="22"/>
          <w:szCs w:val="22"/>
        </w:rPr>
        <w:t xml:space="preserve">, M., Holmström, I.K., Håkansson, J., </w:t>
      </w:r>
      <w:proofErr w:type="spellStart"/>
      <w:r w:rsidRPr="00F6718E">
        <w:rPr>
          <w:rFonts w:ascii="Arial" w:hAnsi="Arial" w:cs="Arial"/>
          <w:sz w:val="22"/>
          <w:szCs w:val="22"/>
        </w:rPr>
        <w:t>Breitholtz</w:t>
      </w:r>
      <w:proofErr w:type="spellEnd"/>
      <w:r w:rsidRPr="00F6718E">
        <w:rPr>
          <w:rFonts w:ascii="Arial" w:hAnsi="Arial" w:cs="Arial"/>
          <w:sz w:val="22"/>
          <w:szCs w:val="22"/>
        </w:rPr>
        <w:t xml:space="preserve">, A., </w:t>
      </w:r>
      <w:proofErr w:type="spellStart"/>
      <w:r w:rsidRPr="00F6718E">
        <w:rPr>
          <w:rFonts w:ascii="Arial" w:hAnsi="Arial" w:cs="Arial"/>
          <w:sz w:val="22"/>
          <w:szCs w:val="22"/>
        </w:rPr>
        <w:t>Moniri</w:t>
      </w:r>
      <w:proofErr w:type="spellEnd"/>
      <w:r w:rsidRPr="00F6718E">
        <w:rPr>
          <w:rFonts w:ascii="Arial" w:hAnsi="Arial" w:cs="Arial"/>
          <w:sz w:val="22"/>
          <w:szCs w:val="22"/>
        </w:rPr>
        <w:t xml:space="preserve">, F., </w:t>
      </w:r>
      <w:proofErr w:type="spellStart"/>
      <w:r w:rsidRPr="00F6718E">
        <w:rPr>
          <w:rFonts w:ascii="Arial" w:hAnsi="Arial" w:cs="Arial"/>
          <w:sz w:val="22"/>
          <w:szCs w:val="22"/>
        </w:rPr>
        <w:t>Skogevall</w:t>
      </w:r>
      <w:proofErr w:type="spellEnd"/>
      <w:r w:rsidRPr="00F6718E">
        <w:rPr>
          <w:rFonts w:ascii="Arial" w:hAnsi="Arial" w:cs="Arial"/>
          <w:sz w:val="22"/>
          <w:szCs w:val="22"/>
        </w:rPr>
        <w:t xml:space="preserve">, S., Skoglund, K. and </w:t>
      </w:r>
      <w:proofErr w:type="spellStart"/>
      <w:r w:rsidRPr="00F6718E">
        <w:rPr>
          <w:rFonts w:ascii="Arial" w:hAnsi="Arial" w:cs="Arial"/>
          <w:sz w:val="22"/>
          <w:szCs w:val="22"/>
        </w:rPr>
        <w:t>Rasoal</w:t>
      </w:r>
      <w:proofErr w:type="spellEnd"/>
      <w:r w:rsidRPr="00F6718E">
        <w:rPr>
          <w:rFonts w:ascii="Arial" w:hAnsi="Arial" w:cs="Arial"/>
          <w:sz w:val="22"/>
          <w:szCs w:val="22"/>
        </w:rPr>
        <w:t>, D., 2020. Paradoxes of person</w:t>
      </w:r>
      <w:r w:rsidRPr="00F6718E">
        <w:rPr>
          <w:rFonts w:ascii="Cambria Math" w:hAnsi="Cambria Math" w:cs="Cambria Math"/>
          <w:sz w:val="22"/>
          <w:szCs w:val="22"/>
        </w:rPr>
        <w:t>‐</w:t>
      </w:r>
      <w:r w:rsidRPr="00F6718E">
        <w:rPr>
          <w:rFonts w:ascii="Arial" w:hAnsi="Arial" w:cs="Arial"/>
          <w:sz w:val="22"/>
          <w:szCs w:val="22"/>
        </w:rPr>
        <w:t>centred care: A discussion paper. Nursing open, 7(5), pp.1321-1329.</w:t>
      </w:r>
    </w:p>
    <w:p w14:paraId="5C29A839" w14:textId="7C4CAD63" w:rsidR="00F6718E" w:rsidRPr="00F6718E" w:rsidRDefault="00F6718E" w:rsidP="00F6718E">
      <w:pPr>
        <w:spacing w:before="240" w:line="360" w:lineRule="auto"/>
        <w:jc w:val="both"/>
        <w:rPr>
          <w:rFonts w:ascii="Arial" w:hAnsi="Arial" w:cs="Arial"/>
          <w:sz w:val="22"/>
          <w:szCs w:val="22"/>
        </w:rPr>
      </w:pPr>
      <w:r w:rsidRPr="00F6718E">
        <w:rPr>
          <w:rFonts w:ascii="Arial" w:hAnsi="Arial" w:cs="Arial"/>
          <w:sz w:val="22"/>
          <w:szCs w:val="22"/>
        </w:rPr>
        <w:t xml:space="preserve">The Health Foundation, 2014. Person-centred care made simple: What everyone should know about person-centred care. Available at: </w:t>
      </w:r>
      <w:hyperlink r:id="rId13" w:history="1">
        <w:r w:rsidRPr="00F6718E">
          <w:rPr>
            <w:rStyle w:val="Hyperlink"/>
            <w:rFonts w:ascii="Arial" w:hAnsi="Arial" w:cs="Arial"/>
            <w:sz w:val="22"/>
            <w:szCs w:val="22"/>
          </w:rPr>
          <w:t>https://www.health.org.uk/resources-and-toolkits/quick-guides/person-centred-care-made-simple</w:t>
        </w:r>
      </w:hyperlink>
      <w:r w:rsidRPr="00F6718E">
        <w:rPr>
          <w:rFonts w:ascii="Arial" w:hAnsi="Arial" w:cs="Arial"/>
          <w:sz w:val="22"/>
          <w:szCs w:val="22"/>
        </w:rPr>
        <w:t xml:space="preserve"> </w:t>
      </w:r>
      <w:r w:rsidR="00F23B11">
        <w:rPr>
          <w:rFonts w:ascii="Arial" w:hAnsi="Arial" w:cs="Arial"/>
          <w:sz w:val="22"/>
          <w:szCs w:val="22"/>
        </w:rPr>
        <w:t>(Accessed July 10 2026).</w:t>
      </w:r>
    </w:p>
    <w:sectPr w:rsidR="00F6718E" w:rsidRPr="00F6718E" w:rsidSect="00F6718E">
      <w:footerReference w:type="default" r:id="rId14"/>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1423B1" w14:textId="77777777" w:rsidR="00D426ED" w:rsidRDefault="00D426ED" w:rsidP="00F6718E">
      <w:pPr>
        <w:spacing w:after="0" w:line="240" w:lineRule="auto"/>
      </w:pPr>
      <w:r>
        <w:separator/>
      </w:r>
    </w:p>
  </w:endnote>
  <w:endnote w:type="continuationSeparator" w:id="0">
    <w:p w14:paraId="6378749C" w14:textId="77777777" w:rsidR="00D426ED" w:rsidRDefault="00D426ED" w:rsidP="00F67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5097065"/>
      <w:docPartObj>
        <w:docPartGallery w:val="Page Numbers (Bottom of Page)"/>
        <w:docPartUnique/>
      </w:docPartObj>
    </w:sdtPr>
    <w:sdtEndPr>
      <w:rPr>
        <w:rStyle w:val="PageNumber"/>
      </w:rPr>
    </w:sdtEndPr>
    <w:sdtContent>
      <w:p w14:paraId="06B47982" w14:textId="03AEEDD6" w:rsidR="00F6718E" w:rsidRDefault="00F6718E" w:rsidP="009F7CD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79E8080" w14:textId="77777777" w:rsidR="00F6718E" w:rsidRDefault="00F671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37315957"/>
      <w:docPartObj>
        <w:docPartGallery w:val="Page Numbers (Bottom of Page)"/>
        <w:docPartUnique/>
      </w:docPartObj>
    </w:sdtPr>
    <w:sdtEndPr>
      <w:rPr>
        <w:rStyle w:val="PageNumber"/>
      </w:rPr>
    </w:sdtEndPr>
    <w:sdtContent>
      <w:p w14:paraId="69A85212" w14:textId="2997C816" w:rsidR="00F6718E" w:rsidRDefault="00F6718E" w:rsidP="00D813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ii</w:t>
        </w:r>
        <w:r>
          <w:rPr>
            <w:rStyle w:val="PageNumber"/>
          </w:rPr>
          <w:fldChar w:fldCharType="end"/>
        </w:r>
      </w:p>
    </w:sdtContent>
  </w:sdt>
  <w:p w14:paraId="28EE1831" w14:textId="77777777" w:rsidR="00F6718E" w:rsidRDefault="00F671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0761011"/>
      <w:docPartObj>
        <w:docPartGallery w:val="Page Numbers (Bottom of Page)"/>
        <w:docPartUnique/>
      </w:docPartObj>
    </w:sdtPr>
    <w:sdtEndPr>
      <w:rPr>
        <w:rStyle w:val="PageNumber"/>
      </w:rPr>
    </w:sdtEndPr>
    <w:sdtContent>
      <w:p w14:paraId="6DBFA47F" w14:textId="0408E114" w:rsidR="009F7CDE" w:rsidRDefault="009F7CDE" w:rsidP="00D813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774F7F75" w14:textId="77777777" w:rsidR="00F6718E" w:rsidRDefault="00F67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7FDB17" w14:textId="77777777" w:rsidR="00D426ED" w:rsidRDefault="00D426ED" w:rsidP="00F6718E">
      <w:pPr>
        <w:spacing w:after="0" w:line="240" w:lineRule="auto"/>
      </w:pPr>
      <w:r>
        <w:separator/>
      </w:r>
    </w:p>
  </w:footnote>
  <w:footnote w:type="continuationSeparator" w:id="0">
    <w:p w14:paraId="6D60FAA8" w14:textId="77777777" w:rsidR="00D426ED" w:rsidRDefault="00D426ED" w:rsidP="00F671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4"/>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7E3"/>
    <w:rsid w:val="00007696"/>
    <w:rsid w:val="00010FCB"/>
    <w:rsid w:val="00011FE1"/>
    <w:rsid w:val="0006030F"/>
    <w:rsid w:val="00133A61"/>
    <w:rsid w:val="00141704"/>
    <w:rsid w:val="0017081D"/>
    <w:rsid w:val="00193808"/>
    <w:rsid w:val="001C027B"/>
    <w:rsid w:val="001C3C0D"/>
    <w:rsid w:val="002167A2"/>
    <w:rsid w:val="00255995"/>
    <w:rsid w:val="00267A92"/>
    <w:rsid w:val="002B4796"/>
    <w:rsid w:val="002C2BCE"/>
    <w:rsid w:val="002D1DAE"/>
    <w:rsid w:val="00325A47"/>
    <w:rsid w:val="00327461"/>
    <w:rsid w:val="00342B3B"/>
    <w:rsid w:val="00363961"/>
    <w:rsid w:val="0036429E"/>
    <w:rsid w:val="00383D36"/>
    <w:rsid w:val="003B77E3"/>
    <w:rsid w:val="003D3CBF"/>
    <w:rsid w:val="003E65E7"/>
    <w:rsid w:val="003F79CE"/>
    <w:rsid w:val="004101D9"/>
    <w:rsid w:val="00423B33"/>
    <w:rsid w:val="00446C69"/>
    <w:rsid w:val="00451B52"/>
    <w:rsid w:val="004B5AFD"/>
    <w:rsid w:val="005573FE"/>
    <w:rsid w:val="005872C4"/>
    <w:rsid w:val="005A56F1"/>
    <w:rsid w:val="005C286F"/>
    <w:rsid w:val="005E3EED"/>
    <w:rsid w:val="00654048"/>
    <w:rsid w:val="006A1221"/>
    <w:rsid w:val="00742BBD"/>
    <w:rsid w:val="00756A76"/>
    <w:rsid w:val="007600F9"/>
    <w:rsid w:val="00790749"/>
    <w:rsid w:val="008B5286"/>
    <w:rsid w:val="009768EE"/>
    <w:rsid w:val="009B7019"/>
    <w:rsid w:val="009F7CDE"/>
    <w:rsid w:val="00AC6003"/>
    <w:rsid w:val="00B02D45"/>
    <w:rsid w:val="00B10BFE"/>
    <w:rsid w:val="00B27806"/>
    <w:rsid w:val="00B84FB1"/>
    <w:rsid w:val="00B94402"/>
    <w:rsid w:val="00BB34E1"/>
    <w:rsid w:val="00BC3F16"/>
    <w:rsid w:val="00BD07D1"/>
    <w:rsid w:val="00C01DE6"/>
    <w:rsid w:val="00C12CEE"/>
    <w:rsid w:val="00C76848"/>
    <w:rsid w:val="00C9622B"/>
    <w:rsid w:val="00D426ED"/>
    <w:rsid w:val="00D604A3"/>
    <w:rsid w:val="00D70AE7"/>
    <w:rsid w:val="00E109FE"/>
    <w:rsid w:val="00E53BA4"/>
    <w:rsid w:val="00E80E6A"/>
    <w:rsid w:val="00E830D0"/>
    <w:rsid w:val="00EC23D9"/>
    <w:rsid w:val="00F052B9"/>
    <w:rsid w:val="00F05982"/>
    <w:rsid w:val="00F137B6"/>
    <w:rsid w:val="00F23B11"/>
    <w:rsid w:val="00F526F0"/>
    <w:rsid w:val="00F535EF"/>
    <w:rsid w:val="00F6718E"/>
    <w:rsid w:val="00F77363"/>
    <w:rsid w:val="00F83089"/>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4:docId w14:val="01B113B7"/>
  <w15:chartTrackingRefBased/>
  <w15:docId w15:val="{F8548775-D1B5-8144-95A2-97FAA2221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1704"/>
    <w:pPr>
      <w:keepNext/>
      <w:keepLines/>
      <w:spacing w:before="360" w:after="80"/>
      <w:outlineLvl w:val="0"/>
    </w:pPr>
    <w:rPr>
      <w:rFonts w:asciiTheme="majorHAnsi" w:eastAsiaTheme="majorEastAsia" w:hAnsiTheme="majorHAnsi" w:cstheme="majorBidi"/>
      <w:b/>
      <w:sz w:val="22"/>
      <w:szCs w:val="40"/>
    </w:rPr>
  </w:style>
  <w:style w:type="paragraph" w:styleId="Heading2">
    <w:name w:val="heading 2"/>
    <w:basedOn w:val="Normal"/>
    <w:next w:val="Normal"/>
    <w:link w:val="Heading2Char"/>
    <w:uiPriority w:val="9"/>
    <w:semiHidden/>
    <w:unhideWhenUsed/>
    <w:qFormat/>
    <w:rsid w:val="003B77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77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77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77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77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77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77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77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83D36"/>
    <w:pPr>
      <w:spacing w:after="0" w:line="240" w:lineRule="auto"/>
    </w:pPr>
    <w:rPr>
      <w:rFonts w:ascii="Arial" w:hAnsi="Arial"/>
      <w:sz w:val="20"/>
      <w:szCs w:val="20"/>
    </w:rPr>
  </w:style>
  <w:style w:type="character" w:customStyle="1" w:styleId="FootnoteTextChar">
    <w:name w:val="Footnote Text Char"/>
    <w:basedOn w:val="DefaultParagraphFont"/>
    <w:link w:val="FootnoteText"/>
    <w:uiPriority w:val="99"/>
    <w:semiHidden/>
    <w:rsid w:val="00383D36"/>
    <w:rPr>
      <w:rFonts w:ascii="Arial" w:hAnsi="Arial"/>
      <w:sz w:val="20"/>
      <w:szCs w:val="20"/>
    </w:rPr>
  </w:style>
  <w:style w:type="character" w:customStyle="1" w:styleId="Heading1Char">
    <w:name w:val="Heading 1 Char"/>
    <w:basedOn w:val="DefaultParagraphFont"/>
    <w:link w:val="Heading1"/>
    <w:uiPriority w:val="9"/>
    <w:rsid w:val="00141704"/>
    <w:rPr>
      <w:rFonts w:asciiTheme="majorHAnsi" w:eastAsiaTheme="majorEastAsia" w:hAnsiTheme="majorHAnsi" w:cstheme="majorBidi"/>
      <w:b/>
      <w:sz w:val="22"/>
      <w:szCs w:val="40"/>
    </w:rPr>
  </w:style>
  <w:style w:type="character" w:customStyle="1" w:styleId="Heading2Char">
    <w:name w:val="Heading 2 Char"/>
    <w:basedOn w:val="DefaultParagraphFont"/>
    <w:link w:val="Heading2"/>
    <w:uiPriority w:val="9"/>
    <w:semiHidden/>
    <w:rsid w:val="003B77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77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77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77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77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77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77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77E3"/>
    <w:rPr>
      <w:rFonts w:eastAsiaTheme="majorEastAsia" w:cstheme="majorBidi"/>
      <w:color w:val="272727" w:themeColor="text1" w:themeTint="D8"/>
    </w:rPr>
  </w:style>
  <w:style w:type="paragraph" w:styleId="Title">
    <w:name w:val="Title"/>
    <w:basedOn w:val="Normal"/>
    <w:next w:val="Normal"/>
    <w:link w:val="TitleChar"/>
    <w:uiPriority w:val="10"/>
    <w:qFormat/>
    <w:rsid w:val="003B77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77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77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77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77E3"/>
    <w:pPr>
      <w:spacing w:before="160"/>
      <w:jc w:val="center"/>
    </w:pPr>
    <w:rPr>
      <w:i/>
      <w:iCs/>
      <w:color w:val="404040" w:themeColor="text1" w:themeTint="BF"/>
    </w:rPr>
  </w:style>
  <w:style w:type="character" w:customStyle="1" w:styleId="QuoteChar">
    <w:name w:val="Quote Char"/>
    <w:basedOn w:val="DefaultParagraphFont"/>
    <w:link w:val="Quote"/>
    <w:uiPriority w:val="29"/>
    <w:rsid w:val="003B77E3"/>
    <w:rPr>
      <w:i/>
      <w:iCs/>
      <w:color w:val="404040" w:themeColor="text1" w:themeTint="BF"/>
    </w:rPr>
  </w:style>
  <w:style w:type="paragraph" w:styleId="ListParagraph">
    <w:name w:val="List Paragraph"/>
    <w:basedOn w:val="Normal"/>
    <w:uiPriority w:val="34"/>
    <w:qFormat/>
    <w:rsid w:val="003B77E3"/>
    <w:pPr>
      <w:ind w:left="720"/>
      <w:contextualSpacing/>
    </w:pPr>
  </w:style>
  <w:style w:type="character" w:styleId="IntenseEmphasis">
    <w:name w:val="Intense Emphasis"/>
    <w:basedOn w:val="DefaultParagraphFont"/>
    <w:uiPriority w:val="21"/>
    <w:qFormat/>
    <w:rsid w:val="003B77E3"/>
    <w:rPr>
      <w:i/>
      <w:iCs/>
      <w:color w:val="0F4761" w:themeColor="accent1" w:themeShade="BF"/>
    </w:rPr>
  </w:style>
  <w:style w:type="paragraph" w:styleId="IntenseQuote">
    <w:name w:val="Intense Quote"/>
    <w:basedOn w:val="Normal"/>
    <w:next w:val="Normal"/>
    <w:link w:val="IntenseQuoteChar"/>
    <w:uiPriority w:val="30"/>
    <w:qFormat/>
    <w:rsid w:val="003B77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77E3"/>
    <w:rPr>
      <w:i/>
      <w:iCs/>
      <w:color w:val="0F4761" w:themeColor="accent1" w:themeShade="BF"/>
    </w:rPr>
  </w:style>
  <w:style w:type="character" w:styleId="IntenseReference">
    <w:name w:val="Intense Reference"/>
    <w:basedOn w:val="DefaultParagraphFont"/>
    <w:uiPriority w:val="32"/>
    <w:qFormat/>
    <w:rsid w:val="003B77E3"/>
    <w:rPr>
      <w:b/>
      <w:bCs/>
      <w:smallCaps/>
      <w:color w:val="0F4761" w:themeColor="accent1" w:themeShade="BF"/>
      <w:spacing w:val="5"/>
    </w:rPr>
  </w:style>
  <w:style w:type="character" w:styleId="Hyperlink">
    <w:name w:val="Hyperlink"/>
    <w:basedOn w:val="DefaultParagraphFont"/>
    <w:uiPriority w:val="99"/>
    <w:unhideWhenUsed/>
    <w:rsid w:val="00B02D45"/>
    <w:rPr>
      <w:color w:val="467886" w:themeColor="hyperlink"/>
      <w:u w:val="single"/>
    </w:rPr>
  </w:style>
  <w:style w:type="character" w:styleId="UnresolvedMention">
    <w:name w:val="Unresolved Mention"/>
    <w:basedOn w:val="DefaultParagraphFont"/>
    <w:uiPriority w:val="99"/>
    <w:semiHidden/>
    <w:unhideWhenUsed/>
    <w:rsid w:val="00B02D45"/>
    <w:rPr>
      <w:color w:val="605E5C"/>
      <w:shd w:val="clear" w:color="auto" w:fill="E1DFDD"/>
    </w:rPr>
  </w:style>
  <w:style w:type="character" w:styleId="FollowedHyperlink">
    <w:name w:val="FollowedHyperlink"/>
    <w:basedOn w:val="DefaultParagraphFont"/>
    <w:uiPriority w:val="99"/>
    <w:semiHidden/>
    <w:unhideWhenUsed/>
    <w:rsid w:val="00B02D45"/>
    <w:rPr>
      <w:color w:val="96607D" w:themeColor="followedHyperlink"/>
      <w:u w:val="single"/>
    </w:rPr>
  </w:style>
  <w:style w:type="paragraph" w:styleId="Header">
    <w:name w:val="header"/>
    <w:basedOn w:val="Normal"/>
    <w:link w:val="HeaderChar"/>
    <w:uiPriority w:val="99"/>
    <w:unhideWhenUsed/>
    <w:rsid w:val="00F671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718E"/>
  </w:style>
  <w:style w:type="paragraph" w:styleId="Footer">
    <w:name w:val="footer"/>
    <w:basedOn w:val="Normal"/>
    <w:link w:val="FooterChar"/>
    <w:uiPriority w:val="99"/>
    <w:unhideWhenUsed/>
    <w:rsid w:val="00F671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718E"/>
  </w:style>
  <w:style w:type="character" w:styleId="PageNumber">
    <w:name w:val="page number"/>
    <w:basedOn w:val="DefaultParagraphFont"/>
    <w:uiPriority w:val="99"/>
    <w:semiHidden/>
    <w:unhideWhenUsed/>
    <w:rsid w:val="00F6718E"/>
  </w:style>
  <w:style w:type="paragraph" w:styleId="TOCHeading">
    <w:name w:val="TOC Heading"/>
    <w:basedOn w:val="Heading1"/>
    <w:next w:val="Normal"/>
    <w:uiPriority w:val="39"/>
    <w:unhideWhenUsed/>
    <w:qFormat/>
    <w:rsid w:val="00F6718E"/>
    <w:pPr>
      <w:spacing w:before="480" w:after="0" w:line="276" w:lineRule="auto"/>
      <w:outlineLvl w:val="9"/>
    </w:pPr>
    <w:rPr>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2C2BCE"/>
    <w:pPr>
      <w:tabs>
        <w:tab w:val="right" w:leader="dot" w:pos="9350"/>
      </w:tabs>
      <w:spacing w:before="120" w:after="0" w:line="360" w:lineRule="auto"/>
    </w:pPr>
    <w:rPr>
      <w:b/>
      <w:bCs/>
      <w:i/>
      <w:iCs/>
    </w:rPr>
  </w:style>
  <w:style w:type="paragraph" w:styleId="TOC2">
    <w:name w:val="toc 2"/>
    <w:basedOn w:val="Normal"/>
    <w:next w:val="Normal"/>
    <w:autoRedefine/>
    <w:uiPriority w:val="39"/>
    <w:semiHidden/>
    <w:unhideWhenUsed/>
    <w:rsid w:val="00F6718E"/>
    <w:pPr>
      <w:spacing w:before="120" w:after="0"/>
      <w:ind w:left="240"/>
    </w:pPr>
    <w:rPr>
      <w:b/>
      <w:bCs/>
      <w:sz w:val="22"/>
      <w:szCs w:val="22"/>
    </w:rPr>
  </w:style>
  <w:style w:type="paragraph" w:styleId="TOC3">
    <w:name w:val="toc 3"/>
    <w:basedOn w:val="Normal"/>
    <w:next w:val="Normal"/>
    <w:autoRedefine/>
    <w:uiPriority w:val="39"/>
    <w:semiHidden/>
    <w:unhideWhenUsed/>
    <w:rsid w:val="00F6718E"/>
    <w:pPr>
      <w:spacing w:after="0"/>
      <w:ind w:left="480"/>
    </w:pPr>
    <w:rPr>
      <w:sz w:val="20"/>
      <w:szCs w:val="20"/>
    </w:rPr>
  </w:style>
  <w:style w:type="paragraph" w:styleId="TOC4">
    <w:name w:val="toc 4"/>
    <w:basedOn w:val="Normal"/>
    <w:next w:val="Normal"/>
    <w:autoRedefine/>
    <w:uiPriority w:val="39"/>
    <w:semiHidden/>
    <w:unhideWhenUsed/>
    <w:rsid w:val="00F6718E"/>
    <w:pPr>
      <w:spacing w:after="0"/>
      <w:ind w:left="720"/>
    </w:pPr>
    <w:rPr>
      <w:sz w:val="20"/>
      <w:szCs w:val="20"/>
    </w:rPr>
  </w:style>
  <w:style w:type="paragraph" w:styleId="TOC5">
    <w:name w:val="toc 5"/>
    <w:basedOn w:val="Normal"/>
    <w:next w:val="Normal"/>
    <w:autoRedefine/>
    <w:uiPriority w:val="39"/>
    <w:semiHidden/>
    <w:unhideWhenUsed/>
    <w:rsid w:val="00F6718E"/>
    <w:pPr>
      <w:spacing w:after="0"/>
      <w:ind w:left="960"/>
    </w:pPr>
    <w:rPr>
      <w:sz w:val="20"/>
      <w:szCs w:val="20"/>
    </w:rPr>
  </w:style>
  <w:style w:type="paragraph" w:styleId="TOC6">
    <w:name w:val="toc 6"/>
    <w:basedOn w:val="Normal"/>
    <w:next w:val="Normal"/>
    <w:autoRedefine/>
    <w:uiPriority w:val="39"/>
    <w:semiHidden/>
    <w:unhideWhenUsed/>
    <w:rsid w:val="00F6718E"/>
    <w:pPr>
      <w:spacing w:after="0"/>
      <w:ind w:left="1200"/>
    </w:pPr>
    <w:rPr>
      <w:sz w:val="20"/>
      <w:szCs w:val="20"/>
    </w:rPr>
  </w:style>
  <w:style w:type="paragraph" w:styleId="TOC7">
    <w:name w:val="toc 7"/>
    <w:basedOn w:val="Normal"/>
    <w:next w:val="Normal"/>
    <w:autoRedefine/>
    <w:uiPriority w:val="39"/>
    <w:semiHidden/>
    <w:unhideWhenUsed/>
    <w:rsid w:val="00F6718E"/>
    <w:pPr>
      <w:spacing w:after="0"/>
      <w:ind w:left="1440"/>
    </w:pPr>
    <w:rPr>
      <w:sz w:val="20"/>
      <w:szCs w:val="20"/>
    </w:rPr>
  </w:style>
  <w:style w:type="paragraph" w:styleId="TOC8">
    <w:name w:val="toc 8"/>
    <w:basedOn w:val="Normal"/>
    <w:next w:val="Normal"/>
    <w:autoRedefine/>
    <w:uiPriority w:val="39"/>
    <w:semiHidden/>
    <w:unhideWhenUsed/>
    <w:rsid w:val="00F6718E"/>
    <w:pPr>
      <w:spacing w:after="0"/>
      <w:ind w:left="1680"/>
    </w:pPr>
    <w:rPr>
      <w:sz w:val="20"/>
      <w:szCs w:val="20"/>
    </w:rPr>
  </w:style>
  <w:style w:type="paragraph" w:styleId="TOC9">
    <w:name w:val="toc 9"/>
    <w:basedOn w:val="Normal"/>
    <w:next w:val="Normal"/>
    <w:autoRedefine/>
    <w:uiPriority w:val="39"/>
    <w:semiHidden/>
    <w:unhideWhenUsed/>
    <w:rsid w:val="00F6718E"/>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13" Type="http://schemas.openxmlformats.org/officeDocument/2006/relationships/hyperlink" Target="https://www.health.org.uk/resources-and-toolkits/quick-guides/person-centred-care-made-simple" TargetMode="External" /><Relationship Id="rId3" Type="http://schemas.openxmlformats.org/officeDocument/2006/relationships/settings" Target="settings.xml" /><Relationship Id="rId7" Type="http://schemas.openxmlformats.org/officeDocument/2006/relationships/footer" Target="footer1.xml" /><Relationship Id="rId12" Type="http://schemas.openxmlformats.org/officeDocument/2006/relationships/hyperlink" Target="https://www.nmc.org.uk/standards/code/read-the-code-online/"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legislation.gov.uk/ukpga/2012/7/contents" TargetMode="Externa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hyperlink" Target="https://www.legislation.gov.uk/ukpga/2010/15/contents" TargetMode="External" /><Relationship Id="rId4" Type="http://schemas.openxmlformats.org/officeDocument/2006/relationships/webSettings" Target="webSettings.xml" /><Relationship Id="rId9" Type="http://schemas.openxmlformats.org/officeDocument/2006/relationships/hyperlink" Target="https://www.legislation.gov.uk/ukpga/2014/23/contents" TargetMode="Externa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58DF22-7F96-B94F-A5E3-2329B983577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2912</Words>
  <Characters>16602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19476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margaret Kwaw</cp:lastModifiedBy>
  <cp:revision>2</cp:revision>
  <dcterms:created xsi:type="dcterms:W3CDTF">2026-07-26T11:17:00Z</dcterms:created>
  <dcterms:modified xsi:type="dcterms:W3CDTF">2026-07-26T11:17:00Z</dcterms:modified>
  <cp:category/>
</cp:coreProperties>
</file>