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BD25D" w14:textId="77777777" w:rsidR="00743222" w:rsidRPr="00743222" w:rsidRDefault="00743222" w:rsidP="00743222">
      <w:pPr>
        <w:spacing w:before="1800"/>
        <w:jc w:val="center"/>
        <w:rPr>
          <w:rFonts w:ascii="Arial" w:hAnsi="Arial" w:cs="Arial"/>
          <w:sz w:val="40"/>
          <w:szCs w:val="40"/>
        </w:rPr>
      </w:pPr>
      <w:r w:rsidRPr="00743222">
        <w:rPr>
          <w:rFonts w:ascii="Arial" w:eastAsia="Calibri" w:hAnsi="Arial" w:cs="Arial"/>
          <w:b/>
          <w:bCs/>
          <w:color w:val="1E3A2F"/>
          <w:sz w:val="40"/>
          <w:szCs w:val="40"/>
        </w:rPr>
        <w:t>Redevelopment of the Central Transport Hub</w:t>
      </w:r>
    </w:p>
    <w:p w14:paraId="5F2E03B8" w14:textId="31025C50" w:rsidR="00743222" w:rsidRDefault="00743222" w:rsidP="00743222">
      <w:pPr>
        <w:spacing w:before="700"/>
        <w:jc w:val="center"/>
        <w:rPr>
          <w:rFonts w:ascii="Arial" w:eastAsia="Calibri" w:hAnsi="Arial" w:cs="Arial"/>
          <w:color w:val="2C2C2C"/>
          <w:sz w:val="40"/>
          <w:szCs w:val="40"/>
        </w:rPr>
      </w:pPr>
      <w:r>
        <w:rPr>
          <w:rFonts w:ascii="Arial" w:eastAsia="Calibri" w:hAnsi="Arial" w:cs="Arial"/>
          <w:color w:val="2C2C2C"/>
          <w:sz w:val="40"/>
          <w:szCs w:val="40"/>
        </w:rPr>
        <w:t>Student</w:t>
      </w:r>
      <w:r w:rsidRPr="00743222">
        <w:rPr>
          <w:rFonts w:ascii="Arial" w:eastAsia="Calibri" w:hAnsi="Arial" w:cs="Arial"/>
          <w:color w:val="2C2C2C"/>
          <w:sz w:val="40"/>
          <w:szCs w:val="40"/>
        </w:rPr>
        <w:t>: Tiberiu Anghel</w:t>
      </w:r>
    </w:p>
    <w:p w14:paraId="7CC88BBA" w14:textId="25E5A3B3" w:rsidR="00743222" w:rsidRPr="00743222" w:rsidRDefault="00743222" w:rsidP="00743222">
      <w:pPr>
        <w:spacing w:before="700"/>
        <w:jc w:val="center"/>
        <w:rPr>
          <w:rFonts w:ascii="Arial" w:hAnsi="Arial" w:cs="Arial"/>
          <w:sz w:val="40"/>
          <w:szCs w:val="40"/>
        </w:rPr>
      </w:pPr>
      <w:r>
        <w:rPr>
          <w:rFonts w:ascii="Arial" w:eastAsia="Calibri" w:hAnsi="Arial" w:cs="Arial"/>
          <w:color w:val="2C2C2C"/>
          <w:sz w:val="40"/>
          <w:szCs w:val="40"/>
        </w:rPr>
        <w:t>Student No. : 2422970</w:t>
      </w:r>
    </w:p>
    <w:p w14:paraId="6D1444ED" w14:textId="6BD71386" w:rsidR="009E6C71" w:rsidRPr="009E6C71" w:rsidRDefault="00743222" w:rsidP="009E6C71">
      <w:pPr>
        <w:rPr>
          <w:rFonts w:ascii="Arial" w:eastAsia="Calibri" w:hAnsi="Arial" w:cs="Arial"/>
          <w:b/>
          <w:bCs/>
          <w:color w:val="1E3A2F"/>
          <w:sz w:val="36"/>
          <w:szCs w:val="36"/>
        </w:rPr>
      </w:pPr>
      <w:r>
        <w:br w:type="page"/>
      </w:r>
      <w:r w:rsidR="009E6C71" w:rsidRPr="009E6C71">
        <w:rPr>
          <w:rFonts w:ascii="Arial" w:hAnsi="Arial" w:cs="Arial"/>
          <w:sz w:val="36"/>
          <w:szCs w:val="36"/>
        </w:rPr>
        <w:lastRenderedPageBreak/>
        <w:drawing>
          <wp:anchor distT="0" distB="0" distL="114300" distR="114300" simplePos="0" relativeHeight="251659264" behindDoc="1" locked="0" layoutInCell="1" allowOverlap="1" wp14:anchorId="144A32CB" wp14:editId="5DBA5007">
            <wp:simplePos x="0" y="0"/>
            <wp:positionH relativeFrom="margin">
              <wp:align>center</wp:align>
            </wp:positionH>
            <wp:positionV relativeFrom="paragraph">
              <wp:posOffset>358140</wp:posOffset>
            </wp:positionV>
            <wp:extent cx="7199630" cy="4099560"/>
            <wp:effectExtent l="0" t="0" r="1270" b="0"/>
            <wp:wrapTight wrapText="bothSides">
              <wp:wrapPolygon edited="0">
                <wp:start x="0" y="0"/>
                <wp:lineTo x="0" y="21480"/>
                <wp:lineTo x="21547" y="21480"/>
                <wp:lineTo x="21547" y="0"/>
                <wp:lineTo x="0" y="0"/>
              </wp:wrapPolygon>
            </wp:wrapTight>
            <wp:docPr id="913684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684335" name=""/>
                    <pic:cNvPicPr/>
                  </pic:nvPicPr>
                  <pic:blipFill>
                    <a:blip r:embed="rId5">
                      <a:extLst>
                        <a:ext uri="{28A0092B-C50C-407E-A947-70E740481C1C}">
                          <a14:useLocalDpi xmlns:a14="http://schemas.microsoft.com/office/drawing/2010/main" val="0"/>
                        </a:ext>
                      </a:extLst>
                    </a:blip>
                    <a:stretch>
                      <a:fillRect/>
                    </a:stretch>
                  </pic:blipFill>
                  <pic:spPr>
                    <a:xfrm>
                      <a:off x="0" y="0"/>
                      <a:ext cx="7199630" cy="4099560"/>
                    </a:xfrm>
                    <a:prstGeom prst="rect">
                      <a:avLst/>
                    </a:prstGeom>
                  </pic:spPr>
                </pic:pic>
              </a:graphicData>
            </a:graphic>
            <wp14:sizeRelH relativeFrom="margin">
              <wp14:pctWidth>0</wp14:pctWidth>
            </wp14:sizeRelH>
            <wp14:sizeRelV relativeFrom="margin">
              <wp14:pctHeight>0</wp14:pctHeight>
            </wp14:sizeRelV>
          </wp:anchor>
        </w:drawing>
      </w:r>
      <w:r w:rsidR="009E6C71" w:rsidRPr="009E6C71">
        <w:rPr>
          <w:rFonts w:ascii="Arial" w:eastAsia="Calibri" w:hAnsi="Arial" w:cs="Arial"/>
          <w:b/>
          <w:bCs/>
          <w:color w:val="1E3A2F"/>
          <w:sz w:val="36"/>
          <w:szCs w:val="36"/>
        </w:rPr>
        <w:t xml:space="preserve">Part </w:t>
      </w:r>
      <w:r w:rsidR="009E6C71" w:rsidRPr="009E6C71">
        <w:rPr>
          <w:rFonts w:ascii="Arial" w:eastAsia="Calibri" w:hAnsi="Arial" w:cs="Arial"/>
          <w:b/>
          <w:bCs/>
          <w:color w:val="1E3A2F"/>
          <w:sz w:val="36"/>
          <w:szCs w:val="36"/>
        </w:rPr>
        <w:t>A</w:t>
      </w:r>
      <w:r w:rsidR="009E6C71" w:rsidRPr="009E6C71">
        <w:rPr>
          <w:rFonts w:ascii="Arial" w:eastAsia="Calibri" w:hAnsi="Arial" w:cs="Arial"/>
          <w:b/>
          <w:bCs/>
          <w:color w:val="1E3A2F"/>
          <w:sz w:val="36"/>
          <w:szCs w:val="36"/>
        </w:rPr>
        <w:t xml:space="preserve">: </w:t>
      </w:r>
      <w:r w:rsidR="009E6C71" w:rsidRPr="009E6C71">
        <w:rPr>
          <w:rFonts w:ascii="Arial" w:eastAsia="Calibri" w:hAnsi="Arial" w:cs="Arial"/>
          <w:b/>
          <w:bCs/>
          <w:color w:val="1E3A2F"/>
          <w:sz w:val="36"/>
          <w:szCs w:val="36"/>
        </w:rPr>
        <w:t>Poster</w:t>
      </w:r>
    </w:p>
    <w:p w14:paraId="4D076A4D" w14:textId="77777777" w:rsidR="009E6C71" w:rsidRDefault="009E6C71" w:rsidP="009E6C71">
      <w:pPr>
        <w:rPr>
          <w:rFonts w:ascii="Arial" w:eastAsia="Calibri" w:hAnsi="Arial" w:cs="Arial"/>
          <w:b/>
          <w:bCs/>
          <w:color w:val="1E3A2F"/>
          <w:sz w:val="36"/>
          <w:szCs w:val="36"/>
        </w:rPr>
      </w:pPr>
    </w:p>
    <w:p w14:paraId="2B8DE2DF" w14:textId="24FE5B75" w:rsidR="009E6C71" w:rsidRDefault="009E6C71" w:rsidP="009E6C71">
      <w:pPr>
        <w:rPr>
          <w:rFonts w:ascii="Arial" w:eastAsia="Calibri" w:hAnsi="Arial" w:cs="Arial"/>
          <w:b/>
          <w:bCs/>
          <w:color w:val="1E3A2F"/>
          <w:sz w:val="36"/>
          <w:szCs w:val="36"/>
        </w:rPr>
      </w:pPr>
      <w:r w:rsidRPr="009E6C71">
        <w:rPr>
          <w:rFonts w:ascii="Arial" w:eastAsia="Calibri" w:hAnsi="Arial" w:cs="Arial"/>
          <w:b/>
          <w:bCs/>
          <w:color w:val="1E3A2F"/>
          <w:sz w:val="36"/>
          <w:szCs w:val="36"/>
        </w:rPr>
        <w:t xml:space="preserve">Part </w:t>
      </w:r>
      <w:r w:rsidRPr="009E6C71">
        <w:rPr>
          <w:rFonts w:ascii="Arial" w:eastAsia="Calibri" w:hAnsi="Arial" w:cs="Arial"/>
          <w:b/>
          <w:bCs/>
          <w:color w:val="1E3A2F"/>
          <w:sz w:val="36"/>
          <w:szCs w:val="36"/>
        </w:rPr>
        <w:t>B</w:t>
      </w:r>
      <w:r w:rsidRPr="009E6C71">
        <w:rPr>
          <w:rFonts w:ascii="Arial" w:eastAsia="Calibri" w:hAnsi="Arial" w:cs="Arial"/>
          <w:b/>
          <w:bCs/>
          <w:color w:val="1E3A2F"/>
          <w:sz w:val="36"/>
          <w:szCs w:val="36"/>
        </w:rPr>
        <w:t>: Reflective Commentary on Poster Feedback</w:t>
      </w:r>
    </w:p>
    <w:p w14:paraId="0F715C25" w14:textId="457A2743" w:rsidR="009E6C71" w:rsidRDefault="009E6C71" w:rsidP="009E6C71">
      <w:pPr>
        <w:rPr>
          <w:rFonts w:ascii="Arial" w:eastAsia="Calibri" w:hAnsi="Arial" w:cs="Arial"/>
          <w:b/>
          <w:bCs/>
          <w:color w:val="1E3A2F"/>
          <w:sz w:val="36"/>
          <w:szCs w:val="36"/>
        </w:rPr>
      </w:pPr>
      <w:r>
        <w:rPr>
          <w:rFonts w:ascii="Arial" w:eastAsia="Calibri" w:hAnsi="Arial" w:cs="Arial"/>
          <w:b/>
          <w:bCs/>
          <w:noProof/>
          <w:color w:val="1E3A2F"/>
          <w:sz w:val="36"/>
          <w:szCs w:val="36"/>
          <w14:ligatures w14:val="standardContextual"/>
        </w:rPr>
        <mc:AlternateContent>
          <mc:Choice Requires="wps">
            <w:drawing>
              <wp:anchor distT="0" distB="0" distL="114300" distR="114300" simplePos="0" relativeHeight="251660288" behindDoc="0" locked="0" layoutInCell="1" allowOverlap="1" wp14:anchorId="7A410164" wp14:editId="23F7B91C">
                <wp:simplePos x="0" y="0"/>
                <wp:positionH relativeFrom="column">
                  <wp:posOffset>-45720</wp:posOffset>
                </wp:positionH>
                <wp:positionV relativeFrom="paragraph">
                  <wp:posOffset>217805</wp:posOffset>
                </wp:positionV>
                <wp:extent cx="6842760" cy="2484120"/>
                <wp:effectExtent l="0" t="0" r="15240" b="11430"/>
                <wp:wrapNone/>
                <wp:docPr id="2122460912" name="Rectangle 1"/>
                <wp:cNvGraphicFramePr/>
                <a:graphic xmlns:a="http://schemas.openxmlformats.org/drawingml/2006/main">
                  <a:graphicData uri="http://schemas.microsoft.com/office/word/2010/wordprocessingShape">
                    <wps:wsp>
                      <wps:cNvSpPr/>
                      <wps:spPr>
                        <a:xfrm>
                          <a:off x="0" y="0"/>
                          <a:ext cx="6842760" cy="2484120"/>
                        </a:xfrm>
                        <a:prstGeom prst="rect">
                          <a:avLst/>
                        </a:prstGeom>
                        <a:solidFill>
                          <a:srgbClr val="EDE8DF"/>
                        </a:solidFill>
                      </wps:spPr>
                      <wps:style>
                        <a:lnRef idx="2">
                          <a:schemeClr val="accent1">
                            <a:shade val="15000"/>
                          </a:schemeClr>
                        </a:lnRef>
                        <a:fillRef idx="1">
                          <a:schemeClr val="accent1"/>
                        </a:fillRef>
                        <a:effectRef idx="0">
                          <a:schemeClr val="accent1"/>
                        </a:effectRef>
                        <a:fontRef idx="minor">
                          <a:schemeClr val="lt1"/>
                        </a:fontRef>
                      </wps:style>
                      <wps:txbx>
                        <w:txbxContent>
                          <w:p w14:paraId="562DF88D" w14:textId="77777777" w:rsidR="009E6C71" w:rsidRDefault="009E6C71" w:rsidP="009E6C71">
                            <w:pPr>
                              <w:spacing w:after="100"/>
                              <w:jc w:val="center"/>
                            </w:pPr>
                            <w:r>
                              <w:rPr>
                                <w:rFonts w:ascii="Calibri" w:eastAsia="Calibri" w:hAnsi="Calibri" w:cs="Calibri"/>
                                <w:b/>
                                <w:bCs/>
                                <w:color w:val="C4952A"/>
                                <w:sz w:val="19"/>
                                <w:szCs w:val="19"/>
                              </w:rPr>
                              <w:t>TUTOR AND PEER FEEDBACK ON PART A</w:t>
                            </w:r>
                          </w:p>
                          <w:p w14:paraId="3CA51D2D" w14:textId="77777777" w:rsidR="009E6C71" w:rsidRDefault="009E6C71" w:rsidP="009E6C71">
                            <w:pPr>
                              <w:spacing w:after="100"/>
                              <w:jc w:val="center"/>
                            </w:pPr>
                            <w:r>
                              <w:rPr>
                                <w:rFonts w:ascii="Calibri" w:eastAsia="Calibri" w:hAnsi="Calibri" w:cs="Calibri"/>
                                <w:i/>
                                <w:iCs/>
                                <w:color w:val="2C2C2C"/>
                              </w:rPr>
                              <w:t>You have produced a well-structured and visually engaging poster that clearly justifies the redevelopment of the central transport hub. The proposal effectively addresses the project background, aims, scope, stakeholders, risks, and strategic value, while demonstrating a good understanding of sustainability, accessibility, digital transformation, and long-term urban regeneration. The inclusion of measurable objectives, a risk table, and a clear justification for selecting the redevelopment option strengthens the proposal.</w:t>
                            </w:r>
                          </w:p>
                          <w:p w14:paraId="255D2D07" w14:textId="77777777" w:rsidR="009E6C71" w:rsidRDefault="009E6C71" w:rsidP="009E6C71">
                            <w:pPr>
                              <w:spacing w:after="100"/>
                              <w:jc w:val="center"/>
                            </w:pPr>
                            <w:r>
                              <w:rPr>
                                <w:rFonts w:ascii="Calibri" w:eastAsia="Calibri" w:hAnsi="Calibri" w:cs="Calibri"/>
                                <w:i/>
                                <w:iCs/>
                                <w:color w:val="2C2C2C"/>
                              </w:rPr>
                              <w:t>To strengthen the work, the project objectives could be made more explicitly SMART by including additional measurable performance indicators beyond timescales. Greater application of project management tools, such as a stakeholder power-interest matrix, Work Breakdown Structure (WBS), or governance framework, would further demonstrate project management knowledge. Expanding the discussion of risks and trade-offs with more detailed mitigation strategies and supporting academic references would also improve the academic depth of the poster.</w:t>
                            </w:r>
                          </w:p>
                          <w:p w14:paraId="077DF126" w14:textId="2FB9664A" w:rsidR="009E6C71" w:rsidRDefault="009E6C71" w:rsidP="009E6C71">
                            <w:pPr>
                              <w:jc w:val="center"/>
                            </w:pPr>
                            <w:r>
                              <w:rPr>
                                <w:rFonts w:ascii="Calibri" w:eastAsia="Calibri" w:hAnsi="Calibri" w:cs="Calibri"/>
                                <w:i/>
                                <w:iCs/>
                                <w:color w:val="2C2C2C"/>
                              </w:rPr>
                              <w:t>Overall, this is a strong poster that meets the assessment requirements effectively. The professional presentation, clear structure, and good application of project management concepts place the work within a strong merit to distinction standard.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410164" id="Rectangle 1" o:spid="_x0000_s1026" style="position:absolute;margin-left:-3.6pt;margin-top:17.15pt;width:538.8pt;height:195.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" fillcolor="#ede8df" strokecolor="#030e13 [484]" strokeweight="1pt">
                <v:textbox>
                  <w:txbxContent>
                    <w:p w14:paraId="562DF88D" w14:textId="77777777" w:rsidR="009E6C71" w:rsidRDefault="009E6C71" w:rsidP="009E6C71">
                      <w:pPr>
                        <w:spacing w:after="100"/>
                        <w:jc w:val="center"/>
                      </w:pPr>
                      <w:r>
                        <w:rPr>
                          <w:rFonts w:ascii="Calibri" w:eastAsia="Calibri" w:hAnsi="Calibri" w:cs="Calibri"/>
                          <w:b/>
                          <w:bCs/>
                          <w:color w:val="C4952A"/>
                          <w:sz w:val="19"/>
                          <w:szCs w:val="19"/>
                        </w:rPr>
                        <w:t>TUTOR AND PEER FEEDBACK ON PART A</w:t>
                      </w:r>
                    </w:p>
                    <w:p w14:paraId="3CA51D2D" w14:textId="77777777" w:rsidR="009E6C71" w:rsidRDefault="009E6C71" w:rsidP="009E6C71">
                      <w:pPr>
                        <w:spacing w:after="100"/>
                        <w:jc w:val="center"/>
                      </w:pPr>
                      <w:r>
                        <w:rPr>
                          <w:rFonts w:ascii="Calibri" w:eastAsia="Calibri" w:hAnsi="Calibri" w:cs="Calibri"/>
                          <w:i/>
                          <w:iCs/>
                          <w:color w:val="2C2C2C"/>
                        </w:rPr>
                        <w:t>You have produced a well-structured and visually engaging poster that clearly justifies the redevelopment of the central transport hub. The proposal effectively addresses the project background, aims, scope, stakeholders, risks, and strategic value, while demonstrating a good understanding of sustainability, accessibility, digital transformation, and long-term urban regeneration. The inclusion of measurable objectives, a risk table, and a clear justification for selecting the redevelopment option strengthens the proposal.</w:t>
                      </w:r>
                    </w:p>
                    <w:p w14:paraId="255D2D07" w14:textId="77777777" w:rsidR="009E6C71" w:rsidRDefault="009E6C71" w:rsidP="009E6C71">
                      <w:pPr>
                        <w:spacing w:after="100"/>
                        <w:jc w:val="center"/>
                      </w:pPr>
                      <w:r>
                        <w:rPr>
                          <w:rFonts w:ascii="Calibri" w:eastAsia="Calibri" w:hAnsi="Calibri" w:cs="Calibri"/>
                          <w:i/>
                          <w:iCs/>
                          <w:color w:val="2C2C2C"/>
                        </w:rPr>
                        <w:t>To strengthen the work, the project objectives could be made more explicitly SMART by including additional measurable performance indicators beyond timescales. Greater application of project management tools, such as a stakeholder power-interest matrix, Work Breakdown Structure (WBS), or governance framework, would further demonstrate project management knowledge. Expanding the discussion of risks and trade-offs with more detailed mitigation strategies and supporting academic references would also improve the academic depth of the poster.</w:t>
                      </w:r>
                    </w:p>
                    <w:p w14:paraId="077DF126" w14:textId="2FB9664A" w:rsidR="009E6C71" w:rsidRDefault="009E6C71" w:rsidP="009E6C71">
                      <w:pPr>
                        <w:jc w:val="center"/>
                      </w:pPr>
                      <w:r>
                        <w:rPr>
                          <w:rFonts w:ascii="Calibri" w:eastAsia="Calibri" w:hAnsi="Calibri" w:cs="Calibri"/>
                          <w:i/>
                          <w:iCs/>
                          <w:color w:val="2C2C2C"/>
                        </w:rPr>
                        <w:t>Overall, this is a strong poster that meets the assessment requirements effectively. The professional presentation, clear structure, and good application of project management concepts place the work within a strong merit to distinction standard.</w:t>
                      </w:r>
                    </w:p>
                  </w:txbxContent>
                </v:textbox>
              </v:rect>
            </w:pict>
          </mc:Fallback>
        </mc:AlternateContent>
      </w:r>
    </w:p>
    <w:p w14:paraId="1DCECA11" w14:textId="77777777" w:rsidR="009E6C71" w:rsidRPr="009E6C71" w:rsidRDefault="009E6C71" w:rsidP="009E6C71">
      <w:pPr>
        <w:rPr>
          <w:rFonts w:ascii="Arial" w:eastAsia="Calibri" w:hAnsi="Arial" w:cs="Arial"/>
          <w:b/>
          <w:bCs/>
          <w:color w:val="1E3A2F"/>
          <w:sz w:val="36"/>
          <w:szCs w:val="36"/>
        </w:rPr>
      </w:pPr>
    </w:p>
    <w:p w14:paraId="0B901709" w14:textId="77777777" w:rsidR="009E6C71" w:rsidRDefault="009E6C71" w:rsidP="009E6C71">
      <w:pPr>
        <w:rPr>
          <w:rFonts w:ascii="Calibri" w:eastAsia="Calibri" w:hAnsi="Calibri" w:cs="Calibri"/>
          <w:b/>
          <w:bCs/>
          <w:color w:val="1E3A2F"/>
          <w:sz w:val="34"/>
          <w:szCs w:val="34"/>
        </w:rPr>
      </w:pPr>
    </w:p>
    <w:p w14:paraId="5050538C" w14:textId="597D13E8" w:rsidR="009E6C71" w:rsidRDefault="009E6C71" w:rsidP="009E6C71">
      <w:pPr>
        <w:rPr>
          <w:rFonts w:ascii="Calibri" w:eastAsia="Calibri" w:hAnsi="Calibri" w:cs="Calibri"/>
          <w:b/>
          <w:bCs/>
          <w:color w:val="1E3A2F"/>
          <w:sz w:val="34"/>
          <w:szCs w:val="34"/>
        </w:rPr>
      </w:pPr>
    </w:p>
    <w:p w14:paraId="4610CA63" w14:textId="030EDA3D" w:rsidR="009E6C71" w:rsidRDefault="009E6C71" w:rsidP="009E6C71"/>
    <w:p w14:paraId="0FAD6C38" w14:textId="77777777" w:rsidR="009F5071" w:rsidRDefault="009F5071"/>
    <w:p w14:paraId="76154CB1" w14:textId="77777777" w:rsidR="009E6C71" w:rsidRDefault="009E6C71"/>
    <w:p w14:paraId="78A212B6" w14:textId="77777777" w:rsidR="009E6C71" w:rsidRDefault="009E6C71"/>
    <w:p w14:paraId="40DC3DC6" w14:textId="77777777" w:rsidR="009E6C71" w:rsidRDefault="009E6C71"/>
    <w:p w14:paraId="5180968D" w14:textId="77777777" w:rsidR="009E6C71" w:rsidRDefault="009E6C71"/>
    <w:p w14:paraId="56C4FED9" w14:textId="77777777" w:rsidR="009E6C71" w:rsidRDefault="009E6C71"/>
    <w:p w14:paraId="4A2B9C1F" w14:textId="77777777" w:rsidR="009E6C71" w:rsidRDefault="009E6C71"/>
    <w:p w14:paraId="59C6AC1A" w14:textId="77777777" w:rsidR="009E6C71" w:rsidRDefault="009E6C71"/>
    <w:p w14:paraId="6BF020A3" w14:textId="77777777" w:rsidR="009E6C71" w:rsidRDefault="009E6C71"/>
    <w:p w14:paraId="68AB860E" w14:textId="77777777" w:rsidR="009E6C71" w:rsidRDefault="009E6C71"/>
    <w:p w14:paraId="7286315F" w14:textId="77777777" w:rsidR="009E6C71" w:rsidRDefault="009E6C71"/>
    <w:p w14:paraId="07AD2F34" w14:textId="77777777" w:rsidR="009E6C71" w:rsidRPr="009E6C71" w:rsidRDefault="009E6C71">
      <w:pPr>
        <w:rPr>
          <w:rFonts w:ascii="Arial" w:hAnsi="Arial" w:cs="Arial"/>
          <w:sz w:val="24"/>
          <w:szCs w:val="24"/>
        </w:rPr>
      </w:pPr>
    </w:p>
    <w:p w14:paraId="4FD2D50A" w14:textId="145A18E4" w:rsidR="009E6C71" w:rsidRDefault="009E6C71" w:rsidP="009E6C71">
      <w:pPr>
        <w:rPr>
          <w:rFonts w:ascii="Arial" w:hAnsi="Arial" w:cs="Arial"/>
          <w:sz w:val="24"/>
          <w:szCs w:val="24"/>
        </w:rPr>
      </w:pPr>
      <w:r w:rsidRPr="009E6C71">
        <w:rPr>
          <w:rFonts w:ascii="Arial" w:hAnsi="Arial" w:cs="Arial"/>
          <w:sz w:val="24"/>
          <w:szCs w:val="24"/>
        </w:rPr>
        <w:t>The feedback above</w:t>
      </w:r>
      <w:r>
        <w:rPr>
          <w:rFonts w:ascii="Arial" w:hAnsi="Arial" w:cs="Arial"/>
          <w:sz w:val="24"/>
          <w:szCs w:val="24"/>
        </w:rPr>
        <w:t xml:space="preserve"> </w:t>
      </w:r>
      <w:r w:rsidRPr="009E6C71">
        <w:rPr>
          <w:rFonts w:ascii="Arial" w:hAnsi="Arial" w:cs="Arial"/>
          <w:sz w:val="24"/>
          <w:szCs w:val="24"/>
        </w:rPr>
        <w:t>given to the Part A poster, is the reason for this reflection and the basis of the changes made to the Project Management Plan (in Part C).</w:t>
      </w:r>
    </w:p>
    <w:p w14:paraId="5606A5D4" w14:textId="77777777" w:rsidR="009E6C71" w:rsidRDefault="009E6C71" w:rsidP="009E6C71">
      <w:pPr>
        <w:rPr>
          <w:rFonts w:ascii="Arial" w:hAnsi="Arial" w:cs="Arial"/>
          <w:sz w:val="24"/>
          <w:szCs w:val="24"/>
        </w:rPr>
      </w:pPr>
    </w:p>
    <w:p w14:paraId="26DA0200" w14:textId="6A338A2E" w:rsidR="009E6C71" w:rsidRPr="000C30F6" w:rsidRDefault="009E6C71" w:rsidP="009E6C71">
      <w:pPr>
        <w:rPr>
          <w:rFonts w:ascii="Arial" w:hAnsi="Arial" w:cs="Arial"/>
          <w:b/>
          <w:bCs/>
          <w:color w:val="4A7C59"/>
          <w:sz w:val="28"/>
          <w:szCs w:val="28"/>
        </w:rPr>
      </w:pPr>
      <w:r w:rsidRPr="000C30F6">
        <w:rPr>
          <w:rFonts w:ascii="Arial" w:hAnsi="Arial" w:cs="Arial"/>
          <w:b/>
          <w:bCs/>
          <w:color w:val="4A7C59"/>
          <w:sz w:val="28"/>
          <w:szCs w:val="28"/>
        </w:rPr>
        <w:t>Strengths Confirmed by Feedback</w:t>
      </w:r>
    </w:p>
    <w:p w14:paraId="22498520" w14:textId="77777777" w:rsidR="009E6C71" w:rsidRPr="009E6C71" w:rsidRDefault="009E6C71" w:rsidP="009E6C71">
      <w:pPr>
        <w:pStyle w:val="NormalWeb"/>
        <w:numPr>
          <w:ilvl w:val="0"/>
          <w:numId w:val="1"/>
        </w:numPr>
        <w:rPr>
          <w:rFonts w:ascii="Arial" w:hAnsi="Arial" w:cs="Arial"/>
        </w:rPr>
      </w:pPr>
      <w:r w:rsidRPr="009E6C71">
        <w:rPr>
          <w:rFonts w:ascii="Arial" w:hAnsi="Arial" w:cs="Arial"/>
        </w:rPr>
        <w:t>Clear, well-justified case for full redevelopment (Option A) over interim alternatives</w:t>
      </w:r>
    </w:p>
    <w:p w14:paraId="1221C733" w14:textId="77777777" w:rsidR="009E6C71" w:rsidRPr="009E6C71" w:rsidRDefault="009E6C71" w:rsidP="009E6C71">
      <w:pPr>
        <w:pStyle w:val="NormalWeb"/>
        <w:numPr>
          <w:ilvl w:val="0"/>
          <w:numId w:val="1"/>
        </w:numPr>
        <w:rPr>
          <w:rFonts w:ascii="Arial" w:hAnsi="Arial" w:cs="Arial"/>
        </w:rPr>
      </w:pPr>
      <w:r w:rsidRPr="009E6C71">
        <w:rPr>
          <w:rFonts w:ascii="Arial" w:hAnsi="Arial" w:cs="Arial"/>
        </w:rPr>
        <w:t>Strong coverage of background, aims, scope, stakeholders, risk and strategic value</w:t>
      </w:r>
    </w:p>
    <w:p w14:paraId="2B7DF944" w14:textId="77777777" w:rsidR="009E6C71" w:rsidRPr="009E6C71" w:rsidRDefault="009E6C71" w:rsidP="009E6C71">
      <w:pPr>
        <w:pStyle w:val="NormalWeb"/>
        <w:numPr>
          <w:ilvl w:val="0"/>
          <w:numId w:val="1"/>
        </w:numPr>
        <w:rPr>
          <w:rFonts w:ascii="Arial" w:hAnsi="Arial" w:cs="Arial"/>
        </w:rPr>
      </w:pPr>
      <w:r w:rsidRPr="009E6C71">
        <w:rPr>
          <w:rFonts w:ascii="Arial" w:hAnsi="Arial" w:cs="Arial"/>
        </w:rPr>
        <w:t>Effective use of measurable objectives and a colour-coded risk table</w:t>
      </w:r>
    </w:p>
    <w:p w14:paraId="0382EB38" w14:textId="77777777" w:rsidR="009E6C71" w:rsidRDefault="009E6C71" w:rsidP="009E6C71">
      <w:pPr>
        <w:pStyle w:val="NormalWeb"/>
        <w:numPr>
          <w:ilvl w:val="0"/>
          <w:numId w:val="1"/>
        </w:numPr>
        <w:rPr>
          <w:rFonts w:ascii="Arial" w:hAnsi="Arial" w:cs="Arial"/>
        </w:rPr>
      </w:pPr>
      <w:r w:rsidRPr="009E6C71">
        <w:rPr>
          <w:rFonts w:ascii="Arial" w:hAnsi="Arial" w:cs="Arial"/>
        </w:rPr>
        <w:t>Overall placed at a strong merit-to-distinction standard</w:t>
      </w:r>
    </w:p>
    <w:p w14:paraId="7A0626D4" w14:textId="310EE7CA" w:rsidR="009E6C71" w:rsidRPr="000C30F6" w:rsidRDefault="009E6C71" w:rsidP="009E6C71">
      <w:pPr>
        <w:pStyle w:val="NormalWeb"/>
        <w:rPr>
          <w:rFonts w:ascii="Arial" w:eastAsia="Calibri" w:hAnsi="Arial" w:cs="Arial"/>
          <w:b/>
          <w:bCs/>
          <w:color w:val="4A7C59"/>
          <w:sz w:val="28"/>
          <w:szCs w:val="28"/>
        </w:rPr>
      </w:pPr>
      <w:r>
        <w:rPr>
          <w:rFonts w:ascii="Arial" w:hAnsi="Arial" w:cs="Arial"/>
        </w:rPr>
        <w:lastRenderedPageBreak/>
        <w:t xml:space="preserve"> </w:t>
      </w:r>
      <w:r w:rsidRPr="000C30F6">
        <w:rPr>
          <w:rFonts w:ascii="Arial" w:eastAsia="Calibri" w:hAnsi="Arial" w:cs="Arial"/>
          <w:b/>
          <w:bCs/>
          <w:color w:val="4A7C59"/>
          <w:sz w:val="28"/>
          <w:szCs w:val="28"/>
        </w:rPr>
        <w:t>Areas Identified for Improvement</w:t>
      </w:r>
    </w:p>
    <w:p w14:paraId="7EA58522" w14:textId="77777777" w:rsidR="000C30F6" w:rsidRPr="000C30F6" w:rsidRDefault="000C30F6" w:rsidP="000C30F6">
      <w:pPr>
        <w:pStyle w:val="NormalWeb"/>
        <w:numPr>
          <w:ilvl w:val="0"/>
          <w:numId w:val="2"/>
        </w:numPr>
        <w:rPr>
          <w:rFonts w:ascii="Arial" w:hAnsi="Arial" w:cs="Arial"/>
        </w:rPr>
      </w:pPr>
      <w:r w:rsidRPr="000C30F6">
        <w:rPr>
          <w:rFonts w:ascii="Arial" w:hAnsi="Arial" w:cs="Arial"/>
        </w:rPr>
        <w:t>Objectives only partially SMART — few measurable indicators beyond timescale</w:t>
      </w:r>
    </w:p>
    <w:p w14:paraId="271D738A" w14:textId="77777777" w:rsidR="000C30F6" w:rsidRPr="000C30F6" w:rsidRDefault="000C30F6" w:rsidP="000C30F6">
      <w:pPr>
        <w:pStyle w:val="NormalWeb"/>
        <w:numPr>
          <w:ilvl w:val="0"/>
          <w:numId w:val="2"/>
        </w:numPr>
        <w:rPr>
          <w:rFonts w:ascii="Arial" w:hAnsi="Arial" w:cs="Arial"/>
        </w:rPr>
      </w:pPr>
      <w:r w:rsidRPr="000C30F6">
        <w:rPr>
          <w:rFonts w:ascii="Arial" w:hAnsi="Arial" w:cs="Arial"/>
        </w:rPr>
        <w:t>Missing formal tools: stakeholder power-interest matrix, Work Breakdown Structure, governance framework</w:t>
      </w:r>
    </w:p>
    <w:p w14:paraId="1AE69C0A" w14:textId="77777777" w:rsidR="000C30F6" w:rsidRDefault="000C30F6" w:rsidP="000C30F6">
      <w:pPr>
        <w:pStyle w:val="NormalWeb"/>
        <w:numPr>
          <w:ilvl w:val="0"/>
          <w:numId w:val="2"/>
        </w:numPr>
        <w:rPr>
          <w:rFonts w:ascii="Arial" w:hAnsi="Arial" w:cs="Arial"/>
        </w:rPr>
      </w:pPr>
      <w:r w:rsidRPr="000C30F6">
        <w:rPr>
          <w:rFonts w:ascii="Arial" w:hAnsi="Arial" w:cs="Arial"/>
        </w:rPr>
        <w:t>Risk discussion lacks likelihood, ownership and supporting academic literature</w:t>
      </w:r>
    </w:p>
    <w:p w14:paraId="23AE35AF" w14:textId="74726723" w:rsidR="000C30F6" w:rsidRPr="000C30F6" w:rsidRDefault="000C30F6" w:rsidP="000C30F6">
      <w:pPr>
        <w:pStyle w:val="NormalWeb"/>
        <w:rPr>
          <w:rFonts w:ascii="Arial" w:eastAsia="Calibri" w:hAnsi="Arial" w:cs="Arial"/>
          <w:b/>
          <w:bCs/>
          <w:color w:val="4A7C59"/>
          <w:sz w:val="28"/>
          <w:szCs w:val="28"/>
        </w:rPr>
      </w:pPr>
      <w:r w:rsidRPr="000C30F6">
        <w:rPr>
          <w:rFonts w:ascii="Arial" w:hAnsi="Arial" w:cs="Arial"/>
          <w:sz w:val="28"/>
          <w:szCs w:val="28"/>
        </w:rPr>
        <w:t xml:space="preserve"> </w:t>
      </w:r>
      <w:r w:rsidRPr="000C30F6">
        <w:rPr>
          <w:rFonts w:ascii="Arial" w:eastAsia="Calibri" w:hAnsi="Arial" w:cs="Arial"/>
          <w:b/>
          <w:bCs/>
          <w:color w:val="4A7C59"/>
          <w:sz w:val="28"/>
          <w:szCs w:val="28"/>
        </w:rPr>
        <w:t>How the Feedback Shaped the Final Plan</w:t>
      </w:r>
    </w:p>
    <w:p w14:paraId="3B092681" w14:textId="77777777" w:rsidR="000C30F6" w:rsidRPr="000C30F6" w:rsidRDefault="000C30F6" w:rsidP="000C30F6">
      <w:pPr>
        <w:spacing w:after="140" w:line="360" w:lineRule="auto"/>
        <w:jc w:val="both"/>
        <w:rPr>
          <w:rFonts w:ascii="Arial" w:hAnsi="Arial" w:cs="Arial"/>
          <w:sz w:val="24"/>
          <w:szCs w:val="24"/>
        </w:rPr>
      </w:pPr>
      <w:r w:rsidRPr="000C30F6">
        <w:rPr>
          <w:rFonts w:ascii="Arial" w:eastAsia="Calibri" w:hAnsi="Arial" w:cs="Arial"/>
          <w:color w:val="2C2C2C"/>
          <w:sz w:val="24"/>
          <w:szCs w:val="24"/>
        </w:rPr>
        <w:t>Each gap above is addressed directly in Part C, so the plan moves from a persuasive pitch toward an auditable delivery document that a real Programme Board could act on:</w:t>
      </w:r>
    </w:p>
    <w:p w14:paraId="6916F2CF" w14:textId="77777777" w:rsidR="000C30F6" w:rsidRPr="000C30F6" w:rsidRDefault="000C30F6" w:rsidP="000C30F6">
      <w:pPr>
        <w:pStyle w:val="ListParagraph"/>
        <w:numPr>
          <w:ilvl w:val="0"/>
          <w:numId w:val="3"/>
        </w:numPr>
        <w:spacing w:after="80" w:line="360" w:lineRule="auto"/>
        <w:contextualSpacing w:val="0"/>
        <w:rPr>
          <w:rFonts w:ascii="Arial" w:hAnsi="Arial" w:cs="Arial"/>
        </w:rPr>
      </w:pPr>
      <w:r w:rsidRPr="000C30F6">
        <w:rPr>
          <w:rFonts w:ascii="Arial" w:eastAsia="Calibri" w:hAnsi="Arial" w:cs="Arial"/>
          <w:color w:val="2C2C2C"/>
        </w:rPr>
        <w:t>SMART objectives — measurable KPIs added (interchange-time reduction, accessibility audit pass rate, carbon reduction), alongside the existing timescale, so every objective is quantifiable rather than only date-bound</w:t>
      </w:r>
    </w:p>
    <w:p w14:paraId="306DE822" w14:textId="77777777" w:rsidR="000C30F6" w:rsidRPr="000C30F6" w:rsidRDefault="000C30F6" w:rsidP="000C30F6">
      <w:pPr>
        <w:pStyle w:val="ListParagraph"/>
        <w:numPr>
          <w:ilvl w:val="0"/>
          <w:numId w:val="3"/>
        </w:numPr>
        <w:spacing w:after="80" w:line="360" w:lineRule="auto"/>
        <w:contextualSpacing w:val="0"/>
        <w:rPr>
          <w:rFonts w:ascii="Arial" w:hAnsi="Arial" w:cs="Arial"/>
        </w:rPr>
      </w:pPr>
      <w:r w:rsidRPr="000C30F6">
        <w:rPr>
          <w:rFonts w:ascii="Arial" w:eastAsia="Calibri" w:hAnsi="Arial" w:cs="Arial"/>
          <w:color w:val="2C2C2C"/>
        </w:rPr>
        <w:t>Power-interest matrix — Mendelow (1991) matrix added, replacing the flat stakeholder list with a defensible, tool-based engagement structure that ties reporting frequency to each stakeholder's actual influence</w:t>
      </w:r>
    </w:p>
    <w:p w14:paraId="036F40A3" w14:textId="77777777" w:rsidR="000C30F6" w:rsidRPr="000C30F6" w:rsidRDefault="000C30F6" w:rsidP="000C30F6">
      <w:pPr>
        <w:pStyle w:val="ListParagraph"/>
        <w:numPr>
          <w:ilvl w:val="0"/>
          <w:numId w:val="3"/>
        </w:numPr>
        <w:spacing w:after="80" w:line="360" w:lineRule="auto"/>
        <w:contextualSpacing w:val="0"/>
        <w:rPr>
          <w:rFonts w:ascii="Arial" w:hAnsi="Arial" w:cs="Arial"/>
        </w:rPr>
      </w:pPr>
      <w:r w:rsidRPr="000C30F6">
        <w:rPr>
          <w:rFonts w:ascii="Arial" w:eastAsia="Calibri" w:hAnsi="Arial" w:cs="Arial"/>
          <w:color w:val="2C2C2C"/>
        </w:rPr>
        <w:t>Work Breakdown Structure — five-level WBS added, linking every work package to a named resource owner and, in turn, to the Gantt chart and budget</w:t>
      </w:r>
    </w:p>
    <w:p w14:paraId="5E0F7059" w14:textId="77777777" w:rsidR="000C30F6" w:rsidRPr="000C30F6" w:rsidRDefault="000C30F6" w:rsidP="000C30F6">
      <w:pPr>
        <w:pStyle w:val="ListParagraph"/>
        <w:numPr>
          <w:ilvl w:val="0"/>
          <w:numId w:val="3"/>
        </w:numPr>
        <w:spacing w:after="80" w:line="360" w:lineRule="auto"/>
        <w:contextualSpacing w:val="0"/>
        <w:rPr>
          <w:rFonts w:ascii="Arial" w:hAnsi="Arial" w:cs="Arial"/>
        </w:rPr>
      </w:pPr>
      <w:r w:rsidRPr="000C30F6">
        <w:rPr>
          <w:rFonts w:ascii="Arial" w:eastAsia="Calibri" w:hAnsi="Arial" w:cs="Arial"/>
          <w:color w:val="2C2C2C"/>
        </w:rPr>
        <w:t>Risk depth — full risk register added with probability, impact and ownership for each entry, grounded in Chapman and Ward (2003) and PMI (2019) rather than one-line responses</w:t>
      </w:r>
    </w:p>
    <w:p w14:paraId="1155FCF2" w14:textId="3C33B9ED" w:rsidR="000C30F6" w:rsidRDefault="000C30F6" w:rsidP="000C30F6">
      <w:pPr>
        <w:spacing w:after="140" w:line="360" w:lineRule="auto"/>
        <w:jc w:val="both"/>
        <w:rPr>
          <w:rFonts w:ascii="Arial" w:eastAsia="Calibri" w:hAnsi="Arial" w:cs="Arial"/>
          <w:color w:val="2C2C2C"/>
          <w:sz w:val="24"/>
          <w:szCs w:val="24"/>
        </w:rPr>
      </w:pPr>
      <w:r w:rsidRPr="000C30F6">
        <w:rPr>
          <w:rFonts w:ascii="Arial" w:eastAsia="Calibri" w:hAnsi="Arial" w:cs="Arial"/>
          <w:color w:val="2C2C2C"/>
          <w:sz w:val="24"/>
          <w:szCs w:val="24"/>
        </w:rPr>
        <w:t xml:space="preserve">A governance strand is also introduced, clarifying decision rights between the Local Authority sponsor, the Department for Transport funder and the delivery contractor — an area implied as missing from the original stakeholder section. Together, these additions shift the plan's emphasis from justifying the choice of project, which the poster already does well, toward demonstrating how that choice is </w:t>
      </w:r>
      <w:r w:rsidRPr="000C30F6">
        <w:rPr>
          <w:rFonts w:ascii="Arial" w:eastAsia="Calibri" w:hAnsi="Arial" w:cs="Arial"/>
          <w:color w:val="2C2C2C"/>
          <w:sz w:val="24"/>
          <w:szCs w:val="24"/>
        </w:rPr>
        <w:t>delivered</w:t>
      </w:r>
      <w:r w:rsidRPr="000C30F6">
        <w:rPr>
          <w:rFonts w:ascii="Arial" w:eastAsia="Calibri" w:hAnsi="Arial" w:cs="Arial"/>
          <w:color w:val="2C2C2C"/>
          <w:sz w:val="24"/>
          <w:szCs w:val="24"/>
        </w:rPr>
        <w:t xml:space="preserve"> and controlled.</w:t>
      </w:r>
    </w:p>
    <w:p w14:paraId="384276EA" w14:textId="77777777" w:rsidR="000C30F6" w:rsidRDefault="000C30F6" w:rsidP="000C30F6">
      <w:pPr>
        <w:spacing w:after="140" w:line="360" w:lineRule="auto"/>
        <w:jc w:val="both"/>
        <w:rPr>
          <w:rFonts w:ascii="Arial" w:eastAsia="Calibri" w:hAnsi="Arial" w:cs="Arial"/>
          <w:color w:val="2C2C2C"/>
          <w:sz w:val="24"/>
          <w:szCs w:val="24"/>
        </w:rPr>
      </w:pPr>
    </w:p>
    <w:p w14:paraId="166A0940" w14:textId="7D92E2E3" w:rsidR="000C30F6" w:rsidRPr="008754CC" w:rsidRDefault="000C30F6" w:rsidP="000C30F6">
      <w:pPr>
        <w:rPr>
          <w:rFonts w:ascii="Arial" w:eastAsia="Calibri" w:hAnsi="Arial" w:cs="Arial"/>
          <w:b/>
          <w:bCs/>
          <w:color w:val="4A7C59"/>
          <w:sz w:val="36"/>
          <w:szCs w:val="36"/>
        </w:rPr>
      </w:pPr>
      <w:r w:rsidRPr="008754CC">
        <w:rPr>
          <w:rFonts w:ascii="Arial" w:eastAsia="Calibri" w:hAnsi="Arial" w:cs="Arial"/>
          <w:b/>
          <w:bCs/>
          <w:color w:val="4A7C59"/>
          <w:sz w:val="36"/>
          <w:szCs w:val="36"/>
        </w:rPr>
        <w:t xml:space="preserve">Part </w:t>
      </w:r>
      <w:r w:rsidRPr="008754CC">
        <w:rPr>
          <w:rFonts w:ascii="Arial" w:eastAsia="Calibri" w:hAnsi="Arial" w:cs="Arial"/>
          <w:b/>
          <w:bCs/>
          <w:color w:val="4A7C59"/>
          <w:sz w:val="36"/>
          <w:szCs w:val="36"/>
        </w:rPr>
        <w:t>C</w:t>
      </w:r>
      <w:r w:rsidRPr="008754CC">
        <w:rPr>
          <w:rFonts w:ascii="Arial" w:eastAsia="Calibri" w:hAnsi="Arial" w:cs="Arial"/>
          <w:b/>
          <w:bCs/>
          <w:color w:val="4A7C59"/>
          <w:sz w:val="36"/>
          <w:szCs w:val="36"/>
        </w:rPr>
        <w:t xml:space="preserve">: </w:t>
      </w:r>
      <w:r w:rsidRPr="008754CC">
        <w:rPr>
          <w:rFonts w:ascii="Arial" w:eastAsia="Calibri" w:hAnsi="Arial" w:cs="Arial"/>
          <w:b/>
          <w:bCs/>
          <w:color w:val="4A7C59"/>
          <w:sz w:val="36"/>
          <w:szCs w:val="36"/>
        </w:rPr>
        <w:t>Project Management Plan</w:t>
      </w:r>
    </w:p>
    <w:p w14:paraId="1E9B6574" w14:textId="77777777" w:rsidR="000C30F6" w:rsidRDefault="000C30F6" w:rsidP="000C30F6">
      <w:pPr>
        <w:rPr>
          <w:rFonts w:ascii="Arial" w:eastAsia="Calibri" w:hAnsi="Arial" w:cs="Arial"/>
          <w:b/>
          <w:bCs/>
          <w:color w:val="1E3A2F"/>
          <w:sz w:val="36"/>
          <w:szCs w:val="36"/>
        </w:rPr>
      </w:pPr>
    </w:p>
    <w:p w14:paraId="3EBC45AB" w14:textId="1AC1AF55" w:rsidR="000C30F6" w:rsidRPr="008754CC" w:rsidRDefault="000C30F6" w:rsidP="000C30F6">
      <w:pPr>
        <w:pStyle w:val="ListParagraph"/>
        <w:numPr>
          <w:ilvl w:val="0"/>
          <w:numId w:val="4"/>
        </w:numPr>
        <w:rPr>
          <w:rFonts w:ascii="Arial" w:eastAsia="Calibri" w:hAnsi="Arial" w:cs="Arial"/>
          <w:b/>
          <w:bCs/>
          <w:color w:val="4A7C59"/>
          <w:sz w:val="28"/>
          <w:szCs w:val="28"/>
        </w:rPr>
      </w:pPr>
      <w:r w:rsidRPr="008754CC">
        <w:rPr>
          <w:rFonts w:ascii="Arial" w:eastAsia="Calibri" w:hAnsi="Arial" w:cs="Arial"/>
          <w:b/>
          <w:bCs/>
          <w:color w:val="4A7C59"/>
          <w:sz w:val="28"/>
          <w:szCs w:val="28"/>
        </w:rPr>
        <w:t>Introduction</w:t>
      </w:r>
    </w:p>
    <w:p w14:paraId="4D6E1283" w14:textId="4ACE2561" w:rsidR="000C30F6" w:rsidRDefault="000C30F6" w:rsidP="000C30F6">
      <w:pPr>
        <w:pStyle w:val="NormalWeb"/>
        <w:rPr>
          <w:rFonts w:ascii="Arial" w:hAnsi="Arial" w:cs="Arial"/>
        </w:rPr>
      </w:pPr>
      <w:r w:rsidRPr="000C30F6">
        <w:rPr>
          <w:rFonts w:ascii="Arial" w:hAnsi="Arial" w:cs="Arial"/>
        </w:rPr>
        <w:t>The central transport hub stopped operating in November 2025 when a structural inspection revealed that the nearly forty-year-old combined rail, bus, and freight depot was not up to current safety and accessibility requirements. This plan outlines the implementation of full redevelopment (Option A) which is the option defended in Part A as it deals with the structural issue rather than the delaying of investment via temporary or even digital-only solutions.</w:t>
      </w:r>
    </w:p>
    <w:p w14:paraId="21BC2AED" w14:textId="7CFB6F6A" w:rsidR="000C30F6" w:rsidRPr="008754CC" w:rsidRDefault="000C30F6" w:rsidP="000C30F6">
      <w:pPr>
        <w:pStyle w:val="NormalWeb"/>
        <w:numPr>
          <w:ilvl w:val="0"/>
          <w:numId w:val="4"/>
        </w:numPr>
        <w:rPr>
          <w:rFonts w:ascii="Arial" w:hAnsi="Arial" w:cs="Arial"/>
          <w:b/>
          <w:bCs/>
          <w:color w:val="4A7C59"/>
          <w:sz w:val="28"/>
          <w:szCs w:val="28"/>
        </w:rPr>
      </w:pPr>
      <w:r w:rsidRPr="008754CC">
        <w:rPr>
          <w:rFonts w:ascii="Arial" w:hAnsi="Arial" w:cs="Arial"/>
          <w:b/>
          <w:bCs/>
          <w:color w:val="4A7C59"/>
          <w:sz w:val="28"/>
          <w:szCs w:val="28"/>
        </w:rPr>
        <w:t>Project Description</w:t>
      </w:r>
    </w:p>
    <w:p w14:paraId="1113A66B" w14:textId="128AA357" w:rsidR="000C30F6" w:rsidRPr="000C30F6" w:rsidRDefault="000C30F6" w:rsidP="000C30F6">
      <w:pPr>
        <w:pStyle w:val="NormalWeb"/>
        <w:rPr>
          <w:rFonts w:ascii="Arial" w:hAnsi="Arial" w:cs="Arial"/>
        </w:rPr>
      </w:pPr>
      <w:r w:rsidRPr="000C30F6">
        <w:rPr>
          <w:rFonts w:ascii="Arial" w:hAnsi="Arial" w:cs="Arial"/>
        </w:rPr>
        <w:t xml:space="preserve">The main transport hub stopped operation in Nov 2025 after a structural assessment showed that the forty-year-old railway, bus and freight terminal was not safe. The plan here is the full </w:t>
      </w:r>
      <w:r w:rsidRPr="000C30F6">
        <w:rPr>
          <w:rFonts w:ascii="Arial" w:hAnsi="Arial" w:cs="Arial"/>
        </w:rPr>
        <w:lastRenderedPageBreak/>
        <w:t>redevelopment of the hub (Option A). It is only one that the paper justified in Part A as a resolution to the structural issue whereas the others are simply pushing off investment via a temporary or digital-only solution. Traditional methods of project planning, including scope definition, work-breakdown structures (WBS), quad charts, a Gantt chart, stakeholder analysis, resource allocation and risk management, will change that strategic rationale into the schedule that is an auditable document, because a project management plan serves as the document controlling delivery against which it is later checked</w:t>
      </w:r>
      <w:r>
        <w:rPr>
          <w:rFonts w:ascii="Arial" w:hAnsi="Arial" w:cs="Arial"/>
        </w:rPr>
        <w:t>.</w:t>
      </w:r>
    </w:p>
    <w:p w14:paraId="39E407F3" w14:textId="13C81133" w:rsidR="000C30F6" w:rsidRPr="000C30F6" w:rsidRDefault="000C30F6" w:rsidP="000C30F6">
      <w:pPr>
        <w:pStyle w:val="NormalWeb"/>
        <w:rPr>
          <w:rFonts w:ascii="Arial" w:hAnsi="Arial" w:cs="Arial"/>
        </w:rPr>
      </w:pPr>
      <w:r w:rsidRPr="000C30F6">
        <w:rPr>
          <w:rFonts w:ascii="Arial" w:hAnsi="Arial" w:cs="Arial"/>
        </w:rPr>
        <w:t xml:space="preserve">Local Authority provides funding to the programme, the co-funding being a grant from Department for Transport. A design-and-build contract involves a single contractor (the principal contractor) being responsible for the design, construction, systems integration and accessibility of the project. This minimizes the design-construction interfaces </w:t>
      </w:r>
      <w:r w:rsidRPr="000C30F6">
        <w:rPr>
          <w:rFonts w:ascii="Arial" w:hAnsi="Arial" w:cs="Arial"/>
        </w:rPr>
        <w:t>risks. The</w:t>
      </w:r>
      <w:r w:rsidRPr="000C30F6">
        <w:rPr>
          <w:rFonts w:ascii="Arial" w:hAnsi="Arial" w:cs="Arial"/>
        </w:rPr>
        <w:t xml:space="preserve"> capital is estimated at £85 million. The project will last for 24 </w:t>
      </w:r>
      <w:r w:rsidRPr="000C30F6">
        <w:rPr>
          <w:rFonts w:ascii="Arial" w:hAnsi="Arial" w:cs="Arial"/>
        </w:rPr>
        <w:t>months,</w:t>
      </w:r>
      <w:r w:rsidRPr="000C30F6">
        <w:rPr>
          <w:rFonts w:ascii="Arial" w:hAnsi="Arial" w:cs="Arial"/>
        </w:rPr>
        <w:t xml:space="preserve"> and the completion date is the second quarter of 2027.</w:t>
      </w:r>
    </w:p>
    <w:p w14:paraId="7C11CE24" w14:textId="3689A02B" w:rsidR="000C30F6" w:rsidRPr="000C30F6" w:rsidRDefault="000C30F6" w:rsidP="000C30F6">
      <w:pPr>
        <w:pStyle w:val="NormalWeb"/>
        <w:rPr>
          <w:rFonts w:ascii="Arial" w:hAnsi="Arial" w:cs="Arial"/>
        </w:rPr>
      </w:pPr>
      <w:r w:rsidRPr="000C30F6">
        <w:rPr>
          <w:rFonts w:ascii="Arial" w:hAnsi="Arial" w:cs="Arial"/>
        </w:rPr>
        <w:t xml:space="preserve">Full development was selected for </w:t>
      </w:r>
      <w:r w:rsidRPr="000C30F6">
        <w:rPr>
          <w:rFonts w:ascii="Arial" w:hAnsi="Arial" w:cs="Arial"/>
        </w:rPr>
        <w:t>several</w:t>
      </w:r>
      <w:r w:rsidRPr="000C30F6">
        <w:rPr>
          <w:rFonts w:ascii="Arial" w:hAnsi="Arial" w:cs="Arial"/>
        </w:rPr>
        <w:t xml:space="preserve"> reasons. It is the only option that tackles the structural </w:t>
      </w:r>
      <w:r w:rsidRPr="000C30F6">
        <w:rPr>
          <w:rFonts w:ascii="Arial" w:hAnsi="Arial" w:cs="Arial"/>
        </w:rPr>
        <w:t>problem</w:t>
      </w:r>
      <w:r w:rsidRPr="000C30F6">
        <w:rPr>
          <w:rFonts w:ascii="Arial" w:hAnsi="Arial" w:cs="Arial"/>
        </w:rPr>
        <w:t xml:space="preserve">. The temporary, digital-only or net-zero-only scenarios have none of the capability of the whole redevelopment to tackle the underlying structural problem on their own; each one is a partial solution or a repeat of the capital that is finally going to be spent. </w:t>
      </w:r>
      <w:r w:rsidRPr="000C30F6">
        <w:rPr>
          <w:rFonts w:ascii="Arial" w:hAnsi="Arial" w:cs="Arial"/>
        </w:rPr>
        <w:t>Now</w:t>
      </w:r>
      <w:r w:rsidRPr="000C30F6">
        <w:rPr>
          <w:rFonts w:ascii="Arial" w:hAnsi="Arial" w:cs="Arial"/>
        </w:rPr>
        <w:t xml:space="preserve"> objectives are expressed as targets with measures rather than dates alone:</w:t>
      </w:r>
    </w:p>
    <w:p w14:paraId="521E2540" w14:textId="6A763886" w:rsidR="000C30F6" w:rsidRPr="002C6BF4" w:rsidRDefault="002C6BF4" w:rsidP="000C30F6">
      <w:pPr>
        <w:pStyle w:val="NormalWeb"/>
        <w:rPr>
          <w:rFonts w:ascii="Arial" w:hAnsi="Arial" w:cs="Arial"/>
        </w:rPr>
      </w:pPr>
      <w:r>
        <w:t xml:space="preserve">  </w:t>
      </w:r>
      <w:r w:rsidR="000C30F6" w:rsidRPr="002C6BF4">
        <w:rPr>
          <w:rFonts w:ascii="Arial" w:hAnsi="Arial" w:cs="Arial"/>
        </w:rPr>
        <w:t>● Restore multimodal traffic volume by the end of December 2027</w:t>
      </w:r>
    </w:p>
    <w:p w14:paraId="6987F0EC" w14:textId="01BD1529" w:rsidR="000C30F6" w:rsidRPr="002C6BF4" w:rsidRDefault="002C6BF4" w:rsidP="000C30F6">
      <w:pPr>
        <w:pStyle w:val="NormalWeb"/>
        <w:rPr>
          <w:rFonts w:ascii="Arial" w:hAnsi="Arial" w:cs="Arial"/>
        </w:rPr>
      </w:pPr>
      <w:r w:rsidRPr="002C6BF4">
        <w:rPr>
          <w:rFonts w:ascii="Arial" w:hAnsi="Arial" w:cs="Arial"/>
        </w:rPr>
        <w:t xml:space="preserve">  </w:t>
      </w:r>
      <w:r w:rsidR="000C30F6" w:rsidRPr="002C6BF4">
        <w:rPr>
          <w:rFonts w:ascii="Arial" w:hAnsi="Arial" w:cs="Arial"/>
        </w:rPr>
        <w:t>● Pass an independent disability audit with a score of 100%. (The Disability Equality Act and the New Safety Buildings Act)</w:t>
      </w:r>
    </w:p>
    <w:p w14:paraId="1F32846C" w14:textId="6010AB21" w:rsidR="000C30F6" w:rsidRPr="002C6BF4" w:rsidRDefault="002C6BF4" w:rsidP="000C30F6">
      <w:pPr>
        <w:pStyle w:val="NormalWeb"/>
        <w:rPr>
          <w:rFonts w:ascii="Arial" w:hAnsi="Arial" w:cs="Arial"/>
        </w:rPr>
      </w:pPr>
      <w:r w:rsidRPr="002C6BF4">
        <w:rPr>
          <w:rFonts w:ascii="Arial" w:hAnsi="Arial" w:cs="Arial"/>
        </w:rPr>
        <w:t xml:space="preserve">  </w:t>
      </w:r>
      <w:r w:rsidR="000C30F6" w:rsidRPr="002C6BF4">
        <w:rPr>
          <w:rFonts w:ascii="Arial" w:hAnsi="Arial" w:cs="Arial"/>
        </w:rPr>
        <w:t>● Passenger interchange time to be on average 20% less than before closure</w:t>
      </w:r>
    </w:p>
    <w:p w14:paraId="700EF248" w14:textId="68989077" w:rsidR="000C30F6" w:rsidRPr="002C6BF4" w:rsidRDefault="002C6BF4" w:rsidP="002C6BF4">
      <w:pPr>
        <w:pStyle w:val="NormalWeb"/>
        <w:rPr>
          <w:rFonts w:ascii="Arial" w:hAnsi="Arial" w:cs="Arial"/>
        </w:rPr>
      </w:pPr>
      <w:r w:rsidRPr="002C6BF4">
        <w:rPr>
          <w:rFonts w:ascii="Arial" w:hAnsi="Arial" w:cs="Arial"/>
        </w:rPr>
        <w:t xml:space="preserve">  </w:t>
      </w:r>
      <w:r w:rsidR="000C30F6" w:rsidRPr="002C6BF4">
        <w:rPr>
          <w:rFonts w:ascii="Arial" w:hAnsi="Arial" w:cs="Arial"/>
        </w:rPr>
        <w:t>● Embodied carbon in the whole life cycle of the building to be reduced by at least 30% compared to that of a building conventionally rebuilt (Transport Authority, 2021)</w:t>
      </w:r>
    </w:p>
    <w:p w14:paraId="0871A633" w14:textId="38A0C0AC" w:rsidR="000C30F6" w:rsidRDefault="002C6BF4" w:rsidP="002C6BF4">
      <w:pPr>
        <w:pStyle w:val="NormalWeb"/>
        <w:rPr>
          <w:rFonts w:ascii="Arial" w:hAnsi="Arial" w:cs="Arial"/>
        </w:rPr>
      </w:pPr>
      <w:r w:rsidRPr="002C6BF4">
        <w:rPr>
          <w:rFonts w:ascii="Arial" w:hAnsi="Arial" w:cs="Arial"/>
        </w:rPr>
        <w:t xml:space="preserve">  </w:t>
      </w:r>
      <w:r w:rsidR="000C30F6" w:rsidRPr="002C6BF4">
        <w:rPr>
          <w:rFonts w:ascii="Arial" w:hAnsi="Arial" w:cs="Arial"/>
        </w:rPr>
        <w:t>● Cost of construction not to exceed the estimated budget which is around £85 million and not to go under or over by more than 5%.</w:t>
      </w:r>
    </w:p>
    <w:p w14:paraId="17B5A361" w14:textId="77777777" w:rsidR="002C6BF4" w:rsidRDefault="002C6BF4" w:rsidP="002C6BF4">
      <w:pPr>
        <w:pStyle w:val="NormalWeb"/>
        <w:rPr>
          <w:rFonts w:ascii="Arial" w:hAnsi="Arial" w:cs="Arial"/>
        </w:rPr>
      </w:pPr>
    </w:p>
    <w:p w14:paraId="7D76BC87" w14:textId="12208F6F" w:rsidR="002C6BF4" w:rsidRPr="008754CC" w:rsidRDefault="002C6BF4" w:rsidP="002C6BF4">
      <w:pPr>
        <w:pStyle w:val="NormalWeb"/>
        <w:numPr>
          <w:ilvl w:val="0"/>
          <w:numId w:val="4"/>
        </w:numPr>
        <w:rPr>
          <w:rFonts w:ascii="Arial" w:hAnsi="Arial" w:cs="Arial"/>
          <w:b/>
          <w:bCs/>
          <w:color w:val="4A7C59"/>
          <w:sz w:val="28"/>
          <w:szCs w:val="28"/>
        </w:rPr>
      </w:pPr>
      <w:r w:rsidRPr="008754CC">
        <w:rPr>
          <w:rFonts w:ascii="Arial" w:hAnsi="Arial" w:cs="Arial"/>
          <w:b/>
          <w:bCs/>
          <w:color w:val="4A7C59"/>
          <w:sz w:val="28"/>
          <w:szCs w:val="28"/>
        </w:rPr>
        <w:t>Scope</w:t>
      </w:r>
    </w:p>
    <w:p w14:paraId="233BE3FF" w14:textId="77777777" w:rsidR="002C6BF4" w:rsidRPr="002C6BF4" w:rsidRDefault="002C6BF4" w:rsidP="002C6BF4">
      <w:pPr>
        <w:pStyle w:val="NormalWeb"/>
        <w:rPr>
          <w:rFonts w:ascii="Arial" w:hAnsi="Arial" w:cs="Arial"/>
        </w:rPr>
      </w:pPr>
      <w:r w:rsidRPr="002C6BF4">
        <w:rPr>
          <w:rFonts w:ascii="Arial" w:hAnsi="Arial" w:cs="Arial"/>
        </w:rPr>
        <w:t>Establishing a clear boundary can help prevent the uncontrolled expansion of scope within a public project of this magnitude (Larson and Gray, 2021).</w:t>
      </w:r>
    </w:p>
    <w:p w14:paraId="4BA66A8E" w14:textId="77777777" w:rsidR="002C6BF4" w:rsidRDefault="002C6BF4" w:rsidP="002C6BF4">
      <w:pPr>
        <w:pStyle w:val="NormalWeb"/>
        <w:rPr>
          <w:rFonts w:ascii="Arial" w:hAnsi="Arial" w:cs="Arial"/>
        </w:rPr>
      </w:pPr>
      <w:r w:rsidRPr="002C6BF4">
        <w:rPr>
          <w:rFonts w:ascii="Arial" w:hAnsi="Arial" w:cs="Arial"/>
        </w:rPr>
        <w:t>The deliverables within the boundary are organized into five categories that align with the Work Breakdown Structure from Section 4 which allows the scope statement, schedule and budget to remain consistent and not become independent documents that might get out of sync during implementation.</w:t>
      </w:r>
    </w:p>
    <w:tbl>
      <w:tblPr>
        <w:tblW w:w="10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54"/>
        <w:gridCol w:w="6824"/>
      </w:tblGrid>
      <w:tr w:rsidR="002C6BF4" w14:paraId="27CA1046" w14:textId="77777777" w:rsidTr="002C6BF4">
        <w:tblPrEx>
          <w:tblCellMar>
            <w:top w:w="0" w:type="dxa"/>
            <w:bottom w:w="0" w:type="dxa"/>
          </w:tblCellMar>
        </w:tblPrEx>
        <w:trPr>
          <w:trHeight w:val="229"/>
        </w:trPr>
        <w:tc>
          <w:tcPr>
            <w:tcW w:w="3354" w:type="dxa"/>
            <w:shd w:val="clear" w:color="auto" w:fill="1E3A2F"/>
            <w:tcMar>
              <w:top w:w="70" w:type="dxa"/>
              <w:left w:w="100" w:type="dxa"/>
              <w:bottom w:w="70" w:type="dxa"/>
              <w:right w:w="100" w:type="dxa"/>
            </w:tcMar>
            <w:vAlign w:val="center"/>
          </w:tcPr>
          <w:p w14:paraId="2E25B11F" w14:textId="77777777" w:rsidR="002C6BF4" w:rsidRDefault="002C6BF4" w:rsidP="002D234F">
            <w:r>
              <w:rPr>
                <w:rFonts w:ascii="Calibri" w:eastAsia="Calibri" w:hAnsi="Calibri" w:cs="Calibri"/>
                <w:b/>
                <w:bCs/>
                <w:color w:val="FFFFFF"/>
                <w:sz w:val="19"/>
                <w:szCs w:val="19"/>
              </w:rPr>
              <w:t>Category</w:t>
            </w:r>
          </w:p>
        </w:tc>
        <w:tc>
          <w:tcPr>
            <w:tcW w:w="6824" w:type="dxa"/>
            <w:shd w:val="clear" w:color="auto" w:fill="1E3A2F"/>
            <w:tcMar>
              <w:top w:w="70" w:type="dxa"/>
              <w:left w:w="100" w:type="dxa"/>
              <w:bottom w:w="70" w:type="dxa"/>
              <w:right w:w="100" w:type="dxa"/>
            </w:tcMar>
            <w:vAlign w:val="center"/>
          </w:tcPr>
          <w:p w14:paraId="7708CDBF" w14:textId="77777777" w:rsidR="002C6BF4" w:rsidRDefault="002C6BF4" w:rsidP="002D234F">
            <w:r>
              <w:rPr>
                <w:rFonts w:ascii="Calibri" w:eastAsia="Calibri" w:hAnsi="Calibri" w:cs="Calibri"/>
                <w:b/>
                <w:bCs/>
                <w:color w:val="FFFFFF"/>
                <w:sz w:val="19"/>
                <w:szCs w:val="19"/>
              </w:rPr>
              <w:t>Detail</w:t>
            </w:r>
          </w:p>
        </w:tc>
      </w:tr>
      <w:tr w:rsidR="002C6BF4" w14:paraId="6AB3E80A" w14:textId="77777777" w:rsidTr="002C6BF4">
        <w:tblPrEx>
          <w:tblCellMar>
            <w:top w:w="0" w:type="dxa"/>
            <w:bottom w:w="0" w:type="dxa"/>
          </w:tblCellMar>
        </w:tblPrEx>
        <w:trPr>
          <w:trHeight w:val="688"/>
        </w:trPr>
        <w:tc>
          <w:tcPr>
            <w:tcW w:w="3354" w:type="dxa"/>
            <w:shd w:val="clear" w:color="auto" w:fill="FFFFFF"/>
            <w:tcMar>
              <w:top w:w="70" w:type="dxa"/>
              <w:left w:w="100" w:type="dxa"/>
              <w:bottom w:w="70" w:type="dxa"/>
              <w:right w:w="100" w:type="dxa"/>
            </w:tcMar>
            <w:vAlign w:val="center"/>
          </w:tcPr>
          <w:p w14:paraId="0DDF18E3" w14:textId="77777777" w:rsidR="002C6BF4" w:rsidRDefault="002C6BF4" w:rsidP="002D234F">
            <w:r>
              <w:rPr>
                <w:rFonts w:ascii="Calibri" w:eastAsia="Calibri" w:hAnsi="Calibri" w:cs="Calibri"/>
                <w:color w:val="2C2C2C"/>
                <w:sz w:val="19"/>
                <w:szCs w:val="19"/>
              </w:rPr>
              <w:t>In scope</w:t>
            </w:r>
          </w:p>
        </w:tc>
        <w:tc>
          <w:tcPr>
            <w:tcW w:w="6824" w:type="dxa"/>
            <w:shd w:val="clear" w:color="auto" w:fill="FFFFFF"/>
            <w:tcMar>
              <w:top w:w="70" w:type="dxa"/>
              <w:left w:w="100" w:type="dxa"/>
              <w:bottom w:w="70" w:type="dxa"/>
              <w:right w:w="100" w:type="dxa"/>
            </w:tcMar>
            <w:vAlign w:val="center"/>
          </w:tcPr>
          <w:p w14:paraId="42CA6C92" w14:textId="77777777" w:rsidR="002C6BF4" w:rsidRDefault="002C6BF4" w:rsidP="002D234F">
            <w:r>
              <w:rPr>
                <w:rFonts w:ascii="Calibri" w:eastAsia="Calibri" w:hAnsi="Calibri" w:cs="Calibri"/>
                <w:color w:val="2C2C2C"/>
                <w:sz w:val="19"/>
                <w:szCs w:val="19"/>
              </w:rPr>
              <w:t>Demolition and structural rebuild; rail/bus/freight platform upgrades; accessibility infrastructure; smart ticketing and passenger-flow systems; solar, EV charging and green space.</w:t>
            </w:r>
          </w:p>
        </w:tc>
      </w:tr>
      <w:tr w:rsidR="002C6BF4" w14:paraId="7EFDCDD8" w14:textId="77777777" w:rsidTr="002C6BF4">
        <w:tblPrEx>
          <w:tblCellMar>
            <w:top w:w="0" w:type="dxa"/>
            <w:bottom w:w="0" w:type="dxa"/>
          </w:tblCellMar>
        </w:tblPrEx>
        <w:trPr>
          <w:trHeight w:val="458"/>
        </w:trPr>
        <w:tc>
          <w:tcPr>
            <w:tcW w:w="3354" w:type="dxa"/>
            <w:shd w:val="clear" w:color="auto" w:fill="FAF7F2"/>
            <w:tcMar>
              <w:top w:w="70" w:type="dxa"/>
              <w:left w:w="100" w:type="dxa"/>
              <w:bottom w:w="70" w:type="dxa"/>
              <w:right w:w="100" w:type="dxa"/>
            </w:tcMar>
            <w:vAlign w:val="center"/>
          </w:tcPr>
          <w:p w14:paraId="12D9C105" w14:textId="77777777" w:rsidR="002C6BF4" w:rsidRDefault="002C6BF4" w:rsidP="002D234F">
            <w:r>
              <w:rPr>
                <w:rFonts w:ascii="Calibri" w:eastAsia="Calibri" w:hAnsi="Calibri" w:cs="Calibri"/>
                <w:color w:val="2C2C2C"/>
                <w:sz w:val="19"/>
                <w:szCs w:val="19"/>
              </w:rPr>
              <w:t>Out of scope</w:t>
            </w:r>
          </w:p>
        </w:tc>
        <w:tc>
          <w:tcPr>
            <w:tcW w:w="6824" w:type="dxa"/>
            <w:shd w:val="clear" w:color="auto" w:fill="FAF7F2"/>
            <w:tcMar>
              <w:top w:w="70" w:type="dxa"/>
              <w:left w:w="100" w:type="dxa"/>
              <w:bottom w:w="70" w:type="dxa"/>
              <w:right w:w="100" w:type="dxa"/>
            </w:tcMar>
            <w:vAlign w:val="center"/>
          </w:tcPr>
          <w:p w14:paraId="46CE9A2F" w14:textId="77777777" w:rsidR="002C6BF4" w:rsidRDefault="002C6BF4" w:rsidP="002D234F">
            <w:r>
              <w:rPr>
                <w:rFonts w:ascii="Calibri" w:eastAsia="Calibri" w:hAnsi="Calibri" w:cs="Calibri"/>
                <w:color w:val="2C2C2C"/>
                <w:sz w:val="19"/>
                <w:szCs w:val="19"/>
              </w:rPr>
              <w:t>Wider road network changes; national rail upgrades (Network Rail); commercial retail fit-out.</w:t>
            </w:r>
          </w:p>
        </w:tc>
      </w:tr>
    </w:tbl>
    <w:p w14:paraId="413BAA93" w14:textId="77777777" w:rsidR="002C6BF4" w:rsidRDefault="002C6BF4" w:rsidP="002C6BF4">
      <w:pPr>
        <w:spacing w:after="180"/>
      </w:pPr>
      <w:r>
        <w:rPr>
          <w:rFonts w:ascii="Calibri" w:eastAsia="Calibri" w:hAnsi="Calibri" w:cs="Calibri"/>
          <w:i/>
          <w:iCs/>
          <w:color w:val="2C2C2C"/>
          <w:sz w:val="18"/>
          <w:szCs w:val="18"/>
        </w:rPr>
        <w:t>Table 1: Scope boundary.</w:t>
      </w:r>
    </w:p>
    <w:p w14:paraId="455D7A32" w14:textId="77777777" w:rsidR="002C6BF4" w:rsidRDefault="002C6BF4" w:rsidP="002C6BF4">
      <w:pPr>
        <w:pStyle w:val="NormalWeb"/>
        <w:rPr>
          <w:rFonts w:ascii="Arial" w:hAnsi="Arial" w:cs="Arial"/>
        </w:rPr>
      </w:pPr>
    </w:p>
    <w:p w14:paraId="6E622D84" w14:textId="6737A2C2" w:rsidR="002C6BF4" w:rsidRPr="008754CC" w:rsidRDefault="002C6BF4" w:rsidP="002C6BF4">
      <w:pPr>
        <w:pStyle w:val="NormalWeb"/>
        <w:numPr>
          <w:ilvl w:val="0"/>
          <w:numId w:val="4"/>
        </w:numPr>
        <w:rPr>
          <w:rFonts w:ascii="Arial" w:hAnsi="Arial" w:cs="Arial"/>
          <w:b/>
          <w:bCs/>
          <w:color w:val="4A7C59"/>
          <w:sz w:val="28"/>
          <w:szCs w:val="28"/>
        </w:rPr>
      </w:pPr>
      <w:r w:rsidRPr="008754CC">
        <w:rPr>
          <w:rFonts w:ascii="Arial" w:hAnsi="Arial" w:cs="Arial"/>
          <w:b/>
          <w:bCs/>
          <w:color w:val="4A7C59"/>
          <w:sz w:val="28"/>
          <w:szCs w:val="28"/>
        </w:rPr>
        <w:lastRenderedPageBreak/>
        <w:t>Work Breakdown Structure (WBS)</w:t>
      </w: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56"/>
        <w:gridCol w:w="4232"/>
        <w:gridCol w:w="3056"/>
      </w:tblGrid>
      <w:tr w:rsidR="002C6BF4" w14:paraId="10345B67" w14:textId="77777777" w:rsidTr="002C6BF4">
        <w:tblPrEx>
          <w:tblCellMar>
            <w:top w:w="0" w:type="dxa"/>
            <w:bottom w:w="0" w:type="dxa"/>
          </w:tblCellMar>
        </w:tblPrEx>
        <w:trPr>
          <w:trHeight w:val="258"/>
        </w:trPr>
        <w:tc>
          <w:tcPr>
            <w:tcW w:w="3056" w:type="dxa"/>
            <w:shd w:val="clear" w:color="auto" w:fill="1E3A2F"/>
            <w:tcMar>
              <w:top w:w="70" w:type="dxa"/>
              <w:left w:w="100" w:type="dxa"/>
              <w:bottom w:w="70" w:type="dxa"/>
              <w:right w:w="100" w:type="dxa"/>
            </w:tcMar>
            <w:vAlign w:val="center"/>
          </w:tcPr>
          <w:p w14:paraId="4861BF3F" w14:textId="77777777" w:rsidR="002C6BF4" w:rsidRDefault="002C6BF4" w:rsidP="002D234F">
            <w:r>
              <w:rPr>
                <w:rFonts w:ascii="Calibri" w:eastAsia="Calibri" w:hAnsi="Calibri" w:cs="Calibri"/>
                <w:b/>
                <w:bCs/>
                <w:color w:val="FFFFFF"/>
                <w:sz w:val="19"/>
                <w:szCs w:val="19"/>
              </w:rPr>
              <w:t>Package</w:t>
            </w:r>
          </w:p>
        </w:tc>
        <w:tc>
          <w:tcPr>
            <w:tcW w:w="4232" w:type="dxa"/>
            <w:shd w:val="clear" w:color="auto" w:fill="1E3A2F"/>
            <w:tcMar>
              <w:top w:w="70" w:type="dxa"/>
              <w:left w:w="100" w:type="dxa"/>
              <w:bottom w:w="70" w:type="dxa"/>
              <w:right w:w="100" w:type="dxa"/>
            </w:tcMar>
            <w:vAlign w:val="center"/>
          </w:tcPr>
          <w:p w14:paraId="68F2B930" w14:textId="77777777" w:rsidR="002C6BF4" w:rsidRDefault="002C6BF4" w:rsidP="002D234F">
            <w:r>
              <w:rPr>
                <w:rFonts w:ascii="Calibri" w:eastAsia="Calibri" w:hAnsi="Calibri" w:cs="Calibri"/>
                <w:b/>
                <w:bCs/>
                <w:color w:val="FFFFFF"/>
                <w:sz w:val="19"/>
                <w:szCs w:val="19"/>
              </w:rPr>
              <w:t>Key activities</w:t>
            </w:r>
          </w:p>
        </w:tc>
        <w:tc>
          <w:tcPr>
            <w:tcW w:w="3056" w:type="dxa"/>
            <w:shd w:val="clear" w:color="auto" w:fill="1E3A2F"/>
            <w:tcMar>
              <w:top w:w="70" w:type="dxa"/>
              <w:left w:w="100" w:type="dxa"/>
              <w:bottom w:w="70" w:type="dxa"/>
              <w:right w:w="100" w:type="dxa"/>
            </w:tcMar>
            <w:vAlign w:val="center"/>
          </w:tcPr>
          <w:p w14:paraId="42B761EB" w14:textId="77777777" w:rsidR="002C6BF4" w:rsidRDefault="002C6BF4" w:rsidP="002D234F">
            <w:r>
              <w:rPr>
                <w:rFonts w:ascii="Calibri" w:eastAsia="Calibri" w:hAnsi="Calibri" w:cs="Calibri"/>
                <w:b/>
                <w:bCs/>
                <w:color w:val="FFFFFF"/>
                <w:sz w:val="19"/>
                <w:szCs w:val="19"/>
              </w:rPr>
              <w:t>Owner</w:t>
            </w:r>
          </w:p>
        </w:tc>
      </w:tr>
      <w:tr w:rsidR="002C6BF4" w14:paraId="66D3F3BA" w14:textId="77777777" w:rsidTr="002C6BF4">
        <w:tblPrEx>
          <w:tblCellMar>
            <w:top w:w="0" w:type="dxa"/>
            <w:bottom w:w="0" w:type="dxa"/>
          </w:tblCellMar>
        </w:tblPrEx>
        <w:trPr>
          <w:trHeight w:val="518"/>
        </w:trPr>
        <w:tc>
          <w:tcPr>
            <w:tcW w:w="3056" w:type="dxa"/>
            <w:shd w:val="clear" w:color="auto" w:fill="FFFFFF"/>
            <w:tcMar>
              <w:top w:w="70" w:type="dxa"/>
              <w:left w:w="100" w:type="dxa"/>
              <w:bottom w:w="70" w:type="dxa"/>
              <w:right w:w="100" w:type="dxa"/>
            </w:tcMar>
            <w:vAlign w:val="center"/>
          </w:tcPr>
          <w:p w14:paraId="43A32887" w14:textId="77777777" w:rsidR="002C6BF4" w:rsidRDefault="002C6BF4" w:rsidP="002D234F">
            <w:r>
              <w:rPr>
                <w:rFonts w:ascii="Calibri" w:eastAsia="Calibri" w:hAnsi="Calibri" w:cs="Calibri"/>
                <w:color w:val="2C2C2C"/>
                <w:sz w:val="19"/>
                <w:szCs w:val="19"/>
              </w:rPr>
              <w:t>1. Design &amp; Planning</w:t>
            </w:r>
          </w:p>
        </w:tc>
        <w:tc>
          <w:tcPr>
            <w:tcW w:w="4232" w:type="dxa"/>
            <w:shd w:val="clear" w:color="auto" w:fill="FFFFFF"/>
            <w:tcMar>
              <w:top w:w="70" w:type="dxa"/>
              <w:left w:w="100" w:type="dxa"/>
              <w:bottom w:w="70" w:type="dxa"/>
              <w:right w:w="100" w:type="dxa"/>
            </w:tcMar>
            <w:vAlign w:val="center"/>
          </w:tcPr>
          <w:p w14:paraId="6556A007" w14:textId="77777777" w:rsidR="002C6BF4" w:rsidRDefault="002C6BF4" w:rsidP="002D234F">
            <w:r>
              <w:rPr>
                <w:rFonts w:ascii="Calibri" w:eastAsia="Calibri" w:hAnsi="Calibri" w:cs="Calibri"/>
                <w:color w:val="2C2C2C"/>
                <w:sz w:val="19"/>
                <w:szCs w:val="19"/>
              </w:rPr>
              <w:t>Concept/detailed design; planning application; sign-off</w:t>
            </w:r>
          </w:p>
        </w:tc>
        <w:tc>
          <w:tcPr>
            <w:tcW w:w="3056" w:type="dxa"/>
            <w:shd w:val="clear" w:color="auto" w:fill="FFFFFF"/>
            <w:tcMar>
              <w:top w:w="70" w:type="dxa"/>
              <w:left w:w="100" w:type="dxa"/>
              <w:bottom w:w="70" w:type="dxa"/>
              <w:right w:w="100" w:type="dxa"/>
            </w:tcMar>
            <w:vAlign w:val="center"/>
          </w:tcPr>
          <w:p w14:paraId="47461657" w14:textId="77777777" w:rsidR="002C6BF4" w:rsidRDefault="002C6BF4" w:rsidP="002D234F">
            <w:r>
              <w:rPr>
                <w:rFonts w:ascii="Calibri" w:eastAsia="Calibri" w:hAnsi="Calibri" w:cs="Calibri"/>
                <w:color w:val="2C2C2C"/>
                <w:sz w:val="19"/>
                <w:szCs w:val="19"/>
              </w:rPr>
              <w:t>Design lead</w:t>
            </w:r>
          </w:p>
        </w:tc>
      </w:tr>
      <w:tr w:rsidR="002C6BF4" w14:paraId="3B9460AD" w14:textId="77777777" w:rsidTr="002C6BF4">
        <w:tblPrEx>
          <w:tblCellMar>
            <w:top w:w="0" w:type="dxa"/>
            <w:bottom w:w="0" w:type="dxa"/>
          </w:tblCellMar>
        </w:tblPrEx>
        <w:trPr>
          <w:trHeight w:val="518"/>
        </w:trPr>
        <w:tc>
          <w:tcPr>
            <w:tcW w:w="3056" w:type="dxa"/>
            <w:shd w:val="clear" w:color="auto" w:fill="FAF7F2"/>
            <w:tcMar>
              <w:top w:w="70" w:type="dxa"/>
              <w:left w:w="100" w:type="dxa"/>
              <w:bottom w:w="70" w:type="dxa"/>
              <w:right w:w="100" w:type="dxa"/>
            </w:tcMar>
            <w:vAlign w:val="center"/>
          </w:tcPr>
          <w:p w14:paraId="6C3A0487" w14:textId="77777777" w:rsidR="002C6BF4" w:rsidRDefault="002C6BF4" w:rsidP="002D234F">
            <w:r>
              <w:rPr>
                <w:rFonts w:ascii="Calibri" w:eastAsia="Calibri" w:hAnsi="Calibri" w:cs="Calibri"/>
                <w:color w:val="2C2C2C"/>
                <w:sz w:val="19"/>
                <w:szCs w:val="19"/>
              </w:rPr>
              <w:t>2. Enabling Works</w:t>
            </w:r>
          </w:p>
        </w:tc>
        <w:tc>
          <w:tcPr>
            <w:tcW w:w="4232" w:type="dxa"/>
            <w:shd w:val="clear" w:color="auto" w:fill="FAF7F2"/>
            <w:tcMar>
              <w:top w:w="70" w:type="dxa"/>
              <w:left w:w="100" w:type="dxa"/>
              <w:bottom w:w="70" w:type="dxa"/>
              <w:right w:w="100" w:type="dxa"/>
            </w:tcMar>
            <w:vAlign w:val="center"/>
          </w:tcPr>
          <w:p w14:paraId="08CCA6B5" w14:textId="77777777" w:rsidR="002C6BF4" w:rsidRDefault="002C6BF4" w:rsidP="002D234F">
            <w:r>
              <w:rPr>
                <w:rFonts w:ascii="Calibri" w:eastAsia="Calibri" w:hAnsi="Calibri" w:cs="Calibri"/>
                <w:color w:val="2C2C2C"/>
                <w:sz w:val="19"/>
                <w:szCs w:val="19"/>
              </w:rPr>
              <w:t>Utilities diversion; site clearance; demolition</w:t>
            </w:r>
          </w:p>
        </w:tc>
        <w:tc>
          <w:tcPr>
            <w:tcW w:w="3056" w:type="dxa"/>
            <w:shd w:val="clear" w:color="auto" w:fill="FAF7F2"/>
            <w:tcMar>
              <w:top w:w="70" w:type="dxa"/>
              <w:left w:w="100" w:type="dxa"/>
              <w:bottom w:w="70" w:type="dxa"/>
              <w:right w:w="100" w:type="dxa"/>
            </w:tcMar>
            <w:vAlign w:val="center"/>
          </w:tcPr>
          <w:p w14:paraId="2E242461" w14:textId="77777777" w:rsidR="002C6BF4" w:rsidRDefault="002C6BF4" w:rsidP="002D234F">
            <w:r>
              <w:rPr>
                <w:rFonts w:ascii="Calibri" w:eastAsia="Calibri" w:hAnsi="Calibri" w:cs="Calibri"/>
                <w:color w:val="2C2C2C"/>
                <w:sz w:val="19"/>
                <w:szCs w:val="19"/>
              </w:rPr>
              <w:t>Site manager</w:t>
            </w:r>
          </w:p>
        </w:tc>
      </w:tr>
      <w:tr w:rsidR="002C6BF4" w14:paraId="0F1706B3" w14:textId="77777777" w:rsidTr="002C6BF4">
        <w:tblPrEx>
          <w:tblCellMar>
            <w:top w:w="0" w:type="dxa"/>
            <w:bottom w:w="0" w:type="dxa"/>
          </w:tblCellMar>
        </w:tblPrEx>
        <w:trPr>
          <w:trHeight w:val="518"/>
        </w:trPr>
        <w:tc>
          <w:tcPr>
            <w:tcW w:w="3056" w:type="dxa"/>
            <w:shd w:val="clear" w:color="auto" w:fill="FFFFFF"/>
            <w:tcMar>
              <w:top w:w="70" w:type="dxa"/>
              <w:left w:w="100" w:type="dxa"/>
              <w:bottom w:w="70" w:type="dxa"/>
              <w:right w:w="100" w:type="dxa"/>
            </w:tcMar>
            <w:vAlign w:val="center"/>
          </w:tcPr>
          <w:p w14:paraId="464D929B" w14:textId="77777777" w:rsidR="002C6BF4" w:rsidRDefault="002C6BF4" w:rsidP="002D234F">
            <w:r>
              <w:rPr>
                <w:rFonts w:ascii="Calibri" w:eastAsia="Calibri" w:hAnsi="Calibri" w:cs="Calibri"/>
                <w:color w:val="2C2C2C"/>
                <w:sz w:val="19"/>
                <w:szCs w:val="19"/>
              </w:rPr>
              <w:t>3. Construction</w:t>
            </w:r>
          </w:p>
        </w:tc>
        <w:tc>
          <w:tcPr>
            <w:tcW w:w="4232" w:type="dxa"/>
            <w:shd w:val="clear" w:color="auto" w:fill="FFFFFF"/>
            <w:tcMar>
              <w:top w:w="70" w:type="dxa"/>
              <w:left w:w="100" w:type="dxa"/>
              <w:bottom w:w="70" w:type="dxa"/>
              <w:right w:w="100" w:type="dxa"/>
            </w:tcMar>
            <w:vAlign w:val="center"/>
          </w:tcPr>
          <w:p w14:paraId="28FE2245" w14:textId="77777777" w:rsidR="002C6BF4" w:rsidRDefault="002C6BF4" w:rsidP="002D234F">
            <w:r>
              <w:rPr>
                <w:rFonts w:ascii="Calibri" w:eastAsia="Calibri" w:hAnsi="Calibri" w:cs="Calibri"/>
                <w:color w:val="2C2C2C"/>
                <w:sz w:val="19"/>
                <w:szCs w:val="19"/>
              </w:rPr>
              <w:t>Structural rebuild; platforms; accessibility fit-out</w:t>
            </w:r>
          </w:p>
        </w:tc>
        <w:tc>
          <w:tcPr>
            <w:tcW w:w="3056" w:type="dxa"/>
            <w:shd w:val="clear" w:color="auto" w:fill="FFFFFF"/>
            <w:tcMar>
              <w:top w:w="70" w:type="dxa"/>
              <w:left w:w="100" w:type="dxa"/>
              <w:bottom w:w="70" w:type="dxa"/>
              <w:right w:w="100" w:type="dxa"/>
            </w:tcMar>
            <w:vAlign w:val="center"/>
          </w:tcPr>
          <w:p w14:paraId="3875825D" w14:textId="77777777" w:rsidR="002C6BF4" w:rsidRDefault="002C6BF4" w:rsidP="002D234F">
            <w:r>
              <w:rPr>
                <w:rFonts w:ascii="Calibri" w:eastAsia="Calibri" w:hAnsi="Calibri" w:cs="Calibri"/>
                <w:color w:val="2C2C2C"/>
                <w:sz w:val="19"/>
                <w:szCs w:val="19"/>
              </w:rPr>
              <w:t>Construction lead</w:t>
            </w:r>
          </w:p>
        </w:tc>
      </w:tr>
      <w:tr w:rsidR="002C6BF4" w14:paraId="08562DF5" w14:textId="77777777" w:rsidTr="002C6BF4">
        <w:tblPrEx>
          <w:tblCellMar>
            <w:top w:w="0" w:type="dxa"/>
            <w:bottom w:w="0" w:type="dxa"/>
          </w:tblCellMar>
        </w:tblPrEx>
        <w:trPr>
          <w:trHeight w:val="258"/>
        </w:trPr>
        <w:tc>
          <w:tcPr>
            <w:tcW w:w="3056" w:type="dxa"/>
            <w:shd w:val="clear" w:color="auto" w:fill="FAF7F2"/>
            <w:tcMar>
              <w:top w:w="70" w:type="dxa"/>
              <w:left w:w="100" w:type="dxa"/>
              <w:bottom w:w="70" w:type="dxa"/>
              <w:right w:w="100" w:type="dxa"/>
            </w:tcMar>
            <w:vAlign w:val="center"/>
          </w:tcPr>
          <w:p w14:paraId="0168BD80" w14:textId="77777777" w:rsidR="002C6BF4" w:rsidRDefault="002C6BF4" w:rsidP="002D234F">
            <w:r>
              <w:rPr>
                <w:rFonts w:ascii="Calibri" w:eastAsia="Calibri" w:hAnsi="Calibri" w:cs="Calibri"/>
                <w:color w:val="2C2C2C"/>
                <w:sz w:val="19"/>
                <w:szCs w:val="19"/>
              </w:rPr>
              <w:t>4. Systems &amp; Digital</w:t>
            </w:r>
          </w:p>
        </w:tc>
        <w:tc>
          <w:tcPr>
            <w:tcW w:w="4232" w:type="dxa"/>
            <w:shd w:val="clear" w:color="auto" w:fill="FAF7F2"/>
            <w:tcMar>
              <w:top w:w="70" w:type="dxa"/>
              <w:left w:w="100" w:type="dxa"/>
              <w:bottom w:w="70" w:type="dxa"/>
              <w:right w:w="100" w:type="dxa"/>
            </w:tcMar>
            <w:vAlign w:val="center"/>
          </w:tcPr>
          <w:p w14:paraId="2A3A7B05" w14:textId="77777777" w:rsidR="002C6BF4" w:rsidRDefault="002C6BF4" w:rsidP="002D234F">
            <w:r>
              <w:rPr>
                <w:rFonts w:ascii="Calibri" w:eastAsia="Calibri" w:hAnsi="Calibri" w:cs="Calibri"/>
                <w:color w:val="2C2C2C"/>
                <w:sz w:val="19"/>
                <w:szCs w:val="19"/>
              </w:rPr>
              <w:t>Smart ticketing; sensors; signalling interface</w:t>
            </w:r>
          </w:p>
        </w:tc>
        <w:tc>
          <w:tcPr>
            <w:tcW w:w="3056" w:type="dxa"/>
            <w:shd w:val="clear" w:color="auto" w:fill="FAF7F2"/>
            <w:tcMar>
              <w:top w:w="70" w:type="dxa"/>
              <w:left w:w="100" w:type="dxa"/>
              <w:bottom w:w="70" w:type="dxa"/>
              <w:right w:w="100" w:type="dxa"/>
            </w:tcMar>
            <w:vAlign w:val="center"/>
          </w:tcPr>
          <w:p w14:paraId="208E260B" w14:textId="77777777" w:rsidR="002C6BF4" w:rsidRDefault="002C6BF4" w:rsidP="002D234F">
            <w:r>
              <w:rPr>
                <w:rFonts w:ascii="Calibri" w:eastAsia="Calibri" w:hAnsi="Calibri" w:cs="Calibri"/>
                <w:color w:val="2C2C2C"/>
                <w:sz w:val="19"/>
                <w:szCs w:val="19"/>
              </w:rPr>
              <w:t>Digital subcontractor</w:t>
            </w:r>
          </w:p>
        </w:tc>
      </w:tr>
      <w:tr w:rsidR="002C6BF4" w14:paraId="59866CD6" w14:textId="77777777" w:rsidTr="002C6BF4">
        <w:tblPrEx>
          <w:tblCellMar>
            <w:top w:w="0" w:type="dxa"/>
            <w:bottom w:w="0" w:type="dxa"/>
          </w:tblCellMar>
        </w:tblPrEx>
        <w:trPr>
          <w:trHeight w:val="258"/>
        </w:trPr>
        <w:tc>
          <w:tcPr>
            <w:tcW w:w="3056" w:type="dxa"/>
            <w:shd w:val="clear" w:color="auto" w:fill="FFFFFF"/>
            <w:tcMar>
              <w:top w:w="70" w:type="dxa"/>
              <w:left w:w="100" w:type="dxa"/>
              <w:bottom w:w="70" w:type="dxa"/>
              <w:right w:w="100" w:type="dxa"/>
            </w:tcMar>
            <w:vAlign w:val="center"/>
          </w:tcPr>
          <w:p w14:paraId="6D2DC371" w14:textId="77777777" w:rsidR="002C6BF4" w:rsidRDefault="002C6BF4" w:rsidP="002D234F">
            <w:r>
              <w:rPr>
                <w:rFonts w:ascii="Calibri" w:eastAsia="Calibri" w:hAnsi="Calibri" w:cs="Calibri"/>
                <w:color w:val="2C2C2C"/>
                <w:sz w:val="19"/>
                <w:szCs w:val="19"/>
              </w:rPr>
              <w:t>5. Handover</w:t>
            </w:r>
          </w:p>
        </w:tc>
        <w:tc>
          <w:tcPr>
            <w:tcW w:w="4232" w:type="dxa"/>
            <w:shd w:val="clear" w:color="auto" w:fill="FFFFFF"/>
            <w:tcMar>
              <w:top w:w="70" w:type="dxa"/>
              <w:left w:w="100" w:type="dxa"/>
              <w:bottom w:w="70" w:type="dxa"/>
              <w:right w:w="100" w:type="dxa"/>
            </w:tcMar>
            <w:vAlign w:val="center"/>
          </w:tcPr>
          <w:p w14:paraId="0FAFA76C" w14:textId="77777777" w:rsidR="002C6BF4" w:rsidRDefault="002C6BF4" w:rsidP="002D234F">
            <w:r>
              <w:rPr>
                <w:rFonts w:ascii="Calibri" w:eastAsia="Calibri" w:hAnsi="Calibri" w:cs="Calibri"/>
                <w:color w:val="2C2C2C"/>
                <w:sz w:val="19"/>
                <w:szCs w:val="19"/>
              </w:rPr>
              <w:t>Testing; regulatory sign-off; reopening</w:t>
            </w:r>
          </w:p>
        </w:tc>
        <w:tc>
          <w:tcPr>
            <w:tcW w:w="3056" w:type="dxa"/>
            <w:shd w:val="clear" w:color="auto" w:fill="FFFFFF"/>
            <w:tcMar>
              <w:top w:w="70" w:type="dxa"/>
              <w:left w:w="100" w:type="dxa"/>
              <w:bottom w:w="70" w:type="dxa"/>
              <w:right w:w="100" w:type="dxa"/>
            </w:tcMar>
            <w:vAlign w:val="center"/>
          </w:tcPr>
          <w:p w14:paraId="60B6A28A" w14:textId="77777777" w:rsidR="002C6BF4" w:rsidRDefault="002C6BF4" w:rsidP="002D234F">
            <w:r>
              <w:rPr>
                <w:rFonts w:ascii="Calibri" w:eastAsia="Calibri" w:hAnsi="Calibri" w:cs="Calibri"/>
                <w:color w:val="2C2C2C"/>
                <w:sz w:val="19"/>
                <w:szCs w:val="19"/>
              </w:rPr>
              <w:t>Local Authority lead</w:t>
            </w:r>
          </w:p>
        </w:tc>
      </w:tr>
    </w:tbl>
    <w:p w14:paraId="61406556" w14:textId="77777777" w:rsidR="002C6BF4" w:rsidRDefault="002C6BF4" w:rsidP="002C6BF4">
      <w:pPr>
        <w:spacing w:after="180"/>
      </w:pPr>
      <w:r>
        <w:rPr>
          <w:rFonts w:ascii="Calibri" w:eastAsia="Calibri" w:hAnsi="Calibri" w:cs="Calibri"/>
          <w:i/>
          <w:iCs/>
          <w:color w:val="2C2C2C"/>
          <w:sz w:val="18"/>
          <w:szCs w:val="18"/>
        </w:rPr>
        <w:t>Table 2: Work Breakdown Structure, levels 1–3.</w:t>
      </w:r>
    </w:p>
    <w:p w14:paraId="2B3B0459" w14:textId="6EABC1B3" w:rsidR="002C6BF4" w:rsidRDefault="002C6BF4" w:rsidP="002C6BF4">
      <w:pPr>
        <w:pStyle w:val="NormalWeb"/>
        <w:rPr>
          <w:rFonts w:ascii="Arial" w:hAnsi="Arial" w:cs="Arial"/>
        </w:rPr>
      </w:pPr>
      <w:r w:rsidRPr="002C6BF4">
        <w:rPr>
          <w:rFonts w:ascii="Arial" w:hAnsi="Arial" w:cs="Arial"/>
        </w:rPr>
        <w:t>Each package connects to a schedule activity in Section 6 and a resource owner in Section 8.</w:t>
      </w:r>
      <w:r>
        <w:rPr>
          <w:rFonts w:ascii="Arial" w:hAnsi="Arial" w:cs="Arial"/>
        </w:rPr>
        <w:t xml:space="preserve"> </w:t>
      </w:r>
      <w:r w:rsidRPr="002C6BF4">
        <w:rPr>
          <w:rFonts w:ascii="Arial" w:hAnsi="Arial" w:cs="Arial"/>
        </w:rPr>
        <w:t>This way, the plan has one common foundation rather than separately maintained documents that might easily drift apart.</w:t>
      </w:r>
    </w:p>
    <w:p w14:paraId="0F2EE789" w14:textId="6C22138E" w:rsidR="002C6BF4" w:rsidRPr="008754CC" w:rsidRDefault="002C6BF4" w:rsidP="002C6BF4">
      <w:pPr>
        <w:pStyle w:val="NormalWeb"/>
        <w:numPr>
          <w:ilvl w:val="0"/>
          <w:numId w:val="4"/>
        </w:numPr>
        <w:rPr>
          <w:rFonts w:ascii="Arial" w:hAnsi="Arial" w:cs="Arial"/>
          <w:b/>
          <w:bCs/>
          <w:color w:val="4A7C59"/>
          <w:sz w:val="28"/>
          <w:szCs w:val="28"/>
        </w:rPr>
      </w:pPr>
      <w:r w:rsidRPr="008754CC">
        <w:rPr>
          <w:rFonts w:ascii="Arial" w:hAnsi="Arial" w:cs="Arial"/>
          <w:b/>
          <w:bCs/>
          <w:color w:val="4A7C59"/>
          <w:sz w:val="28"/>
          <w:szCs w:val="28"/>
        </w:rPr>
        <w:t>Quad Chart</w:t>
      </w:r>
    </w:p>
    <w:tbl>
      <w:tblPr>
        <w:tblW w:w="10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98"/>
        <w:gridCol w:w="7795"/>
      </w:tblGrid>
      <w:tr w:rsidR="002C6BF4" w14:paraId="516903CA" w14:textId="77777777" w:rsidTr="002C6BF4">
        <w:tblPrEx>
          <w:tblCellMar>
            <w:top w:w="0" w:type="dxa"/>
            <w:bottom w:w="0" w:type="dxa"/>
          </w:tblCellMar>
        </w:tblPrEx>
        <w:trPr>
          <w:trHeight w:val="232"/>
        </w:trPr>
        <w:tc>
          <w:tcPr>
            <w:tcW w:w="2598" w:type="dxa"/>
            <w:shd w:val="clear" w:color="auto" w:fill="1E3A2F"/>
            <w:tcMar>
              <w:top w:w="70" w:type="dxa"/>
              <w:left w:w="100" w:type="dxa"/>
              <w:bottom w:w="70" w:type="dxa"/>
              <w:right w:w="100" w:type="dxa"/>
            </w:tcMar>
            <w:vAlign w:val="center"/>
          </w:tcPr>
          <w:p w14:paraId="48483448" w14:textId="77777777" w:rsidR="002C6BF4" w:rsidRDefault="002C6BF4" w:rsidP="002D234F">
            <w:r>
              <w:rPr>
                <w:rFonts w:ascii="Calibri" w:eastAsia="Calibri" w:hAnsi="Calibri" w:cs="Calibri"/>
                <w:b/>
                <w:bCs/>
                <w:color w:val="FFFFFF"/>
                <w:sz w:val="19"/>
                <w:szCs w:val="19"/>
              </w:rPr>
              <w:t>Quadrant</w:t>
            </w:r>
          </w:p>
        </w:tc>
        <w:tc>
          <w:tcPr>
            <w:tcW w:w="7795" w:type="dxa"/>
            <w:shd w:val="clear" w:color="auto" w:fill="1E3A2F"/>
            <w:tcMar>
              <w:top w:w="70" w:type="dxa"/>
              <w:left w:w="100" w:type="dxa"/>
              <w:bottom w:w="70" w:type="dxa"/>
              <w:right w:w="100" w:type="dxa"/>
            </w:tcMar>
            <w:vAlign w:val="center"/>
          </w:tcPr>
          <w:p w14:paraId="150A90FD" w14:textId="77777777" w:rsidR="002C6BF4" w:rsidRDefault="002C6BF4" w:rsidP="002D234F">
            <w:r>
              <w:rPr>
                <w:rFonts w:ascii="Calibri" w:eastAsia="Calibri" w:hAnsi="Calibri" w:cs="Calibri"/>
                <w:b/>
                <w:bCs/>
                <w:color w:val="FFFFFF"/>
                <w:sz w:val="19"/>
                <w:szCs w:val="19"/>
              </w:rPr>
              <w:t>Content</w:t>
            </w:r>
          </w:p>
        </w:tc>
      </w:tr>
      <w:tr w:rsidR="002C6BF4" w14:paraId="0D69E32A" w14:textId="77777777" w:rsidTr="002C6BF4">
        <w:tblPrEx>
          <w:tblCellMar>
            <w:top w:w="0" w:type="dxa"/>
            <w:bottom w:w="0" w:type="dxa"/>
          </w:tblCellMar>
        </w:tblPrEx>
        <w:trPr>
          <w:trHeight w:val="464"/>
        </w:trPr>
        <w:tc>
          <w:tcPr>
            <w:tcW w:w="2598" w:type="dxa"/>
            <w:shd w:val="clear" w:color="auto" w:fill="FFFFFF"/>
            <w:tcMar>
              <w:top w:w="70" w:type="dxa"/>
              <w:left w:w="100" w:type="dxa"/>
              <w:bottom w:w="70" w:type="dxa"/>
              <w:right w:w="100" w:type="dxa"/>
            </w:tcMar>
            <w:vAlign w:val="center"/>
          </w:tcPr>
          <w:p w14:paraId="44C339F8" w14:textId="77777777" w:rsidR="002C6BF4" w:rsidRDefault="002C6BF4" w:rsidP="002D234F">
            <w:r>
              <w:rPr>
                <w:rFonts w:ascii="Calibri" w:eastAsia="Calibri" w:hAnsi="Calibri" w:cs="Calibri"/>
                <w:color w:val="2C2C2C"/>
                <w:sz w:val="19"/>
                <w:szCs w:val="19"/>
              </w:rPr>
              <w:t>Statement</w:t>
            </w:r>
          </w:p>
        </w:tc>
        <w:tc>
          <w:tcPr>
            <w:tcW w:w="7795" w:type="dxa"/>
            <w:shd w:val="clear" w:color="auto" w:fill="FFFFFF"/>
            <w:tcMar>
              <w:top w:w="70" w:type="dxa"/>
              <w:left w:w="100" w:type="dxa"/>
              <w:bottom w:w="70" w:type="dxa"/>
              <w:right w:w="100" w:type="dxa"/>
            </w:tcMar>
            <w:vAlign w:val="center"/>
          </w:tcPr>
          <w:p w14:paraId="1093B3EA" w14:textId="77777777" w:rsidR="002C6BF4" w:rsidRDefault="002C6BF4" w:rsidP="002D234F">
            <w:r>
              <w:rPr>
                <w:rFonts w:ascii="Calibri" w:eastAsia="Calibri" w:hAnsi="Calibri" w:cs="Calibri"/>
                <w:color w:val="2C2C2C"/>
                <w:sz w:val="19"/>
                <w:szCs w:val="19"/>
              </w:rPr>
              <w:t>Redevelop the hub into a safe, accessible, sustainable, digitally enabled interchange.</w:t>
            </w:r>
          </w:p>
        </w:tc>
      </w:tr>
      <w:tr w:rsidR="002C6BF4" w14:paraId="599E1518" w14:textId="77777777" w:rsidTr="002C6BF4">
        <w:tblPrEx>
          <w:tblCellMar>
            <w:top w:w="0" w:type="dxa"/>
            <w:bottom w:w="0" w:type="dxa"/>
          </w:tblCellMar>
        </w:tblPrEx>
        <w:trPr>
          <w:trHeight w:val="464"/>
        </w:trPr>
        <w:tc>
          <w:tcPr>
            <w:tcW w:w="2598" w:type="dxa"/>
            <w:shd w:val="clear" w:color="auto" w:fill="FAF7F2"/>
            <w:tcMar>
              <w:top w:w="70" w:type="dxa"/>
              <w:left w:w="100" w:type="dxa"/>
              <w:bottom w:w="70" w:type="dxa"/>
              <w:right w:w="100" w:type="dxa"/>
            </w:tcMar>
            <w:vAlign w:val="center"/>
          </w:tcPr>
          <w:p w14:paraId="323C7CDA" w14:textId="77777777" w:rsidR="002C6BF4" w:rsidRDefault="002C6BF4" w:rsidP="002D234F">
            <w:r>
              <w:rPr>
                <w:rFonts w:ascii="Calibri" w:eastAsia="Calibri" w:hAnsi="Calibri" w:cs="Calibri"/>
                <w:color w:val="2C2C2C"/>
                <w:sz w:val="19"/>
                <w:szCs w:val="19"/>
              </w:rPr>
              <w:t>Milestones</w:t>
            </w:r>
          </w:p>
        </w:tc>
        <w:tc>
          <w:tcPr>
            <w:tcW w:w="7795" w:type="dxa"/>
            <w:shd w:val="clear" w:color="auto" w:fill="FAF7F2"/>
            <w:tcMar>
              <w:top w:w="70" w:type="dxa"/>
              <w:left w:w="100" w:type="dxa"/>
              <w:bottom w:w="70" w:type="dxa"/>
              <w:right w:w="100" w:type="dxa"/>
            </w:tcMar>
            <w:vAlign w:val="center"/>
          </w:tcPr>
          <w:p w14:paraId="558E92AF" w14:textId="77777777" w:rsidR="002C6BF4" w:rsidRDefault="002C6BF4" w:rsidP="002D234F">
            <w:r>
              <w:rPr>
                <w:rFonts w:ascii="Calibri" w:eastAsia="Calibri" w:hAnsi="Calibri" w:cs="Calibri"/>
                <w:color w:val="2C2C2C"/>
                <w:sz w:val="19"/>
                <w:szCs w:val="19"/>
              </w:rPr>
              <w:t>Design freeze m4 · Enabling works m7 · Rebuild complete m16 · Systems complete m21 · Reopening m24</w:t>
            </w:r>
          </w:p>
        </w:tc>
      </w:tr>
      <w:tr w:rsidR="002C6BF4" w14:paraId="6585D829" w14:textId="77777777" w:rsidTr="002C6BF4">
        <w:tblPrEx>
          <w:tblCellMar>
            <w:top w:w="0" w:type="dxa"/>
            <w:bottom w:w="0" w:type="dxa"/>
          </w:tblCellMar>
        </w:tblPrEx>
        <w:trPr>
          <w:trHeight w:val="464"/>
        </w:trPr>
        <w:tc>
          <w:tcPr>
            <w:tcW w:w="2598" w:type="dxa"/>
            <w:shd w:val="clear" w:color="auto" w:fill="FFFFFF"/>
            <w:tcMar>
              <w:top w:w="70" w:type="dxa"/>
              <w:left w:w="100" w:type="dxa"/>
              <w:bottom w:w="70" w:type="dxa"/>
              <w:right w:w="100" w:type="dxa"/>
            </w:tcMar>
            <w:vAlign w:val="center"/>
          </w:tcPr>
          <w:p w14:paraId="209C2B89" w14:textId="77777777" w:rsidR="002C6BF4" w:rsidRDefault="002C6BF4" w:rsidP="002D234F">
            <w:r>
              <w:rPr>
                <w:rFonts w:ascii="Calibri" w:eastAsia="Calibri" w:hAnsi="Calibri" w:cs="Calibri"/>
                <w:color w:val="2C2C2C"/>
                <w:sz w:val="19"/>
                <w:szCs w:val="19"/>
              </w:rPr>
              <w:t>Budget</w:t>
            </w:r>
          </w:p>
        </w:tc>
        <w:tc>
          <w:tcPr>
            <w:tcW w:w="7795" w:type="dxa"/>
            <w:shd w:val="clear" w:color="auto" w:fill="FFFFFF"/>
            <w:tcMar>
              <w:top w:w="70" w:type="dxa"/>
              <w:left w:w="100" w:type="dxa"/>
              <w:bottom w:w="70" w:type="dxa"/>
              <w:right w:w="100" w:type="dxa"/>
            </w:tcMar>
            <w:vAlign w:val="center"/>
          </w:tcPr>
          <w:p w14:paraId="223EFD3D" w14:textId="77777777" w:rsidR="002C6BF4" w:rsidRDefault="002C6BF4" w:rsidP="002D234F">
            <w:r>
              <w:rPr>
                <w:rFonts w:ascii="Calibri" w:eastAsia="Calibri" w:hAnsi="Calibri" w:cs="Calibri"/>
                <w:color w:val="2C2C2C"/>
                <w:sz w:val="19"/>
                <w:szCs w:val="19"/>
              </w:rPr>
              <w:t>£85m; ~10% design/fees; contractor + specialist subcontractors; central contingency</w:t>
            </w:r>
          </w:p>
        </w:tc>
      </w:tr>
      <w:tr w:rsidR="002C6BF4" w14:paraId="463CB674" w14:textId="77777777" w:rsidTr="002C6BF4">
        <w:tblPrEx>
          <w:tblCellMar>
            <w:top w:w="0" w:type="dxa"/>
            <w:bottom w:w="0" w:type="dxa"/>
          </w:tblCellMar>
        </w:tblPrEx>
        <w:trPr>
          <w:trHeight w:val="232"/>
        </w:trPr>
        <w:tc>
          <w:tcPr>
            <w:tcW w:w="2598" w:type="dxa"/>
            <w:shd w:val="clear" w:color="auto" w:fill="FAF7F2"/>
            <w:tcMar>
              <w:top w:w="70" w:type="dxa"/>
              <w:left w:w="100" w:type="dxa"/>
              <w:bottom w:w="70" w:type="dxa"/>
              <w:right w:w="100" w:type="dxa"/>
            </w:tcMar>
            <w:vAlign w:val="center"/>
          </w:tcPr>
          <w:p w14:paraId="5AC29647" w14:textId="77777777" w:rsidR="002C6BF4" w:rsidRDefault="002C6BF4" w:rsidP="002D234F">
            <w:r>
              <w:rPr>
                <w:rFonts w:ascii="Calibri" w:eastAsia="Calibri" w:hAnsi="Calibri" w:cs="Calibri"/>
                <w:color w:val="2C2C2C"/>
                <w:sz w:val="19"/>
                <w:szCs w:val="19"/>
              </w:rPr>
              <w:t>Top risks</w:t>
            </w:r>
          </w:p>
        </w:tc>
        <w:tc>
          <w:tcPr>
            <w:tcW w:w="7795" w:type="dxa"/>
            <w:shd w:val="clear" w:color="auto" w:fill="FAF7F2"/>
            <w:tcMar>
              <w:top w:w="70" w:type="dxa"/>
              <w:left w:w="100" w:type="dxa"/>
              <w:bottom w:w="70" w:type="dxa"/>
              <w:right w:w="100" w:type="dxa"/>
            </w:tcMar>
            <w:vAlign w:val="center"/>
          </w:tcPr>
          <w:p w14:paraId="760C0585" w14:textId="77777777" w:rsidR="002C6BF4" w:rsidRDefault="002C6BF4" w:rsidP="002D234F">
            <w:r>
              <w:rPr>
                <w:rFonts w:ascii="Calibri" w:eastAsia="Calibri" w:hAnsi="Calibri" w:cs="Calibri"/>
                <w:color w:val="2C2C2C"/>
                <w:sz w:val="19"/>
                <w:szCs w:val="19"/>
              </w:rPr>
              <w:t>Delay · Overrun · Disruption · Supply chain (Section 9)</w:t>
            </w:r>
          </w:p>
        </w:tc>
      </w:tr>
    </w:tbl>
    <w:p w14:paraId="125570DC" w14:textId="77777777" w:rsidR="002C6BF4" w:rsidRDefault="002C6BF4" w:rsidP="002C6BF4">
      <w:pPr>
        <w:spacing w:after="180"/>
      </w:pPr>
      <w:r>
        <w:rPr>
          <w:rFonts w:ascii="Calibri" w:eastAsia="Calibri" w:hAnsi="Calibri" w:cs="Calibri"/>
          <w:i/>
          <w:iCs/>
          <w:color w:val="2C2C2C"/>
          <w:sz w:val="18"/>
          <w:szCs w:val="18"/>
        </w:rPr>
        <w:t>Table 3: Quad chart summary.</w:t>
      </w:r>
    </w:p>
    <w:p w14:paraId="706AB254" w14:textId="34CB7B7C" w:rsidR="002C6BF4" w:rsidRPr="008754CC" w:rsidRDefault="002C6BF4" w:rsidP="002C6BF4">
      <w:pPr>
        <w:pStyle w:val="NormalWeb"/>
        <w:numPr>
          <w:ilvl w:val="0"/>
          <w:numId w:val="4"/>
        </w:numPr>
        <w:rPr>
          <w:rFonts w:ascii="Arial" w:hAnsi="Arial" w:cs="Arial"/>
          <w:b/>
          <w:bCs/>
          <w:color w:val="4A7C59"/>
          <w:sz w:val="28"/>
          <w:szCs w:val="28"/>
        </w:rPr>
      </w:pPr>
      <w:r w:rsidRPr="008754CC">
        <w:rPr>
          <w:rFonts w:ascii="Arial" w:hAnsi="Arial" w:cs="Arial"/>
          <w:b/>
          <w:bCs/>
          <w:color w:val="4A7C59"/>
          <w:sz w:val="28"/>
          <w:szCs w:val="28"/>
        </w:rPr>
        <w:t>Gantt Chart</w:t>
      </w:r>
    </w:p>
    <w:tbl>
      <w:tblPr>
        <w:tblW w:w="10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55"/>
        <w:gridCol w:w="2888"/>
        <w:gridCol w:w="3999"/>
      </w:tblGrid>
      <w:tr w:rsidR="002C6BF4" w14:paraId="2FEC441F" w14:textId="77777777" w:rsidTr="002C6BF4">
        <w:tblPrEx>
          <w:tblCellMar>
            <w:top w:w="0" w:type="dxa"/>
            <w:bottom w:w="0" w:type="dxa"/>
          </w:tblCellMar>
        </w:tblPrEx>
        <w:trPr>
          <w:trHeight w:val="222"/>
        </w:trPr>
        <w:tc>
          <w:tcPr>
            <w:tcW w:w="3555" w:type="dxa"/>
            <w:shd w:val="clear" w:color="auto" w:fill="1E3A2F"/>
            <w:tcMar>
              <w:top w:w="70" w:type="dxa"/>
              <w:left w:w="100" w:type="dxa"/>
              <w:bottom w:w="70" w:type="dxa"/>
              <w:right w:w="100" w:type="dxa"/>
            </w:tcMar>
            <w:vAlign w:val="center"/>
          </w:tcPr>
          <w:p w14:paraId="3DEC3EDE" w14:textId="77777777" w:rsidR="002C6BF4" w:rsidRDefault="002C6BF4" w:rsidP="002D234F">
            <w:r>
              <w:rPr>
                <w:rFonts w:ascii="Calibri" w:eastAsia="Calibri" w:hAnsi="Calibri" w:cs="Calibri"/>
                <w:b/>
                <w:bCs/>
                <w:color w:val="FFFFFF"/>
                <w:sz w:val="19"/>
                <w:szCs w:val="19"/>
              </w:rPr>
              <w:t>Phase</w:t>
            </w:r>
          </w:p>
        </w:tc>
        <w:tc>
          <w:tcPr>
            <w:tcW w:w="2888" w:type="dxa"/>
            <w:shd w:val="clear" w:color="auto" w:fill="1E3A2F"/>
            <w:tcMar>
              <w:top w:w="70" w:type="dxa"/>
              <w:left w:w="100" w:type="dxa"/>
              <w:bottom w:w="70" w:type="dxa"/>
              <w:right w:w="100" w:type="dxa"/>
            </w:tcMar>
            <w:vAlign w:val="center"/>
          </w:tcPr>
          <w:p w14:paraId="2B34B220" w14:textId="77777777" w:rsidR="002C6BF4" w:rsidRDefault="002C6BF4" w:rsidP="002D234F">
            <w:r>
              <w:rPr>
                <w:rFonts w:ascii="Calibri" w:eastAsia="Calibri" w:hAnsi="Calibri" w:cs="Calibri"/>
                <w:b/>
                <w:bCs/>
                <w:color w:val="FFFFFF"/>
                <w:sz w:val="19"/>
                <w:szCs w:val="19"/>
              </w:rPr>
              <w:t>Months</w:t>
            </w:r>
          </w:p>
        </w:tc>
        <w:tc>
          <w:tcPr>
            <w:tcW w:w="3999" w:type="dxa"/>
            <w:shd w:val="clear" w:color="auto" w:fill="1E3A2F"/>
            <w:tcMar>
              <w:top w:w="70" w:type="dxa"/>
              <w:left w:w="100" w:type="dxa"/>
              <w:bottom w:w="70" w:type="dxa"/>
              <w:right w:w="100" w:type="dxa"/>
            </w:tcMar>
            <w:vAlign w:val="center"/>
          </w:tcPr>
          <w:p w14:paraId="1FA2498C" w14:textId="77777777" w:rsidR="002C6BF4" w:rsidRDefault="002C6BF4" w:rsidP="002D234F">
            <w:r>
              <w:rPr>
                <w:rFonts w:ascii="Calibri" w:eastAsia="Calibri" w:hAnsi="Calibri" w:cs="Calibri"/>
                <w:b/>
                <w:bCs/>
                <w:color w:val="FFFFFF"/>
                <w:sz w:val="19"/>
                <w:szCs w:val="19"/>
              </w:rPr>
              <w:t>Notes</w:t>
            </w:r>
          </w:p>
        </w:tc>
      </w:tr>
      <w:tr w:rsidR="002C6BF4" w14:paraId="3B4E4490" w14:textId="77777777" w:rsidTr="002C6BF4">
        <w:tblPrEx>
          <w:tblCellMar>
            <w:top w:w="0" w:type="dxa"/>
            <w:bottom w:w="0" w:type="dxa"/>
          </w:tblCellMar>
        </w:tblPrEx>
        <w:trPr>
          <w:trHeight w:val="222"/>
        </w:trPr>
        <w:tc>
          <w:tcPr>
            <w:tcW w:w="3555" w:type="dxa"/>
            <w:shd w:val="clear" w:color="auto" w:fill="FFFFFF"/>
            <w:tcMar>
              <w:top w:w="70" w:type="dxa"/>
              <w:left w:w="100" w:type="dxa"/>
              <w:bottom w:w="70" w:type="dxa"/>
              <w:right w:w="100" w:type="dxa"/>
            </w:tcMar>
            <w:vAlign w:val="center"/>
          </w:tcPr>
          <w:p w14:paraId="15FE1EF3" w14:textId="77777777" w:rsidR="002C6BF4" w:rsidRDefault="002C6BF4" w:rsidP="002D234F">
            <w:r>
              <w:rPr>
                <w:rFonts w:ascii="Calibri" w:eastAsia="Calibri" w:hAnsi="Calibri" w:cs="Calibri"/>
                <w:color w:val="2C2C2C"/>
                <w:sz w:val="19"/>
                <w:szCs w:val="19"/>
              </w:rPr>
              <w:t>Design &amp; Planning</w:t>
            </w:r>
          </w:p>
        </w:tc>
        <w:tc>
          <w:tcPr>
            <w:tcW w:w="2888" w:type="dxa"/>
            <w:shd w:val="clear" w:color="auto" w:fill="FFFFFF"/>
            <w:tcMar>
              <w:top w:w="70" w:type="dxa"/>
              <w:left w:w="100" w:type="dxa"/>
              <w:bottom w:w="70" w:type="dxa"/>
              <w:right w:w="100" w:type="dxa"/>
            </w:tcMar>
            <w:vAlign w:val="center"/>
          </w:tcPr>
          <w:p w14:paraId="50F600E8" w14:textId="77777777" w:rsidR="002C6BF4" w:rsidRDefault="002C6BF4" w:rsidP="002D234F">
            <w:r>
              <w:rPr>
                <w:rFonts w:ascii="Calibri" w:eastAsia="Calibri" w:hAnsi="Calibri" w:cs="Calibri"/>
                <w:color w:val="2C2C2C"/>
                <w:sz w:val="19"/>
                <w:szCs w:val="19"/>
              </w:rPr>
              <w:t>1–4</w:t>
            </w:r>
          </w:p>
        </w:tc>
        <w:tc>
          <w:tcPr>
            <w:tcW w:w="3999" w:type="dxa"/>
            <w:shd w:val="clear" w:color="auto" w:fill="FFFFFF"/>
            <w:tcMar>
              <w:top w:w="70" w:type="dxa"/>
              <w:left w:w="100" w:type="dxa"/>
              <w:bottom w:w="70" w:type="dxa"/>
              <w:right w:w="100" w:type="dxa"/>
            </w:tcMar>
            <w:vAlign w:val="center"/>
          </w:tcPr>
          <w:p w14:paraId="088D99B4" w14:textId="77777777" w:rsidR="002C6BF4" w:rsidRDefault="002C6BF4" w:rsidP="002D234F">
            <w:r>
              <w:rPr>
                <w:rFonts w:ascii="Calibri" w:eastAsia="Calibri" w:hAnsi="Calibri" w:cs="Calibri"/>
                <w:color w:val="2C2C2C"/>
                <w:sz w:val="19"/>
                <w:szCs w:val="19"/>
              </w:rPr>
              <w:t>Runs with early consultation</w:t>
            </w:r>
          </w:p>
        </w:tc>
      </w:tr>
      <w:tr w:rsidR="002C6BF4" w14:paraId="7116B039" w14:textId="77777777" w:rsidTr="002C6BF4">
        <w:tblPrEx>
          <w:tblCellMar>
            <w:top w:w="0" w:type="dxa"/>
            <w:bottom w:w="0" w:type="dxa"/>
          </w:tblCellMar>
        </w:tblPrEx>
        <w:trPr>
          <w:trHeight w:val="210"/>
        </w:trPr>
        <w:tc>
          <w:tcPr>
            <w:tcW w:w="3555" w:type="dxa"/>
            <w:shd w:val="clear" w:color="auto" w:fill="FAF7F2"/>
            <w:tcMar>
              <w:top w:w="70" w:type="dxa"/>
              <w:left w:w="100" w:type="dxa"/>
              <w:bottom w:w="70" w:type="dxa"/>
              <w:right w:w="100" w:type="dxa"/>
            </w:tcMar>
            <w:vAlign w:val="center"/>
          </w:tcPr>
          <w:p w14:paraId="44A92EAA" w14:textId="77777777" w:rsidR="002C6BF4" w:rsidRDefault="002C6BF4" w:rsidP="002D234F">
            <w:r>
              <w:rPr>
                <w:rFonts w:ascii="Calibri" w:eastAsia="Calibri" w:hAnsi="Calibri" w:cs="Calibri"/>
                <w:color w:val="2C2C2C"/>
                <w:sz w:val="19"/>
                <w:szCs w:val="19"/>
              </w:rPr>
              <w:t>Enabling Works</w:t>
            </w:r>
          </w:p>
        </w:tc>
        <w:tc>
          <w:tcPr>
            <w:tcW w:w="2888" w:type="dxa"/>
            <w:shd w:val="clear" w:color="auto" w:fill="FAF7F2"/>
            <w:tcMar>
              <w:top w:w="70" w:type="dxa"/>
              <w:left w:w="100" w:type="dxa"/>
              <w:bottom w:w="70" w:type="dxa"/>
              <w:right w:w="100" w:type="dxa"/>
            </w:tcMar>
            <w:vAlign w:val="center"/>
          </w:tcPr>
          <w:p w14:paraId="29700E3E" w14:textId="77777777" w:rsidR="002C6BF4" w:rsidRDefault="002C6BF4" w:rsidP="002D234F">
            <w:r>
              <w:rPr>
                <w:rFonts w:ascii="Calibri" w:eastAsia="Calibri" w:hAnsi="Calibri" w:cs="Calibri"/>
                <w:color w:val="2C2C2C"/>
                <w:sz w:val="19"/>
                <w:szCs w:val="19"/>
              </w:rPr>
              <w:t>4–7</w:t>
            </w:r>
          </w:p>
        </w:tc>
        <w:tc>
          <w:tcPr>
            <w:tcW w:w="3999" w:type="dxa"/>
            <w:shd w:val="clear" w:color="auto" w:fill="FAF7F2"/>
            <w:tcMar>
              <w:top w:w="70" w:type="dxa"/>
              <w:left w:w="100" w:type="dxa"/>
              <w:bottom w:w="70" w:type="dxa"/>
              <w:right w:w="100" w:type="dxa"/>
            </w:tcMar>
            <w:vAlign w:val="center"/>
          </w:tcPr>
          <w:p w14:paraId="4ADF3C3C" w14:textId="77777777" w:rsidR="002C6BF4" w:rsidRDefault="002C6BF4" w:rsidP="002D234F">
            <w:r>
              <w:rPr>
                <w:rFonts w:ascii="Calibri" w:eastAsia="Calibri" w:hAnsi="Calibri" w:cs="Calibri"/>
                <w:color w:val="2C2C2C"/>
                <w:sz w:val="19"/>
                <w:szCs w:val="19"/>
              </w:rPr>
              <w:t>Utilities, partial demolition</w:t>
            </w:r>
          </w:p>
        </w:tc>
      </w:tr>
      <w:tr w:rsidR="002C6BF4" w14:paraId="53A0A5B2" w14:textId="77777777" w:rsidTr="002C6BF4">
        <w:tblPrEx>
          <w:tblCellMar>
            <w:top w:w="0" w:type="dxa"/>
            <w:bottom w:w="0" w:type="dxa"/>
          </w:tblCellMar>
        </w:tblPrEx>
        <w:trPr>
          <w:trHeight w:val="222"/>
        </w:trPr>
        <w:tc>
          <w:tcPr>
            <w:tcW w:w="3555" w:type="dxa"/>
            <w:shd w:val="clear" w:color="auto" w:fill="FFFFFF"/>
            <w:tcMar>
              <w:top w:w="70" w:type="dxa"/>
              <w:left w:w="100" w:type="dxa"/>
              <w:bottom w:w="70" w:type="dxa"/>
              <w:right w:w="100" w:type="dxa"/>
            </w:tcMar>
            <w:vAlign w:val="center"/>
          </w:tcPr>
          <w:p w14:paraId="0E73602A" w14:textId="77777777" w:rsidR="002C6BF4" w:rsidRDefault="002C6BF4" w:rsidP="002D234F">
            <w:r>
              <w:rPr>
                <w:rFonts w:ascii="Calibri" w:eastAsia="Calibri" w:hAnsi="Calibri" w:cs="Calibri"/>
                <w:color w:val="2C2C2C"/>
                <w:sz w:val="19"/>
                <w:szCs w:val="19"/>
              </w:rPr>
              <w:t>Construction</w:t>
            </w:r>
          </w:p>
        </w:tc>
        <w:tc>
          <w:tcPr>
            <w:tcW w:w="2888" w:type="dxa"/>
            <w:shd w:val="clear" w:color="auto" w:fill="FFFFFF"/>
            <w:tcMar>
              <w:top w:w="70" w:type="dxa"/>
              <w:left w:w="100" w:type="dxa"/>
              <w:bottom w:w="70" w:type="dxa"/>
              <w:right w:w="100" w:type="dxa"/>
            </w:tcMar>
            <w:vAlign w:val="center"/>
          </w:tcPr>
          <w:p w14:paraId="7B3CDCA2" w14:textId="77777777" w:rsidR="002C6BF4" w:rsidRDefault="002C6BF4" w:rsidP="002D234F">
            <w:r>
              <w:rPr>
                <w:rFonts w:ascii="Calibri" w:eastAsia="Calibri" w:hAnsi="Calibri" w:cs="Calibri"/>
                <w:color w:val="2C2C2C"/>
                <w:sz w:val="19"/>
                <w:szCs w:val="19"/>
              </w:rPr>
              <w:t>6–16</w:t>
            </w:r>
          </w:p>
        </w:tc>
        <w:tc>
          <w:tcPr>
            <w:tcW w:w="3999" w:type="dxa"/>
            <w:shd w:val="clear" w:color="auto" w:fill="FFFFFF"/>
            <w:tcMar>
              <w:top w:w="70" w:type="dxa"/>
              <w:left w:w="100" w:type="dxa"/>
              <w:bottom w:w="70" w:type="dxa"/>
              <w:right w:w="100" w:type="dxa"/>
            </w:tcMar>
            <w:vAlign w:val="center"/>
          </w:tcPr>
          <w:p w14:paraId="68E92796" w14:textId="77777777" w:rsidR="002C6BF4" w:rsidRDefault="002C6BF4" w:rsidP="002D234F">
            <w:r>
              <w:rPr>
                <w:rFonts w:ascii="Calibri" w:eastAsia="Calibri" w:hAnsi="Calibri" w:cs="Calibri"/>
                <w:color w:val="2C2C2C"/>
                <w:sz w:val="19"/>
                <w:szCs w:val="19"/>
              </w:rPr>
              <w:t>Overlaps platform works from m12</w:t>
            </w:r>
          </w:p>
        </w:tc>
      </w:tr>
      <w:tr w:rsidR="002C6BF4" w14:paraId="48663305" w14:textId="77777777" w:rsidTr="002C6BF4">
        <w:tblPrEx>
          <w:tblCellMar>
            <w:top w:w="0" w:type="dxa"/>
            <w:bottom w:w="0" w:type="dxa"/>
          </w:tblCellMar>
        </w:tblPrEx>
        <w:trPr>
          <w:trHeight w:val="222"/>
        </w:trPr>
        <w:tc>
          <w:tcPr>
            <w:tcW w:w="3555" w:type="dxa"/>
            <w:shd w:val="clear" w:color="auto" w:fill="FAF7F2"/>
            <w:tcMar>
              <w:top w:w="70" w:type="dxa"/>
              <w:left w:w="100" w:type="dxa"/>
              <w:bottom w:w="70" w:type="dxa"/>
              <w:right w:w="100" w:type="dxa"/>
            </w:tcMar>
            <w:vAlign w:val="center"/>
          </w:tcPr>
          <w:p w14:paraId="55016F56" w14:textId="77777777" w:rsidR="002C6BF4" w:rsidRDefault="002C6BF4" w:rsidP="002D234F">
            <w:r>
              <w:rPr>
                <w:rFonts w:ascii="Calibri" w:eastAsia="Calibri" w:hAnsi="Calibri" w:cs="Calibri"/>
                <w:color w:val="2C2C2C"/>
                <w:sz w:val="19"/>
                <w:szCs w:val="19"/>
              </w:rPr>
              <w:t>Systems &amp; Digital</w:t>
            </w:r>
          </w:p>
        </w:tc>
        <w:tc>
          <w:tcPr>
            <w:tcW w:w="2888" w:type="dxa"/>
            <w:shd w:val="clear" w:color="auto" w:fill="FAF7F2"/>
            <w:tcMar>
              <w:top w:w="70" w:type="dxa"/>
              <w:left w:w="100" w:type="dxa"/>
              <w:bottom w:w="70" w:type="dxa"/>
              <w:right w:w="100" w:type="dxa"/>
            </w:tcMar>
            <w:vAlign w:val="center"/>
          </w:tcPr>
          <w:p w14:paraId="33190FA2" w14:textId="77777777" w:rsidR="002C6BF4" w:rsidRDefault="002C6BF4" w:rsidP="002D234F">
            <w:r>
              <w:rPr>
                <w:rFonts w:ascii="Calibri" w:eastAsia="Calibri" w:hAnsi="Calibri" w:cs="Calibri"/>
                <w:color w:val="2C2C2C"/>
                <w:sz w:val="19"/>
                <w:szCs w:val="19"/>
              </w:rPr>
              <w:t>16–21</w:t>
            </w:r>
          </w:p>
        </w:tc>
        <w:tc>
          <w:tcPr>
            <w:tcW w:w="3999" w:type="dxa"/>
            <w:shd w:val="clear" w:color="auto" w:fill="FAF7F2"/>
            <w:tcMar>
              <w:top w:w="70" w:type="dxa"/>
              <w:left w:w="100" w:type="dxa"/>
              <w:bottom w:w="70" w:type="dxa"/>
              <w:right w:w="100" w:type="dxa"/>
            </w:tcMar>
            <w:vAlign w:val="center"/>
          </w:tcPr>
          <w:p w14:paraId="63798813" w14:textId="77777777" w:rsidR="002C6BF4" w:rsidRDefault="002C6BF4" w:rsidP="002D234F">
            <w:r>
              <w:rPr>
                <w:rFonts w:ascii="Calibri" w:eastAsia="Calibri" w:hAnsi="Calibri" w:cs="Calibri"/>
                <w:color w:val="2C2C2C"/>
                <w:sz w:val="19"/>
                <w:szCs w:val="19"/>
              </w:rPr>
              <w:t>Ticketing, sensors</w:t>
            </w:r>
          </w:p>
        </w:tc>
      </w:tr>
      <w:tr w:rsidR="002C6BF4" w14:paraId="3AC3295F" w14:textId="77777777" w:rsidTr="002C6BF4">
        <w:tblPrEx>
          <w:tblCellMar>
            <w:top w:w="0" w:type="dxa"/>
            <w:bottom w:w="0" w:type="dxa"/>
          </w:tblCellMar>
        </w:tblPrEx>
        <w:trPr>
          <w:trHeight w:val="222"/>
        </w:trPr>
        <w:tc>
          <w:tcPr>
            <w:tcW w:w="3555" w:type="dxa"/>
            <w:shd w:val="clear" w:color="auto" w:fill="FFFFFF"/>
            <w:tcMar>
              <w:top w:w="70" w:type="dxa"/>
              <w:left w:w="100" w:type="dxa"/>
              <w:bottom w:w="70" w:type="dxa"/>
              <w:right w:w="100" w:type="dxa"/>
            </w:tcMar>
            <w:vAlign w:val="center"/>
          </w:tcPr>
          <w:p w14:paraId="13C012CC" w14:textId="77777777" w:rsidR="002C6BF4" w:rsidRDefault="002C6BF4" w:rsidP="002D234F">
            <w:r>
              <w:rPr>
                <w:rFonts w:ascii="Calibri" w:eastAsia="Calibri" w:hAnsi="Calibri" w:cs="Calibri"/>
                <w:color w:val="2C2C2C"/>
                <w:sz w:val="19"/>
                <w:szCs w:val="19"/>
              </w:rPr>
              <w:t>Handover</w:t>
            </w:r>
          </w:p>
        </w:tc>
        <w:tc>
          <w:tcPr>
            <w:tcW w:w="2888" w:type="dxa"/>
            <w:shd w:val="clear" w:color="auto" w:fill="FFFFFF"/>
            <w:tcMar>
              <w:top w:w="70" w:type="dxa"/>
              <w:left w:w="100" w:type="dxa"/>
              <w:bottom w:w="70" w:type="dxa"/>
              <w:right w:w="100" w:type="dxa"/>
            </w:tcMar>
            <w:vAlign w:val="center"/>
          </w:tcPr>
          <w:p w14:paraId="4A9DD6A1" w14:textId="77777777" w:rsidR="002C6BF4" w:rsidRDefault="002C6BF4" w:rsidP="002D234F">
            <w:r>
              <w:rPr>
                <w:rFonts w:ascii="Calibri" w:eastAsia="Calibri" w:hAnsi="Calibri" w:cs="Calibri"/>
                <w:color w:val="2C2C2C"/>
                <w:sz w:val="19"/>
                <w:szCs w:val="19"/>
              </w:rPr>
              <w:t>21–24</w:t>
            </w:r>
          </w:p>
        </w:tc>
        <w:tc>
          <w:tcPr>
            <w:tcW w:w="3999" w:type="dxa"/>
            <w:shd w:val="clear" w:color="auto" w:fill="FFFFFF"/>
            <w:tcMar>
              <w:top w:w="70" w:type="dxa"/>
              <w:left w:w="100" w:type="dxa"/>
              <w:bottom w:w="70" w:type="dxa"/>
              <w:right w:w="100" w:type="dxa"/>
            </w:tcMar>
            <w:vAlign w:val="center"/>
          </w:tcPr>
          <w:p w14:paraId="243FB302" w14:textId="77777777" w:rsidR="002C6BF4" w:rsidRDefault="002C6BF4" w:rsidP="002D234F">
            <w:r>
              <w:rPr>
                <w:rFonts w:ascii="Calibri" w:eastAsia="Calibri" w:hAnsi="Calibri" w:cs="Calibri"/>
                <w:color w:val="2C2C2C"/>
                <w:sz w:val="19"/>
                <w:szCs w:val="19"/>
              </w:rPr>
              <w:t>Testing, sign-off, reopening</w:t>
            </w:r>
          </w:p>
        </w:tc>
      </w:tr>
    </w:tbl>
    <w:p w14:paraId="2B060277" w14:textId="5CBA5FEC" w:rsidR="002C6BF4" w:rsidRPr="002C6BF4" w:rsidRDefault="002C6BF4" w:rsidP="002C6BF4">
      <w:pPr>
        <w:spacing w:after="180"/>
      </w:pPr>
      <w:r>
        <w:rPr>
          <w:rFonts w:ascii="Calibri" w:eastAsia="Calibri" w:hAnsi="Calibri" w:cs="Calibri"/>
          <w:i/>
          <w:iCs/>
          <w:color w:val="2C2C2C"/>
          <w:sz w:val="18"/>
          <w:szCs w:val="18"/>
        </w:rPr>
        <w:t>Table 4: Gantt chart summary.</w:t>
      </w:r>
    </w:p>
    <w:p w14:paraId="504E30E2" w14:textId="0B933FDF" w:rsidR="002C6BF4" w:rsidRDefault="002C6BF4" w:rsidP="002C6BF4">
      <w:pPr>
        <w:pStyle w:val="NormalWeb"/>
        <w:rPr>
          <w:rFonts w:ascii="Arial" w:hAnsi="Arial" w:cs="Arial"/>
        </w:rPr>
      </w:pPr>
      <w:r w:rsidRPr="002C6BF4">
        <w:rPr>
          <w:rFonts w:ascii="Arial" w:hAnsi="Arial" w:cs="Arial"/>
        </w:rPr>
        <w:t>When phases are overlapping it is a signal about fast-tracking as in case dependencies would allow one can compress the schedule (Turner, 2014). The trade-of more intensive contractor coordination taking place on a restricted worksite enters the risk register.</w:t>
      </w:r>
    </w:p>
    <w:p w14:paraId="6E5EE782" w14:textId="77777777" w:rsidR="002C6BF4" w:rsidRDefault="002C6BF4" w:rsidP="002C6BF4">
      <w:pPr>
        <w:pStyle w:val="NormalWeb"/>
        <w:rPr>
          <w:rFonts w:ascii="Arial" w:hAnsi="Arial" w:cs="Arial"/>
        </w:rPr>
      </w:pPr>
    </w:p>
    <w:p w14:paraId="570FC02D" w14:textId="77777777" w:rsidR="002C6BF4" w:rsidRDefault="002C6BF4" w:rsidP="002C6BF4">
      <w:pPr>
        <w:pStyle w:val="NormalWeb"/>
        <w:rPr>
          <w:rFonts w:ascii="Arial" w:hAnsi="Arial" w:cs="Arial"/>
        </w:rPr>
      </w:pPr>
    </w:p>
    <w:p w14:paraId="18893C76" w14:textId="77777777" w:rsidR="002C6BF4" w:rsidRDefault="002C6BF4" w:rsidP="002C6BF4">
      <w:pPr>
        <w:pStyle w:val="NormalWeb"/>
        <w:rPr>
          <w:rFonts w:ascii="Arial" w:hAnsi="Arial" w:cs="Arial"/>
        </w:rPr>
      </w:pPr>
    </w:p>
    <w:p w14:paraId="0618CA46" w14:textId="402DC0B7" w:rsidR="002C6BF4" w:rsidRPr="002C6BF4" w:rsidRDefault="002C6BF4" w:rsidP="002C6BF4">
      <w:pPr>
        <w:pStyle w:val="NormalWeb"/>
        <w:numPr>
          <w:ilvl w:val="0"/>
          <w:numId w:val="4"/>
        </w:numPr>
        <w:rPr>
          <w:rFonts w:ascii="Arial" w:hAnsi="Arial" w:cs="Arial"/>
          <w:b/>
          <w:bCs/>
          <w:sz w:val="28"/>
          <w:szCs w:val="28"/>
        </w:rPr>
      </w:pPr>
      <w:r w:rsidRPr="002C6BF4">
        <w:rPr>
          <w:rFonts w:ascii="Arial" w:hAnsi="Arial" w:cs="Arial"/>
          <w:b/>
          <w:bCs/>
          <w:sz w:val="28"/>
          <w:szCs w:val="28"/>
        </w:rPr>
        <w:lastRenderedPageBreak/>
        <w:t>Stakeholders’ Involvement</w:t>
      </w:r>
    </w:p>
    <w:tbl>
      <w:tblPr>
        <w:tblW w:w="10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48"/>
        <w:gridCol w:w="3481"/>
        <w:gridCol w:w="3944"/>
      </w:tblGrid>
      <w:tr w:rsidR="002C6BF4" w14:paraId="5B803796" w14:textId="77777777" w:rsidTr="002C6BF4">
        <w:tblPrEx>
          <w:tblCellMar>
            <w:top w:w="0" w:type="dxa"/>
            <w:bottom w:w="0" w:type="dxa"/>
          </w:tblCellMar>
        </w:tblPrEx>
        <w:trPr>
          <w:trHeight w:val="249"/>
        </w:trPr>
        <w:tc>
          <w:tcPr>
            <w:tcW w:w="3248" w:type="dxa"/>
            <w:shd w:val="clear" w:color="auto" w:fill="1E3A2F"/>
            <w:tcMar>
              <w:top w:w="70" w:type="dxa"/>
              <w:left w:w="100" w:type="dxa"/>
              <w:bottom w:w="70" w:type="dxa"/>
              <w:right w:w="100" w:type="dxa"/>
            </w:tcMar>
            <w:vAlign w:val="center"/>
          </w:tcPr>
          <w:p w14:paraId="0131BDF5" w14:textId="77777777" w:rsidR="002C6BF4" w:rsidRDefault="002C6BF4" w:rsidP="002D234F">
            <w:r>
              <w:rPr>
                <w:rFonts w:ascii="Calibri" w:eastAsia="Calibri" w:hAnsi="Calibri" w:cs="Calibri"/>
                <w:b/>
                <w:bCs/>
                <w:color w:val="FFFFFF"/>
                <w:sz w:val="19"/>
                <w:szCs w:val="19"/>
              </w:rPr>
              <w:t>Quadrant</w:t>
            </w:r>
          </w:p>
        </w:tc>
        <w:tc>
          <w:tcPr>
            <w:tcW w:w="3481" w:type="dxa"/>
            <w:shd w:val="clear" w:color="auto" w:fill="1E3A2F"/>
            <w:tcMar>
              <w:top w:w="70" w:type="dxa"/>
              <w:left w:w="100" w:type="dxa"/>
              <w:bottom w:w="70" w:type="dxa"/>
              <w:right w:w="100" w:type="dxa"/>
            </w:tcMar>
            <w:vAlign w:val="center"/>
          </w:tcPr>
          <w:p w14:paraId="6C512383" w14:textId="77777777" w:rsidR="002C6BF4" w:rsidRDefault="002C6BF4" w:rsidP="002D234F">
            <w:r>
              <w:rPr>
                <w:rFonts w:ascii="Calibri" w:eastAsia="Calibri" w:hAnsi="Calibri" w:cs="Calibri"/>
                <w:b/>
                <w:bCs/>
                <w:color w:val="FFFFFF"/>
                <w:sz w:val="19"/>
                <w:szCs w:val="19"/>
              </w:rPr>
              <w:t>Stakeholders</w:t>
            </w:r>
          </w:p>
        </w:tc>
        <w:tc>
          <w:tcPr>
            <w:tcW w:w="3944" w:type="dxa"/>
            <w:shd w:val="clear" w:color="auto" w:fill="1E3A2F"/>
            <w:tcMar>
              <w:top w:w="70" w:type="dxa"/>
              <w:left w:w="100" w:type="dxa"/>
              <w:bottom w:w="70" w:type="dxa"/>
              <w:right w:w="100" w:type="dxa"/>
            </w:tcMar>
            <w:vAlign w:val="center"/>
          </w:tcPr>
          <w:p w14:paraId="7FCC4BAD" w14:textId="77777777" w:rsidR="002C6BF4" w:rsidRDefault="002C6BF4" w:rsidP="002D234F">
            <w:r>
              <w:rPr>
                <w:rFonts w:ascii="Calibri" w:eastAsia="Calibri" w:hAnsi="Calibri" w:cs="Calibri"/>
                <w:b/>
                <w:bCs/>
                <w:color w:val="FFFFFF"/>
                <w:sz w:val="19"/>
                <w:szCs w:val="19"/>
              </w:rPr>
              <w:t>Engagement</w:t>
            </w:r>
          </w:p>
        </w:tc>
      </w:tr>
      <w:tr w:rsidR="002C6BF4" w14:paraId="25DF5F57" w14:textId="77777777" w:rsidTr="002C6BF4">
        <w:tblPrEx>
          <w:tblCellMar>
            <w:top w:w="0" w:type="dxa"/>
            <w:bottom w:w="0" w:type="dxa"/>
          </w:tblCellMar>
        </w:tblPrEx>
        <w:trPr>
          <w:trHeight w:val="500"/>
        </w:trPr>
        <w:tc>
          <w:tcPr>
            <w:tcW w:w="3248" w:type="dxa"/>
            <w:shd w:val="clear" w:color="auto" w:fill="FFFFFF"/>
            <w:tcMar>
              <w:top w:w="70" w:type="dxa"/>
              <w:left w:w="100" w:type="dxa"/>
              <w:bottom w:w="70" w:type="dxa"/>
              <w:right w:w="100" w:type="dxa"/>
            </w:tcMar>
            <w:vAlign w:val="center"/>
          </w:tcPr>
          <w:p w14:paraId="60E16C8D" w14:textId="77777777" w:rsidR="002C6BF4" w:rsidRDefault="002C6BF4" w:rsidP="002D234F">
            <w:r>
              <w:rPr>
                <w:rFonts w:ascii="Calibri" w:eastAsia="Calibri" w:hAnsi="Calibri" w:cs="Calibri"/>
                <w:color w:val="2C2C2C"/>
                <w:sz w:val="19"/>
                <w:szCs w:val="19"/>
              </w:rPr>
              <w:t>Manage closely</w:t>
            </w:r>
          </w:p>
        </w:tc>
        <w:tc>
          <w:tcPr>
            <w:tcW w:w="3481" w:type="dxa"/>
            <w:shd w:val="clear" w:color="auto" w:fill="FFFFFF"/>
            <w:tcMar>
              <w:top w:w="70" w:type="dxa"/>
              <w:left w:w="100" w:type="dxa"/>
              <w:bottom w:w="70" w:type="dxa"/>
              <w:right w:w="100" w:type="dxa"/>
            </w:tcMar>
            <w:vAlign w:val="center"/>
          </w:tcPr>
          <w:p w14:paraId="430E4F1D" w14:textId="77777777" w:rsidR="002C6BF4" w:rsidRDefault="002C6BF4" w:rsidP="002D234F">
            <w:r>
              <w:rPr>
                <w:rFonts w:ascii="Calibri" w:eastAsia="Calibri" w:hAnsi="Calibri" w:cs="Calibri"/>
                <w:color w:val="2C2C2C"/>
                <w:sz w:val="19"/>
                <w:szCs w:val="19"/>
              </w:rPr>
              <w:t>Local Authority; DfT; principal contractor</w:t>
            </w:r>
          </w:p>
        </w:tc>
        <w:tc>
          <w:tcPr>
            <w:tcW w:w="3944" w:type="dxa"/>
            <w:shd w:val="clear" w:color="auto" w:fill="FFFFFF"/>
            <w:tcMar>
              <w:top w:w="70" w:type="dxa"/>
              <w:left w:w="100" w:type="dxa"/>
              <w:bottom w:w="70" w:type="dxa"/>
              <w:right w:w="100" w:type="dxa"/>
            </w:tcMar>
            <w:vAlign w:val="center"/>
          </w:tcPr>
          <w:p w14:paraId="16FDE8F9" w14:textId="77777777" w:rsidR="002C6BF4" w:rsidRDefault="002C6BF4" w:rsidP="002D234F">
            <w:r>
              <w:rPr>
                <w:rFonts w:ascii="Calibri" w:eastAsia="Calibri" w:hAnsi="Calibri" w:cs="Calibri"/>
                <w:color w:val="2C2C2C"/>
                <w:sz w:val="19"/>
                <w:szCs w:val="19"/>
              </w:rPr>
              <w:t>Monthly steering board; variance sign-off</w:t>
            </w:r>
          </w:p>
        </w:tc>
      </w:tr>
      <w:tr w:rsidR="002C6BF4" w14:paraId="75485A63" w14:textId="77777777" w:rsidTr="002C6BF4">
        <w:tblPrEx>
          <w:tblCellMar>
            <w:top w:w="0" w:type="dxa"/>
            <w:bottom w:w="0" w:type="dxa"/>
          </w:tblCellMar>
        </w:tblPrEx>
        <w:trPr>
          <w:trHeight w:val="500"/>
        </w:trPr>
        <w:tc>
          <w:tcPr>
            <w:tcW w:w="3248" w:type="dxa"/>
            <w:shd w:val="clear" w:color="auto" w:fill="FAF7F2"/>
            <w:tcMar>
              <w:top w:w="70" w:type="dxa"/>
              <w:left w:w="100" w:type="dxa"/>
              <w:bottom w:w="70" w:type="dxa"/>
              <w:right w:w="100" w:type="dxa"/>
            </w:tcMar>
            <w:vAlign w:val="center"/>
          </w:tcPr>
          <w:p w14:paraId="05596001" w14:textId="77777777" w:rsidR="002C6BF4" w:rsidRDefault="002C6BF4" w:rsidP="002D234F">
            <w:r>
              <w:rPr>
                <w:rFonts w:ascii="Calibri" w:eastAsia="Calibri" w:hAnsi="Calibri" w:cs="Calibri"/>
                <w:color w:val="2C2C2C"/>
                <w:sz w:val="19"/>
                <w:szCs w:val="19"/>
              </w:rPr>
              <w:t>Keep satisfied</w:t>
            </w:r>
          </w:p>
        </w:tc>
        <w:tc>
          <w:tcPr>
            <w:tcW w:w="3481" w:type="dxa"/>
            <w:shd w:val="clear" w:color="auto" w:fill="FAF7F2"/>
            <w:tcMar>
              <w:top w:w="70" w:type="dxa"/>
              <w:left w:w="100" w:type="dxa"/>
              <w:bottom w:w="70" w:type="dxa"/>
              <w:right w:w="100" w:type="dxa"/>
            </w:tcMar>
            <w:vAlign w:val="center"/>
          </w:tcPr>
          <w:p w14:paraId="50C4C035" w14:textId="77777777" w:rsidR="002C6BF4" w:rsidRDefault="002C6BF4" w:rsidP="002D234F">
            <w:r>
              <w:rPr>
                <w:rFonts w:ascii="Calibri" w:eastAsia="Calibri" w:hAnsi="Calibri" w:cs="Calibri"/>
                <w:color w:val="2C2C2C"/>
                <w:sz w:val="19"/>
                <w:szCs w:val="19"/>
              </w:rPr>
              <w:t>Network Rail; Environmental Agency</w:t>
            </w:r>
          </w:p>
        </w:tc>
        <w:tc>
          <w:tcPr>
            <w:tcW w:w="3944" w:type="dxa"/>
            <w:shd w:val="clear" w:color="auto" w:fill="FAF7F2"/>
            <w:tcMar>
              <w:top w:w="70" w:type="dxa"/>
              <w:left w:w="100" w:type="dxa"/>
              <w:bottom w:w="70" w:type="dxa"/>
              <w:right w:w="100" w:type="dxa"/>
            </w:tcMar>
            <w:vAlign w:val="center"/>
          </w:tcPr>
          <w:p w14:paraId="270E93C9" w14:textId="77777777" w:rsidR="002C6BF4" w:rsidRDefault="002C6BF4" w:rsidP="002D234F">
            <w:r>
              <w:rPr>
                <w:rFonts w:ascii="Calibri" w:eastAsia="Calibri" w:hAnsi="Calibri" w:cs="Calibri"/>
                <w:color w:val="2C2C2C"/>
                <w:sz w:val="19"/>
                <w:szCs w:val="19"/>
              </w:rPr>
              <w:t>Compliance reviews at design gateways</w:t>
            </w:r>
          </w:p>
        </w:tc>
      </w:tr>
      <w:tr w:rsidR="002C6BF4" w14:paraId="12E7F523" w14:textId="77777777" w:rsidTr="002C6BF4">
        <w:tblPrEx>
          <w:tblCellMar>
            <w:top w:w="0" w:type="dxa"/>
            <w:bottom w:w="0" w:type="dxa"/>
          </w:tblCellMar>
        </w:tblPrEx>
        <w:trPr>
          <w:trHeight w:val="249"/>
        </w:trPr>
        <w:tc>
          <w:tcPr>
            <w:tcW w:w="3248" w:type="dxa"/>
            <w:shd w:val="clear" w:color="auto" w:fill="FFFFFF"/>
            <w:tcMar>
              <w:top w:w="70" w:type="dxa"/>
              <w:left w:w="100" w:type="dxa"/>
              <w:bottom w:w="70" w:type="dxa"/>
              <w:right w:w="100" w:type="dxa"/>
            </w:tcMar>
            <w:vAlign w:val="center"/>
          </w:tcPr>
          <w:p w14:paraId="73C07608" w14:textId="77777777" w:rsidR="002C6BF4" w:rsidRDefault="002C6BF4" w:rsidP="002D234F">
            <w:r>
              <w:rPr>
                <w:rFonts w:ascii="Calibri" w:eastAsia="Calibri" w:hAnsi="Calibri" w:cs="Calibri"/>
                <w:color w:val="2C2C2C"/>
                <w:sz w:val="19"/>
                <w:szCs w:val="19"/>
              </w:rPr>
              <w:t>Keep informed</w:t>
            </w:r>
          </w:p>
        </w:tc>
        <w:tc>
          <w:tcPr>
            <w:tcW w:w="3481" w:type="dxa"/>
            <w:shd w:val="clear" w:color="auto" w:fill="FFFFFF"/>
            <w:tcMar>
              <w:top w:w="70" w:type="dxa"/>
              <w:left w:w="100" w:type="dxa"/>
              <w:bottom w:w="70" w:type="dxa"/>
              <w:right w:w="100" w:type="dxa"/>
            </w:tcMar>
            <w:vAlign w:val="center"/>
          </w:tcPr>
          <w:p w14:paraId="397D0AAA" w14:textId="77777777" w:rsidR="002C6BF4" w:rsidRDefault="002C6BF4" w:rsidP="002D234F">
            <w:r>
              <w:rPr>
                <w:rFonts w:ascii="Calibri" w:eastAsia="Calibri" w:hAnsi="Calibri" w:cs="Calibri"/>
                <w:color w:val="2C2C2C"/>
                <w:sz w:val="19"/>
                <w:szCs w:val="19"/>
              </w:rPr>
              <w:t>Commuters; business; operators</w:t>
            </w:r>
          </w:p>
        </w:tc>
        <w:tc>
          <w:tcPr>
            <w:tcW w:w="3944" w:type="dxa"/>
            <w:shd w:val="clear" w:color="auto" w:fill="FFFFFF"/>
            <w:tcMar>
              <w:top w:w="70" w:type="dxa"/>
              <w:left w:w="100" w:type="dxa"/>
              <w:bottom w:w="70" w:type="dxa"/>
              <w:right w:w="100" w:type="dxa"/>
            </w:tcMar>
            <w:vAlign w:val="center"/>
          </w:tcPr>
          <w:p w14:paraId="0D0EFC0B" w14:textId="77777777" w:rsidR="002C6BF4" w:rsidRDefault="002C6BF4" w:rsidP="002D234F">
            <w:r>
              <w:rPr>
                <w:rFonts w:ascii="Calibri" w:eastAsia="Calibri" w:hAnsi="Calibri" w:cs="Calibri"/>
                <w:color w:val="2C2C2C"/>
                <w:sz w:val="19"/>
                <w:szCs w:val="19"/>
              </w:rPr>
              <w:t>Consultation programme; newsletter</w:t>
            </w:r>
          </w:p>
        </w:tc>
      </w:tr>
      <w:tr w:rsidR="002C6BF4" w14:paraId="09EA29AE" w14:textId="77777777" w:rsidTr="002C6BF4">
        <w:tblPrEx>
          <w:tblCellMar>
            <w:top w:w="0" w:type="dxa"/>
            <w:bottom w:w="0" w:type="dxa"/>
          </w:tblCellMar>
        </w:tblPrEx>
        <w:trPr>
          <w:trHeight w:val="249"/>
        </w:trPr>
        <w:tc>
          <w:tcPr>
            <w:tcW w:w="3248" w:type="dxa"/>
            <w:shd w:val="clear" w:color="auto" w:fill="FAF7F2"/>
            <w:tcMar>
              <w:top w:w="70" w:type="dxa"/>
              <w:left w:w="100" w:type="dxa"/>
              <w:bottom w:w="70" w:type="dxa"/>
              <w:right w:w="100" w:type="dxa"/>
            </w:tcMar>
            <w:vAlign w:val="center"/>
          </w:tcPr>
          <w:p w14:paraId="67B3E999" w14:textId="77777777" w:rsidR="002C6BF4" w:rsidRDefault="002C6BF4" w:rsidP="002D234F">
            <w:r>
              <w:rPr>
                <w:rFonts w:ascii="Calibri" w:eastAsia="Calibri" w:hAnsi="Calibri" w:cs="Calibri"/>
                <w:color w:val="2C2C2C"/>
                <w:sz w:val="19"/>
                <w:szCs w:val="19"/>
              </w:rPr>
              <w:t>Monitor</w:t>
            </w:r>
          </w:p>
        </w:tc>
        <w:tc>
          <w:tcPr>
            <w:tcW w:w="3481" w:type="dxa"/>
            <w:shd w:val="clear" w:color="auto" w:fill="FAF7F2"/>
            <w:tcMar>
              <w:top w:w="70" w:type="dxa"/>
              <w:left w:w="100" w:type="dxa"/>
              <w:bottom w:w="70" w:type="dxa"/>
              <w:right w:w="100" w:type="dxa"/>
            </w:tcMar>
            <w:vAlign w:val="center"/>
          </w:tcPr>
          <w:p w14:paraId="7C158106" w14:textId="77777777" w:rsidR="002C6BF4" w:rsidRDefault="002C6BF4" w:rsidP="002D234F">
            <w:r>
              <w:rPr>
                <w:rFonts w:ascii="Calibri" w:eastAsia="Calibri" w:hAnsi="Calibri" w:cs="Calibri"/>
                <w:color w:val="2C2C2C"/>
                <w:sz w:val="19"/>
                <w:szCs w:val="19"/>
              </w:rPr>
              <w:t>Wider public</w:t>
            </w:r>
          </w:p>
        </w:tc>
        <w:tc>
          <w:tcPr>
            <w:tcW w:w="3944" w:type="dxa"/>
            <w:shd w:val="clear" w:color="auto" w:fill="FAF7F2"/>
            <w:tcMar>
              <w:top w:w="70" w:type="dxa"/>
              <w:left w:w="100" w:type="dxa"/>
              <w:bottom w:w="70" w:type="dxa"/>
              <w:right w:w="100" w:type="dxa"/>
            </w:tcMar>
            <w:vAlign w:val="center"/>
          </w:tcPr>
          <w:p w14:paraId="6003B957" w14:textId="77777777" w:rsidR="002C6BF4" w:rsidRDefault="002C6BF4" w:rsidP="002D234F">
            <w:r>
              <w:rPr>
                <w:rFonts w:ascii="Calibri" w:eastAsia="Calibri" w:hAnsi="Calibri" w:cs="Calibri"/>
                <w:color w:val="2C2C2C"/>
                <w:sz w:val="19"/>
                <w:szCs w:val="19"/>
              </w:rPr>
              <w:t>Publicly available updates</w:t>
            </w:r>
          </w:p>
        </w:tc>
      </w:tr>
    </w:tbl>
    <w:p w14:paraId="661F04DE" w14:textId="77777777" w:rsidR="002C6BF4" w:rsidRDefault="002C6BF4" w:rsidP="002C6BF4">
      <w:pPr>
        <w:spacing w:after="180"/>
      </w:pPr>
      <w:r>
        <w:rPr>
          <w:rFonts w:ascii="Calibri" w:eastAsia="Calibri" w:hAnsi="Calibri" w:cs="Calibri"/>
          <w:i/>
          <w:iCs/>
          <w:color w:val="2C2C2C"/>
          <w:sz w:val="18"/>
          <w:szCs w:val="18"/>
        </w:rPr>
        <w:t>Table 5: Stakeholder power-interest matrix.</w:t>
      </w:r>
    </w:p>
    <w:p w14:paraId="058AD1F8" w14:textId="409EE840" w:rsidR="002C6BF4" w:rsidRDefault="002C6BF4" w:rsidP="002C6BF4">
      <w:pPr>
        <w:pStyle w:val="NormalWeb"/>
        <w:rPr>
          <w:rFonts w:ascii="Arial" w:hAnsi="Arial" w:cs="Arial"/>
        </w:rPr>
      </w:pPr>
      <w:r w:rsidRPr="002C6BF4">
        <w:rPr>
          <w:rFonts w:ascii="Arial" w:hAnsi="Arial" w:cs="Arial"/>
        </w:rPr>
        <w:t xml:space="preserve">A Programme Steering Group (Local Authority/DfT/contractor) situated above the matrix determines design and handles change requests. In the meantime, a Community Liaison Committee takes in local opinions through the public consultation </w:t>
      </w:r>
      <w:r w:rsidRPr="002C6BF4">
        <w:rPr>
          <w:rFonts w:ascii="Arial" w:hAnsi="Arial" w:cs="Arial"/>
        </w:rPr>
        <w:t>process but</w:t>
      </w:r>
      <w:r w:rsidRPr="002C6BF4">
        <w:rPr>
          <w:rFonts w:ascii="Arial" w:hAnsi="Arial" w:cs="Arial"/>
        </w:rPr>
        <w:t xml:space="preserve"> is not entitled to any approval powers. Having the accountable and the consulted stakeholders like that can be quite helpful in major public development projects since mixing them together would lead to loss of the checking role of a non-affected decision maker (Association for Project Management; 2019; Freeman, 1984). It also shows to any stakeholder, whether they can approve a change to scope, cost or time </w:t>
      </w:r>
      <w:r w:rsidRPr="002C6BF4">
        <w:rPr>
          <w:rFonts w:ascii="Arial" w:hAnsi="Arial" w:cs="Arial"/>
        </w:rPr>
        <w:t>because of</w:t>
      </w:r>
      <w:r w:rsidRPr="002C6BF4">
        <w:rPr>
          <w:rFonts w:ascii="Arial" w:hAnsi="Arial" w:cs="Arial"/>
        </w:rPr>
        <w:t xml:space="preserve"> their input or whether they are merely consulted before the decision is taken elsewhere.</w:t>
      </w:r>
    </w:p>
    <w:p w14:paraId="6D069927" w14:textId="14722CD3" w:rsidR="002C6BF4" w:rsidRPr="008754CC" w:rsidRDefault="002C6BF4" w:rsidP="002C6BF4">
      <w:pPr>
        <w:pStyle w:val="NormalWeb"/>
        <w:numPr>
          <w:ilvl w:val="0"/>
          <w:numId w:val="4"/>
        </w:numPr>
        <w:rPr>
          <w:rFonts w:ascii="Arial" w:hAnsi="Arial" w:cs="Arial"/>
          <w:b/>
          <w:bCs/>
          <w:color w:val="4A7C59"/>
          <w:sz w:val="28"/>
          <w:szCs w:val="28"/>
        </w:rPr>
      </w:pPr>
      <w:r w:rsidRPr="008754CC">
        <w:rPr>
          <w:rFonts w:ascii="Arial" w:hAnsi="Arial" w:cs="Arial"/>
          <w:b/>
          <w:bCs/>
          <w:color w:val="4A7C59"/>
          <w:sz w:val="28"/>
          <w:szCs w:val="28"/>
        </w:rPr>
        <w:t>Allocation of Resources</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2800"/>
        <w:gridCol w:w="3200"/>
      </w:tblGrid>
      <w:tr w:rsidR="002C6BF4" w14:paraId="3583B83A" w14:textId="77777777" w:rsidTr="002D234F">
        <w:tblPrEx>
          <w:tblCellMar>
            <w:top w:w="0" w:type="dxa"/>
            <w:bottom w:w="0" w:type="dxa"/>
          </w:tblCellMar>
        </w:tblPrEx>
        <w:tc>
          <w:tcPr>
            <w:tcW w:w="3200" w:type="dxa"/>
            <w:shd w:val="clear" w:color="auto" w:fill="1E3A2F"/>
            <w:tcMar>
              <w:top w:w="70" w:type="dxa"/>
              <w:left w:w="100" w:type="dxa"/>
              <w:bottom w:w="70" w:type="dxa"/>
              <w:right w:w="100" w:type="dxa"/>
            </w:tcMar>
            <w:vAlign w:val="center"/>
          </w:tcPr>
          <w:p w14:paraId="27E1116F" w14:textId="77777777" w:rsidR="002C6BF4" w:rsidRDefault="002C6BF4" w:rsidP="002D234F">
            <w:r>
              <w:rPr>
                <w:rFonts w:ascii="Calibri" w:eastAsia="Calibri" w:hAnsi="Calibri" w:cs="Calibri"/>
                <w:b/>
                <w:bCs/>
                <w:color w:val="FFFFFF"/>
                <w:sz w:val="19"/>
                <w:szCs w:val="19"/>
              </w:rPr>
              <w:t>Category</w:t>
            </w:r>
          </w:p>
        </w:tc>
        <w:tc>
          <w:tcPr>
            <w:tcW w:w="2800" w:type="dxa"/>
            <w:shd w:val="clear" w:color="auto" w:fill="1E3A2F"/>
            <w:tcMar>
              <w:top w:w="70" w:type="dxa"/>
              <w:left w:w="100" w:type="dxa"/>
              <w:bottom w:w="70" w:type="dxa"/>
              <w:right w:w="100" w:type="dxa"/>
            </w:tcMar>
            <w:vAlign w:val="center"/>
          </w:tcPr>
          <w:p w14:paraId="00668A12" w14:textId="77777777" w:rsidR="002C6BF4" w:rsidRDefault="002C6BF4" w:rsidP="002D234F">
            <w:r>
              <w:rPr>
                <w:rFonts w:ascii="Calibri" w:eastAsia="Calibri" w:hAnsi="Calibri" w:cs="Calibri"/>
                <w:b/>
                <w:bCs/>
                <w:color w:val="FFFFFF"/>
                <w:sz w:val="19"/>
                <w:szCs w:val="19"/>
              </w:rPr>
              <w:t>Share of £85m</w:t>
            </w:r>
          </w:p>
        </w:tc>
        <w:tc>
          <w:tcPr>
            <w:tcW w:w="3200" w:type="dxa"/>
            <w:shd w:val="clear" w:color="auto" w:fill="1E3A2F"/>
            <w:tcMar>
              <w:top w:w="70" w:type="dxa"/>
              <w:left w:w="100" w:type="dxa"/>
              <w:bottom w:w="70" w:type="dxa"/>
              <w:right w:w="100" w:type="dxa"/>
            </w:tcMar>
            <w:vAlign w:val="center"/>
          </w:tcPr>
          <w:p w14:paraId="78CB9799" w14:textId="77777777" w:rsidR="002C6BF4" w:rsidRDefault="002C6BF4" w:rsidP="002D234F">
            <w:r>
              <w:rPr>
                <w:rFonts w:ascii="Calibri" w:eastAsia="Calibri" w:hAnsi="Calibri" w:cs="Calibri"/>
                <w:b/>
                <w:bCs/>
                <w:color w:val="FFFFFF"/>
                <w:sz w:val="19"/>
                <w:szCs w:val="19"/>
              </w:rPr>
              <w:t>Resource</w:t>
            </w:r>
          </w:p>
        </w:tc>
      </w:tr>
      <w:tr w:rsidR="002C6BF4" w14:paraId="6CB6542D" w14:textId="77777777" w:rsidTr="002D234F">
        <w:tblPrEx>
          <w:tblCellMar>
            <w:top w:w="0" w:type="dxa"/>
            <w:bottom w:w="0" w:type="dxa"/>
          </w:tblCellMar>
        </w:tblPrEx>
        <w:tc>
          <w:tcPr>
            <w:tcW w:w="3200" w:type="dxa"/>
            <w:shd w:val="clear" w:color="auto" w:fill="FFFFFF"/>
            <w:tcMar>
              <w:top w:w="70" w:type="dxa"/>
              <w:left w:w="100" w:type="dxa"/>
              <w:bottom w:w="70" w:type="dxa"/>
              <w:right w:w="100" w:type="dxa"/>
            </w:tcMar>
            <w:vAlign w:val="center"/>
          </w:tcPr>
          <w:p w14:paraId="193F63A9" w14:textId="77777777" w:rsidR="002C6BF4" w:rsidRDefault="002C6BF4" w:rsidP="002D234F">
            <w:r>
              <w:rPr>
                <w:rFonts w:ascii="Calibri" w:eastAsia="Calibri" w:hAnsi="Calibri" w:cs="Calibri"/>
                <w:color w:val="2C2C2C"/>
                <w:sz w:val="19"/>
                <w:szCs w:val="19"/>
              </w:rPr>
              <w:t>Design &amp; fees</w:t>
            </w:r>
          </w:p>
        </w:tc>
        <w:tc>
          <w:tcPr>
            <w:tcW w:w="2800" w:type="dxa"/>
            <w:shd w:val="clear" w:color="auto" w:fill="FFFFFF"/>
            <w:tcMar>
              <w:top w:w="70" w:type="dxa"/>
              <w:left w:w="100" w:type="dxa"/>
              <w:bottom w:w="70" w:type="dxa"/>
              <w:right w:w="100" w:type="dxa"/>
            </w:tcMar>
            <w:vAlign w:val="center"/>
          </w:tcPr>
          <w:p w14:paraId="2FDF1506" w14:textId="77777777" w:rsidR="002C6BF4" w:rsidRDefault="002C6BF4" w:rsidP="002D234F">
            <w:r>
              <w:rPr>
                <w:rFonts w:ascii="Calibri" w:eastAsia="Calibri" w:hAnsi="Calibri" w:cs="Calibri"/>
                <w:color w:val="2C2C2C"/>
                <w:sz w:val="19"/>
                <w:szCs w:val="19"/>
              </w:rPr>
              <w:t>10%</w:t>
            </w:r>
          </w:p>
        </w:tc>
        <w:tc>
          <w:tcPr>
            <w:tcW w:w="3200" w:type="dxa"/>
            <w:shd w:val="clear" w:color="auto" w:fill="FFFFFF"/>
            <w:tcMar>
              <w:top w:w="70" w:type="dxa"/>
              <w:left w:w="100" w:type="dxa"/>
              <w:bottom w:w="70" w:type="dxa"/>
              <w:right w:w="100" w:type="dxa"/>
            </w:tcMar>
            <w:vAlign w:val="center"/>
          </w:tcPr>
          <w:p w14:paraId="1C365DB9" w14:textId="77777777" w:rsidR="002C6BF4" w:rsidRDefault="002C6BF4" w:rsidP="002D234F">
            <w:r>
              <w:rPr>
                <w:rFonts w:ascii="Calibri" w:eastAsia="Calibri" w:hAnsi="Calibri" w:cs="Calibri"/>
                <w:color w:val="2C2C2C"/>
                <w:sz w:val="19"/>
                <w:szCs w:val="19"/>
              </w:rPr>
              <w:t>Contractor design team, consultants</w:t>
            </w:r>
          </w:p>
        </w:tc>
      </w:tr>
      <w:tr w:rsidR="002C6BF4" w14:paraId="1E0C5CA5" w14:textId="77777777" w:rsidTr="002D234F">
        <w:tblPrEx>
          <w:tblCellMar>
            <w:top w:w="0" w:type="dxa"/>
            <w:bottom w:w="0" w:type="dxa"/>
          </w:tblCellMar>
        </w:tblPrEx>
        <w:tc>
          <w:tcPr>
            <w:tcW w:w="3200" w:type="dxa"/>
            <w:shd w:val="clear" w:color="auto" w:fill="FAF7F2"/>
            <w:tcMar>
              <w:top w:w="70" w:type="dxa"/>
              <w:left w:w="100" w:type="dxa"/>
              <w:bottom w:w="70" w:type="dxa"/>
              <w:right w:w="100" w:type="dxa"/>
            </w:tcMar>
            <w:vAlign w:val="center"/>
          </w:tcPr>
          <w:p w14:paraId="29C8379D" w14:textId="77777777" w:rsidR="002C6BF4" w:rsidRDefault="002C6BF4" w:rsidP="002D234F">
            <w:r>
              <w:rPr>
                <w:rFonts w:ascii="Calibri" w:eastAsia="Calibri" w:hAnsi="Calibri" w:cs="Calibri"/>
                <w:color w:val="2C2C2C"/>
                <w:sz w:val="19"/>
                <w:szCs w:val="19"/>
              </w:rPr>
              <w:t>Enabling works</w:t>
            </w:r>
          </w:p>
        </w:tc>
        <w:tc>
          <w:tcPr>
            <w:tcW w:w="2800" w:type="dxa"/>
            <w:shd w:val="clear" w:color="auto" w:fill="FAF7F2"/>
            <w:tcMar>
              <w:top w:w="70" w:type="dxa"/>
              <w:left w:w="100" w:type="dxa"/>
              <w:bottom w:w="70" w:type="dxa"/>
              <w:right w:w="100" w:type="dxa"/>
            </w:tcMar>
            <w:vAlign w:val="center"/>
          </w:tcPr>
          <w:p w14:paraId="010A3FDB" w14:textId="77777777" w:rsidR="002C6BF4" w:rsidRDefault="002C6BF4" w:rsidP="002D234F">
            <w:r>
              <w:rPr>
                <w:rFonts w:ascii="Calibri" w:eastAsia="Calibri" w:hAnsi="Calibri" w:cs="Calibri"/>
                <w:color w:val="2C2C2C"/>
                <w:sz w:val="19"/>
                <w:szCs w:val="19"/>
              </w:rPr>
              <w:t>12%</w:t>
            </w:r>
          </w:p>
        </w:tc>
        <w:tc>
          <w:tcPr>
            <w:tcW w:w="3200" w:type="dxa"/>
            <w:shd w:val="clear" w:color="auto" w:fill="FAF7F2"/>
            <w:tcMar>
              <w:top w:w="70" w:type="dxa"/>
              <w:left w:w="100" w:type="dxa"/>
              <w:bottom w:w="70" w:type="dxa"/>
              <w:right w:w="100" w:type="dxa"/>
            </w:tcMar>
            <w:vAlign w:val="center"/>
          </w:tcPr>
          <w:p w14:paraId="0140626B" w14:textId="77777777" w:rsidR="002C6BF4" w:rsidRDefault="002C6BF4" w:rsidP="002D234F">
            <w:r>
              <w:rPr>
                <w:rFonts w:ascii="Calibri" w:eastAsia="Calibri" w:hAnsi="Calibri" w:cs="Calibri"/>
                <w:color w:val="2C2C2C"/>
                <w:sz w:val="19"/>
                <w:szCs w:val="19"/>
              </w:rPr>
              <w:t>Site team, utility companies</w:t>
            </w:r>
          </w:p>
        </w:tc>
      </w:tr>
      <w:tr w:rsidR="002C6BF4" w14:paraId="175AF21D" w14:textId="77777777" w:rsidTr="002D234F">
        <w:tblPrEx>
          <w:tblCellMar>
            <w:top w:w="0" w:type="dxa"/>
            <w:bottom w:w="0" w:type="dxa"/>
          </w:tblCellMar>
        </w:tblPrEx>
        <w:tc>
          <w:tcPr>
            <w:tcW w:w="3200" w:type="dxa"/>
            <w:shd w:val="clear" w:color="auto" w:fill="FFFFFF"/>
            <w:tcMar>
              <w:top w:w="70" w:type="dxa"/>
              <w:left w:w="100" w:type="dxa"/>
              <w:bottom w:w="70" w:type="dxa"/>
              <w:right w:w="100" w:type="dxa"/>
            </w:tcMar>
            <w:vAlign w:val="center"/>
          </w:tcPr>
          <w:p w14:paraId="5B4AE6A3" w14:textId="77777777" w:rsidR="002C6BF4" w:rsidRDefault="002C6BF4" w:rsidP="002D234F">
            <w:r>
              <w:rPr>
                <w:rFonts w:ascii="Calibri" w:eastAsia="Calibri" w:hAnsi="Calibri" w:cs="Calibri"/>
                <w:color w:val="2C2C2C"/>
                <w:sz w:val="19"/>
                <w:szCs w:val="19"/>
              </w:rPr>
              <w:t>Construction</w:t>
            </w:r>
          </w:p>
        </w:tc>
        <w:tc>
          <w:tcPr>
            <w:tcW w:w="2800" w:type="dxa"/>
            <w:shd w:val="clear" w:color="auto" w:fill="FFFFFF"/>
            <w:tcMar>
              <w:top w:w="70" w:type="dxa"/>
              <w:left w:w="100" w:type="dxa"/>
              <w:bottom w:w="70" w:type="dxa"/>
              <w:right w:w="100" w:type="dxa"/>
            </w:tcMar>
            <w:vAlign w:val="center"/>
          </w:tcPr>
          <w:p w14:paraId="637EF1B6" w14:textId="77777777" w:rsidR="002C6BF4" w:rsidRDefault="002C6BF4" w:rsidP="002D234F">
            <w:r>
              <w:rPr>
                <w:rFonts w:ascii="Calibri" w:eastAsia="Calibri" w:hAnsi="Calibri" w:cs="Calibri"/>
                <w:color w:val="2C2C2C"/>
                <w:sz w:val="19"/>
                <w:szCs w:val="19"/>
              </w:rPr>
              <w:t>45%</w:t>
            </w:r>
          </w:p>
        </w:tc>
        <w:tc>
          <w:tcPr>
            <w:tcW w:w="3200" w:type="dxa"/>
            <w:shd w:val="clear" w:color="auto" w:fill="FFFFFF"/>
            <w:tcMar>
              <w:top w:w="70" w:type="dxa"/>
              <w:left w:w="100" w:type="dxa"/>
              <w:bottom w:w="70" w:type="dxa"/>
              <w:right w:w="100" w:type="dxa"/>
            </w:tcMar>
            <w:vAlign w:val="center"/>
          </w:tcPr>
          <w:p w14:paraId="180BCA42" w14:textId="77777777" w:rsidR="002C6BF4" w:rsidRDefault="002C6BF4" w:rsidP="002D234F">
            <w:r>
              <w:rPr>
                <w:rFonts w:ascii="Calibri" w:eastAsia="Calibri" w:hAnsi="Calibri" w:cs="Calibri"/>
                <w:color w:val="2C2C2C"/>
                <w:sz w:val="19"/>
                <w:szCs w:val="19"/>
              </w:rPr>
              <w:t>Construction team, subcontractors</w:t>
            </w:r>
          </w:p>
        </w:tc>
      </w:tr>
      <w:tr w:rsidR="002C6BF4" w14:paraId="0AE5303E" w14:textId="77777777" w:rsidTr="002D234F">
        <w:tblPrEx>
          <w:tblCellMar>
            <w:top w:w="0" w:type="dxa"/>
            <w:bottom w:w="0" w:type="dxa"/>
          </w:tblCellMar>
        </w:tblPrEx>
        <w:tc>
          <w:tcPr>
            <w:tcW w:w="3200" w:type="dxa"/>
            <w:shd w:val="clear" w:color="auto" w:fill="FAF7F2"/>
            <w:tcMar>
              <w:top w:w="70" w:type="dxa"/>
              <w:left w:w="100" w:type="dxa"/>
              <w:bottom w:w="70" w:type="dxa"/>
              <w:right w:w="100" w:type="dxa"/>
            </w:tcMar>
            <w:vAlign w:val="center"/>
          </w:tcPr>
          <w:p w14:paraId="1706F57D" w14:textId="77777777" w:rsidR="002C6BF4" w:rsidRDefault="002C6BF4" w:rsidP="002D234F">
            <w:r>
              <w:rPr>
                <w:rFonts w:ascii="Calibri" w:eastAsia="Calibri" w:hAnsi="Calibri" w:cs="Calibri"/>
                <w:color w:val="2C2C2C"/>
                <w:sz w:val="19"/>
                <w:szCs w:val="19"/>
              </w:rPr>
              <w:t>Systems &amp; digital</w:t>
            </w:r>
          </w:p>
        </w:tc>
        <w:tc>
          <w:tcPr>
            <w:tcW w:w="2800" w:type="dxa"/>
            <w:shd w:val="clear" w:color="auto" w:fill="FAF7F2"/>
            <w:tcMar>
              <w:top w:w="70" w:type="dxa"/>
              <w:left w:w="100" w:type="dxa"/>
              <w:bottom w:w="70" w:type="dxa"/>
              <w:right w:w="100" w:type="dxa"/>
            </w:tcMar>
            <w:vAlign w:val="center"/>
          </w:tcPr>
          <w:p w14:paraId="010483AC" w14:textId="77777777" w:rsidR="002C6BF4" w:rsidRDefault="002C6BF4" w:rsidP="002D234F">
            <w:r>
              <w:rPr>
                <w:rFonts w:ascii="Calibri" w:eastAsia="Calibri" w:hAnsi="Calibri" w:cs="Calibri"/>
                <w:color w:val="2C2C2C"/>
                <w:sz w:val="19"/>
                <w:szCs w:val="19"/>
              </w:rPr>
              <w:t>15%</w:t>
            </w:r>
          </w:p>
        </w:tc>
        <w:tc>
          <w:tcPr>
            <w:tcW w:w="3200" w:type="dxa"/>
            <w:shd w:val="clear" w:color="auto" w:fill="FAF7F2"/>
            <w:tcMar>
              <w:top w:w="70" w:type="dxa"/>
              <w:left w:w="100" w:type="dxa"/>
              <w:bottom w:w="70" w:type="dxa"/>
              <w:right w:w="100" w:type="dxa"/>
            </w:tcMar>
            <w:vAlign w:val="center"/>
          </w:tcPr>
          <w:p w14:paraId="253C06FF" w14:textId="77777777" w:rsidR="002C6BF4" w:rsidRDefault="002C6BF4" w:rsidP="002D234F">
            <w:r>
              <w:rPr>
                <w:rFonts w:ascii="Calibri" w:eastAsia="Calibri" w:hAnsi="Calibri" w:cs="Calibri"/>
                <w:color w:val="2C2C2C"/>
                <w:sz w:val="19"/>
                <w:szCs w:val="19"/>
              </w:rPr>
              <w:t>Digital subcontractor</w:t>
            </w:r>
          </w:p>
        </w:tc>
      </w:tr>
      <w:tr w:rsidR="002C6BF4" w14:paraId="0CC1A548" w14:textId="77777777" w:rsidTr="002D234F">
        <w:tblPrEx>
          <w:tblCellMar>
            <w:top w:w="0" w:type="dxa"/>
            <w:bottom w:w="0" w:type="dxa"/>
          </w:tblCellMar>
        </w:tblPrEx>
        <w:tc>
          <w:tcPr>
            <w:tcW w:w="3200" w:type="dxa"/>
            <w:shd w:val="clear" w:color="auto" w:fill="FFFFFF"/>
            <w:tcMar>
              <w:top w:w="70" w:type="dxa"/>
              <w:left w:w="100" w:type="dxa"/>
              <w:bottom w:w="70" w:type="dxa"/>
              <w:right w:w="100" w:type="dxa"/>
            </w:tcMar>
            <w:vAlign w:val="center"/>
          </w:tcPr>
          <w:p w14:paraId="15788412" w14:textId="77777777" w:rsidR="002C6BF4" w:rsidRDefault="002C6BF4" w:rsidP="002D234F">
            <w:r>
              <w:rPr>
                <w:rFonts w:ascii="Calibri" w:eastAsia="Calibri" w:hAnsi="Calibri" w:cs="Calibri"/>
                <w:color w:val="2C2C2C"/>
                <w:sz w:val="19"/>
                <w:szCs w:val="19"/>
              </w:rPr>
              <w:t>Contingency</w:t>
            </w:r>
          </w:p>
        </w:tc>
        <w:tc>
          <w:tcPr>
            <w:tcW w:w="2800" w:type="dxa"/>
            <w:shd w:val="clear" w:color="auto" w:fill="FFFFFF"/>
            <w:tcMar>
              <w:top w:w="70" w:type="dxa"/>
              <w:left w:w="100" w:type="dxa"/>
              <w:bottom w:w="70" w:type="dxa"/>
              <w:right w:w="100" w:type="dxa"/>
            </w:tcMar>
            <w:vAlign w:val="center"/>
          </w:tcPr>
          <w:p w14:paraId="4B6F5196" w14:textId="77777777" w:rsidR="002C6BF4" w:rsidRDefault="002C6BF4" w:rsidP="002D234F">
            <w:r>
              <w:rPr>
                <w:rFonts w:ascii="Calibri" w:eastAsia="Calibri" w:hAnsi="Calibri" w:cs="Calibri"/>
                <w:color w:val="2C2C2C"/>
                <w:sz w:val="19"/>
                <w:szCs w:val="19"/>
              </w:rPr>
              <w:t>18%</w:t>
            </w:r>
          </w:p>
        </w:tc>
        <w:tc>
          <w:tcPr>
            <w:tcW w:w="3200" w:type="dxa"/>
            <w:shd w:val="clear" w:color="auto" w:fill="FFFFFF"/>
            <w:tcMar>
              <w:top w:w="70" w:type="dxa"/>
              <w:left w:w="100" w:type="dxa"/>
              <w:bottom w:w="70" w:type="dxa"/>
              <w:right w:w="100" w:type="dxa"/>
            </w:tcMar>
            <w:vAlign w:val="center"/>
          </w:tcPr>
          <w:p w14:paraId="0899BBAE" w14:textId="77777777" w:rsidR="002C6BF4" w:rsidRDefault="002C6BF4" w:rsidP="002D234F">
            <w:r>
              <w:rPr>
                <w:rFonts w:ascii="Calibri" w:eastAsia="Calibri" w:hAnsi="Calibri" w:cs="Calibri"/>
                <w:color w:val="2C2C2C"/>
                <w:sz w:val="19"/>
                <w:szCs w:val="19"/>
              </w:rPr>
              <w:t>Held centrally by Programme Board</w:t>
            </w:r>
          </w:p>
        </w:tc>
      </w:tr>
    </w:tbl>
    <w:p w14:paraId="79D4ECDC" w14:textId="77777777" w:rsidR="002C6BF4" w:rsidRDefault="002C6BF4" w:rsidP="002C6BF4">
      <w:pPr>
        <w:spacing w:after="180"/>
      </w:pPr>
      <w:r>
        <w:rPr>
          <w:rFonts w:ascii="Calibri" w:eastAsia="Calibri" w:hAnsi="Calibri" w:cs="Calibri"/>
          <w:i/>
          <w:iCs/>
          <w:color w:val="2C2C2C"/>
          <w:sz w:val="18"/>
          <w:szCs w:val="18"/>
        </w:rPr>
        <w:t>Table 6: Resource and budget allocation.</w:t>
      </w:r>
    </w:p>
    <w:p w14:paraId="1720E363" w14:textId="77777777" w:rsidR="002C6BF4" w:rsidRDefault="002C6BF4" w:rsidP="002C6BF4">
      <w:pPr>
        <w:pStyle w:val="NormalWeb"/>
        <w:rPr>
          <w:rFonts w:ascii="Arial" w:hAnsi="Arial" w:cs="Arial"/>
        </w:rPr>
      </w:pPr>
      <w:r w:rsidRPr="002C6BF4">
        <w:rPr>
          <w:rFonts w:ascii="Arial" w:hAnsi="Arial" w:cs="Arial"/>
        </w:rPr>
        <w:t>HM Treasury's Green Book suggests an optimism-bias allowance to be part of a centrally held contingency rather than a split over different packages. Such approach makes most sense for public infrastructure projects at program level or above. This provision would give the Programme Board a single pool which could be released on risk triggers without going for separate buffers held by contractors each of whom had visibility at level lower than that of the program level.</w:t>
      </w:r>
    </w:p>
    <w:p w14:paraId="1DA85BE0" w14:textId="77777777" w:rsidR="00331ED7" w:rsidRDefault="00331ED7" w:rsidP="00331ED7">
      <w:pPr>
        <w:pStyle w:val="NormalWeb"/>
        <w:rPr>
          <w:rFonts w:ascii="Arial" w:hAnsi="Arial" w:cs="Arial"/>
          <w:b/>
          <w:bCs/>
          <w:sz w:val="28"/>
          <w:szCs w:val="28"/>
        </w:rPr>
      </w:pPr>
    </w:p>
    <w:p w14:paraId="23B130C0" w14:textId="77777777" w:rsidR="00331ED7" w:rsidRDefault="00331ED7" w:rsidP="00331ED7">
      <w:pPr>
        <w:pStyle w:val="NormalWeb"/>
        <w:rPr>
          <w:rFonts w:ascii="Arial" w:hAnsi="Arial" w:cs="Arial"/>
          <w:b/>
          <w:bCs/>
          <w:sz w:val="28"/>
          <w:szCs w:val="28"/>
        </w:rPr>
      </w:pPr>
    </w:p>
    <w:p w14:paraId="4996B1A1" w14:textId="77777777" w:rsidR="00331ED7" w:rsidRDefault="00331ED7" w:rsidP="00331ED7">
      <w:pPr>
        <w:pStyle w:val="NormalWeb"/>
        <w:rPr>
          <w:rFonts w:ascii="Arial" w:hAnsi="Arial" w:cs="Arial"/>
          <w:b/>
          <w:bCs/>
          <w:sz w:val="28"/>
          <w:szCs w:val="28"/>
        </w:rPr>
      </w:pPr>
    </w:p>
    <w:p w14:paraId="0971AC69" w14:textId="77777777" w:rsidR="00331ED7" w:rsidRDefault="00331ED7" w:rsidP="00331ED7">
      <w:pPr>
        <w:pStyle w:val="NormalWeb"/>
        <w:rPr>
          <w:rFonts w:ascii="Arial" w:hAnsi="Arial" w:cs="Arial"/>
          <w:b/>
          <w:bCs/>
          <w:sz w:val="28"/>
          <w:szCs w:val="28"/>
        </w:rPr>
      </w:pPr>
    </w:p>
    <w:p w14:paraId="56D028B3" w14:textId="77777777" w:rsidR="00331ED7" w:rsidRDefault="00331ED7" w:rsidP="00331ED7">
      <w:pPr>
        <w:pStyle w:val="NormalWeb"/>
        <w:rPr>
          <w:rFonts w:ascii="Arial" w:hAnsi="Arial" w:cs="Arial"/>
          <w:b/>
          <w:bCs/>
          <w:sz w:val="28"/>
          <w:szCs w:val="28"/>
        </w:rPr>
      </w:pPr>
    </w:p>
    <w:p w14:paraId="0E27B705" w14:textId="77777777" w:rsidR="00331ED7" w:rsidRDefault="00331ED7" w:rsidP="00331ED7">
      <w:pPr>
        <w:pStyle w:val="NormalWeb"/>
        <w:rPr>
          <w:rFonts w:ascii="Arial" w:hAnsi="Arial" w:cs="Arial"/>
          <w:b/>
          <w:bCs/>
          <w:sz w:val="28"/>
          <w:szCs w:val="28"/>
        </w:rPr>
      </w:pPr>
    </w:p>
    <w:p w14:paraId="64653B4A" w14:textId="77777777" w:rsidR="00331ED7" w:rsidRPr="00331ED7" w:rsidRDefault="00331ED7" w:rsidP="00331ED7">
      <w:pPr>
        <w:pStyle w:val="NormalWeb"/>
        <w:rPr>
          <w:rFonts w:ascii="Arial" w:hAnsi="Arial" w:cs="Arial"/>
          <w:b/>
          <w:bCs/>
          <w:sz w:val="28"/>
          <w:szCs w:val="28"/>
        </w:rPr>
      </w:pPr>
    </w:p>
    <w:p w14:paraId="7E1C1C9A" w14:textId="6C65EFAB" w:rsidR="00331ED7" w:rsidRPr="008754CC" w:rsidRDefault="00331ED7" w:rsidP="00331ED7">
      <w:pPr>
        <w:pStyle w:val="NormalWeb"/>
        <w:numPr>
          <w:ilvl w:val="0"/>
          <w:numId w:val="4"/>
        </w:numPr>
        <w:rPr>
          <w:rFonts w:ascii="Arial" w:hAnsi="Arial" w:cs="Arial"/>
          <w:b/>
          <w:bCs/>
          <w:color w:val="4A7C59"/>
          <w:sz w:val="28"/>
          <w:szCs w:val="28"/>
        </w:rPr>
      </w:pPr>
      <w:r w:rsidRPr="008754CC">
        <w:rPr>
          <w:rFonts w:ascii="Arial" w:hAnsi="Arial" w:cs="Arial"/>
          <w:b/>
          <w:bCs/>
          <w:color w:val="4A7C59"/>
          <w:sz w:val="28"/>
          <w:szCs w:val="28"/>
        </w:rPr>
        <w:lastRenderedPageBreak/>
        <w:t>Risk Analysis</w:t>
      </w:r>
    </w:p>
    <w:tbl>
      <w:tblPr>
        <w:tblW w:w="10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77"/>
        <w:gridCol w:w="1703"/>
        <w:gridCol w:w="1703"/>
        <w:gridCol w:w="4868"/>
      </w:tblGrid>
      <w:tr w:rsidR="00331ED7" w14:paraId="45D21249" w14:textId="77777777" w:rsidTr="00331ED7">
        <w:tblPrEx>
          <w:tblCellMar>
            <w:top w:w="0" w:type="dxa"/>
            <w:bottom w:w="0" w:type="dxa"/>
          </w:tblCellMar>
        </w:tblPrEx>
        <w:trPr>
          <w:trHeight w:val="317"/>
        </w:trPr>
        <w:tc>
          <w:tcPr>
            <w:tcW w:w="2677" w:type="dxa"/>
            <w:shd w:val="clear" w:color="auto" w:fill="1E3A2F"/>
            <w:tcMar>
              <w:top w:w="70" w:type="dxa"/>
              <w:left w:w="100" w:type="dxa"/>
              <w:bottom w:w="70" w:type="dxa"/>
              <w:right w:w="100" w:type="dxa"/>
            </w:tcMar>
            <w:vAlign w:val="center"/>
          </w:tcPr>
          <w:p w14:paraId="03DA59D1" w14:textId="77777777" w:rsidR="00331ED7" w:rsidRDefault="00331ED7" w:rsidP="002D234F">
            <w:r>
              <w:rPr>
                <w:rFonts w:ascii="Calibri" w:eastAsia="Calibri" w:hAnsi="Calibri" w:cs="Calibri"/>
                <w:b/>
                <w:bCs/>
                <w:color w:val="FFFFFF"/>
                <w:sz w:val="19"/>
                <w:szCs w:val="19"/>
              </w:rPr>
              <w:t>Risk</w:t>
            </w:r>
          </w:p>
        </w:tc>
        <w:tc>
          <w:tcPr>
            <w:tcW w:w="1703" w:type="dxa"/>
            <w:shd w:val="clear" w:color="auto" w:fill="1E3A2F"/>
            <w:tcMar>
              <w:top w:w="70" w:type="dxa"/>
              <w:left w:w="100" w:type="dxa"/>
              <w:bottom w:w="70" w:type="dxa"/>
              <w:right w:w="100" w:type="dxa"/>
            </w:tcMar>
            <w:vAlign w:val="center"/>
          </w:tcPr>
          <w:p w14:paraId="6AB446B1" w14:textId="77777777" w:rsidR="00331ED7" w:rsidRDefault="00331ED7" w:rsidP="002D234F">
            <w:r>
              <w:rPr>
                <w:rFonts w:ascii="Calibri" w:eastAsia="Calibri" w:hAnsi="Calibri" w:cs="Calibri"/>
                <w:b/>
                <w:bCs/>
                <w:color w:val="FFFFFF"/>
                <w:sz w:val="19"/>
                <w:szCs w:val="19"/>
              </w:rPr>
              <w:t>Prob.</w:t>
            </w:r>
          </w:p>
        </w:tc>
        <w:tc>
          <w:tcPr>
            <w:tcW w:w="1703" w:type="dxa"/>
            <w:shd w:val="clear" w:color="auto" w:fill="1E3A2F"/>
            <w:tcMar>
              <w:top w:w="70" w:type="dxa"/>
              <w:left w:w="100" w:type="dxa"/>
              <w:bottom w:w="70" w:type="dxa"/>
              <w:right w:w="100" w:type="dxa"/>
            </w:tcMar>
            <w:vAlign w:val="center"/>
          </w:tcPr>
          <w:p w14:paraId="2108F51B" w14:textId="77777777" w:rsidR="00331ED7" w:rsidRDefault="00331ED7" w:rsidP="002D234F">
            <w:r>
              <w:rPr>
                <w:rFonts w:ascii="Calibri" w:eastAsia="Calibri" w:hAnsi="Calibri" w:cs="Calibri"/>
                <w:b/>
                <w:bCs/>
                <w:color w:val="FFFFFF"/>
                <w:sz w:val="19"/>
                <w:szCs w:val="19"/>
              </w:rPr>
              <w:t>Impact</w:t>
            </w:r>
          </w:p>
        </w:tc>
        <w:tc>
          <w:tcPr>
            <w:tcW w:w="4868" w:type="dxa"/>
            <w:shd w:val="clear" w:color="auto" w:fill="1E3A2F"/>
            <w:tcMar>
              <w:top w:w="70" w:type="dxa"/>
              <w:left w:w="100" w:type="dxa"/>
              <w:bottom w:w="70" w:type="dxa"/>
              <w:right w:w="100" w:type="dxa"/>
            </w:tcMar>
            <w:vAlign w:val="center"/>
          </w:tcPr>
          <w:p w14:paraId="6FAFC97F" w14:textId="77777777" w:rsidR="00331ED7" w:rsidRDefault="00331ED7" w:rsidP="002D234F">
            <w:r>
              <w:rPr>
                <w:rFonts w:ascii="Calibri" w:eastAsia="Calibri" w:hAnsi="Calibri" w:cs="Calibri"/>
                <w:b/>
                <w:bCs/>
                <w:color w:val="FFFFFF"/>
                <w:sz w:val="19"/>
                <w:szCs w:val="19"/>
              </w:rPr>
              <w:t>Response / Owner</w:t>
            </w:r>
          </w:p>
        </w:tc>
      </w:tr>
      <w:tr w:rsidR="00331ED7" w14:paraId="1BBE49BF" w14:textId="77777777" w:rsidTr="00331ED7">
        <w:tblPrEx>
          <w:tblCellMar>
            <w:top w:w="0" w:type="dxa"/>
            <w:bottom w:w="0" w:type="dxa"/>
          </w:tblCellMar>
        </w:tblPrEx>
        <w:trPr>
          <w:trHeight w:val="635"/>
        </w:trPr>
        <w:tc>
          <w:tcPr>
            <w:tcW w:w="2677" w:type="dxa"/>
            <w:shd w:val="clear" w:color="auto" w:fill="FFFFFF"/>
            <w:tcMar>
              <w:top w:w="70" w:type="dxa"/>
              <w:left w:w="100" w:type="dxa"/>
              <w:bottom w:w="70" w:type="dxa"/>
              <w:right w:w="100" w:type="dxa"/>
            </w:tcMar>
            <w:vAlign w:val="center"/>
          </w:tcPr>
          <w:p w14:paraId="27144BD2" w14:textId="77777777" w:rsidR="00331ED7" w:rsidRDefault="00331ED7" w:rsidP="002D234F">
            <w:r>
              <w:rPr>
                <w:rFonts w:ascii="Calibri" w:eastAsia="Calibri" w:hAnsi="Calibri" w:cs="Calibri"/>
                <w:color w:val="2C2C2C"/>
                <w:sz w:val="19"/>
                <w:szCs w:val="19"/>
              </w:rPr>
              <w:t>Construction delay</w:t>
            </w:r>
          </w:p>
        </w:tc>
        <w:tc>
          <w:tcPr>
            <w:tcW w:w="1703" w:type="dxa"/>
            <w:shd w:val="clear" w:color="auto" w:fill="C4952A"/>
            <w:tcMar>
              <w:top w:w="70" w:type="dxa"/>
              <w:left w:w="100" w:type="dxa"/>
              <w:bottom w:w="70" w:type="dxa"/>
              <w:right w:w="100" w:type="dxa"/>
            </w:tcMar>
            <w:vAlign w:val="center"/>
          </w:tcPr>
          <w:p w14:paraId="50AD6DD6" w14:textId="77777777" w:rsidR="00331ED7" w:rsidRDefault="00331ED7" w:rsidP="002D234F">
            <w:pPr>
              <w:jc w:val="center"/>
            </w:pPr>
            <w:r>
              <w:rPr>
                <w:rFonts w:ascii="Calibri" w:eastAsia="Calibri" w:hAnsi="Calibri" w:cs="Calibri"/>
                <w:b/>
                <w:bCs/>
                <w:color w:val="FFFFFF"/>
                <w:sz w:val="19"/>
                <w:szCs w:val="19"/>
              </w:rPr>
              <w:t>Medium</w:t>
            </w:r>
          </w:p>
        </w:tc>
        <w:tc>
          <w:tcPr>
            <w:tcW w:w="1703" w:type="dxa"/>
            <w:shd w:val="clear" w:color="auto" w:fill="B5451B"/>
            <w:tcMar>
              <w:top w:w="70" w:type="dxa"/>
              <w:left w:w="100" w:type="dxa"/>
              <w:bottom w:w="70" w:type="dxa"/>
              <w:right w:w="100" w:type="dxa"/>
            </w:tcMar>
            <w:vAlign w:val="center"/>
          </w:tcPr>
          <w:p w14:paraId="285B8D93" w14:textId="77777777" w:rsidR="00331ED7" w:rsidRDefault="00331ED7" w:rsidP="002D234F">
            <w:pPr>
              <w:jc w:val="center"/>
            </w:pPr>
            <w:r>
              <w:rPr>
                <w:rFonts w:ascii="Calibri" w:eastAsia="Calibri" w:hAnsi="Calibri" w:cs="Calibri"/>
                <w:b/>
                <w:bCs/>
                <w:color w:val="FFFFFF"/>
                <w:sz w:val="19"/>
                <w:szCs w:val="19"/>
              </w:rPr>
              <w:t>High</w:t>
            </w:r>
          </w:p>
        </w:tc>
        <w:tc>
          <w:tcPr>
            <w:tcW w:w="4868" w:type="dxa"/>
            <w:shd w:val="clear" w:color="auto" w:fill="FFFFFF"/>
            <w:tcMar>
              <w:top w:w="70" w:type="dxa"/>
              <w:left w:w="100" w:type="dxa"/>
              <w:bottom w:w="70" w:type="dxa"/>
              <w:right w:w="100" w:type="dxa"/>
            </w:tcMar>
            <w:vAlign w:val="center"/>
          </w:tcPr>
          <w:p w14:paraId="5B530A48" w14:textId="77777777" w:rsidR="00331ED7" w:rsidRDefault="00331ED7" w:rsidP="002D234F">
            <w:r>
              <w:rPr>
                <w:rFonts w:ascii="Calibri" w:eastAsia="Calibri" w:hAnsi="Calibri" w:cs="Calibri"/>
                <w:color w:val="2C2C2C"/>
                <w:sz w:val="19"/>
                <w:szCs w:val="19"/>
              </w:rPr>
              <w:t>Phased float; delay-cost clause. Owner: contractor.</w:t>
            </w:r>
          </w:p>
        </w:tc>
      </w:tr>
      <w:tr w:rsidR="00331ED7" w14:paraId="2C7B814B" w14:textId="77777777" w:rsidTr="00331ED7">
        <w:tblPrEx>
          <w:tblCellMar>
            <w:top w:w="0" w:type="dxa"/>
            <w:bottom w:w="0" w:type="dxa"/>
          </w:tblCellMar>
        </w:tblPrEx>
        <w:trPr>
          <w:trHeight w:val="635"/>
        </w:trPr>
        <w:tc>
          <w:tcPr>
            <w:tcW w:w="2677" w:type="dxa"/>
            <w:shd w:val="clear" w:color="auto" w:fill="FAF7F2"/>
            <w:tcMar>
              <w:top w:w="70" w:type="dxa"/>
              <w:left w:w="100" w:type="dxa"/>
              <w:bottom w:w="70" w:type="dxa"/>
              <w:right w:w="100" w:type="dxa"/>
            </w:tcMar>
            <w:vAlign w:val="center"/>
          </w:tcPr>
          <w:p w14:paraId="6E1FD2D7" w14:textId="77777777" w:rsidR="00331ED7" w:rsidRDefault="00331ED7" w:rsidP="002D234F">
            <w:r>
              <w:rPr>
                <w:rFonts w:ascii="Calibri" w:eastAsia="Calibri" w:hAnsi="Calibri" w:cs="Calibri"/>
                <w:color w:val="2C2C2C"/>
                <w:sz w:val="19"/>
                <w:szCs w:val="19"/>
              </w:rPr>
              <w:t>Budget overrun</w:t>
            </w:r>
          </w:p>
        </w:tc>
        <w:tc>
          <w:tcPr>
            <w:tcW w:w="1703" w:type="dxa"/>
            <w:shd w:val="clear" w:color="auto" w:fill="C4952A"/>
            <w:tcMar>
              <w:top w:w="70" w:type="dxa"/>
              <w:left w:w="100" w:type="dxa"/>
              <w:bottom w:w="70" w:type="dxa"/>
              <w:right w:w="100" w:type="dxa"/>
            </w:tcMar>
            <w:vAlign w:val="center"/>
          </w:tcPr>
          <w:p w14:paraId="55E8739F" w14:textId="77777777" w:rsidR="00331ED7" w:rsidRDefault="00331ED7" w:rsidP="002D234F">
            <w:pPr>
              <w:jc w:val="center"/>
            </w:pPr>
            <w:r>
              <w:rPr>
                <w:rFonts w:ascii="Calibri" w:eastAsia="Calibri" w:hAnsi="Calibri" w:cs="Calibri"/>
                <w:b/>
                <w:bCs/>
                <w:color w:val="FFFFFF"/>
                <w:sz w:val="19"/>
                <w:szCs w:val="19"/>
              </w:rPr>
              <w:t>Medium</w:t>
            </w:r>
          </w:p>
        </w:tc>
        <w:tc>
          <w:tcPr>
            <w:tcW w:w="1703" w:type="dxa"/>
            <w:shd w:val="clear" w:color="auto" w:fill="B5451B"/>
            <w:tcMar>
              <w:top w:w="70" w:type="dxa"/>
              <w:left w:w="100" w:type="dxa"/>
              <w:bottom w:w="70" w:type="dxa"/>
              <w:right w:w="100" w:type="dxa"/>
            </w:tcMar>
            <w:vAlign w:val="center"/>
          </w:tcPr>
          <w:p w14:paraId="51A87BCB" w14:textId="77777777" w:rsidR="00331ED7" w:rsidRDefault="00331ED7" w:rsidP="002D234F">
            <w:pPr>
              <w:jc w:val="center"/>
            </w:pPr>
            <w:r>
              <w:rPr>
                <w:rFonts w:ascii="Calibri" w:eastAsia="Calibri" w:hAnsi="Calibri" w:cs="Calibri"/>
                <w:b/>
                <w:bCs/>
                <w:color w:val="FFFFFF"/>
                <w:sz w:val="19"/>
                <w:szCs w:val="19"/>
              </w:rPr>
              <w:t>High</w:t>
            </w:r>
          </w:p>
        </w:tc>
        <w:tc>
          <w:tcPr>
            <w:tcW w:w="4868" w:type="dxa"/>
            <w:shd w:val="clear" w:color="auto" w:fill="FAF7F2"/>
            <w:tcMar>
              <w:top w:w="70" w:type="dxa"/>
              <w:left w:w="100" w:type="dxa"/>
              <w:bottom w:w="70" w:type="dxa"/>
              <w:right w:w="100" w:type="dxa"/>
            </w:tcMar>
            <w:vAlign w:val="center"/>
          </w:tcPr>
          <w:p w14:paraId="47A1FD34" w14:textId="77777777" w:rsidR="00331ED7" w:rsidRDefault="00331ED7" w:rsidP="002D234F">
            <w:r>
              <w:rPr>
                <w:rFonts w:ascii="Calibri" w:eastAsia="Calibri" w:hAnsi="Calibri" w:cs="Calibri"/>
                <w:color w:val="2C2C2C"/>
                <w:sz w:val="19"/>
                <w:szCs w:val="19"/>
              </w:rPr>
              <w:t>Fixed price; monthly review; contingency. Owner: LA finance.</w:t>
            </w:r>
          </w:p>
        </w:tc>
      </w:tr>
      <w:tr w:rsidR="00331ED7" w14:paraId="259E1CA9" w14:textId="77777777" w:rsidTr="00331ED7">
        <w:tblPrEx>
          <w:tblCellMar>
            <w:top w:w="0" w:type="dxa"/>
            <w:bottom w:w="0" w:type="dxa"/>
          </w:tblCellMar>
        </w:tblPrEx>
        <w:trPr>
          <w:trHeight w:val="635"/>
        </w:trPr>
        <w:tc>
          <w:tcPr>
            <w:tcW w:w="2677" w:type="dxa"/>
            <w:shd w:val="clear" w:color="auto" w:fill="FFFFFF"/>
            <w:tcMar>
              <w:top w:w="70" w:type="dxa"/>
              <w:left w:w="100" w:type="dxa"/>
              <w:bottom w:w="70" w:type="dxa"/>
              <w:right w:w="100" w:type="dxa"/>
            </w:tcMar>
            <w:vAlign w:val="center"/>
          </w:tcPr>
          <w:p w14:paraId="191BE614" w14:textId="77777777" w:rsidR="00331ED7" w:rsidRDefault="00331ED7" w:rsidP="002D234F">
            <w:r>
              <w:rPr>
                <w:rFonts w:ascii="Calibri" w:eastAsia="Calibri" w:hAnsi="Calibri" w:cs="Calibri"/>
                <w:color w:val="2C2C2C"/>
                <w:sz w:val="19"/>
                <w:szCs w:val="19"/>
              </w:rPr>
              <w:t>Commuter disruption</w:t>
            </w:r>
          </w:p>
        </w:tc>
        <w:tc>
          <w:tcPr>
            <w:tcW w:w="1703" w:type="dxa"/>
            <w:shd w:val="clear" w:color="auto" w:fill="B5451B"/>
            <w:tcMar>
              <w:top w:w="70" w:type="dxa"/>
              <w:left w:w="100" w:type="dxa"/>
              <w:bottom w:w="70" w:type="dxa"/>
              <w:right w:w="100" w:type="dxa"/>
            </w:tcMar>
            <w:vAlign w:val="center"/>
          </w:tcPr>
          <w:p w14:paraId="5E5639D9" w14:textId="77777777" w:rsidR="00331ED7" w:rsidRDefault="00331ED7" w:rsidP="002D234F">
            <w:pPr>
              <w:jc w:val="center"/>
            </w:pPr>
            <w:r>
              <w:rPr>
                <w:rFonts w:ascii="Calibri" w:eastAsia="Calibri" w:hAnsi="Calibri" w:cs="Calibri"/>
                <w:b/>
                <w:bCs/>
                <w:color w:val="FFFFFF"/>
                <w:sz w:val="19"/>
                <w:szCs w:val="19"/>
              </w:rPr>
              <w:t>High</w:t>
            </w:r>
          </w:p>
        </w:tc>
        <w:tc>
          <w:tcPr>
            <w:tcW w:w="1703" w:type="dxa"/>
            <w:shd w:val="clear" w:color="auto" w:fill="C4952A"/>
            <w:tcMar>
              <w:top w:w="70" w:type="dxa"/>
              <w:left w:w="100" w:type="dxa"/>
              <w:bottom w:w="70" w:type="dxa"/>
              <w:right w:w="100" w:type="dxa"/>
            </w:tcMar>
            <w:vAlign w:val="center"/>
          </w:tcPr>
          <w:p w14:paraId="2CF61698" w14:textId="77777777" w:rsidR="00331ED7" w:rsidRDefault="00331ED7" w:rsidP="002D234F">
            <w:pPr>
              <w:jc w:val="center"/>
            </w:pPr>
            <w:r>
              <w:rPr>
                <w:rFonts w:ascii="Calibri" w:eastAsia="Calibri" w:hAnsi="Calibri" w:cs="Calibri"/>
                <w:b/>
                <w:bCs/>
                <w:color w:val="FFFFFF"/>
                <w:sz w:val="19"/>
                <w:szCs w:val="19"/>
              </w:rPr>
              <w:t>Medium</w:t>
            </w:r>
          </w:p>
        </w:tc>
        <w:tc>
          <w:tcPr>
            <w:tcW w:w="4868" w:type="dxa"/>
            <w:shd w:val="clear" w:color="auto" w:fill="FFFFFF"/>
            <w:tcMar>
              <w:top w:w="70" w:type="dxa"/>
              <w:left w:w="100" w:type="dxa"/>
              <w:bottom w:w="70" w:type="dxa"/>
              <w:right w:w="100" w:type="dxa"/>
            </w:tcMar>
            <w:vAlign w:val="center"/>
          </w:tcPr>
          <w:p w14:paraId="77CD9A1C" w14:textId="77777777" w:rsidR="00331ED7" w:rsidRDefault="00331ED7" w:rsidP="002D234F">
            <w:r>
              <w:rPr>
                <w:rFonts w:ascii="Calibri" w:eastAsia="Calibri" w:hAnsi="Calibri" w:cs="Calibri"/>
                <w:color w:val="2C2C2C"/>
                <w:sz w:val="19"/>
                <w:szCs w:val="19"/>
              </w:rPr>
              <w:t>Temporary transport pre-agreed. Owner: LA transport lead.</w:t>
            </w:r>
          </w:p>
        </w:tc>
      </w:tr>
      <w:tr w:rsidR="00331ED7" w14:paraId="4B953684" w14:textId="77777777" w:rsidTr="00331ED7">
        <w:tblPrEx>
          <w:tblCellMar>
            <w:top w:w="0" w:type="dxa"/>
            <w:bottom w:w="0" w:type="dxa"/>
          </w:tblCellMar>
        </w:tblPrEx>
        <w:trPr>
          <w:trHeight w:val="635"/>
        </w:trPr>
        <w:tc>
          <w:tcPr>
            <w:tcW w:w="2677" w:type="dxa"/>
            <w:shd w:val="clear" w:color="auto" w:fill="FAF7F2"/>
            <w:tcMar>
              <w:top w:w="70" w:type="dxa"/>
              <w:left w:w="100" w:type="dxa"/>
              <w:bottom w:w="70" w:type="dxa"/>
              <w:right w:w="100" w:type="dxa"/>
            </w:tcMar>
            <w:vAlign w:val="center"/>
          </w:tcPr>
          <w:p w14:paraId="3DBE35DE" w14:textId="77777777" w:rsidR="00331ED7" w:rsidRDefault="00331ED7" w:rsidP="002D234F">
            <w:r>
              <w:rPr>
                <w:rFonts w:ascii="Calibri" w:eastAsia="Calibri" w:hAnsi="Calibri" w:cs="Calibri"/>
                <w:color w:val="2C2C2C"/>
                <w:sz w:val="19"/>
                <w:szCs w:val="19"/>
              </w:rPr>
              <w:t>Planning delay</w:t>
            </w:r>
          </w:p>
        </w:tc>
        <w:tc>
          <w:tcPr>
            <w:tcW w:w="1703" w:type="dxa"/>
            <w:shd w:val="clear" w:color="auto" w:fill="4A7C59"/>
            <w:tcMar>
              <w:top w:w="70" w:type="dxa"/>
              <w:left w:w="100" w:type="dxa"/>
              <w:bottom w:w="70" w:type="dxa"/>
              <w:right w:w="100" w:type="dxa"/>
            </w:tcMar>
            <w:vAlign w:val="center"/>
          </w:tcPr>
          <w:p w14:paraId="45256183" w14:textId="77777777" w:rsidR="00331ED7" w:rsidRDefault="00331ED7" w:rsidP="002D234F">
            <w:pPr>
              <w:jc w:val="center"/>
            </w:pPr>
            <w:r>
              <w:rPr>
                <w:rFonts w:ascii="Calibri" w:eastAsia="Calibri" w:hAnsi="Calibri" w:cs="Calibri"/>
                <w:b/>
                <w:bCs/>
                <w:color w:val="FFFFFF"/>
                <w:sz w:val="19"/>
                <w:szCs w:val="19"/>
              </w:rPr>
              <w:t>Low</w:t>
            </w:r>
          </w:p>
        </w:tc>
        <w:tc>
          <w:tcPr>
            <w:tcW w:w="1703" w:type="dxa"/>
            <w:shd w:val="clear" w:color="auto" w:fill="C4952A"/>
            <w:tcMar>
              <w:top w:w="70" w:type="dxa"/>
              <w:left w:w="100" w:type="dxa"/>
              <w:bottom w:w="70" w:type="dxa"/>
              <w:right w:w="100" w:type="dxa"/>
            </w:tcMar>
            <w:vAlign w:val="center"/>
          </w:tcPr>
          <w:p w14:paraId="461AAC97" w14:textId="77777777" w:rsidR="00331ED7" w:rsidRDefault="00331ED7" w:rsidP="002D234F">
            <w:pPr>
              <w:jc w:val="center"/>
            </w:pPr>
            <w:r>
              <w:rPr>
                <w:rFonts w:ascii="Calibri" w:eastAsia="Calibri" w:hAnsi="Calibri" w:cs="Calibri"/>
                <w:b/>
                <w:bCs/>
                <w:color w:val="FFFFFF"/>
                <w:sz w:val="19"/>
                <w:szCs w:val="19"/>
              </w:rPr>
              <w:t>Medium</w:t>
            </w:r>
          </w:p>
        </w:tc>
        <w:tc>
          <w:tcPr>
            <w:tcW w:w="4868" w:type="dxa"/>
            <w:shd w:val="clear" w:color="auto" w:fill="FAF7F2"/>
            <w:tcMar>
              <w:top w:w="70" w:type="dxa"/>
              <w:left w:w="100" w:type="dxa"/>
              <w:bottom w:w="70" w:type="dxa"/>
              <w:right w:w="100" w:type="dxa"/>
            </w:tcMar>
            <w:vAlign w:val="center"/>
          </w:tcPr>
          <w:p w14:paraId="085BFA12" w14:textId="77777777" w:rsidR="00331ED7" w:rsidRDefault="00331ED7" w:rsidP="002D234F">
            <w:r>
              <w:rPr>
                <w:rFonts w:ascii="Calibri" w:eastAsia="Calibri" w:hAnsi="Calibri" w:cs="Calibri"/>
                <w:color w:val="2C2C2C"/>
                <w:sz w:val="19"/>
                <w:szCs w:val="19"/>
              </w:rPr>
              <w:t>Early pre-application engagement. Owner: design lead.</w:t>
            </w:r>
          </w:p>
        </w:tc>
      </w:tr>
      <w:tr w:rsidR="00331ED7" w14:paraId="5A5E86A7" w14:textId="77777777" w:rsidTr="00331ED7">
        <w:tblPrEx>
          <w:tblCellMar>
            <w:top w:w="0" w:type="dxa"/>
            <w:bottom w:w="0" w:type="dxa"/>
          </w:tblCellMar>
        </w:tblPrEx>
        <w:trPr>
          <w:trHeight w:val="635"/>
        </w:trPr>
        <w:tc>
          <w:tcPr>
            <w:tcW w:w="2677" w:type="dxa"/>
            <w:shd w:val="clear" w:color="auto" w:fill="FFFFFF"/>
            <w:tcMar>
              <w:top w:w="70" w:type="dxa"/>
              <w:left w:w="100" w:type="dxa"/>
              <w:bottom w:w="70" w:type="dxa"/>
              <w:right w:w="100" w:type="dxa"/>
            </w:tcMar>
            <w:vAlign w:val="center"/>
          </w:tcPr>
          <w:p w14:paraId="365945B6" w14:textId="77777777" w:rsidR="00331ED7" w:rsidRDefault="00331ED7" w:rsidP="002D234F">
            <w:r>
              <w:rPr>
                <w:rFonts w:ascii="Calibri" w:eastAsia="Calibri" w:hAnsi="Calibri" w:cs="Calibri"/>
                <w:color w:val="2C2C2C"/>
                <w:sz w:val="19"/>
                <w:szCs w:val="19"/>
              </w:rPr>
              <w:t>Stakeholder opposition</w:t>
            </w:r>
          </w:p>
        </w:tc>
        <w:tc>
          <w:tcPr>
            <w:tcW w:w="1703" w:type="dxa"/>
            <w:shd w:val="clear" w:color="auto" w:fill="C4952A"/>
            <w:tcMar>
              <w:top w:w="70" w:type="dxa"/>
              <w:left w:w="100" w:type="dxa"/>
              <w:bottom w:w="70" w:type="dxa"/>
              <w:right w:w="100" w:type="dxa"/>
            </w:tcMar>
            <w:vAlign w:val="center"/>
          </w:tcPr>
          <w:p w14:paraId="19D43634" w14:textId="77777777" w:rsidR="00331ED7" w:rsidRDefault="00331ED7" w:rsidP="002D234F">
            <w:pPr>
              <w:jc w:val="center"/>
            </w:pPr>
            <w:r>
              <w:rPr>
                <w:rFonts w:ascii="Calibri" w:eastAsia="Calibri" w:hAnsi="Calibri" w:cs="Calibri"/>
                <w:b/>
                <w:bCs/>
                <w:color w:val="FFFFFF"/>
                <w:sz w:val="19"/>
                <w:szCs w:val="19"/>
              </w:rPr>
              <w:t>Medium</w:t>
            </w:r>
          </w:p>
        </w:tc>
        <w:tc>
          <w:tcPr>
            <w:tcW w:w="1703" w:type="dxa"/>
            <w:shd w:val="clear" w:color="auto" w:fill="C4952A"/>
            <w:tcMar>
              <w:top w:w="70" w:type="dxa"/>
              <w:left w:w="100" w:type="dxa"/>
              <w:bottom w:w="70" w:type="dxa"/>
              <w:right w:w="100" w:type="dxa"/>
            </w:tcMar>
            <w:vAlign w:val="center"/>
          </w:tcPr>
          <w:p w14:paraId="7D302F9F" w14:textId="77777777" w:rsidR="00331ED7" w:rsidRDefault="00331ED7" w:rsidP="002D234F">
            <w:pPr>
              <w:jc w:val="center"/>
            </w:pPr>
            <w:r>
              <w:rPr>
                <w:rFonts w:ascii="Calibri" w:eastAsia="Calibri" w:hAnsi="Calibri" w:cs="Calibri"/>
                <w:b/>
                <w:bCs/>
                <w:color w:val="FFFFFF"/>
                <w:sz w:val="19"/>
                <w:szCs w:val="19"/>
              </w:rPr>
              <w:t>Medium</w:t>
            </w:r>
          </w:p>
        </w:tc>
        <w:tc>
          <w:tcPr>
            <w:tcW w:w="4868" w:type="dxa"/>
            <w:shd w:val="clear" w:color="auto" w:fill="FFFFFF"/>
            <w:tcMar>
              <w:top w:w="70" w:type="dxa"/>
              <w:left w:w="100" w:type="dxa"/>
              <w:bottom w:w="70" w:type="dxa"/>
              <w:right w:w="100" w:type="dxa"/>
            </w:tcMar>
            <w:vAlign w:val="center"/>
          </w:tcPr>
          <w:p w14:paraId="3C9FD296" w14:textId="77777777" w:rsidR="00331ED7" w:rsidRDefault="00331ED7" w:rsidP="002D234F">
            <w:r>
              <w:rPr>
                <w:rFonts w:ascii="Calibri" w:eastAsia="Calibri" w:hAnsi="Calibri" w:cs="Calibri"/>
                <w:color w:val="2C2C2C"/>
                <w:sz w:val="19"/>
                <w:szCs w:val="19"/>
              </w:rPr>
              <w:t>Liaison panel; consultation. Owner: engagement team.</w:t>
            </w:r>
          </w:p>
        </w:tc>
      </w:tr>
      <w:tr w:rsidR="00331ED7" w14:paraId="460CC927" w14:textId="77777777" w:rsidTr="00331ED7">
        <w:tblPrEx>
          <w:tblCellMar>
            <w:top w:w="0" w:type="dxa"/>
            <w:bottom w:w="0" w:type="dxa"/>
          </w:tblCellMar>
        </w:tblPrEx>
        <w:trPr>
          <w:trHeight w:val="635"/>
        </w:trPr>
        <w:tc>
          <w:tcPr>
            <w:tcW w:w="2677" w:type="dxa"/>
            <w:shd w:val="clear" w:color="auto" w:fill="FAF7F2"/>
            <w:tcMar>
              <w:top w:w="70" w:type="dxa"/>
              <w:left w:w="100" w:type="dxa"/>
              <w:bottom w:w="70" w:type="dxa"/>
              <w:right w:w="100" w:type="dxa"/>
            </w:tcMar>
            <w:vAlign w:val="center"/>
          </w:tcPr>
          <w:p w14:paraId="77609D6A" w14:textId="77777777" w:rsidR="00331ED7" w:rsidRDefault="00331ED7" w:rsidP="002D234F">
            <w:r>
              <w:rPr>
                <w:rFonts w:ascii="Calibri" w:eastAsia="Calibri" w:hAnsi="Calibri" w:cs="Calibri"/>
                <w:color w:val="2C2C2C"/>
                <w:sz w:val="19"/>
                <w:szCs w:val="19"/>
              </w:rPr>
              <w:t>Supply chain failure</w:t>
            </w:r>
          </w:p>
        </w:tc>
        <w:tc>
          <w:tcPr>
            <w:tcW w:w="1703" w:type="dxa"/>
            <w:shd w:val="clear" w:color="auto" w:fill="C4952A"/>
            <w:tcMar>
              <w:top w:w="70" w:type="dxa"/>
              <w:left w:w="100" w:type="dxa"/>
              <w:bottom w:w="70" w:type="dxa"/>
              <w:right w:w="100" w:type="dxa"/>
            </w:tcMar>
            <w:vAlign w:val="center"/>
          </w:tcPr>
          <w:p w14:paraId="5083E929" w14:textId="77777777" w:rsidR="00331ED7" w:rsidRDefault="00331ED7" w:rsidP="002D234F">
            <w:pPr>
              <w:jc w:val="center"/>
            </w:pPr>
            <w:r>
              <w:rPr>
                <w:rFonts w:ascii="Calibri" w:eastAsia="Calibri" w:hAnsi="Calibri" w:cs="Calibri"/>
                <w:b/>
                <w:bCs/>
                <w:color w:val="FFFFFF"/>
                <w:sz w:val="19"/>
                <w:szCs w:val="19"/>
              </w:rPr>
              <w:t>Medium</w:t>
            </w:r>
          </w:p>
        </w:tc>
        <w:tc>
          <w:tcPr>
            <w:tcW w:w="1703" w:type="dxa"/>
            <w:shd w:val="clear" w:color="auto" w:fill="B5451B"/>
            <w:tcMar>
              <w:top w:w="70" w:type="dxa"/>
              <w:left w:w="100" w:type="dxa"/>
              <w:bottom w:w="70" w:type="dxa"/>
              <w:right w:w="100" w:type="dxa"/>
            </w:tcMar>
            <w:vAlign w:val="center"/>
          </w:tcPr>
          <w:p w14:paraId="6F94BB42" w14:textId="77777777" w:rsidR="00331ED7" w:rsidRDefault="00331ED7" w:rsidP="002D234F">
            <w:pPr>
              <w:jc w:val="center"/>
            </w:pPr>
            <w:r>
              <w:rPr>
                <w:rFonts w:ascii="Calibri" w:eastAsia="Calibri" w:hAnsi="Calibri" w:cs="Calibri"/>
                <w:b/>
                <w:bCs/>
                <w:color w:val="FFFFFF"/>
                <w:sz w:val="19"/>
                <w:szCs w:val="19"/>
              </w:rPr>
              <w:t>High</w:t>
            </w:r>
          </w:p>
        </w:tc>
        <w:tc>
          <w:tcPr>
            <w:tcW w:w="4868" w:type="dxa"/>
            <w:shd w:val="clear" w:color="auto" w:fill="FAF7F2"/>
            <w:tcMar>
              <w:top w:w="70" w:type="dxa"/>
              <w:left w:w="100" w:type="dxa"/>
              <w:bottom w:w="70" w:type="dxa"/>
              <w:right w:w="100" w:type="dxa"/>
            </w:tcMar>
            <w:vAlign w:val="center"/>
          </w:tcPr>
          <w:p w14:paraId="37E0CC5C" w14:textId="77777777" w:rsidR="00331ED7" w:rsidRDefault="00331ED7" w:rsidP="002D234F">
            <w:r>
              <w:rPr>
                <w:rFonts w:ascii="Calibri" w:eastAsia="Calibri" w:hAnsi="Calibri" w:cs="Calibri"/>
                <w:color w:val="2C2C2C"/>
                <w:sz w:val="19"/>
                <w:szCs w:val="19"/>
              </w:rPr>
              <w:t>Multiple suppliers; buffer stock. Owner: procurement lead.</w:t>
            </w:r>
          </w:p>
        </w:tc>
      </w:tr>
    </w:tbl>
    <w:p w14:paraId="05A9EF31" w14:textId="4ED9BE80" w:rsidR="00331ED7" w:rsidRDefault="00331ED7" w:rsidP="00331ED7">
      <w:pPr>
        <w:spacing w:after="180"/>
        <w:rPr>
          <w:rFonts w:ascii="Calibri" w:eastAsia="Calibri" w:hAnsi="Calibri" w:cs="Calibri"/>
          <w:i/>
          <w:iCs/>
          <w:color w:val="2C2C2C"/>
          <w:sz w:val="18"/>
          <w:szCs w:val="18"/>
        </w:rPr>
      </w:pPr>
      <w:r>
        <w:rPr>
          <w:rFonts w:ascii="Calibri" w:eastAsia="Calibri" w:hAnsi="Calibri" w:cs="Calibri"/>
          <w:i/>
          <w:iCs/>
          <w:color w:val="2C2C2C"/>
          <w:sz w:val="18"/>
          <w:szCs w:val="18"/>
        </w:rPr>
        <w:t>Table 7: Risk register.</w:t>
      </w:r>
    </w:p>
    <w:p w14:paraId="533F341B" w14:textId="77777777" w:rsidR="00331ED7" w:rsidRDefault="00331ED7" w:rsidP="00331ED7">
      <w:pPr>
        <w:spacing w:after="180"/>
        <w:rPr>
          <w:rFonts w:ascii="Arial" w:hAnsi="Arial" w:cs="Arial"/>
          <w:sz w:val="24"/>
          <w:szCs w:val="24"/>
        </w:rPr>
      </w:pPr>
      <w:r w:rsidRPr="00331ED7">
        <w:rPr>
          <w:rFonts w:ascii="Arial" w:hAnsi="Arial" w:cs="Arial"/>
          <w:sz w:val="24"/>
          <w:szCs w:val="24"/>
        </w:rPr>
        <w:t>Construction delay and budget overrun are both considered high-impact issues. Hence, contracts and financial arrangements are used to manage them rather than simply leaving a safety margin in the planning. Commuter disruption may seem only a medium-impact issue, its probability is, however, high because that hub is a major interchange point; hence, a temporary transport arrangement is agreed upon with the operators before the actual construction starts rather than dealing with the problem after the disruption has already started. Risks are reviewed on a monthly basis; whenever a risk moves to a high-probability, high-impact position, a mandatory response update is required no later than five calendar days after which it occurred, the purpose is mainly to maintain a dynamic document rather than having an initial one-off risk register at the beginning of the project (Project Management Institute, 2019).</w:t>
      </w:r>
    </w:p>
    <w:p w14:paraId="097130B1" w14:textId="77777777" w:rsidR="00331ED7" w:rsidRDefault="00331ED7" w:rsidP="00331ED7">
      <w:pPr>
        <w:pStyle w:val="NormalWeb"/>
        <w:rPr>
          <w:rFonts w:ascii="Arial" w:hAnsi="Arial" w:cs="Arial"/>
          <w:b/>
          <w:bCs/>
          <w:sz w:val="28"/>
          <w:szCs w:val="28"/>
        </w:rPr>
      </w:pPr>
    </w:p>
    <w:p w14:paraId="14F56BFD" w14:textId="204424BE" w:rsidR="00331ED7" w:rsidRPr="008754CC" w:rsidRDefault="00331ED7" w:rsidP="00331ED7">
      <w:pPr>
        <w:pStyle w:val="NormalWeb"/>
        <w:numPr>
          <w:ilvl w:val="0"/>
          <w:numId w:val="4"/>
        </w:numPr>
        <w:rPr>
          <w:rFonts w:ascii="Arial" w:hAnsi="Arial" w:cs="Arial"/>
          <w:b/>
          <w:bCs/>
          <w:color w:val="4A7C59"/>
          <w:sz w:val="28"/>
          <w:szCs w:val="28"/>
        </w:rPr>
      </w:pPr>
      <w:r w:rsidRPr="008754CC">
        <w:rPr>
          <w:rFonts w:ascii="Arial" w:hAnsi="Arial" w:cs="Arial"/>
          <w:b/>
          <w:bCs/>
          <w:color w:val="4A7C59"/>
          <w:sz w:val="28"/>
          <w:szCs w:val="28"/>
        </w:rPr>
        <w:t>Risk Analysis</w:t>
      </w:r>
    </w:p>
    <w:p w14:paraId="7FCE78B9"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The Part A strategy gets turned into an audit-compliant model that includes:</w:t>
      </w:r>
    </w:p>
    <w:p w14:paraId="2EFA6079" w14:textId="77777777" w:rsidR="00331ED7" w:rsidRPr="00331ED7" w:rsidRDefault="00331ED7" w:rsidP="00331ED7">
      <w:pPr>
        <w:numPr>
          <w:ilvl w:val="0"/>
          <w:numId w:val="6"/>
        </w:numPr>
        <w:spacing w:after="180"/>
        <w:rPr>
          <w:rFonts w:ascii="Arial" w:eastAsia="Calibri" w:hAnsi="Arial" w:cs="Arial"/>
          <w:color w:val="2C2C2C"/>
          <w:sz w:val="24"/>
          <w:szCs w:val="24"/>
        </w:rPr>
      </w:pPr>
      <w:r w:rsidRPr="00331ED7">
        <w:rPr>
          <w:rFonts w:ascii="Arial" w:eastAsia="Calibri" w:hAnsi="Arial" w:cs="Arial"/>
          <w:color w:val="2C2C2C"/>
          <w:sz w:val="24"/>
          <w:szCs w:val="24"/>
        </w:rPr>
        <w:t>clear-cut scope;</w:t>
      </w:r>
    </w:p>
    <w:p w14:paraId="5653C0D2" w14:textId="77777777" w:rsidR="00331ED7" w:rsidRPr="00331ED7" w:rsidRDefault="00331ED7" w:rsidP="00331ED7">
      <w:pPr>
        <w:numPr>
          <w:ilvl w:val="0"/>
          <w:numId w:val="6"/>
        </w:numPr>
        <w:spacing w:after="180"/>
        <w:rPr>
          <w:rFonts w:ascii="Arial" w:eastAsia="Calibri" w:hAnsi="Arial" w:cs="Arial"/>
          <w:color w:val="2C2C2C"/>
          <w:sz w:val="24"/>
          <w:szCs w:val="24"/>
        </w:rPr>
      </w:pPr>
      <w:r w:rsidRPr="00331ED7">
        <w:rPr>
          <w:rFonts w:ascii="Arial" w:eastAsia="Calibri" w:hAnsi="Arial" w:cs="Arial"/>
          <w:color w:val="2C2C2C"/>
          <w:sz w:val="24"/>
          <w:szCs w:val="24"/>
        </w:rPr>
        <w:t>WBs packages assigned to owners;</w:t>
      </w:r>
    </w:p>
    <w:p w14:paraId="66192156" w14:textId="77777777" w:rsidR="00331ED7" w:rsidRPr="00331ED7" w:rsidRDefault="00331ED7" w:rsidP="00331ED7">
      <w:pPr>
        <w:numPr>
          <w:ilvl w:val="0"/>
          <w:numId w:val="6"/>
        </w:numPr>
        <w:spacing w:after="180"/>
        <w:rPr>
          <w:rFonts w:ascii="Arial" w:eastAsia="Calibri" w:hAnsi="Arial" w:cs="Arial"/>
          <w:color w:val="2C2C2C"/>
          <w:sz w:val="24"/>
          <w:szCs w:val="24"/>
        </w:rPr>
      </w:pPr>
      <w:r w:rsidRPr="00331ED7">
        <w:rPr>
          <w:rFonts w:ascii="Arial" w:eastAsia="Calibri" w:hAnsi="Arial" w:cs="Arial"/>
          <w:color w:val="2C2C2C"/>
          <w:sz w:val="24"/>
          <w:szCs w:val="24"/>
        </w:rPr>
        <w:t>build schedule 24-month Gantt;</w:t>
      </w:r>
    </w:p>
    <w:p w14:paraId="6D20D368" w14:textId="77777777" w:rsidR="00331ED7" w:rsidRPr="00331ED7" w:rsidRDefault="00331ED7" w:rsidP="00331ED7">
      <w:pPr>
        <w:numPr>
          <w:ilvl w:val="0"/>
          <w:numId w:val="6"/>
        </w:numPr>
        <w:spacing w:after="180"/>
        <w:rPr>
          <w:rFonts w:ascii="Arial" w:eastAsia="Calibri" w:hAnsi="Arial" w:cs="Arial"/>
          <w:color w:val="2C2C2C"/>
          <w:sz w:val="24"/>
          <w:szCs w:val="24"/>
        </w:rPr>
      </w:pPr>
      <w:r w:rsidRPr="00331ED7">
        <w:rPr>
          <w:rFonts w:ascii="Arial" w:eastAsia="Calibri" w:hAnsi="Arial" w:cs="Arial"/>
          <w:color w:val="2C2C2C"/>
          <w:sz w:val="24"/>
          <w:szCs w:val="24"/>
        </w:rPr>
        <w:t>stakeholder matrix showing who does what to whom;</w:t>
      </w:r>
    </w:p>
    <w:p w14:paraId="1F5B1D97" w14:textId="77777777" w:rsidR="00331ED7" w:rsidRPr="00331ED7" w:rsidRDefault="00331ED7" w:rsidP="00331ED7">
      <w:pPr>
        <w:numPr>
          <w:ilvl w:val="0"/>
          <w:numId w:val="6"/>
        </w:numPr>
        <w:spacing w:after="180"/>
        <w:rPr>
          <w:rFonts w:ascii="Arial" w:eastAsia="Calibri" w:hAnsi="Arial" w:cs="Arial"/>
          <w:color w:val="2C2C2C"/>
          <w:sz w:val="24"/>
          <w:szCs w:val="24"/>
        </w:rPr>
      </w:pPr>
      <w:r w:rsidRPr="00331ED7">
        <w:rPr>
          <w:rFonts w:ascii="Arial" w:eastAsia="Calibri" w:hAnsi="Arial" w:cs="Arial"/>
          <w:color w:val="2C2C2C"/>
          <w:sz w:val="24"/>
          <w:szCs w:val="24"/>
        </w:rPr>
        <w:t>resource allocation with the central budget that is reserved as a contingency;</w:t>
      </w:r>
    </w:p>
    <w:p w14:paraId="058AF769" w14:textId="77777777" w:rsidR="00331ED7" w:rsidRPr="00331ED7" w:rsidRDefault="00331ED7" w:rsidP="00331ED7">
      <w:pPr>
        <w:numPr>
          <w:ilvl w:val="0"/>
          <w:numId w:val="6"/>
        </w:numPr>
        <w:spacing w:after="180"/>
        <w:rPr>
          <w:rFonts w:ascii="Arial" w:eastAsia="Calibri" w:hAnsi="Arial" w:cs="Arial"/>
          <w:color w:val="2C2C2C"/>
          <w:sz w:val="24"/>
          <w:szCs w:val="24"/>
        </w:rPr>
      </w:pPr>
      <w:r w:rsidRPr="00331ED7">
        <w:rPr>
          <w:rFonts w:ascii="Arial" w:eastAsia="Calibri" w:hAnsi="Arial" w:cs="Arial"/>
          <w:color w:val="2C2C2C"/>
          <w:sz w:val="24"/>
          <w:szCs w:val="24"/>
        </w:rPr>
        <w:t>risk register that is kept to date;</w:t>
      </w:r>
    </w:p>
    <w:p w14:paraId="3F422A8C" w14:textId="637571F4" w:rsid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This solution targets two areas that the feedback highlighted were most in need of improvement: the lack of tools for project management and the provision of risk analysis only in words. Besides that, instead of focusing on setting time frames as objectives only partially, the technique leads to full SMART compliance of all objectives. In this way, the program aims to re-develop the central interchange within £85 million budget as a minimum and within a time frame of 24 months, and </w:t>
      </w:r>
      <w:r w:rsidRPr="00331ED7">
        <w:rPr>
          <w:rFonts w:ascii="Arial" w:eastAsia="Calibri" w:hAnsi="Arial" w:cs="Arial"/>
          <w:color w:val="2C2C2C"/>
          <w:sz w:val="24"/>
          <w:szCs w:val="24"/>
        </w:rPr>
        <w:lastRenderedPageBreak/>
        <w:t>fulfil</w:t>
      </w:r>
      <w:r w:rsidRPr="00331ED7">
        <w:rPr>
          <w:rFonts w:ascii="Arial" w:eastAsia="Calibri" w:hAnsi="Arial" w:cs="Arial"/>
          <w:color w:val="2C2C2C"/>
          <w:sz w:val="24"/>
          <w:szCs w:val="24"/>
        </w:rPr>
        <w:t xml:space="preserve"> at the same time all required standards for safety, accessibility and transport net-zero that the Department for Transport has set (Department for Transport, 2021).</w:t>
      </w:r>
    </w:p>
    <w:p w14:paraId="6F7F582D" w14:textId="77777777" w:rsidR="00331ED7" w:rsidRDefault="00331ED7" w:rsidP="00331ED7">
      <w:pPr>
        <w:spacing w:after="180"/>
        <w:rPr>
          <w:rFonts w:ascii="Arial" w:eastAsia="Calibri" w:hAnsi="Arial" w:cs="Arial"/>
          <w:color w:val="2C2C2C"/>
          <w:sz w:val="24"/>
          <w:szCs w:val="24"/>
        </w:rPr>
      </w:pPr>
    </w:p>
    <w:p w14:paraId="1522E03C" w14:textId="77777777" w:rsidR="00331ED7" w:rsidRDefault="00331ED7" w:rsidP="00331ED7">
      <w:pPr>
        <w:spacing w:after="180"/>
        <w:rPr>
          <w:rFonts w:ascii="Arial" w:eastAsia="Calibri" w:hAnsi="Arial" w:cs="Arial"/>
          <w:color w:val="2C2C2C"/>
          <w:sz w:val="24"/>
          <w:szCs w:val="24"/>
        </w:rPr>
      </w:pPr>
    </w:p>
    <w:p w14:paraId="211D6652" w14:textId="77777777" w:rsidR="00331ED7" w:rsidRDefault="00331ED7" w:rsidP="00331ED7">
      <w:pPr>
        <w:spacing w:after="180"/>
        <w:rPr>
          <w:rFonts w:ascii="Arial" w:eastAsia="Calibri" w:hAnsi="Arial" w:cs="Arial"/>
          <w:color w:val="2C2C2C"/>
          <w:sz w:val="24"/>
          <w:szCs w:val="24"/>
        </w:rPr>
      </w:pPr>
    </w:p>
    <w:p w14:paraId="79D961D1" w14:textId="77777777" w:rsidR="00331ED7" w:rsidRDefault="00331ED7" w:rsidP="00331ED7">
      <w:pPr>
        <w:spacing w:after="180"/>
        <w:rPr>
          <w:rFonts w:ascii="Arial" w:eastAsia="Calibri" w:hAnsi="Arial" w:cs="Arial"/>
          <w:color w:val="2C2C2C"/>
          <w:sz w:val="24"/>
          <w:szCs w:val="24"/>
        </w:rPr>
      </w:pPr>
    </w:p>
    <w:p w14:paraId="145FC539" w14:textId="77777777" w:rsidR="00331ED7" w:rsidRDefault="00331ED7" w:rsidP="00331ED7">
      <w:pPr>
        <w:spacing w:after="180"/>
        <w:rPr>
          <w:rFonts w:ascii="Arial" w:eastAsia="Calibri" w:hAnsi="Arial" w:cs="Arial"/>
          <w:color w:val="2C2C2C"/>
          <w:sz w:val="24"/>
          <w:szCs w:val="24"/>
        </w:rPr>
      </w:pPr>
    </w:p>
    <w:p w14:paraId="48CA226D" w14:textId="77777777" w:rsidR="00331ED7" w:rsidRDefault="00331ED7" w:rsidP="00331ED7">
      <w:pPr>
        <w:spacing w:after="180"/>
        <w:rPr>
          <w:rFonts w:ascii="Arial" w:eastAsia="Calibri" w:hAnsi="Arial" w:cs="Arial"/>
          <w:color w:val="2C2C2C"/>
          <w:sz w:val="24"/>
          <w:szCs w:val="24"/>
        </w:rPr>
      </w:pPr>
    </w:p>
    <w:p w14:paraId="09104468" w14:textId="77777777" w:rsidR="00331ED7" w:rsidRDefault="00331ED7" w:rsidP="00331ED7">
      <w:pPr>
        <w:spacing w:after="180"/>
        <w:rPr>
          <w:rFonts w:ascii="Arial" w:eastAsia="Calibri" w:hAnsi="Arial" w:cs="Arial"/>
          <w:color w:val="2C2C2C"/>
          <w:sz w:val="24"/>
          <w:szCs w:val="24"/>
        </w:rPr>
      </w:pPr>
    </w:p>
    <w:p w14:paraId="043232E2" w14:textId="77777777" w:rsidR="00331ED7" w:rsidRDefault="00331ED7" w:rsidP="00331ED7">
      <w:pPr>
        <w:spacing w:after="180"/>
        <w:rPr>
          <w:rFonts w:ascii="Arial" w:eastAsia="Calibri" w:hAnsi="Arial" w:cs="Arial"/>
          <w:color w:val="2C2C2C"/>
          <w:sz w:val="24"/>
          <w:szCs w:val="24"/>
        </w:rPr>
      </w:pPr>
    </w:p>
    <w:p w14:paraId="0E204058" w14:textId="77777777" w:rsidR="00331ED7" w:rsidRDefault="00331ED7" w:rsidP="00331ED7">
      <w:pPr>
        <w:spacing w:after="180"/>
        <w:rPr>
          <w:rFonts w:ascii="Arial" w:eastAsia="Calibri" w:hAnsi="Arial" w:cs="Arial"/>
          <w:color w:val="2C2C2C"/>
          <w:sz w:val="24"/>
          <w:szCs w:val="24"/>
        </w:rPr>
      </w:pPr>
    </w:p>
    <w:p w14:paraId="7364AB97" w14:textId="77777777" w:rsidR="00331ED7" w:rsidRDefault="00331ED7" w:rsidP="00331ED7">
      <w:pPr>
        <w:spacing w:after="180"/>
        <w:rPr>
          <w:rFonts w:ascii="Arial" w:eastAsia="Calibri" w:hAnsi="Arial" w:cs="Arial"/>
          <w:color w:val="2C2C2C"/>
          <w:sz w:val="24"/>
          <w:szCs w:val="24"/>
        </w:rPr>
      </w:pPr>
    </w:p>
    <w:p w14:paraId="400AC9D3" w14:textId="77777777" w:rsidR="00331ED7" w:rsidRDefault="00331ED7" w:rsidP="00331ED7">
      <w:pPr>
        <w:spacing w:after="180"/>
        <w:rPr>
          <w:rFonts w:ascii="Arial" w:eastAsia="Calibri" w:hAnsi="Arial" w:cs="Arial"/>
          <w:color w:val="2C2C2C"/>
          <w:sz w:val="24"/>
          <w:szCs w:val="24"/>
        </w:rPr>
      </w:pPr>
    </w:p>
    <w:p w14:paraId="471FBD09" w14:textId="77777777" w:rsidR="00331ED7" w:rsidRDefault="00331ED7" w:rsidP="00331ED7">
      <w:pPr>
        <w:spacing w:after="180"/>
        <w:rPr>
          <w:rFonts w:ascii="Arial" w:eastAsia="Calibri" w:hAnsi="Arial" w:cs="Arial"/>
          <w:color w:val="2C2C2C"/>
          <w:sz w:val="24"/>
          <w:szCs w:val="24"/>
        </w:rPr>
      </w:pPr>
    </w:p>
    <w:p w14:paraId="549BEBB4" w14:textId="77777777" w:rsidR="00331ED7" w:rsidRDefault="00331ED7" w:rsidP="00331ED7">
      <w:pPr>
        <w:spacing w:after="180"/>
        <w:rPr>
          <w:rFonts w:ascii="Arial" w:eastAsia="Calibri" w:hAnsi="Arial" w:cs="Arial"/>
          <w:color w:val="2C2C2C"/>
          <w:sz w:val="24"/>
          <w:szCs w:val="24"/>
        </w:rPr>
      </w:pPr>
    </w:p>
    <w:p w14:paraId="44F46EA3" w14:textId="77777777" w:rsidR="00331ED7" w:rsidRDefault="00331ED7" w:rsidP="00331ED7">
      <w:pPr>
        <w:spacing w:after="180"/>
        <w:rPr>
          <w:rFonts w:ascii="Arial" w:eastAsia="Calibri" w:hAnsi="Arial" w:cs="Arial"/>
          <w:color w:val="2C2C2C"/>
          <w:sz w:val="24"/>
          <w:szCs w:val="24"/>
        </w:rPr>
      </w:pPr>
    </w:p>
    <w:p w14:paraId="2983A7EF" w14:textId="77777777" w:rsidR="00331ED7" w:rsidRDefault="00331ED7" w:rsidP="00331ED7">
      <w:pPr>
        <w:spacing w:after="180"/>
        <w:rPr>
          <w:rFonts w:ascii="Arial" w:eastAsia="Calibri" w:hAnsi="Arial" w:cs="Arial"/>
          <w:color w:val="2C2C2C"/>
          <w:sz w:val="24"/>
          <w:szCs w:val="24"/>
        </w:rPr>
      </w:pPr>
    </w:p>
    <w:p w14:paraId="17493CFC" w14:textId="77777777" w:rsidR="00331ED7" w:rsidRDefault="00331ED7" w:rsidP="00331ED7">
      <w:pPr>
        <w:spacing w:after="180"/>
        <w:rPr>
          <w:rFonts w:ascii="Arial" w:eastAsia="Calibri" w:hAnsi="Arial" w:cs="Arial"/>
          <w:color w:val="2C2C2C"/>
          <w:sz w:val="24"/>
          <w:szCs w:val="24"/>
        </w:rPr>
      </w:pPr>
    </w:p>
    <w:p w14:paraId="1C179DF8" w14:textId="77777777" w:rsidR="00331ED7" w:rsidRDefault="00331ED7" w:rsidP="00331ED7">
      <w:pPr>
        <w:spacing w:after="180"/>
        <w:rPr>
          <w:rFonts w:ascii="Arial" w:eastAsia="Calibri" w:hAnsi="Arial" w:cs="Arial"/>
          <w:color w:val="2C2C2C"/>
          <w:sz w:val="24"/>
          <w:szCs w:val="24"/>
        </w:rPr>
      </w:pPr>
    </w:p>
    <w:p w14:paraId="05B4A75E" w14:textId="77777777" w:rsidR="00331ED7" w:rsidRDefault="00331ED7" w:rsidP="00331ED7">
      <w:pPr>
        <w:spacing w:after="180"/>
        <w:rPr>
          <w:rFonts w:ascii="Arial" w:eastAsia="Calibri" w:hAnsi="Arial" w:cs="Arial"/>
          <w:color w:val="2C2C2C"/>
          <w:sz w:val="24"/>
          <w:szCs w:val="24"/>
        </w:rPr>
      </w:pPr>
    </w:p>
    <w:p w14:paraId="60763431" w14:textId="77777777" w:rsidR="00331ED7" w:rsidRDefault="00331ED7" w:rsidP="00331ED7">
      <w:pPr>
        <w:spacing w:after="180"/>
        <w:rPr>
          <w:rFonts w:ascii="Arial" w:eastAsia="Calibri" w:hAnsi="Arial" w:cs="Arial"/>
          <w:color w:val="2C2C2C"/>
          <w:sz w:val="24"/>
          <w:szCs w:val="24"/>
        </w:rPr>
      </w:pPr>
    </w:p>
    <w:p w14:paraId="41A2DBD5" w14:textId="77777777" w:rsidR="00331ED7" w:rsidRDefault="00331ED7" w:rsidP="00331ED7">
      <w:pPr>
        <w:spacing w:after="180"/>
        <w:rPr>
          <w:rFonts w:ascii="Arial" w:eastAsia="Calibri" w:hAnsi="Arial" w:cs="Arial"/>
          <w:color w:val="2C2C2C"/>
          <w:sz w:val="24"/>
          <w:szCs w:val="24"/>
        </w:rPr>
      </w:pPr>
    </w:p>
    <w:p w14:paraId="47B98A4F" w14:textId="77777777" w:rsidR="00331ED7" w:rsidRDefault="00331ED7" w:rsidP="00331ED7">
      <w:pPr>
        <w:spacing w:after="180"/>
        <w:rPr>
          <w:rFonts w:ascii="Arial" w:eastAsia="Calibri" w:hAnsi="Arial" w:cs="Arial"/>
          <w:color w:val="2C2C2C"/>
          <w:sz w:val="24"/>
          <w:szCs w:val="24"/>
        </w:rPr>
      </w:pPr>
    </w:p>
    <w:p w14:paraId="61CB2725" w14:textId="77777777" w:rsidR="00331ED7" w:rsidRDefault="00331ED7" w:rsidP="00331ED7">
      <w:pPr>
        <w:spacing w:after="180"/>
        <w:rPr>
          <w:rFonts w:ascii="Arial" w:eastAsia="Calibri" w:hAnsi="Arial" w:cs="Arial"/>
          <w:color w:val="2C2C2C"/>
          <w:sz w:val="24"/>
          <w:szCs w:val="24"/>
        </w:rPr>
      </w:pPr>
    </w:p>
    <w:p w14:paraId="0A361EA4" w14:textId="77777777" w:rsidR="00331ED7" w:rsidRDefault="00331ED7" w:rsidP="00331ED7">
      <w:pPr>
        <w:spacing w:after="180"/>
        <w:rPr>
          <w:rFonts w:ascii="Arial" w:eastAsia="Calibri" w:hAnsi="Arial" w:cs="Arial"/>
          <w:color w:val="2C2C2C"/>
          <w:sz w:val="24"/>
          <w:szCs w:val="24"/>
        </w:rPr>
      </w:pPr>
    </w:p>
    <w:p w14:paraId="5AF541B0" w14:textId="77777777" w:rsidR="00331ED7" w:rsidRDefault="00331ED7" w:rsidP="00331ED7">
      <w:pPr>
        <w:spacing w:after="180"/>
        <w:rPr>
          <w:rFonts w:ascii="Arial" w:eastAsia="Calibri" w:hAnsi="Arial" w:cs="Arial"/>
          <w:color w:val="2C2C2C"/>
          <w:sz w:val="24"/>
          <w:szCs w:val="24"/>
        </w:rPr>
      </w:pPr>
    </w:p>
    <w:p w14:paraId="46FA101E" w14:textId="77777777" w:rsidR="00331ED7" w:rsidRDefault="00331ED7" w:rsidP="00331ED7">
      <w:pPr>
        <w:spacing w:after="180"/>
        <w:rPr>
          <w:rFonts w:ascii="Arial" w:eastAsia="Calibri" w:hAnsi="Arial" w:cs="Arial"/>
          <w:color w:val="2C2C2C"/>
          <w:sz w:val="24"/>
          <w:szCs w:val="24"/>
        </w:rPr>
      </w:pPr>
    </w:p>
    <w:p w14:paraId="4C9E2178" w14:textId="77777777" w:rsidR="00331ED7" w:rsidRDefault="00331ED7" w:rsidP="00331ED7">
      <w:pPr>
        <w:spacing w:after="180"/>
        <w:rPr>
          <w:rFonts w:ascii="Arial" w:eastAsia="Calibri" w:hAnsi="Arial" w:cs="Arial"/>
          <w:color w:val="2C2C2C"/>
          <w:sz w:val="24"/>
          <w:szCs w:val="24"/>
        </w:rPr>
      </w:pPr>
    </w:p>
    <w:p w14:paraId="0E401755" w14:textId="77777777" w:rsidR="00331ED7" w:rsidRDefault="00331ED7" w:rsidP="00331ED7">
      <w:pPr>
        <w:spacing w:after="180"/>
        <w:rPr>
          <w:rFonts w:ascii="Arial" w:eastAsia="Calibri" w:hAnsi="Arial" w:cs="Arial"/>
          <w:color w:val="2C2C2C"/>
          <w:sz w:val="24"/>
          <w:szCs w:val="24"/>
        </w:rPr>
      </w:pPr>
    </w:p>
    <w:p w14:paraId="6276688D" w14:textId="77777777" w:rsidR="00331ED7" w:rsidRDefault="00331ED7" w:rsidP="00331ED7">
      <w:pPr>
        <w:spacing w:after="180"/>
        <w:rPr>
          <w:rFonts w:ascii="Arial" w:eastAsia="Calibri" w:hAnsi="Arial" w:cs="Arial"/>
          <w:color w:val="2C2C2C"/>
          <w:sz w:val="24"/>
          <w:szCs w:val="24"/>
        </w:rPr>
      </w:pPr>
    </w:p>
    <w:p w14:paraId="5509DBBB" w14:textId="77777777" w:rsidR="00331ED7" w:rsidRDefault="00331ED7" w:rsidP="00331ED7">
      <w:pPr>
        <w:spacing w:after="180"/>
        <w:rPr>
          <w:rFonts w:ascii="Arial" w:eastAsia="Calibri" w:hAnsi="Arial" w:cs="Arial"/>
          <w:color w:val="2C2C2C"/>
          <w:sz w:val="24"/>
          <w:szCs w:val="24"/>
        </w:rPr>
      </w:pPr>
    </w:p>
    <w:p w14:paraId="7CEAD82E" w14:textId="77777777" w:rsidR="00331ED7" w:rsidRDefault="00331ED7" w:rsidP="00331ED7">
      <w:pPr>
        <w:spacing w:after="180"/>
        <w:rPr>
          <w:rFonts w:ascii="Arial" w:eastAsia="Calibri" w:hAnsi="Arial" w:cs="Arial"/>
          <w:color w:val="2C2C2C"/>
          <w:sz w:val="24"/>
          <w:szCs w:val="24"/>
        </w:rPr>
      </w:pPr>
    </w:p>
    <w:p w14:paraId="045F4046" w14:textId="77777777" w:rsidR="00331ED7" w:rsidRDefault="00331ED7" w:rsidP="00331ED7">
      <w:pPr>
        <w:spacing w:after="180"/>
        <w:rPr>
          <w:rFonts w:ascii="Arial" w:eastAsia="Calibri" w:hAnsi="Arial" w:cs="Arial"/>
          <w:color w:val="2C2C2C"/>
          <w:sz w:val="24"/>
          <w:szCs w:val="24"/>
        </w:rPr>
      </w:pPr>
    </w:p>
    <w:p w14:paraId="65915CC5" w14:textId="77777777" w:rsidR="00331ED7" w:rsidRDefault="00331ED7" w:rsidP="00331ED7">
      <w:pPr>
        <w:spacing w:after="180"/>
        <w:rPr>
          <w:rFonts w:ascii="Arial" w:eastAsia="Calibri" w:hAnsi="Arial" w:cs="Arial"/>
          <w:color w:val="2C2C2C"/>
          <w:sz w:val="24"/>
          <w:szCs w:val="24"/>
        </w:rPr>
      </w:pPr>
    </w:p>
    <w:p w14:paraId="0800D795" w14:textId="77777777" w:rsidR="00331ED7" w:rsidRPr="00331ED7" w:rsidRDefault="00331ED7" w:rsidP="00331ED7">
      <w:pPr>
        <w:spacing w:after="180"/>
        <w:rPr>
          <w:rFonts w:ascii="Arial" w:eastAsia="Calibri" w:hAnsi="Arial" w:cs="Arial"/>
          <w:b/>
          <w:bCs/>
          <w:color w:val="2C2C2C"/>
          <w:sz w:val="28"/>
          <w:szCs w:val="28"/>
        </w:rPr>
      </w:pPr>
      <w:r w:rsidRPr="00331ED7">
        <w:rPr>
          <w:rFonts w:ascii="Arial" w:eastAsia="Calibri" w:hAnsi="Arial" w:cs="Arial"/>
          <w:b/>
          <w:bCs/>
          <w:color w:val="2C2C2C"/>
          <w:sz w:val="28"/>
          <w:szCs w:val="28"/>
        </w:rPr>
        <w:lastRenderedPageBreak/>
        <w:t>References (Harvard style)</w:t>
      </w:r>
    </w:p>
    <w:p w14:paraId="235B296D"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Association for Project Management (2019) </w:t>
      </w:r>
      <w:r w:rsidRPr="00331ED7">
        <w:rPr>
          <w:rFonts w:ascii="Arial" w:eastAsia="Calibri" w:hAnsi="Arial" w:cs="Arial"/>
          <w:i/>
          <w:iCs/>
          <w:color w:val="2C2C2C"/>
          <w:sz w:val="24"/>
          <w:szCs w:val="24"/>
        </w:rPr>
        <w:t>APM Body of Knowledge</w:t>
      </w:r>
      <w:r w:rsidRPr="00331ED7">
        <w:rPr>
          <w:rFonts w:ascii="Arial" w:eastAsia="Calibri" w:hAnsi="Arial" w:cs="Arial"/>
          <w:color w:val="2C2C2C"/>
          <w:sz w:val="24"/>
          <w:szCs w:val="24"/>
        </w:rPr>
        <w:t xml:space="preserve">. 7th </w:t>
      </w:r>
      <w:proofErr w:type="spellStart"/>
      <w:r w:rsidRPr="00331ED7">
        <w:rPr>
          <w:rFonts w:ascii="Arial" w:eastAsia="Calibri" w:hAnsi="Arial" w:cs="Arial"/>
          <w:color w:val="2C2C2C"/>
          <w:sz w:val="24"/>
          <w:szCs w:val="24"/>
        </w:rPr>
        <w:t>edn</w:t>
      </w:r>
      <w:proofErr w:type="spellEnd"/>
      <w:r w:rsidRPr="00331ED7">
        <w:rPr>
          <w:rFonts w:ascii="Arial" w:eastAsia="Calibri" w:hAnsi="Arial" w:cs="Arial"/>
          <w:color w:val="2C2C2C"/>
          <w:sz w:val="24"/>
          <w:szCs w:val="24"/>
        </w:rPr>
        <w:t>. Princes Risborough: Association for Project Management.</w:t>
      </w:r>
    </w:p>
    <w:p w14:paraId="7B50FA35"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Bourne, L. (2016) </w:t>
      </w:r>
      <w:r w:rsidRPr="00331ED7">
        <w:rPr>
          <w:rFonts w:ascii="Arial" w:eastAsia="Calibri" w:hAnsi="Arial" w:cs="Arial"/>
          <w:i/>
          <w:iCs/>
          <w:color w:val="2C2C2C"/>
          <w:sz w:val="24"/>
          <w:szCs w:val="24"/>
        </w:rPr>
        <w:t>Stakeholder Relationship Management: A Maturity Model for Organisational Implementation</w:t>
      </w:r>
      <w:r w:rsidRPr="00331ED7">
        <w:rPr>
          <w:rFonts w:ascii="Arial" w:eastAsia="Calibri" w:hAnsi="Arial" w:cs="Arial"/>
          <w:color w:val="2C2C2C"/>
          <w:sz w:val="24"/>
          <w:szCs w:val="24"/>
        </w:rPr>
        <w:t xml:space="preserve">. 2nd </w:t>
      </w:r>
      <w:proofErr w:type="spellStart"/>
      <w:r w:rsidRPr="00331ED7">
        <w:rPr>
          <w:rFonts w:ascii="Arial" w:eastAsia="Calibri" w:hAnsi="Arial" w:cs="Arial"/>
          <w:color w:val="2C2C2C"/>
          <w:sz w:val="24"/>
          <w:szCs w:val="24"/>
        </w:rPr>
        <w:t>edn</w:t>
      </w:r>
      <w:proofErr w:type="spellEnd"/>
      <w:r w:rsidRPr="00331ED7">
        <w:rPr>
          <w:rFonts w:ascii="Arial" w:eastAsia="Calibri" w:hAnsi="Arial" w:cs="Arial"/>
          <w:color w:val="2C2C2C"/>
          <w:sz w:val="24"/>
          <w:szCs w:val="24"/>
        </w:rPr>
        <w:t>. Abingdon: Routledge.</w:t>
      </w:r>
    </w:p>
    <w:p w14:paraId="6C9BCB9F"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Chapman, C. and Ward, S. (2003) </w:t>
      </w:r>
      <w:r w:rsidRPr="00331ED7">
        <w:rPr>
          <w:rFonts w:ascii="Arial" w:eastAsia="Calibri" w:hAnsi="Arial" w:cs="Arial"/>
          <w:i/>
          <w:iCs/>
          <w:color w:val="2C2C2C"/>
          <w:sz w:val="24"/>
          <w:szCs w:val="24"/>
        </w:rPr>
        <w:t>Project Risk Management: Processes, Techniques and Insights</w:t>
      </w:r>
      <w:r w:rsidRPr="00331ED7">
        <w:rPr>
          <w:rFonts w:ascii="Arial" w:eastAsia="Calibri" w:hAnsi="Arial" w:cs="Arial"/>
          <w:color w:val="2C2C2C"/>
          <w:sz w:val="24"/>
          <w:szCs w:val="24"/>
        </w:rPr>
        <w:t xml:space="preserve">. 2nd </w:t>
      </w:r>
      <w:proofErr w:type="spellStart"/>
      <w:r w:rsidRPr="00331ED7">
        <w:rPr>
          <w:rFonts w:ascii="Arial" w:eastAsia="Calibri" w:hAnsi="Arial" w:cs="Arial"/>
          <w:color w:val="2C2C2C"/>
          <w:sz w:val="24"/>
          <w:szCs w:val="24"/>
        </w:rPr>
        <w:t>edn</w:t>
      </w:r>
      <w:proofErr w:type="spellEnd"/>
      <w:r w:rsidRPr="00331ED7">
        <w:rPr>
          <w:rFonts w:ascii="Arial" w:eastAsia="Calibri" w:hAnsi="Arial" w:cs="Arial"/>
          <w:color w:val="2C2C2C"/>
          <w:sz w:val="24"/>
          <w:szCs w:val="24"/>
        </w:rPr>
        <w:t>. Chichester: John Wiley &amp; Sons.</w:t>
      </w:r>
    </w:p>
    <w:p w14:paraId="2FDF8315"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Department for Transport (2021) </w:t>
      </w:r>
      <w:r w:rsidRPr="00331ED7">
        <w:rPr>
          <w:rFonts w:ascii="Arial" w:eastAsia="Calibri" w:hAnsi="Arial" w:cs="Arial"/>
          <w:i/>
          <w:iCs/>
          <w:color w:val="2C2C2C"/>
          <w:sz w:val="24"/>
          <w:szCs w:val="24"/>
        </w:rPr>
        <w:t>Decarbonising Transport: A Better, Greener Britain</w:t>
      </w:r>
      <w:r w:rsidRPr="00331ED7">
        <w:rPr>
          <w:rFonts w:ascii="Arial" w:eastAsia="Calibri" w:hAnsi="Arial" w:cs="Arial"/>
          <w:color w:val="2C2C2C"/>
          <w:sz w:val="24"/>
          <w:szCs w:val="24"/>
        </w:rPr>
        <w:t>. London: HM Government.</w:t>
      </w:r>
    </w:p>
    <w:p w14:paraId="2CB47AE5"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Freeman, R.E. (1984) </w:t>
      </w:r>
      <w:r w:rsidRPr="00331ED7">
        <w:rPr>
          <w:rFonts w:ascii="Arial" w:eastAsia="Calibri" w:hAnsi="Arial" w:cs="Arial"/>
          <w:i/>
          <w:iCs/>
          <w:color w:val="2C2C2C"/>
          <w:sz w:val="24"/>
          <w:szCs w:val="24"/>
        </w:rPr>
        <w:t>Strategic Management: A Stakeholder Approach</w:t>
      </w:r>
      <w:r w:rsidRPr="00331ED7">
        <w:rPr>
          <w:rFonts w:ascii="Arial" w:eastAsia="Calibri" w:hAnsi="Arial" w:cs="Arial"/>
          <w:color w:val="2C2C2C"/>
          <w:sz w:val="24"/>
          <w:szCs w:val="24"/>
        </w:rPr>
        <w:t>. Boston: Pitman.</w:t>
      </w:r>
    </w:p>
    <w:p w14:paraId="22DB7ADC"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HM Government (2010) </w:t>
      </w:r>
      <w:r w:rsidRPr="00331ED7">
        <w:rPr>
          <w:rFonts w:ascii="Arial" w:eastAsia="Calibri" w:hAnsi="Arial" w:cs="Arial"/>
          <w:i/>
          <w:iCs/>
          <w:color w:val="2C2C2C"/>
          <w:sz w:val="24"/>
          <w:szCs w:val="24"/>
        </w:rPr>
        <w:t>Equality Act 2010</w:t>
      </w:r>
      <w:r w:rsidRPr="00331ED7">
        <w:rPr>
          <w:rFonts w:ascii="Arial" w:eastAsia="Calibri" w:hAnsi="Arial" w:cs="Arial"/>
          <w:color w:val="2C2C2C"/>
          <w:sz w:val="24"/>
          <w:szCs w:val="24"/>
        </w:rPr>
        <w:t>. London: The Stationery Office.</w:t>
      </w:r>
    </w:p>
    <w:p w14:paraId="59051154"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HM Government (2022) </w:t>
      </w:r>
      <w:r w:rsidRPr="00331ED7">
        <w:rPr>
          <w:rFonts w:ascii="Arial" w:eastAsia="Calibri" w:hAnsi="Arial" w:cs="Arial"/>
          <w:i/>
          <w:iCs/>
          <w:color w:val="2C2C2C"/>
          <w:sz w:val="24"/>
          <w:szCs w:val="24"/>
        </w:rPr>
        <w:t>Building Safety Act 2022</w:t>
      </w:r>
      <w:r w:rsidRPr="00331ED7">
        <w:rPr>
          <w:rFonts w:ascii="Arial" w:eastAsia="Calibri" w:hAnsi="Arial" w:cs="Arial"/>
          <w:color w:val="2C2C2C"/>
          <w:sz w:val="24"/>
          <w:szCs w:val="24"/>
        </w:rPr>
        <w:t>. London: The Stationery Office.</w:t>
      </w:r>
    </w:p>
    <w:p w14:paraId="3276A154"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HM Treasury (2022) </w:t>
      </w:r>
      <w:r w:rsidRPr="00331ED7">
        <w:rPr>
          <w:rFonts w:ascii="Arial" w:eastAsia="Calibri" w:hAnsi="Arial" w:cs="Arial"/>
          <w:i/>
          <w:iCs/>
          <w:color w:val="2C2C2C"/>
          <w:sz w:val="24"/>
          <w:szCs w:val="24"/>
        </w:rPr>
        <w:t>The Green Book: Central Government Guidance on Appraisal and Evaluation</w:t>
      </w:r>
      <w:r w:rsidRPr="00331ED7">
        <w:rPr>
          <w:rFonts w:ascii="Arial" w:eastAsia="Calibri" w:hAnsi="Arial" w:cs="Arial"/>
          <w:color w:val="2C2C2C"/>
          <w:sz w:val="24"/>
          <w:szCs w:val="24"/>
        </w:rPr>
        <w:t>. London: HM Treasury.</w:t>
      </w:r>
    </w:p>
    <w:p w14:paraId="0C17D6E1"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Kerzner, H. (2017) </w:t>
      </w:r>
      <w:r w:rsidRPr="00331ED7">
        <w:rPr>
          <w:rFonts w:ascii="Arial" w:eastAsia="Calibri" w:hAnsi="Arial" w:cs="Arial"/>
          <w:i/>
          <w:iCs/>
          <w:color w:val="2C2C2C"/>
          <w:sz w:val="24"/>
          <w:szCs w:val="24"/>
        </w:rPr>
        <w:t>Project Management: A Systems Approach to Planning, Scheduling, and Controlling</w:t>
      </w:r>
      <w:r w:rsidRPr="00331ED7">
        <w:rPr>
          <w:rFonts w:ascii="Arial" w:eastAsia="Calibri" w:hAnsi="Arial" w:cs="Arial"/>
          <w:color w:val="2C2C2C"/>
          <w:sz w:val="24"/>
          <w:szCs w:val="24"/>
        </w:rPr>
        <w:t xml:space="preserve">. 12th </w:t>
      </w:r>
      <w:proofErr w:type="spellStart"/>
      <w:r w:rsidRPr="00331ED7">
        <w:rPr>
          <w:rFonts w:ascii="Arial" w:eastAsia="Calibri" w:hAnsi="Arial" w:cs="Arial"/>
          <w:color w:val="2C2C2C"/>
          <w:sz w:val="24"/>
          <w:szCs w:val="24"/>
        </w:rPr>
        <w:t>edn</w:t>
      </w:r>
      <w:proofErr w:type="spellEnd"/>
      <w:r w:rsidRPr="00331ED7">
        <w:rPr>
          <w:rFonts w:ascii="Arial" w:eastAsia="Calibri" w:hAnsi="Arial" w:cs="Arial"/>
          <w:color w:val="2C2C2C"/>
          <w:sz w:val="24"/>
          <w:szCs w:val="24"/>
        </w:rPr>
        <w:t>. Hoboken, NJ: John Wiley &amp; Sons.</w:t>
      </w:r>
    </w:p>
    <w:p w14:paraId="099B3488"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Larson, E.W. and Gray, C.F. (2021) </w:t>
      </w:r>
      <w:r w:rsidRPr="00331ED7">
        <w:rPr>
          <w:rFonts w:ascii="Arial" w:eastAsia="Calibri" w:hAnsi="Arial" w:cs="Arial"/>
          <w:i/>
          <w:iCs/>
          <w:color w:val="2C2C2C"/>
          <w:sz w:val="24"/>
          <w:szCs w:val="24"/>
        </w:rPr>
        <w:t>Project Management: The Managerial Process</w:t>
      </w:r>
      <w:r w:rsidRPr="00331ED7">
        <w:rPr>
          <w:rFonts w:ascii="Arial" w:eastAsia="Calibri" w:hAnsi="Arial" w:cs="Arial"/>
          <w:color w:val="2C2C2C"/>
          <w:sz w:val="24"/>
          <w:szCs w:val="24"/>
        </w:rPr>
        <w:t xml:space="preserve">. 8th </w:t>
      </w:r>
      <w:proofErr w:type="spellStart"/>
      <w:r w:rsidRPr="00331ED7">
        <w:rPr>
          <w:rFonts w:ascii="Arial" w:eastAsia="Calibri" w:hAnsi="Arial" w:cs="Arial"/>
          <w:color w:val="2C2C2C"/>
          <w:sz w:val="24"/>
          <w:szCs w:val="24"/>
        </w:rPr>
        <w:t>edn</w:t>
      </w:r>
      <w:proofErr w:type="spellEnd"/>
      <w:r w:rsidRPr="00331ED7">
        <w:rPr>
          <w:rFonts w:ascii="Arial" w:eastAsia="Calibri" w:hAnsi="Arial" w:cs="Arial"/>
          <w:color w:val="2C2C2C"/>
          <w:sz w:val="24"/>
          <w:szCs w:val="24"/>
        </w:rPr>
        <w:t>. New York: McGraw-Hill Education.</w:t>
      </w:r>
    </w:p>
    <w:p w14:paraId="223B0120"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Mendelow, A.L. (1991) 'Stakeholder mapping', </w:t>
      </w:r>
      <w:r w:rsidRPr="00331ED7">
        <w:rPr>
          <w:rFonts w:ascii="Arial" w:eastAsia="Calibri" w:hAnsi="Arial" w:cs="Arial"/>
          <w:i/>
          <w:iCs/>
          <w:color w:val="2C2C2C"/>
          <w:sz w:val="24"/>
          <w:szCs w:val="24"/>
        </w:rPr>
        <w:t>Proceedings of the 2nd International Conference on Information Systems</w:t>
      </w:r>
      <w:r w:rsidRPr="00331ED7">
        <w:rPr>
          <w:rFonts w:ascii="Arial" w:eastAsia="Calibri" w:hAnsi="Arial" w:cs="Arial"/>
          <w:color w:val="2C2C2C"/>
          <w:sz w:val="24"/>
          <w:szCs w:val="24"/>
        </w:rPr>
        <w:t>, Cambridge, MA.</w:t>
      </w:r>
    </w:p>
    <w:p w14:paraId="4CA6F98C"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Meredith, J.R., Mantel, S.J. and Shafer, S.M. (2017) </w:t>
      </w:r>
      <w:r w:rsidRPr="00331ED7">
        <w:rPr>
          <w:rFonts w:ascii="Arial" w:eastAsia="Calibri" w:hAnsi="Arial" w:cs="Arial"/>
          <w:i/>
          <w:iCs/>
          <w:color w:val="2C2C2C"/>
          <w:sz w:val="24"/>
          <w:szCs w:val="24"/>
        </w:rPr>
        <w:t>Project Management: A Managerial Approach</w:t>
      </w:r>
      <w:r w:rsidRPr="00331ED7">
        <w:rPr>
          <w:rFonts w:ascii="Arial" w:eastAsia="Calibri" w:hAnsi="Arial" w:cs="Arial"/>
          <w:color w:val="2C2C2C"/>
          <w:sz w:val="24"/>
          <w:szCs w:val="24"/>
        </w:rPr>
        <w:t xml:space="preserve">. 10th </w:t>
      </w:r>
      <w:proofErr w:type="spellStart"/>
      <w:r w:rsidRPr="00331ED7">
        <w:rPr>
          <w:rFonts w:ascii="Arial" w:eastAsia="Calibri" w:hAnsi="Arial" w:cs="Arial"/>
          <w:color w:val="2C2C2C"/>
          <w:sz w:val="24"/>
          <w:szCs w:val="24"/>
        </w:rPr>
        <w:t>edn</w:t>
      </w:r>
      <w:proofErr w:type="spellEnd"/>
      <w:r w:rsidRPr="00331ED7">
        <w:rPr>
          <w:rFonts w:ascii="Arial" w:eastAsia="Calibri" w:hAnsi="Arial" w:cs="Arial"/>
          <w:color w:val="2C2C2C"/>
          <w:sz w:val="24"/>
          <w:szCs w:val="24"/>
        </w:rPr>
        <w:t>. Hoboken, NJ: John Wiley &amp; Sons.</w:t>
      </w:r>
    </w:p>
    <w:p w14:paraId="3CC0504B"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Office of Rail and Road (2023) </w:t>
      </w:r>
      <w:r w:rsidRPr="00331ED7">
        <w:rPr>
          <w:rFonts w:ascii="Arial" w:eastAsia="Calibri" w:hAnsi="Arial" w:cs="Arial"/>
          <w:i/>
          <w:iCs/>
          <w:color w:val="2C2C2C"/>
          <w:sz w:val="24"/>
          <w:szCs w:val="24"/>
        </w:rPr>
        <w:t>National Rail Infrastructure: Performance and Investment Report</w:t>
      </w:r>
      <w:r w:rsidRPr="00331ED7">
        <w:rPr>
          <w:rFonts w:ascii="Arial" w:eastAsia="Calibri" w:hAnsi="Arial" w:cs="Arial"/>
          <w:color w:val="2C2C2C"/>
          <w:sz w:val="24"/>
          <w:szCs w:val="24"/>
        </w:rPr>
        <w:t>. London: Office of Rail and Road.</w:t>
      </w:r>
    </w:p>
    <w:p w14:paraId="38D51E52"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Project Management Institute (2019) </w:t>
      </w:r>
      <w:r w:rsidRPr="00331ED7">
        <w:rPr>
          <w:rFonts w:ascii="Arial" w:eastAsia="Calibri" w:hAnsi="Arial" w:cs="Arial"/>
          <w:i/>
          <w:iCs/>
          <w:color w:val="2C2C2C"/>
          <w:sz w:val="24"/>
          <w:szCs w:val="24"/>
        </w:rPr>
        <w:t>The Standard for Risk Management in Portfolios, Programs, and Projects</w:t>
      </w:r>
      <w:r w:rsidRPr="00331ED7">
        <w:rPr>
          <w:rFonts w:ascii="Arial" w:eastAsia="Calibri" w:hAnsi="Arial" w:cs="Arial"/>
          <w:color w:val="2C2C2C"/>
          <w:sz w:val="24"/>
          <w:szCs w:val="24"/>
        </w:rPr>
        <w:t>. Newtown Square, PA: Project Management Institute.</w:t>
      </w:r>
    </w:p>
    <w:p w14:paraId="62F8F7CB"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Project Management Institute (2021) </w:t>
      </w:r>
      <w:r w:rsidRPr="00331ED7">
        <w:rPr>
          <w:rFonts w:ascii="Arial" w:eastAsia="Calibri" w:hAnsi="Arial" w:cs="Arial"/>
          <w:i/>
          <w:iCs/>
          <w:color w:val="2C2C2C"/>
          <w:sz w:val="24"/>
          <w:szCs w:val="24"/>
        </w:rPr>
        <w:t>A Guide to the Project Management Body of Knowledge (PMBOK® Guide)</w:t>
      </w:r>
      <w:r w:rsidRPr="00331ED7">
        <w:rPr>
          <w:rFonts w:ascii="Arial" w:eastAsia="Calibri" w:hAnsi="Arial" w:cs="Arial"/>
          <w:color w:val="2C2C2C"/>
          <w:sz w:val="24"/>
          <w:szCs w:val="24"/>
        </w:rPr>
        <w:t xml:space="preserve">. 7th </w:t>
      </w:r>
      <w:proofErr w:type="spellStart"/>
      <w:r w:rsidRPr="00331ED7">
        <w:rPr>
          <w:rFonts w:ascii="Arial" w:eastAsia="Calibri" w:hAnsi="Arial" w:cs="Arial"/>
          <w:color w:val="2C2C2C"/>
          <w:sz w:val="24"/>
          <w:szCs w:val="24"/>
        </w:rPr>
        <w:t>edn</w:t>
      </w:r>
      <w:proofErr w:type="spellEnd"/>
      <w:r w:rsidRPr="00331ED7">
        <w:rPr>
          <w:rFonts w:ascii="Arial" w:eastAsia="Calibri" w:hAnsi="Arial" w:cs="Arial"/>
          <w:color w:val="2C2C2C"/>
          <w:sz w:val="24"/>
          <w:szCs w:val="24"/>
        </w:rPr>
        <w:t>. Newtown Square, PA: Project Management Institute.</w:t>
      </w:r>
    </w:p>
    <w:p w14:paraId="044715F2"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Turner, J.R. (2014) </w:t>
      </w:r>
      <w:r w:rsidRPr="00331ED7">
        <w:rPr>
          <w:rFonts w:ascii="Arial" w:eastAsia="Calibri" w:hAnsi="Arial" w:cs="Arial"/>
          <w:i/>
          <w:iCs/>
          <w:color w:val="2C2C2C"/>
          <w:sz w:val="24"/>
          <w:szCs w:val="24"/>
        </w:rPr>
        <w:t>The Handbook of Project-Based Management</w:t>
      </w:r>
      <w:r w:rsidRPr="00331ED7">
        <w:rPr>
          <w:rFonts w:ascii="Arial" w:eastAsia="Calibri" w:hAnsi="Arial" w:cs="Arial"/>
          <w:color w:val="2C2C2C"/>
          <w:sz w:val="24"/>
          <w:szCs w:val="24"/>
        </w:rPr>
        <w:t xml:space="preserve">. 4th </w:t>
      </w:r>
      <w:proofErr w:type="spellStart"/>
      <w:r w:rsidRPr="00331ED7">
        <w:rPr>
          <w:rFonts w:ascii="Arial" w:eastAsia="Calibri" w:hAnsi="Arial" w:cs="Arial"/>
          <w:color w:val="2C2C2C"/>
          <w:sz w:val="24"/>
          <w:szCs w:val="24"/>
        </w:rPr>
        <w:t>edn</w:t>
      </w:r>
      <w:proofErr w:type="spellEnd"/>
      <w:r w:rsidRPr="00331ED7">
        <w:rPr>
          <w:rFonts w:ascii="Arial" w:eastAsia="Calibri" w:hAnsi="Arial" w:cs="Arial"/>
          <w:color w:val="2C2C2C"/>
          <w:sz w:val="24"/>
          <w:szCs w:val="24"/>
        </w:rPr>
        <w:t>. New York: McGraw-Hill Education.</w:t>
      </w:r>
    </w:p>
    <w:p w14:paraId="3621874F" w14:textId="77777777" w:rsidR="00331ED7" w:rsidRPr="00331ED7" w:rsidRDefault="00331ED7" w:rsidP="00331ED7">
      <w:pPr>
        <w:spacing w:after="180"/>
        <w:rPr>
          <w:rFonts w:ascii="Arial" w:eastAsia="Calibri" w:hAnsi="Arial" w:cs="Arial"/>
          <w:color w:val="2C2C2C"/>
          <w:sz w:val="24"/>
          <w:szCs w:val="24"/>
        </w:rPr>
      </w:pPr>
      <w:r w:rsidRPr="00331ED7">
        <w:rPr>
          <w:rFonts w:ascii="Arial" w:eastAsia="Calibri" w:hAnsi="Arial" w:cs="Arial"/>
          <w:color w:val="2C2C2C"/>
          <w:sz w:val="24"/>
          <w:szCs w:val="24"/>
        </w:rPr>
        <w:t xml:space="preserve">Winch, G.M. (2010) </w:t>
      </w:r>
      <w:r w:rsidRPr="00331ED7">
        <w:rPr>
          <w:rFonts w:ascii="Arial" w:eastAsia="Calibri" w:hAnsi="Arial" w:cs="Arial"/>
          <w:i/>
          <w:iCs/>
          <w:color w:val="2C2C2C"/>
          <w:sz w:val="24"/>
          <w:szCs w:val="24"/>
        </w:rPr>
        <w:t>Managing Construction Projects</w:t>
      </w:r>
      <w:r w:rsidRPr="00331ED7">
        <w:rPr>
          <w:rFonts w:ascii="Arial" w:eastAsia="Calibri" w:hAnsi="Arial" w:cs="Arial"/>
          <w:color w:val="2C2C2C"/>
          <w:sz w:val="24"/>
          <w:szCs w:val="24"/>
        </w:rPr>
        <w:t xml:space="preserve">. 2nd </w:t>
      </w:r>
      <w:proofErr w:type="spellStart"/>
      <w:r w:rsidRPr="00331ED7">
        <w:rPr>
          <w:rFonts w:ascii="Arial" w:eastAsia="Calibri" w:hAnsi="Arial" w:cs="Arial"/>
          <w:color w:val="2C2C2C"/>
          <w:sz w:val="24"/>
          <w:szCs w:val="24"/>
        </w:rPr>
        <w:t>edn</w:t>
      </w:r>
      <w:proofErr w:type="spellEnd"/>
      <w:r w:rsidRPr="00331ED7">
        <w:rPr>
          <w:rFonts w:ascii="Arial" w:eastAsia="Calibri" w:hAnsi="Arial" w:cs="Arial"/>
          <w:color w:val="2C2C2C"/>
          <w:sz w:val="24"/>
          <w:szCs w:val="24"/>
        </w:rPr>
        <w:t>. Chichester: Wiley-Blackwell.</w:t>
      </w:r>
    </w:p>
    <w:p w14:paraId="412794D7" w14:textId="77777777" w:rsidR="00331ED7" w:rsidRPr="00331ED7" w:rsidRDefault="00331ED7" w:rsidP="00331ED7">
      <w:pPr>
        <w:spacing w:after="180"/>
        <w:rPr>
          <w:rFonts w:ascii="Arial" w:hAnsi="Arial" w:cs="Arial"/>
          <w:sz w:val="24"/>
          <w:szCs w:val="24"/>
        </w:rPr>
      </w:pPr>
    </w:p>
    <w:p w14:paraId="2165A595" w14:textId="77777777" w:rsidR="00331ED7" w:rsidRPr="00331ED7" w:rsidRDefault="00331ED7" w:rsidP="00331ED7">
      <w:pPr>
        <w:spacing w:after="180"/>
      </w:pPr>
    </w:p>
    <w:p w14:paraId="01BAB11C" w14:textId="77777777" w:rsidR="002C6BF4" w:rsidRPr="002C6BF4" w:rsidRDefault="002C6BF4" w:rsidP="002C6BF4">
      <w:pPr>
        <w:pStyle w:val="NormalWeb"/>
        <w:rPr>
          <w:rFonts w:ascii="Arial" w:hAnsi="Arial" w:cs="Arial"/>
          <w:b/>
          <w:bCs/>
          <w:sz w:val="28"/>
          <w:szCs w:val="28"/>
        </w:rPr>
      </w:pPr>
    </w:p>
    <w:p w14:paraId="42D69A5A" w14:textId="77777777" w:rsidR="002C6BF4" w:rsidRPr="002C6BF4" w:rsidRDefault="002C6BF4" w:rsidP="002C6BF4">
      <w:pPr>
        <w:pStyle w:val="NormalWeb"/>
        <w:rPr>
          <w:rFonts w:ascii="Arial" w:hAnsi="Arial" w:cs="Arial"/>
          <w:b/>
          <w:bCs/>
          <w:sz w:val="28"/>
          <w:szCs w:val="28"/>
        </w:rPr>
      </w:pPr>
    </w:p>
    <w:p w14:paraId="491B4989" w14:textId="77777777" w:rsidR="002C6BF4" w:rsidRPr="002C6BF4" w:rsidRDefault="002C6BF4" w:rsidP="002C6BF4">
      <w:pPr>
        <w:pStyle w:val="NormalWeb"/>
        <w:rPr>
          <w:rFonts w:ascii="Arial" w:hAnsi="Arial" w:cs="Arial"/>
          <w:b/>
          <w:bCs/>
          <w:sz w:val="28"/>
          <w:szCs w:val="28"/>
        </w:rPr>
      </w:pPr>
    </w:p>
    <w:p w14:paraId="14772DE1" w14:textId="77777777" w:rsidR="000C30F6" w:rsidRPr="000C30F6" w:rsidRDefault="000C30F6" w:rsidP="000C30F6">
      <w:pPr>
        <w:pStyle w:val="NormalWeb"/>
        <w:ind w:left="360"/>
        <w:rPr>
          <w:rFonts w:ascii="Arial" w:hAnsi="Arial" w:cs="Arial"/>
          <w:b/>
          <w:bCs/>
          <w:sz w:val="28"/>
          <w:szCs w:val="28"/>
        </w:rPr>
      </w:pPr>
    </w:p>
    <w:p w14:paraId="5D761755" w14:textId="77777777" w:rsidR="000C30F6" w:rsidRPr="000C30F6" w:rsidRDefault="000C30F6" w:rsidP="000C30F6">
      <w:pPr>
        <w:spacing w:after="140" w:line="360" w:lineRule="auto"/>
        <w:jc w:val="both"/>
        <w:rPr>
          <w:rFonts w:ascii="Arial" w:hAnsi="Arial" w:cs="Arial"/>
          <w:sz w:val="24"/>
          <w:szCs w:val="24"/>
        </w:rPr>
      </w:pPr>
    </w:p>
    <w:p w14:paraId="00CBFB75" w14:textId="77777777" w:rsidR="000C30F6" w:rsidRPr="000C30F6" w:rsidRDefault="000C30F6" w:rsidP="000C30F6">
      <w:pPr>
        <w:pStyle w:val="NormalWeb"/>
        <w:rPr>
          <w:rFonts w:ascii="Arial" w:hAnsi="Arial" w:cs="Arial"/>
        </w:rPr>
      </w:pPr>
    </w:p>
    <w:p w14:paraId="7FA62389" w14:textId="77777777" w:rsidR="000C30F6" w:rsidRPr="009E6C71" w:rsidRDefault="000C30F6" w:rsidP="000C30F6">
      <w:pPr>
        <w:pStyle w:val="NormalWeb"/>
        <w:rPr>
          <w:rFonts w:ascii="Arial" w:hAnsi="Arial" w:cs="Arial"/>
        </w:rPr>
      </w:pPr>
    </w:p>
    <w:p w14:paraId="6E2A491F" w14:textId="77777777" w:rsidR="009E6C71" w:rsidRDefault="009E6C71"/>
    <w:sectPr w:rsidR="009E6C71" w:rsidSect="0074322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05AB0"/>
    <w:multiLevelType w:val="hybridMultilevel"/>
    <w:tmpl w:val="E5D6E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FF3C13"/>
    <w:multiLevelType w:val="multilevel"/>
    <w:tmpl w:val="E8C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353A3A"/>
    <w:multiLevelType w:val="hybridMultilevel"/>
    <w:tmpl w:val="E5D6E1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1FB2117"/>
    <w:multiLevelType w:val="hybridMultilevel"/>
    <w:tmpl w:val="59EE6326"/>
    <w:lvl w:ilvl="0" w:tplc="2E76AF56">
      <w:start w:val="1"/>
      <w:numFmt w:val="bullet"/>
      <w:lvlText w:val="●"/>
      <w:lvlJc w:val="left"/>
      <w:pPr>
        <w:ind w:left="720" w:hanging="360"/>
      </w:pPr>
    </w:lvl>
    <w:lvl w:ilvl="1" w:tplc="004CBAA8">
      <w:start w:val="1"/>
      <w:numFmt w:val="bullet"/>
      <w:lvlText w:val="○"/>
      <w:lvlJc w:val="left"/>
      <w:pPr>
        <w:ind w:left="1440" w:hanging="360"/>
      </w:pPr>
    </w:lvl>
    <w:lvl w:ilvl="2" w:tplc="34808536">
      <w:start w:val="1"/>
      <w:numFmt w:val="bullet"/>
      <w:lvlText w:val="■"/>
      <w:lvlJc w:val="left"/>
      <w:pPr>
        <w:ind w:left="2160" w:hanging="360"/>
      </w:pPr>
    </w:lvl>
    <w:lvl w:ilvl="3" w:tplc="EC02B02C">
      <w:start w:val="1"/>
      <w:numFmt w:val="bullet"/>
      <w:lvlText w:val="●"/>
      <w:lvlJc w:val="left"/>
      <w:pPr>
        <w:ind w:left="2880" w:hanging="360"/>
      </w:pPr>
    </w:lvl>
    <w:lvl w:ilvl="4" w:tplc="FACCF118">
      <w:start w:val="1"/>
      <w:numFmt w:val="bullet"/>
      <w:lvlText w:val="○"/>
      <w:lvlJc w:val="left"/>
      <w:pPr>
        <w:ind w:left="3600" w:hanging="360"/>
      </w:pPr>
    </w:lvl>
    <w:lvl w:ilvl="5" w:tplc="CAF4978E">
      <w:start w:val="1"/>
      <w:numFmt w:val="bullet"/>
      <w:lvlText w:val="■"/>
      <w:lvlJc w:val="left"/>
      <w:pPr>
        <w:ind w:left="4320" w:hanging="360"/>
      </w:pPr>
    </w:lvl>
    <w:lvl w:ilvl="6" w:tplc="98E4F138">
      <w:start w:val="1"/>
      <w:numFmt w:val="bullet"/>
      <w:lvlText w:val="●"/>
      <w:lvlJc w:val="left"/>
      <w:pPr>
        <w:ind w:left="5040" w:hanging="360"/>
      </w:pPr>
    </w:lvl>
    <w:lvl w:ilvl="7" w:tplc="9C3880F8">
      <w:start w:val="1"/>
      <w:numFmt w:val="bullet"/>
      <w:lvlText w:val="●"/>
      <w:lvlJc w:val="left"/>
      <w:pPr>
        <w:ind w:left="5760" w:hanging="360"/>
      </w:pPr>
    </w:lvl>
    <w:lvl w:ilvl="8" w:tplc="17603C22">
      <w:start w:val="1"/>
      <w:numFmt w:val="bullet"/>
      <w:lvlText w:val="●"/>
      <w:lvlJc w:val="left"/>
      <w:pPr>
        <w:ind w:left="6480" w:hanging="360"/>
      </w:pPr>
    </w:lvl>
  </w:abstractNum>
  <w:abstractNum w:abstractNumId="4" w15:restartNumberingAfterBreak="0">
    <w:nsid w:val="666C1383"/>
    <w:multiLevelType w:val="hybridMultilevel"/>
    <w:tmpl w:val="956E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A6D04"/>
    <w:multiLevelType w:val="hybridMultilevel"/>
    <w:tmpl w:val="08723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7678988">
    <w:abstractNumId w:val="4"/>
  </w:num>
  <w:num w:numId="2" w16cid:durableId="325286909">
    <w:abstractNumId w:val="5"/>
  </w:num>
  <w:num w:numId="3" w16cid:durableId="422840457">
    <w:abstractNumId w:val="3"/>
    <w:lvlOverride w:ilvl="0">
      <w:startOverride w:val="1"/>
    </w:lvlOverride>
  </w:num>
  <w:num w:numId="4" w16cid:durableId="150682894">
    <w:abstractNumId w:val="0"/>
  </w:num>
  <w:num w:numId="5" w16cid:durableId="335545037">
    <w:abstractNumId w:val="2"/>
  </w:num>
  <w:num w:numId="6" w16cid:durableId="181051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222"/>
    <w:rsid w:val="000C30F6"/>
    <w:rsid w:val="00231D0C"/>
    <w:rsid w:val="002C6BF4"/>
    <w:rsid w:val="0032270D"/>
    <w:rsid w:val="00331ED7"/>
    <w:rsid w:val="00446CFE"/>
    <w:rsid w:val="004B6DA5"/>
    <w:rsid w:val="00743222"/>
    <w:rsid w:val="00795005"/>
    <w:rsid w:val="008754CC"/>
    <w:rsid w:val="009E6C71"/>
    <w:rsid w:val="009F5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1DC11"/>
  <w15:chartTrackingRefBased/>
  <w15:docId w15:val="{D117FD7E-8A0B-434B-AEBF-8460E2F9A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22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4322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4322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4322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74322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74322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743222"/>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743222"/>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743222"/>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743222"/>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2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32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32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32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32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32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32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32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3222"/>
    <w:rPr>
      <w:rFonts w:eastAsiaTheme="majorEastAsia" w:cstheme="majorBidi"/>
      <w:color w:val="272727" w:themeColor="text1" w:themeTint="D8"/>
    </w:rPr>
  </w:style>
  <w:style w:type="paragraph" w:styleId="Title">
    <w:name w:val="Title"/>
    <w:basedOn w:val="Normal"/>
    <w:next w:val="Normal"/>
    <w:link w:val="TitleChar"/>
    <w:uiPriority w:val="10"/>
    <w:qFormat/>
    <w:rsid w:val="0074322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432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322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432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222"/>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743222"/>
    <w:rPr>
      <w:i/>
      <w:iCs/>
      <w:color w:val="404040" w:themeColor="text1" w:themeTint="BF"/>
    </w:rPr>
  </w:style>
  <w:style w:type="paragraph" w:styleId="ListParagraph">
    <w:name w:val="List Paragraph"/>
    <w:basedOn w:val="Normal"/>
    <w:qFormat/>
    <w:rsid w:val="00743222"/>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743222"/>
    <w:rPr>
      <w:i/>
      <w:iCs/>
      <w:color w:val="0F4761" w:themeColor="accent1" w:themeShade="BF"/>
    </w:rPr>
  </w:style>
  <w:style w:type="paragraph" w:styleId="IntenseQuote">
    <w:name w:val="Intense Quote"/>
    <w:basedOn w:val="Normal"/>
    <w:next w:val="Normal"/>
    <w:link w:val="IntenseQuoteChar"/>
    <w:uiPriority w:val="30"/>
    <w:qFormat/>
    <w:rsid w:val="0074322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743222"/>
    <w:rPr>
      <w:i/>
      <w:iCs/>
      <w:color w:val="0F4761" w:themeColor="accent1" w:themeShade="BF"/>
    </w:rPr>
  </w:style>
  <w:style w:type="character" w:styleId="IntenseReference">
    <w:name w:val="Intense Reference"/>
    <w:basedOn w:val="DefaultParagraphFont"/>
    <w:uiPriority w:val="32"/>
    <w:qFormat/>
    <w:rsid w:val="00743222"/>
    <w:rPr>
      <w:b/>
      <w:bCs/>
      <w:smallCaps/>
      <w:color w:val="0F4761" w:themeColor="accent1" w:themeShade="BF"/>
      <w:spacing w:val="5"/>
    </w:rPr>
  </w:style>
  <w:style w:type="paragraph" w:styleId="NormalWeb">
    <w:name w:val="Normal (Web)"/>
    <w:basedOn w:val="Normal"/>
    <w:uiPriority w:val="99"/>
    <w:unhideWhenUsed/>
    <w:rsid w:val="009E6C7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2140</Words>
  <Characters>12203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Tiberiu-Cristian Anghel (2422970)</dc:creator>
  <cp:keywords/>
  <dc:description/>
  <cp:lastModifiedBy>Tiberiu-Cristian Anghel (2422970)</cp:lastModifiedBy>
  <cp:revision>6</cp:revision>
  <dcterms:created xsi:type="dcterms:W3CDTF">2026-07-27T09:31:00Z</dcterms:created>
  <dcterms:modified xsi:type="dcterms:W3CDTF">2026-07-27T10:38:00Z</dcterms:modified>
</cp:coreProperties>
</file>