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CA865" w14:textId="77777777" w:rsidR="004E2492" w:rsidRPr="00AB11EC" w:rsidRDefault="004E2492" w:rsidP="00FE06DC">
      <w:pPr>
        <w:spacing w:line="360" w:lineRule="auto"/>
        <w:rPr>
          <w:b/>
          <w:bCs/>
          <w:u w:val="single"/>
        </w:rPr>
      </w:pPr>
      <w:r w:rsidRPr="00AB11EC">
        <w:rPr>
          <w:b/>
          <w:bCs/>
          <w:u w:val="single"/>
        </w:rPr>
        <w:t>How does Tolkien process his experience of the National Socialist </w:t>
      </w:r>
      <w:r w:rsidRPr="00AB11EC">
        <w:rPr>
          <w:b/>
          <w:bCs/>
          <w:i/>
          <w:iCs/>
          <w:u w:val="single"/>
        </w:rPr>
        <w:t>Weltanschauung</w:t>
      </w:r>
      <w:r w:rsidRPr="00AB11EC">
        <w:rPr>
          <w:b/>
          <w:bCs/>
          <w:u w:val="single"/>
        </w:rPr>
        <w:t> in </w:t>
      </w:r>
      <w:r w:rsidRPr="00AB11EC">
        <w:rPr>
          <w:b/>
          <w:bCs/>
          <w:i/>
          <w:iCs/>
          <w:u w:val="single"/>
        </w:rPr>
        <w:t>The Lord of the Rings</w:t>
      </w:r>
      <w:r w:rsidRPr="00AB11EC">
        <w:rPr>
          <w:b/>
          <w:bCs/>
          <w:u w:val="single"/>
        </w:rPr>
        <w:t>?</w:t>
      </w:r>
    </w:p>
    <w:p w14:paraId="06D83650" w14:textId="64802297" w:rsidR="004E2492" w:rsidRPr="004E2492" w:rsidRDefault="00FE06DC" w:rsidP="00FE06DC">
      <w:pPr>
        <w:spacing w:line="360" w:lineRule="auto"/>
      </w:pPr>
      <w:r>
        <w:rPr>
          <w:u w:val="single"/>
        </w:rPr>
        <w:t>Introduction</w:t>
      </w:r>
    </w:p>
    <w:p w14:paraId="166438F3" w14:textId="2C3EF8B6" w:rsidR="00E24C30" w:rsidRDefault="00D0789C" w:rsidP="00FE06DC">
      <w:pPr>
        <w:spacing w:line="360" w:lineRule="auto"/>
      </w:pPr>
      <w:r>
        <w:t>Prominent literary scholar</w:t>
      </w:r>
      <w:r w:rsidR="00267BBD">
        <w:t xml:space="preserve"> Roland Barthes wrote in his</w:t>
      </w:r>
      <w:r>
        <w:t xml:space="preserve"> seminal</w:t>
      </w:r>
      <w:r w:rsidR="004E4343">
        <w:t xml:space="preserve"> work </w:t>
      </w:r>
      <w:r w:rsidR="004E4343">
        <w:rPr>
          <w:i/>
          <w:iCs/>
        </w:rPr>
        <w:t>The Death of the Author</w:t>
      </w:r>
      <w:r w:rsidR="004E4343">
        <w:t xml:space="preserve">, </w:t>
      </w:r>
      <w:r w:rsidR="0092330B">
        <w:t>‘to give a text an Author is to impose a limit on that text… to close the writing’</w:t>
      </w:r>
      <w:r w:rsidR="0092330B">
        <w:rPr>
          <w:rStyle w:val="FootnoteReference"/>
        </w:rPr>
        <w:footnoteReference w:id="1"/>
      </w:r>
      <w:r w:rsidR="0092330B">
        <w:t xml:space="preserve">. His view, shared by many in academia, is that </w:t>
      </w:r>
      <w:r w:rsidR="004E4343">
        <w:t>‘</w:t>
      </w:r>
      <w:r w:rsidR="0092330B">
        <w:t xml:space="preserve">[literary] </w:t>
      </w:r>
      <w:r w:rsidR="004E4343">
        <w:t>criticism still consists for the most part in saying that Baudelaire’s work is the failure of Baudelaire the man, Van Gogh his madness, Tchaikovsky’s his vice’</w:t>
      </w:r>
      <w:r w:rsidR="004E4343">
        <w:rPr>
          <w:rStyle w:val="FootnoteReference"/>
        </w:rPr>
        <w:footnoteReference w:id="2"/>
      </w:r>
      <w:r w:rsidR="004E4343">
        <w:t xml:space="preserve">. </w:t>
      </w:r>
      <w:r w:rsidR="00810EDA">
        <w:t>Key to Barthes’ challenge is that the author is still central to the work, but that their intention cannot be considered of the highest importance</w:t>
      </w:r>
      <w:r w:rsidR="00EF69B2">
        <w:t xml:space="preserve">- instead the focus is on the audience and the value of their interpretation of any work. </w:t>
      </w:r>
      <w:r w:rsidR="004E4343">
        <w:t xml:space="preserve">Barthes’ lasting impact on </w:t>
      </w:r>
      <w:r w:rsidR="00D80B75">
        <w:t xml:space="preserve">his field of work </w:t>
      </w:r>
      <w:r w:rsidR="004E4343">
        <w:t xml:space="preserve">cannot be denied, and his </w:t>
      </w:r>
      <w:r w:rsidR="003252E2">
        <w:t xml:space="preserve">essay on the subject </w:t>
      </w:r>
      <w:r>
        <w:t xml:space="preserve">is a continued influence on modern </w:t>
      </w:r>
      <w:r w:rsidR="00822977">
        <w:t>scholars</w:t>
      </w:r>
      <w:r w:rsidR="0092330B">
        <w:t xml:space="preserve">. </w:t>
      </w:r>
      <w:r w:rsidR="00E24C30">
        <w:t xml:space="preserve">Many Western literary critics, especially in </w:t>
      </w:r>
      <w:r w:rsidR="002B2149">
        <w:t xml:space="preserve">the field </w:t>
      </w:r>
      <w:r w:rsidR="00FB3C56">
        <w:t xml:space="preserve">of </w:t>
      </w:r>
      <w:r w:rsidR="00E24C30">
        <w:t>fandom studies, would seek to divorce authorial intent from the text and instead focus on the</w:t>
      </w:r>
      <w:r w:rsidR="002B2149">
        <w:t xml:space="preserve"> audience’s understanding of a text to ascertain its impact</w:t>
      </w:r>
      <w:r w:rsidR="00FB3C56">
        <w:t xml:space="preserve"> and derive meaning. </w:t>
      </w:r>
    </w:p>
    <w:p w14:paraId="197F3A73" w14:textId="3E57C6B4" w:rsidR="00BE5081" w:rsidRDefault="0092330B" w:rsidP="00FE06DC">
      <w:pPr>
        <w:spacing w:line="360" w:lineRule="auto"/>
      </w:pPr>
      <w:r>
        <w:t>However, from a historiographical perspective, separation between text and author is all but impossible</w:t>
      </w:r>
      <w:r w:rsidR="006F376D">
        <w:t xml:space="preserve">. </w:t>
      </w:r>
      <w:r w:rsidR="00E04F2E">
        <w:t>As Carl Becker writes</w:t>
      </w:r>
      <w:r w:rsidR="00DD376E">
        <w:t>, the goal ‘is to assess, in terms of modern standards</w:t>
      </w:r>
      <w:r w:rsidR="000702A0">
        <w:t>, the value of historical works for us’</w:t>
      </w:r>
      <w:r w:rsidR="000702A0">
        <w:rPr>
          <w:rStyle w:val="FootnoteReference"/>
        </w:rPr>
        <w:footnoteReference w:id="3"/>
      </w:r>
      <w:r w:rsidR="001D0FDA">
        <w:t xml:space="preserve">. </w:t>
      </w:r>
      <w:r w:rsidR="00962910">
        <w:t xml:space="preserve">All choices made by an author are an excellent source of cultural information </w:t>
      </w:r>
      <w:r w:rsidR="009A3913">
        <w:t>for historical research</w:t>
      </w:r>
      <w:r w:rsidR="001D1D5A">
        <w:t xml:space="preserve"> and provide scholars with </w:t>
      </w:r>
      <w:r w:rsidR="00667812">
        <w:t xml:space="preserve">the ability to read ‘between the lines’ and locate contextual clues in any piece of work to </w:t>
      </w:r>
      <w:r w:rsidR="00A15B70">
        <w:t xml:space="preserve">furnish an understanding of what a particular culture or historical period may have been like. </w:t>
      </w:r>
    </w:p>
    <w:p w14:paraId="1EFED053" w14:textId="0D5F8669" w:rsidR="00532B50" w:rsidRDefault="00A15B70" w:rsidP="00FE06DC">
      <w:pPr>
        <w:spacing w:line="360" w:lineRule="auto"/>
      </w:pPr>
      <w:r>
        <w:t xml:space="preserve">There are few authors as well studied from both a literary and historiographical context than </w:t>
      </w:r>
      <w:r w:rsidR="009A3913">
        <w:t>J. R. R. Tolkien</w:t>
      </w:r>
      <w:r>
        <w:t xml:space="preserve">. His </w:t>
      </w:r>
      <w:r w:rsidR="00CA4EDC">
        <w:t>famous works</w:t>
      </w:r>
      <w:r>
        <w:t xml:space="preserve"> of </w:t>
      </w:r>
      <w:r>
        <w:rPr>
          <w:i/>
          <w:iCs/>
        </w:rPr>
        <w:t>The Hobbit</w:t>
      </w:r>
      <w:r>
        <w:t xml:space="preserve">, </w:t>
      </w:r>
      <w:r>
        <w:rPr>
          <w:i/>
          <w:iCs/>
        </w:rPr>
        <w:t xml:space="preserve">The Lord of the Rings </w:t>
      </w:r>
      <w:r>
        <w:t xml:space="preserve">and </w:t>
      </w:r>
      <w:r>
        <w:rPr>
          <w:i/>
          <w:iCs/>
        </w:rPr>
        <w:t xml:space="preserve">The Silmarillion </w:t>
      </w:r>
      <w:r>
        <w:t xml:space="preserve">as well as his countless letters and other maps and notes have been extensively referenced and counter-referenced </w:t>
      </w:r>
      <w:r w:rsidR="00F60C27">
        <w:t>in studies</w:t>
      </w:r>
      <w:r w:rsidR="008B0DED">
        <w:t xml:space="preserve"> and t</w:t>
      </w:r>
      <w:r w:rsidR="0040545B">
        <w:t xml:space="preserve">he numerous </w:t>
      </w:r>
      <w:r w:rsidR="0013425E">
        <w:t>journals, conferences and other literature produced in the study of his work is testament to his enduring popularity to readers.</w:t>
      </w:r>
      <w:r w:rsidR="00AD74E0">
        <w:t xml:space="preserve"> His background in language and linguistics as a historian and professor is often included </w:t>
      </w:r>
      <w:r w:rsidR="008B0DED">
        <w:t>as a topic of stu</w:t>
      </w:r>
      <w:r w:rsidR="00607E4C">
        <w:t xml:space="preserve">dy </w:t>
      </w:r>
      <w:r w:rsidR="00AD74E0">
        <w:t>and much has been discussed of the inspiration behind the languages he invented</w:t>
      </w:r>
      <w:r w:rsidR="00607E4C">
        <w:t xml:space="preserve"> (</w:t>
      </w:r>
      <w:r w:rsidR="00991A3B">
        <w:t xml:space="preserve">for example </w:t>
      </w:r>
      <w:proofErr w:type="spellStart"/>
      <w:r w:rsidR="00991A3B">
        <w:t>Quenya</w:t>
      </w:r>
      <w:proofErr w:type="spellEnd"/>
      <w:r w:rsidR="00991A3B">
        <w:t xml:space="preserve"> and Sindari</w:t>
      </w:r>
      <w:r w:rsidR="001D1322">
        <w:t>n)</w:t>
      </w:r>
      <w:r w:rsidR="00607E4C">
        <w:t xml:space="preserve"> </w:t>
      </w:r>
      <w:r w:rsidR="00AD74E0">
        <w:t xml:space="preserve">and the framing he used </w:t>
      </w:r>
      <w:r w:rsidR="008B0DED">
        <w:t>while writing</w:t>
      </w:r>
      <w:r w:rsidR="00AD74E0">
        <w:t xml:space="preserve"> </w:t>
      </w:r>
      <w:r w:rsidR="00951F32">
        <w:rPr>
          <w:i/>
          <w:iCs/>
        </w:rPr>
        <w:t>The Hobbit</w:t>
      </w:r>
      <w:r w:rsidR="00951F32">
        <w:t xml:space="preserve"> and </w:t>
      </w:r>
      <w:r w:rsidR="00951F32">
        <w:rPr>
          <w:i/>
          <w:iCs/>
        </w:rPr>
        <w:t>The Lord of the Rings</w:t>
      </w:r>
      <w:r w:rsidR="00951F32">
        <w:t>. Th</w:t>
      </w:r>
      <w:r w:rsidR="00607E4C">
        <w:t xml:space="preserve">e inspiration Tolkien drew </w:t>
      </w:r>
      <w:r w:rsidR="00951F32">
        <w:t xml:space="preserve">from </w:t>
      </w:r>
      <w:r w:rsidR="00607E4C">
        <w:t>important</w:t>
      </w:r>
      <w:r w:rsidR="00951F32">
        <w:t xml:space="preserve"> historical artefacts such as the </w:t>
      </w:r>
      <w:r w:rsidR="00951F32">
        <w:rPr>
          <w:i/>
          <w:iCs/>
        </w:rPr>
        <w:t>Red Book of Hergest</w:t>
      </w:r>
      <w:r w:rsidR="00607E4C">
        <w:t xml:space="preserve"> in presenting both </w:t>
      </w:r>
      <w:r w:rsidR="00607E4C">
        <w:rPr>
          <w:i/>
          <w:iCs/>
        </w:rPr>
        <w:t xml:space="preserve">The Hobbit </w:t>
      </w:r>
      <w:r w:rsidR="00607E4C">
        <w:t xml:space="preserve">and </w:t>
      </w:r>
      <w:r w:rsidR="00607E4C">
        <w:rPr>
          <w:i/>
          <w:iCs/>
        </w:rPr>
        <w:t>The Lord of the Rings</w:t>
      </w:r>
      <w:r w:rsidR="00951F32">
        <w:t xml:space="preserve"> </w:t>
      </w:r>
      <w:r w:rsidR="00ED0AEC">
        <w:t xml:space="preserve">as translated works, </w:t>
      </w:r>
      <w:r w:rsidR="00951F32">
        <w:t xml:space="preserve">and </w:t>
      </w:r>
      <w:r w:rsidR="00951F32">
        <w:lastRenderedPageBreak/>
        <w:t xml:space="preserve">inspiration from European folklore and mythology is </w:t>
      </w:r>
      <w:r w:rsidR="00532B50">
        <w:t>well accounted for</w:t>
      </w:r>
      <w:r w:rsidR="00ED0AEC">
        <w:t xml:space="preserve"> amongst scholars since</w:t>
      </w:r>
      <w:r w:rsidR="003E13B3">
        <w:t xml:space="preserve"> each story’s initial</w:t>
      </w:r>
      <w:r w:rsidR="00ED0AEC">
        <w:t xml:space="preserve"> publicatio</w:t>
      </w:r>
      <w:r w:rsidR="00590814">
        <w:t>n. Tolkien is widely regarded as the father of modern</w:t>
      </w:r>
      <w:r w:rsidR="003E13B3">
        <w:t xml:space="preserve"> high fantasy</w:t>
      </w:r>
      <w:r w:rsidR="00590814">
        <w:t xml:space="preserve"> fiction, and for better or worse this has had an enormous impact on his popularity. </w:t>
      </w:r>
    </w:p>
    <w:p w14:paraId="6441E11A" w14:textId="5073A572" w:rsidR="00FD702C" w:rsidRPr="008241E2" w:rsidRDefault="00532B50" w:rsidP="00FE06DC">
      <w:pPr>
        <w:spacing w:line="360" w:lineRule="auto"/>
      </w:pPr>
      <w:r>
        <w:t xml:space="preserve">However, </w:t>
      </w:r>
      <w:r w:rsidR="00590814">
        <w:t xml:space="preserve">despite </w:t>
      </w:r>
      <w:r w:rsidR="00BE14A6">
        <w:t xml:space="preserve">a wealth of work focusing on Tolkien’s legacy, </w:t>
      </w:r>
      <w:r>
        <w:t>it is equally important</w:t>
      </w:r>
      <w:r w:rsidR="0047241B">
        <w:t xml:space="preserve"> to </w:t>
      </w:r>
      <w:r w:rsidR="00707DA0">
        <w:t>consider the contemporary events that Tolkien was</w:t>
      </w:r>
      <w:r w:rsidR="00215A3A">
        <w:t xml:space="preserve"> living through in the years he spent writing </w:t>
      </w:r>
      <w:r w:rsidR="00215A3A">
        <w:rPr>
          <w:i/>
          <w:iCs/>
        </w:rPr>
        <w:t>The Lord of the Rings</w:t>
      </w:r>
      <w:r w:rsidR="00215A3A">
        <w:t xml:space="preserve"> (1937-49)</w:t>
      </w:r>
      <w:r w:rsidR="004A6840">
        <w:t xml:space="preserve"> and the impact this has had on the text</w:t>
      </w:r>
      <w:r w:rsidR="0022463A">
        <w:t xml:space="preserve">. The 1900s in Europe were </w:t>
      </w:r>
      <w:r w:rsidR="00F37C86">
        <w:t xml:space="preserve">wrought with tension and </w:t>
      </w:r>
      <w:r w:rsidR="00AF4674">
        <w:t>marred by conflict</w:t>
      </w:r>
      <w:r w:rsidR="00215A3A">
        <w:t xml:space="preserve"> prior to the</w:t>
      </w:r>
      <w:r w:rsidR="00BE14A6">
        <w:t xml:space="preserve"> Second World War</w:t>
      </w:r>
      <w:r w:rsidR="00C12CA1">
        <w:t xml:space="preserve"> and </w:t>
      </w:r>
      <w:r w:rsidR="00DA4020">
        <w:t xml:space="preserve">it can be argued that this tension and cultural shift to the far right were reflected by Tolkien in his work, particularly through his use of characterisation and </w:t>
      </w:r>
      <w:r w:rsidR="004A6840">
        <w:t>notable</w:t>
      </w:r>
      <w:r w:rsidR="00BE14A6">
        <w:t xml:space="preserve"> events that occur within the text</w:t>
      </w:r>
      <w:r w:rsidR="00522510">
        <w:t>.</w:t>
      </w:r>
      <w:r w:rsidR="00AB626A">
        <w:t xml:space="preserve"> </w:t>
      </w:r>
      <w:r w:rsidR="00AF66B8">
        <w:t xml:space="preserve">While </w:t>
      </w:r>
      <w:r w:rsidR="00BE14A6">
        <w:t>Tolkien</w:t>
      </w:r>
      <w:r w:rsidR="00AF66B8">
        <w:t xml:space="preserve"> stated that this was not the case, and that the text</w:t>
      </w:r>
      <w:r w:rsidR="008241E2">
        <w:t xml:space="preserve"> of </w:t>
      </w:r>
      <w:r w:rsidR="008241E2">
        <w:rPr>
          <w:i/>
          <w:iCs/>
        </w:rPr>
        <w:t>Lord of the Rings</w:t>
      </w:r>
      <w:r w:rsidR="008241E2">
        <w:t xml:space="preserve"> was never intended to be read as allegory for the events of the </w:t>
      </w:r>
      <w:r w:rsidR="004A6840">
        <w:t>T</w:t>
      </w:r>
      <w:r w:rsidR="008241E2">
        <w:t xml:space="preserve">wentieth Century, it can be argued that </w:t>
      </w:r>
      <w:r w:rsidR="009A744B">
        <w:t xml:space="preserve">he </w:t>
      </w:r>
      <w:r w:rsidR="00DF5986">
        <w:t xml:space="preserve">used writing the text to </w:t>
      </w:r>
      <w:r w:rsidR="00FD702C">
        <w:t>process his experiences in this time</w:t>
      </w:r>
      <w:r w:rsidR="002632F4">
        <w:t xml:space="preserve"> unconsciously.</w:t>
      </w:r>
    </w:p>
    <w:p w14:paraId="073D4E92" w14:textId="7B1B2DDB" w:rsidR="00E33744" w:rsidRDefault="00522510" w:rsidP="00FE06DC">
      <w:pPr>
        <w:spacing w:line="360" w:lineRule="auto"/>
      </w:pPr>
      <w:r>
        <w:t xml:space="preserve">This essay’s intention is to </w:t>
      </w:r>
      <w:r w:rsidR="00422C4F">
        <w:t xml:space="preserve">analyse </w:t>
      </w:r>
      <w:r w:rsidR="00422C4F">
        <w:rPr>
          <w:i/>
          <w:iCs/>
        </w:rPr>
        <w:t>The Lord of the Rings</w:t>
      </w:r>
      <w:r w:rsidR="00422C4F">
        <w:t xml:space="preserve"> and to assess how Tolkien used h</w:t>
      </w:r>
      <w:r w:rsidR="00EF69B2">
        <w:t xml:space="preserve">is famous work </w:t>
      </w:r>
      <w:r w:rsidR="00AB626A">
        <w:t xml:space="preserve">as a form of processing his own personal experience of </w:t>
      </w:r>
      <w:r w:rsidR="00AC3AE8">
        <w:t xml:space="preserve">German </w:t>
      </w:r>
      <w:r w:rsidR="0041294E">
        <w:t>National Socialist</w:t>
      </w:r>
      <w:r w:rsidR="00FD702C">
        <w:t xml:space="preserve"> worldview</w:t>
      </w:r>
      <w:r w:rsidR="009C584E">
        <w:t>s</w:t>
      </w:r>
      <w:r w:rsidR="00273EB3">
        <w:t>, and ultimately to conclude to what extent Tolkien was aware of this processing</w:t>
      </w:r>
      <w:r w:rsidR="00EA2F4F">
        <w:t xml:space="preserve"> and historiographical reading of his work in its creation. </w:t>
      </w:r>
      <w:r w:rsidR="009A744B">
        <w:t>There are</w:t>
      </w:r>
      <w:r w:rsidR="009E602C">
        <w:t xml:space="preserve"> many approaches with </w:t>
      </w:r>
      <w:r w:rsidR="009A744B">
        <w:t xml:space="preserve">which it can be argued </w:t>
      </w:r>
      <w:r w:rsidR="009A744B">
        <w:rPr>
          <w:i/>
          <w:iCs/>
        </w:rPr>
        <w:t>The Lord of the Rings</w:t>
      </w:r>
      <w:r w:rsidR="009A744B">
        <w:t xml:space="preserve"> was Tolkien’s way of processing </w:t>
      </w:r>
      <w:r w:rsidR="00DD3E91">
        <w:t xml:space="preserve">contemporary events </w:t>
      </w:r>
      <w:r w:rsidR="007E523E">
        <w:t xml:space="preserve">as he wrote, </w:t>
      </w:r>
      <w:r w:rsidR="009A744B">
        <w:t xml:space="preserve">however </w:t>
      </w:r>
      <w:r w:rsidR="00E6367F">
        <w:t>a more detai</w:t>
      </w:r>
      <w:r w:rsidR="009E602C">
        <w:t>led investigation would</w:t>
      </w:r>
      <w:r w:rsidR="009D2F20">
        <w:t xml:space="preserve"> require a much larger scope than just one essay</w:t>
      </w:r>
      <w:r w:rsidR="00EB4720">
        <w:t xml:space="preserve">. </w:t>
      </w:r>
      <w:r w:rsidR="00C438CE">
        <w:t>This essay</w:t>
      </w:r>
      <w:r w:rsidR="00EB4720">
        <w:t xml:space="preserve"> will consider </w:t>
      </w:r>
      <w:r w:rsidR="009A744B">
        <w:t xml:space="preserve">the way in which </w:t>
      </w:r>
      <w:r w:rsidR="00EB4720">
        <w:rPr>
          <w:i/>
          <w:iCs/>
        </w:rPr>
        <w:t>The Lord of the Rings</w:t>
      </w:r>
      <w:r w:rsidR="009A744B">
        <w:t xml:space="preserve"> develops upon and changes how Dwarves as a race are characterised and contribute to the story</w:t>
      </w:r>
      <w:r w:rsidR="00EB4720">
        <w:t xml:space="preserve"> of Middle Earth following </w:t>
      </w:r>
      <w:r w:rsidR="00EB4720">
        <w:rPr>
          <w:i/>
          <w:iCs/>
        </w:rPr>
        <w:t>The Hobbit</w:t>
      </w:r>
      <w:r w:rsidR="007E523E">
        <w:t xml:space="preserve">, </w:t>
      </w:r>
      <w:r w:rsidR="009A744B">
        <w:t xml:space="preserve">the story’s approach to espionage and the power </w:t>
      </w:r>
      <w:r w:rsidR="00D632F2">
        <w:t>of propaganda,</w:t>
      </w:r>
      <w:r w:rsidR="009A744B">
        <w:t xml:space="preserve"> and finally </w:t>
      </w:r>
      <w:r w:rsidR="009263E8">
        <w:t>this essa</w:t>
      </w:r>
      <w:r w:rsidR="007E523E">
        <w:t>y</w:t>
      </w:r>
      <w:r w:rsidR="009263E8">
        <w:t xml:space="preserve"> will consider</w:t>
      </w:r>
      <w:r w:rsidR="009A744B">
        <w:t xml:space="preserve"> Tolkien’s approach to the outcome of Frodo’s quest and the Hobbits’ eventual return to the Shire</w:t>
      </w:r>
      <w:r w:rsidR="00D12F53">
        <w:t>, as Tolkien moved ‘past’ the War and dealt with the wider impact of th</w:t>
      </w:r>
      <w:r w:rsidR="006C4859">
        <w:t xml:space="preserve">e Nazis. </w:t>
      </w:r>
      <w:r w:rsidR="00DD3E91">
        <w:t xml:space="preserve"> </w:t>
      </w:r>
    </w:p>
    <w:p w14:paraId="65A40382" w14:textId="5DA165F7" w:rsidR="00AF4674" w:rsidRDefault="004E2492" w:rsidP="00FE06DC">
      <w:pPr>
        <w:spacing w:line="360" w:lineRule="auto"/>
        <w:rPr>
          <w:u w:val="single"/>
        </w:rPr>
      </w:pPr>
      <w:r>
        <w:rPr>
          <w:u w:val="single"/>
        </w:rPr>
        <w:t>Historical Context</w:t>
      </w:r>
    </w:p>
    <w:p w14:paraId="312B88A5" w14:textId="1CAEBCFF" w:rsidR="0041294E" w:rsidRDefault="0041294E" w:rsidP="00FE06DC">
      <w:pPr>
        <w:spacing w:line="360" w:lineRule="auto"/>
      </w:pPr>
      <w:r>
        <w:t>The word ‘</w:t>
      </w:r>
      <w:r w:rsidR="00ED5DD5">
        <w:t>Weltanschauung’ literally translates in English to ‘worldview</w:t>
      </w:r>
      <w:r w:rsidR="00B17701">
        <w:t>’ and</w:t>
      </w:r>
      <w:r w:rsidR="00EF667E">
        <w:t xml:space="preserve"> can be interpreted to mean</w:t>
      </w:r>
      <w:r w:rsidR="00B17701">
        <w:t xml:space="preserve"> a particular demographic’s</w:t>
      </w:r>
      <w:r w:rsidR="00EF667E">
        <w:t xml:space="preserve"> ideologies or philosophy. In terms of the National Socialist party in 1930s Germany</w:t>
      </w:r>
      <w:r w:rsidR="002632F4">
        <w:t xml:space="preserve">, this worldview was vital to its survival and ultimate </w:t>
      </w:r>
      <w:r w:rsidR="00136A19">
        <w:t>ascension to power which led to the Second World War.</w:t>
      </w:r>
    </w:p>
    <w:p w14:paraId="07FD2F21" w14:textId="1A35FAA6" w:rsidR="009E5F35" w:rsidRDefault="006B7967" w:rsidP="00FE06DC">
      <w:pPr>
        <w:spacing w:line="360" w:lineRule="auto"/>
      </w:pPr>
      <w:r>
        <w:t>Nazi Germany did not evolve in isolation from Europe, an</w:t>
      </w:r>
      <w:r w:rsidR="00B311BD">
        <w:t xml:space="preserve">d as </w:t>
      </w:r>
      <w:r w:rsidR="00A7660D">
        <w:t>Lutz Raphael</w:t>
      </w:r>
      <w:r w:rsidR="00766AA1">
        <w:t xml:space="preserve"> discusses </w:t>
      </w:r>
      <w:r w:rsidR="005A073A">
        <w:t xml:space="preserve">the prominent social elements of the Weltanschauung </w:t>
      </w:r>
      <w:r w:rsidR="00BA34D0">
        <w:t>were buil</w:t>
      </w:r>
      <w:r w:rsidR="00A7660D">
        <w:t>t</w:t>
      </w:r>
      <w:r w:rsidR="00BA34D0">
        <w:t xml:space="preserve"> upon foundations laid previously – </w:t>
      </w:r>
      <w:r w:rsidR="00BA34D0">
        <w:lastRenderedPageBreak/>
        <w:t>‘Even before 1933 these words</w:t>
      </w:r>
      <w:r w:rsidR="00201AE9">
        <w:t xml:space="preserve"> [the core tenets of National Socialist Weltanschauung]</w:t>
      </w:r>
      <w:r w:rsidR="00BA34D0">
        <w:t xml:space="preserve"> were prominent in political communications </w:t>
      </w:r>
      <w:r w:rsidR="0095372E">
        <w:t>among Germans’</w:t>
      </w:r>
      <w:r w:rsidR="0095372E">
        <w:rPr>
          <w:rStyle w:val="FootnoteReference"/>
        </w:rPr>
        <w:footnoteReference w:id="4"/>
      </w:r>
      <w:r w:rsidR="00201AE9">
        <w:t>.</w:t>
      </w:r>
    </w:p>
    <w:p w14:paraId="390E3E36" w14:textId="3B86C1B7" w:rsidR="00D422DC" w:rsidRDefault="00201AE9" w:rsidP="00FE06DC">
      <w:pPr>
        <w:spacing w:line="360" w:lineRule="auto"/>
      </w:pPr>
      <w:r>
        <w:t>The</w:t>
      </w:r>
      <w:r w:rsidR="000A1203">
        <w:t xml:space="preserve"> devastating des</w:t>
      </w:r>
      <w:r w:rsidR="00B44B19">
        <w:t>tabilisation of the</w:t>
      </w:r>
      <w:r w:rsidR="007A036D">
        <w:t xml:space="preserve"> political systems following the First World War</w:t>
      </w:r>
      <w:r w:rsidR="00F81DBB">
        <w:t xml:space="preserve"> in Europe led to a rise in chaos. </w:t>
      </w:r>
      <w:r w:rsidR="00D422DC">
        <w:t xml:space="preserve">As </w:t>
      </w:r>
      <w:r w:rsidR="00E56309">
        <w:t>van Ginneken</w:t>
      </w:r>
      <w:r w:rsidR="00D422DC">
        <w:t xml:space="preserve"> explains:</w:t>
      </w:r>
    </w:p>
    <w:p w14:paraId="76374552" w14:textId="77777777" w:rsidR="00CD4406" w:rsidRDefault="00D422DC" w:rsidP="00373FC3">
      <w:pPr>
        <w:spacing w:line="240" w:lineRule="auto"/>
        <w:ind w:left="720" w:right="567"/>
      </w:pPr>
      <w:r>
        <w:t xml:space="preserve">Being used to single </w:t>
      </w:r>
      <w:proofErr w:type="gramStart"/>
      <w:r>
        <w:t>power-holders</w:t>
      </w:r>
      <w:proofErr w:type="gramEnd"/>
      <w:r>
        <w:t xml:space="preserve"> at the top of clearly vertical organisations, </w:t>
      </w:r>
      <w:r w:rsidR="00327C84">
        <w:t xml:space="preserve">people found it hard to accommodate to the new, more diffuse horizontal structures [of the Weimar Republic]. In political psychology, this became known as the struggle for a </w:t>
      </w:r>
      <w:proofErr w:type="spellStart"/>
      <w:r w:rsidR="00327C84">
        <w:rPr>
          <w:i/>
          <w:iCs/>
        </w:rPr>
        <w:t>Vaterlose</w:t>
      </w:r>
      <w:proofErr w:type="spellEnd"/>
      <w:r w:rsidR="00327C84">
        <w:rPr>
          <w:i/>
          <w:iCs/>
        </w:rPr>
        <w:t xml:space="preserve"> Gesellschaft</w:t>
      </w:r>
      <w:r w:rsidR="00327C84">
        <w:t>, a soci</w:t>
      </w:r>
      <w:r w:rsidR="009407F8">
        <w:t>ety without a father figure, who could provide the symbolic and psychological illusion of cohesion. Many longed for a charismatic leader.’</w:t>
      </w:r>
      <w:r w:rsidR="009407F8">
        <w:rPr>
          <w:rStyle w:val="FootnoteReference"/>
        </w:rPr>
        <w:footnoteReference w:id="5"/>
      </w:r>
    </w:p>
    <w:p w14:paraId="56CE2F6E" w14:textId="22A7FA68" w:rsidR="009E5F35" w:rsidRPr="00E424E8" w:rsidRDefault="00E424E8" w:rsidP="00FE06DC">
      <w:pPr>
        <w:spacing w:line="360" w:lineRule="auto"/>
      </w:pPr>
      <w:r>
        <w:t xml:space="preserve">The </w:t>
      </w:r>
      <w:r w:rsidR="002E187F">
        <w:t xml:space="preserve">charismatic and well-educated leaders of the National Socialist party </w:t>
      </w:r>
      <w:r w:rsidR="00202A08">
        <w:t>‘</w:t>
      </w:r>
      <w:r w:rsidR="0065175A">
        <w:t>combined elitism with a much more elaborate form of ideological conviction’</w:t>
      </w:r>
      <w:r w:rsidR="0065175A">
        <w:rPr>
          <w:rStyle w:val="FootnoteReference"/>
        </w:rPr>
        <w:footnoteReference w:id="6"/>
      </w:r>
      <w:r w:rsidR="00CD17E8">
        <w:t>. Raphael notes this simply as ‘</w:t>
      </w:r>
      <w:r w:rsidR="00A21083">
        <w:t>socio-biology, Social Darwinism, racism and anti-Semitism’</w:t>
      </w:r>
      <w:r w:rsidR="00A21083">
        <w:rPr>
          <w:rStyle w:val="FootnoteReference"/>
        </w:rPr>
        <w:footnoteReference w:id="7"/>
      </w:r>
      <w:r w:rsidR="006666E4">
        <w:t xml:space="preserve"> which became widely disseminated throughout German culture in the 1930s. </w:t>
      </w:r>
      <w:r w:rsidR="00B44A38">
        <w:t>It built upon the background of the destabilised political terrain following the First World War</w:t>
      </w:r>
      <w:r w:rsidR="00EF3359">
        <w:t>, and as Hitler spearheaded the National Socialist Party as the missing ‘father figure’</w:t>
      </w:r>
      <w:r w:rsidR="00BF4526">
        <w:rPr>
          <w:rStyle w:val="FootnoteReference"/>
        </w:rPr>
        <w:footnoteReference w:id="8"/>
      </w:r>
      <w:r w:rsidR="00AA2B77">
        <w:t xml:space="preserve"> for the state</w:t>
      </w:r>
      <w:r w:rsidR="0029468A">
        <w:t xml:space="preserve"> it may have provided the security Germans needed to buy into the ideology.</w:t>
      </w:r>
    </w:p>
    <w:p w14:paraId="5026DC99" w14:textId="5D8954F8" w:rsidR="00100D07" w:rsidRDefault="00100D07" w:rsidP="00FE06DC">
      <w:pPr>
        <w:spacing w:line="360" w:lineRule="auto"/>
        <w:jc w:val="both"/>
      </w:pPr>
      <w:r>
        <w:t>Prior to the success of the National Socialist Party in German politics, Hitler’s political opinion</w:t>
      </w:r>
      <w:r w:rsidR="00FB25AD">
        <w:t xml:space="preserve">s ‘belonged to the lunatic fringe on the right of Germany’s political </w:t>
      </w:r>
      <w:r w:rsidR="002E7181">
        <w:t>spectrum</w:t>
      </w:r>
      <w:r w:rsidR="00FB25AD">
        <w:t>’</w:t>
      </w:r>
      <w:r w:rsidR="00FB25AD">
        <w:rPr>
          <w:rStyle w:val="FootnoteReference"/>
        </w:rPr>
        <w:footnoteReference w:id="9"/>
      </w:r>
      <w:r w:rsidR="00937817">
        <w:t xml:space="preserve">. </w:t>
      </w:r>
      <w:r w:rsidR="00FC5D32">
        <w:t>However, over the course of the 1920s,</w:t>
      </w:r>
      <w:r w:rsidR="00526E0C">
        <w:t xml:space="preserve"> </w:t>
      </w:r>
      <w:r w:rsidR="000309EC">
        <w:t xml:space="preserve">wider </w:t>
      </w:r>
      <w:r w:rsidR="00A62A28">
        <w:t>cultural shifts and</w:t>
      </w:r>
      <w:r w:rsidR="008D0385">
        <w:t xml:space="preserve"> Hitler’s drive to step in as a dominant </w:t>
      </w:r>
      <w:r w:rsidR="000F762C">
        <w:t>charismatic figurehead provided the culture needed. As Schwabe explains, however,</w:t>
      </w:r>
      <w:r w:rsidR="002536D3">
        <w:t xml:space="preserve"> Hitler and the far-right in Germany had been working to discredit the Weimar Republic and </w:t>
      </w:r>
      <w:r w:rsidR="002E7181">
        <w:t xml:space="preserve">the </w:t>
      </w:r>
      <w:r w:rsidR="004B4670">
        <w:t>political situation in Germany at the time, and</w:t>
      </w:r>
      <w:r w:rsidR="002E7181">
        <w:t xml:space="preserve"> ‘</w:t>
      </w:r>
      <w:r w:rsidR="002536D3">
        <w:t xml:space="preserve">these </w:t>
      </w:r>
      <w:r w:rsidR="00673BAA">
        <w:t>instruments can be derived from the ideology and the myths the German Right had introduced to the public discourse in German even before the end of the war’</w:t>
      </w:r>
      <w:r w:rsidR="00673BAA">
        <w:rPr>
          <w:rStyle w:val="FootnoteReference"/>
        </w:rPr>
        <w:footnoteReference w:id="10"/>
      </w:r>
      <w:r w:rsidR="00D15926">
        <w:t>. These myths were crucial to the ideological spread of fascism and Nazism</w:t>
      </w:r>
      <w:r w:rsidR="00FA251E">
        <w:t xml:space="preserve"> throughout Germany and were very important </w:t>
      </w:r>
    </w:p>
    <w:p w14:paraId="0B4FB3FE" w14:textId="4DDCAA74" w:rsidR="00100D07" w:rsidRDefault="00E53D1D" w:rsidP="00FE06DC">
      <w:pPr>
        <w:spacing w:line="360" w:lineRule="auto"/>
        <w:jc w:val="both"/>
      </w:pPr>
      <w:r>
        <w:lastRenderedPageBreak/>
        <w:t xml:space="preserve">The Weltanschauung of National Socialism </w:t>
      </w:r>
      <w:r w:rsidR="00F273E8">
        <w:t xml:space="preserve">was </w:t>
      </w:r>
      <w:r w:rsidR="00140478">
        <w:t>further developed</w:t>
      </w:r>
      <w:r w:rsidR="00F273E8">
        <w:t xml:space="preserve"> by</w:t>
      </w:r>
      <w:r w:rsidR="00140478">
        <w:t xml:space="preserve"> ordinary</w:t>
      </w:r>
      <w:r w:rsidR="00F273E8">
        <w:t xml:space="preserve"> Germans who spread their own understanding of broader terms disseminated by leaders of the Party, and Raphael comments on the ‘</w:t>
      </w:r>
      <w:r w:rsidR="00A24562">
        <w:t>divergent interpretations of the central terms and arguments’</w:t>
      </w:r>
      <w:r w:rsidR="00A24562">
        <w:rPr>
          <w:rStyle w:val="FootnoteReference"/>
        </w:rPr>
        <w:footnoteReference w:id="11"/>
      </w:r>
      <w:r w:rsidR="00A24562">
        <w:t xml:space="preserve"> in their doctrine. What </w:t>
      </w:r>
      <w:r w:rsidR="008543B4">
        <w:t>was agreed upon however was that their worldview was one of racism</w:t>
      </w:r>
      <w:r w:rsidR="009F6F10">
        <w:t>,</w:t>
      </w:r>
      <w:r w:rsidR="00EB4940">
        <w:t xml:space="preserve"> </w:t>
      </w:r>
      <w:r w:rsidR="00DA6325">
        <w:t>pseudo-scientific understandings of human evolutio</w:t>
      </w:r>
      <w:r w:rsidR="00A97983">
        <w:t xml:space="preserve">n and </w:t>
      </w:r>
      <w:r w:rsidR="00DA6325">
        <w:t>anti-capitalistic sentimen</w:t>
      </w:r>
      <w:r w:rsidR="000C6CA5">
        <w:t>t</w:t>
      </w:r>
      <w:r w:rsidR="00E01859">
        <w:t>, as ‘Germany, in particular, was his by the Great Depression’</w:t>
      </w:r>
      <w:r w:rsidR="009371EB">
        <w:rPr>
          <w:rStyle w:val="FootnoteReference"/>
        </w:rPr>
        <w:footnoteReference w:id="12"/>
      </w:r>
      <w:r w:rsidR="000C6CA5">
        <w:t>. U</w:t>
      </w:r>
      <w:r w:rsidR="00EE3FF7">
        <w:t xml:space="preserve">ltimately </w:t>
      </w:r>
      <w:r w:rsidR="000C6CA5">
        <w:t xml:space="preserve">the entire ideological movement of National Socialist was </w:t>
      </w:r>
      <w:r w:rsidR="00EE3FF7">
        <w:t>laid upon foundational anti-Semitism.</w:t>
      </w:r>
      <w:r w:rsidR="00DB68C6">
        <w:t xml:space="preserve"> </w:t>
      </w:r>
      <w:r w:rsidR="009371EB">
        <w:t>These frameworks were portrayed to Germans as scientific and based in (now discredited) race science</w:t>
      </w:r>
      <w:r w:rsidR="0070378A">
        <w:t>,</w:t>
      </w:r>
      <w:r w:rsidR="00DB68C6">
        <w:t xml:space="preserve"> with an aim to legitimis</w:t>
      </w:r>
      <w:r w:rsidR="005A0800">
        <w:t xml:space="preserve">e their arguments while discrediting those who would oppose as being unscientific and </w:t>
      </w:r>
      <w:r w:rsidR="00044ACD">
        <w:t xml:space="preserve">not worthy of attention. </w:t>
      </w:r>
    </w:p>
    <w:p w14:paraId="6F5436F2" w14:textId="22658319" w:rsidR="00DC440A" w:rsidRDefault="003E4E4E" w:rsidP="00FE06DC">
      <w:pPr>
        <w:spacing w:line="360" w:lineRule="auto"/>
      </w:pPr>
      <w:r>
        <w:t xml:space="preserve">This understanding of race through the eyes of white supremacy was delivered primarily through co-opting and </w:t>
      </w:r>
      <w:r w:rsidR="00DB68C6">
        <w:t>alternat</w:t>
      </w:r>
      <w:r w:rsidR="00A4586E">
        <w:t xml:space="preserve">ing other politics and storytelling for the use of the National Socialists. </w:t>
      </w:r>
      <w:r w:rsidR="00D735DD">
        <w:t xml:space="preserve">This </w:t>
      </w:r>
      <w:r w:rsidR="00DD7474">
        <w:t xml:space="preserve">mythologisation </w:t>
      </w:r>
      <w:r w:rsidR="00B72F50">
        <w:t xml:space="preserve">of </w:t>
      </w:r>
      <w:r w:rsidR="00F021D1">
        <w:t xml:space="preserve">National Socialist heritage formed the background to the </w:t>
      </w:r>
      <w:r w:rsidR="000D12E1">
        <w:t>spread of the culture and worldview and, as Milan Hauner explains, ‘unscrupulous propaganda [was] its best psychological weapon’</w:t>
      </w:r>
      <w:r w:rsidR="000D12E1">
        <w:rPr>
          <w:rStyle w:val="FootnoteReference"/>
        </w:rPr>
        <w:footnoteReference w:id="13"/>
      </w:r>
      <w:r w:rsidR="00DC5F45">
        <w:t xml:space="preserve">. </w:t>
      </w:r>
      <w:r w:rsidR="00D04003">
        <w:t xml:space="preserve">The Nuremberg Laws </w:t>
      </w:r>
      <w:r w:rsidR="00630238">
        <w:t xml:space="preserve">were used in this fashion, for example, </w:t>
      </w:r>
      <w:r w:rsidR="00C333CD">
        <w:t>highlighting</w:t>
      </w:r>
      <w:r w:rsidR="00630238">
        <w:t xml:space="preserve"> supposed ‘Jewishness’</w:t>
      </w:r>
      <w:r w:rsidR="000F64F0">
        <w:t xml:space="preserve"> and using this to restrict their ability to earn money, marry and ultimately even socialise with ‘pure’ Germans. </w:t>
      </w:r>
      <w:r w:rsidR="00FD642F">
        <w:t xml:space="preserve"> </w:t>
      </w:r>
      <w:r w:rsidR="00727795">
        <w:t xml:space="preserve">The focus </w:t>
      </w:r>
      <w:r w:rsidR="003F0AE0">
        <w:t>on the creation or maintenance of</w:t>
      </w:r>
      <w:r w:rsidR="00727795">
        <w:t xml:space="preserve"> an Aryan ‘race’ of pure Germans who may have been sullied </w:t>
      </w:r>
      <w:r w:rsidR="00DC440A">
        <w:t xml:space="preserve">by breeding with other races clearly took hold and can even be seen today in far-right </w:t>
      </w:r>
      <w:r w:rsidR="003F0AE0">
        <w:t>communities.</w:t>
      </w:r>
    </w:p>
    <w:p w14:paraId="5095D4D0" w14:textId="3990214B" w:rsidR="006E14A6" w:rsidRPr="0093147C" w:rsidRDefault="006E14A6" w:rsidP="00FE06DC">
      <w:pPr>
        <w:spacing w:line="360" w:lineRule="auto"/>
        <w:jc w:val="both"/>
      </w:pPr>
      <w:r>
        <w:t xml:space="preserve">The predominant myth of the “Aryan master race” was disseminated in many ways, primarily referring to a mythical Nordic race who were </w:t>
      </w:r>
      <w:r w:rsidR="003F0AE0">
        <w:t>pure and</w:t>
      </w:r>
      <w:r>
        <w:t xml:space="preserve"> slotting all other perceived races as ideologically impure or lesser. </w:t>
      </w:r>
      <w:r w:rsidR="008F6AC7">
        <w:t xml:space="preserve">This myth </w:t>
      </w:r>
      <w:r w:rsidR="00773892">
        <w:t xml:space="preserve">based in science was used with impunity in the propaganda </w:t>
      </w:r>
      <w:r w:rsidR="00706D10">
        <w:t xml:space="preserve">spread by Nazi Germany. </w:t>
      </w:r>
      <w:r w:rsidR="00214D2E">
        <w:t xml:space="preserve">As Kamenetsky explains, this formed </w:t>
      </w:r>
      <w:r w:rsidR="00F91740">
        <w:t>part of the ‘[National Socialist] Party’s conscious revival of national folklore, including particularly the folk heritage of Nordic Germanic origin’</w:t>
      </w:r>
      <w:r w:rsidR="00F91740">
        <w:rPr>
          <w:rStyle w:val="FootnoteReference"/>
        </w:rPr>
        <w:footnoteReference w:id="14"/>
      </w:r>
      <w:r w:rsidR="00D92499">
        <w:t xml:space="preserve">, which Tolkien also used </w:t>
      </w:r>
      <w:r w:rsidR="00214D2E">
        <w:t>as inspiration for his works,</w:t>
      </w:r>
      <w:r w:rsidR="00D92499">
        <w:t xml:space="preserve"> and studied</w:t>
      </w:r>
      <w:r w:rsidR="00214D2E">
        <w:t xml:space="preserve"> as a scholar and historian</w:t>
      </w:r>
      <w:r w:rsidR="00D92499">
        <w:t xml:space="preserve">. </w:t>
      </w:r>
      <w:r w:rsidR="0093147C">
        <w:t xml:space="preserve">As an accomplished linguist, Tolkien was familiar with Norse and Celtic poetry and song, and often included works inspired by these in </w:t>
      </w:r>
      <w:r w:rsidR="0093147C">
        <w:rPr>
          <w:i/>
          <w:iCs/>
        </w:rPr>
        <w:t>The Lord of the Rings</w:t>
      </w:r>
      <w:r w:rsidR="0083791A">
        <w:t xml:space="preserve">, for example </w:t>
      </w:r>
      <w:r w:rsidR="00BB6DC4">
        <w:t>in the oft-repeated walking song about The Road</w:t>
      </w:r>
      <w:r w:rsidR="00886184">
        <w:t xml:space="preserve">. </w:t>
      </w:r>
    </w:p>
    <w:p w14:paraId="0071E4B8" w14:textId="25F835B7" w:rsidR="00E8785B" w:rsidRDefault="00595203" w:rsidP="00FE06DC">
      <w:pPr>
        <w:spacing w:line="360" w:lineRule="auto"/>
        <w:jc w:val="both"/>
      </w:pPr>
      <w:r>
        <w:lastRenderedPageBreak/>
        <w:t xml:space="preserve">However, while considering German ideology it is important to note that </w:t>
      </w:r>
      <w:r w:rsidR="00E8785B">
        <w:t>Ge</w:t>
      </w:r>
      <w:r>
        <w:t>rmany did not evolve alone, and was a part of Europe before, during and after the atrocities committed during the Second World War. The</w:t>
      </w:r>
      <w:r w:rsidR="003E4543">
        <w:t xml:space="preserve">re is evidence that </w:t>
      </w:r>
      <w:r w:rsidR="00110ECB">
        <w:t xml:space="preserve">Hitler valued </w:t>
      </w:r>
      <w:r w:rsidR="00110A7B">
        <w:t>the British – as Hauner writes, ‘in Hit</w:t>
      </w:r>
      <w:r w:rsidR="00D205C6">
        <w:t>ler’s calculation Britain was assigned an important role during the [planned] second stage of Germany’s world conques</w:t>
      </w:r>
      <w:r w:rsidR="00BB048A">
        <w:t>t’</w:t>
      </w:r>
      <w:r w:rsidR="00BB048A">
        <w:rPr>
          <w:rStyle w:val="FootnoteReference"/>
        </w:rPr>
        <w:footnoteReference w:id="15"/>
      </w:r>
      <w:r w:rsidR="005D69A4">
        <w:t xml:space="preserve">. </w:t>
      </w:r>
      <w:r w:rsidR="003E4543">
        <w:t xml:space="preserve">England </w:t>
      </w:r>
      <w:r w:rsidR="00886184">
        <w:t>has</w:t>
      </w:r>
      <w:r w:rsidR="003E4543">
        <w:t xml:space="preserve"> a</w:t>
      </w:r>
      <w:r w:rsidR="00BE67DA">
        <w:t>n exceptionally long heritage of anti-Semitism</w:t>
      </w:r>
      <w:r w:rsidR="006E03A8">
        <w:t xml:space="preserve"> and anti-Jewish attitudes </w:t>
      </w:r>
      <w:r w:rsidR="00BE67DA">
        <w:t xml:space="preserve">dating back to the medieval era, </w:t>
      </w:r>
      <w:r w:rsidR="00BC69A2">
        <w:t xml:space="preserve">most famously in relation to ‘Little Saint Hugh’, a young child </w:t>
      </w:r>
      <w:r w:rsidR="0080002C">
        <w:t>whose death was wrongly assumed to be ‘a case of ritual murder’</w:t>
      </w:r>
      <w:r w:rsidR="0080002C">
        <w:rPr>
          <w:rStyle w:val="FootnoteReference"/>
        </w:rPr>
        <w:footnoteReference w:id="16"/>
      </w:r>
      <w:r w:rsidR="004E3A06">
        <w:t xml:space="preserve">. </w:t>
      </w:r>
      <w:r w:rsidR="00133ECC">
        <w:t xml:space="preserve">It is plausible that the pride England took in its anti-Jewishness </w:t>
      </w:r>
      <w:r w:rsidR="00CF2235">
        <w:t>was of interest to Hitler</w:t>
      </w:r>
      <w:r w:rsidR="0093147C">
        <w:t xml:space="preserve">. </w:t>
      </w:r>
      <w:r w:rsidR="00E8785B">
        <w:t xml:space="preserve">While the United Kingdom staunchly opposed Germany in the War, the similarities between the two countries </w:t>
      </w:r>
      <w:r w:rsidR="007E3CF0">
        <w:t xml:space="preserve">cannot be overlooked. In addition, with the existence of groups such as the British </w:t>
      </w:r>
      <w:r w:rsidR="00D573AA">
        <w:t xml:space="preserve">Union of Fascists who </w:t>
      </w:r>
      <w:r w:rsidR="00D15798">
        <w:t>gained notoriety during the 1930s and building tensions in England regarding the development of</w:t>
      </w:r>
      <w:r w:rsidR="00133499">
        <w:t xml:space="preserve"> anti-Semitism, </w:t>
      </w:r>
      <w:r w:rsidR="00886184">
        <w:t xml:space="preserve">Tolkien </w:t>
      </w:r>
      <w:r w:rsidR="00AB2565">
        <w:t>would a</w:t>
      </w:r>
      <w:r w:rsidR="00133499">
        <w:t xml:space="preserve">lmost certainly </w:t>
      </w:r>
      <w:r w:rsidR="00AB2565">
        <w:t xml:space="preserve">have been aware of the </w:t>
      </w:r>
      <w:r w:rsidR="007E3CF0">
        <w:t>development of National Socialist ideology in the build up to World War Two.</w:t>
      </w:r>
    </w:p>
    <w:p w14:paraId="5AAA7E3E" w14:textId="0A721118" w:rsidR="00E8785B" w:rsidRDefault="00EB4355" w:rsidP="00FE06DC">
      <w:pPr>
        <w:spacing w:line="360" w:lineRule="auto"/>
        <w:rPr>
          <w:u w:val="single"/>
        </w:rPr>
      </w:pPr>
      <w:r>
        <w:rPr>
          <w:u w:val="single"/>
        </w:rPr>
        <w:t>How Was Tolkien Impacted</w:t>
      </w:r>
      <w:r w:rsidR="00E8785B">
        <w:rPr>
          <w:u w:val="single"/>
        </w:rPr>
        <w:t xml:space="preserve">? </w:t>
      </w:r>
    </w:p>
    <w:p w14:paraId="0C7A347D" w14:textId="041371DA" w:rsidR="00E30266" w:rsidRDefault="008E3FB6" w:rsidP="00FE06DC">
      <w:pPr>
        <w:spacing w:line="360" w:lineRule="auto"/>
      </w:pPr>
      <w:r>
        <w:t xml:space="preserve">There are many ways in which the books show evidence of Tolkien’s emotional processing of his experience of German Weltanschauung and there are </w:t>
      </w:r>
      <w:r w:rsidR="0034180B">
        <w:t>examples of scholars</w:t>
      </w:r>
      <w:r w:rsidR="00892876">
        <w:t xml:space="preserve"> who have studied this in </w:t>
      </w:r>
      <w:r w:rsidR="00FA2005">
        <w:t xml:space="preserve">detail, including </w:t>
      </w:r>
      <w:r w:rsidR="00F0582C">
        <w:t>Tom Shippey</w:t>
      </w:r>
      <w:r w:rsidR="00133499">
        <w:t>. Shippey</w:t>
      </w:r>
      <w:r w:rsidR="00F0582C">
        <w:t xml:space="preserve"> posits that it is </w:t>
      </w:r>
      <w:r w:rsidR="00CA40DB">
        <w:t xml:space="preserve">important to consider </w:t>
      </w:r>
      <w:r w:rsidR="00CA40DB">
        <w:rPr>
          <w:i/>
          <w:iCs/>
        </w:rPr>
        <w:t>The Lord of the Rings</w:t>
      </w:r>
      <w:r w:rsidR="00CA40DB">
        <w:t xml:space="preserve"> not just from an autobiographical background but ‘also against the… context of its moment of publication [1954-55]’</w:t>
      </w:r>
      <w:r w:rsidR="00CA40DB">
        <w:rPr>
          <w:rStyle w:val="FootnoteReference"/>
        </w:rPr>
        <w:footnoteReference w:id="17"/>
      </w:r>
      <w:r w:rsidR="00336E37">
        <w:t xml:space="preserve">. </w:t>
      </w:r>
      <w:r w:rsidR="00EE60EF">
        <w:t xml:space="preserve">Shippey’s argument is that Tolkien’s work (and indeed that of his counterparts) is concerned primarily with </w:t>
      </w:r>
      <w:r w:rsidR="0047432B">
        <w:t xml:space="preserve">the theme of ‘evil’ and who could be evil. As he states, ‘they [Tolkien and other similar authors] </w:t>
      </w:r>
      <w:r w:rsidR="002061AC">
        <w:t>felt that old literary patterns were unable to cope with the twentieth-century experience of evil’</w:t>
      </w:r>
      <w:r w:rsidR="002061AC">
        <w:rPr>
          <w:rStyle w:val="FootnoteReference"/>
        </w:rPr>
        <w:footnoteReference w:id="18"/>
      </w:r>
      <w:r w:rsidR="005B05D0">
        <w:t xml:space="preserve">. According to this argument by Shippey, it is possible to argue that Tolkien’s work must have been </w:t>
      </w:r>
      <w:r w:rsidR="00305A06">
        <w:t xml:space="preserve">used to </w:t>
      </w:r>
      <w:r w:rsidR="00094DD2">
        <w:t xml:space="preserve">process the experience of something which he considered evil- in other words, the events of the Second World War and the lead up to this, all of which were directly caused by the bigoted pseudo-scientific ideologies of the National Socialist Party in Germany. </w:t>
      </w:r>
      <w:r w:rsidR="00FB1915">
        <w:t xml:space="preserve">Tolkien’s </w:t>
      </w:r>
      <w:r w:rsidR="00FB1915">
        <w:t xml:space="preserve">own personal letters betray a meta-textual understanding of the regime and its requirements, </w:t>
      </w:r>
      <w:r w:rsidR="00FB1915">
        <w:t xml:space="preserve">and </w:t>
      </w:r>
      <w:r w:rsidR="00E30266">
        <w:t>when considering the text alongside its contemporary history it is vital to consider additional context alongside the work itself.</w:t>
      </w:r>
    </w:p>
    <w:p w14:paraId="5025EB1E" w14:textId="06C5D607" w:rsidR="00E948B8" w:rsidRDefault="00E30266" w:rsidP="00FE06DC">
      <w:pPr>
        <w:spacing w:line="360" w:lineRule="auto"/>
      </w:pPr>
      <w:r>
        <w:lastRenderedPageBreak/>
        <w:t xml:space="preserve">While Tolkien was English and proud of this, the name Tolkien is German and it is certainly true that Tolkien’s ancestors were German, having emigrated to England in the 1800s. This led to Tolkien having a more personal </w:t>
      </w:r>
      <w:r w:rsidR="00C923E3">
        <w:t xml:space="preserve">involvement with his experience of Nazi Germany’s politics and the propaganda they used during the build up to 1939. His letters allude to these </w:t>
      </w:r>
      <w:r w:rsidR="00E948B8">
        <w:t xml:space="preserve">direct difficulties </w:t>
      </w:r>
      <w:r w:rsidR="00C923E3">
        <w:t xml:space="preserve">due to the takeover of the publishers Allen &amp; Unwin were negotiating with to translate and publish </w:t>
      </w:r>
      <w:r w:rsidR="00C923E3">
        <w:rPr>
          <w:i/>
          <w:iCs/>
        </w:rPr>
        <w:t>The Hobbit</w:t>
      </w:r>
      <w:r w:rsidR="00C923E3">
        <w:t xml:space="preserve"> in 1938.</w:t>
      </w:r>
      <w:r w:rsidR="00E948B8">
        <w:t xml:space="preserve"> In </w:t>
      </w:r>
      <w:r w:rsidR="00E948B8">
        <w:rPr>
          <w:i/>
          <w:iCs/>
        </w:rPr>
        <w:t>The Letters of J.R.R Tolkien</w:t>
      </w:r>
      <w:r w:rsidR="00E948B8">
        <w:t xml:space="preserve">, </w:t>
      </w:r>
      <w:r w:rsidR="0061754A">
        <w:t xml:space="preserve">a duo of letters are </w:t>
      </w:r>
      <w:r w:rsidR="00C923E3">
        <w:t>printed</w:t>
      </w:r>
      <w:r w:rsidR="00E948B8">
        <w:t xml:space="preserve"> </w:t>
      </w:r>
      <w:r w:rsidR="0061754A">
        <w:t xml:space="preserve">discussing with his publisher Allen &amp; Unwin in relation to the intended publication of </w:t>
      </w:r>
      <w:r w:rsidR="0061754A">
        <w:rPr>
          <w:i/>
          <w:iCs/>
        </w:rPr>
        <w:t>The Hobbit</w:t>
      </w:r>
      <w:r w:rsidR="006F44C7">
        <w:t>, as the context alongside the letter to</w:t>
      </w:r>
      <w:r w:rsidR="00E948B8">
        <w:t xml:space="preserve"> Stanley Unwin </w:t>
      </w:r>
      <w:r w:rsidR="006F44C7">
        <w:t xml:space="preserve">dated </w:t>
      </w:r>
      <w:r w:rsidR="00E948B8">
        <w:t>25</w:t>
      </w:r>
      <w:r w:rsidR="00E948B8" w:rsidRPr="00E948B8">
        <w:rPr>
          <w:vertAlign w:val="superscript"/>
        </w:rPr>
        <w:t>th</w:t>
      </w:r>
      <w:r w:rsidR="00E948B8">
        <w:t xml:space="preserve"> July 1938</w:t>
      </w:r>
      <w:r w:rsidR="006F44C7">
        <w:t xml:space="preserve"> explains</w:t>
      </w:r>
      <w:r w:rsidR="00E948B8">
        <w:t xml:space="preserve">: </w:t>
      </w:r>
    </w:p>
    <w:p w14:paraId="36B21384" w14:textId="247C2A72" w:rsidR="00B30451" w:rsidRDefault="00E948B8" w:rsidP="00373FC3">
      <w:pPr>
        <w:spacing w:line="240" w:lineRule="auto"/>
        <w:ind w:left="720" w:right="567"/>
      </w:pPr>
      <w:r>
        <w:t xml:space="preserve">‘Allen &amp; Unwin had negotiated the publication of a German translation of </w:t>
      </w:r>
      <w:r>
        <w:rPr>
          <w:i/>
          <w:iCs/>
        </w:rPr>
        <w:t>The Hobbit</w:t>
      </w:r>
      <w:r>
        <w:t xml:space="preserve"> with Rutten &amp; </w:t>
      </w:r>
      <w:proofErr w:type="spellStart"/>
      <w:r>
        <w:t>Loening</w:t>
      </w:r>
      <w:proofErr w:type="spellEnd"/>
      <w:r>
        <w:t xml:space="preserve"> of Potsdam. This firm wrote to Tolkien asking if he was of ‘</w:t>
      </w:r>
      <w:proofErr w:type="spellStart"/>
      <w:r>
        <w:t>arisch</w:t>
      </w:r>
      <w:proofErr w:type="spellEnd"/>
      <w:r>
        <w:t>’ (</w:t>
      </w:r>
      <w:proofErr w:type="spellStart"/>
      <w:r>
        <w:t>aryan</w:t>
      </w:r>
      <w:proofErr w:type="spellEnd"/>
      <w:r>
        <w:t>) origin’</w:t>
      </w:r>
      <w:r w:rsidR="00DB389A">
        <w:rPr>
          <w:rStyle w:val="FootnoteReference"/>
        </w:rPr>
        <w:footnoteReference w:id="19"/>
      </w:r>
      <w:r w:rsidR="00DB389A">
        <w:t xml:space="preserve">. </w:t>
      </w:r>
    </w:p>
    <w:p w14:paraId="0D4A78F0" w14:textId="77777777" w:rsidR="00745E6B" w:rsidRDefault="00DB389A" w:rsidP="00FE06DC">
      <w:pPr>
        <w:spacing w:line="360" w:lineRule="auto"/>
      </w:pPr>
      <w:r>
        <w:t>Tolkie</w:t>
      </w:r>
      <w:r w:rsidR="00745E6B">
        <w:t>n asks his publishers quite bluntly in his letter of the same date:</w:t>
      </w:r>
    </w:p>
    <w:p w14:paraId="3D93ACD7" w14:textId="2A1FC2E7" w:rsidR="00745E6B" w:rsidRPr="00745E6B" w:rsidRDefault="00745E6B" w:rsidP="00373FC3">
      <w:pPr>
        <w:spacing w:line="240" w:lineRule="auto"/>
        <w:ind w:left="720" w:right="567"/>
      </w:pPr>
      <w:r>
        <w:t>‘Do I suffer this impertinence because of the possession of a German name, or do their lunatic laws require a certificate of ‘</w:t>
      </w:r>
      <w:proofErr w:type="spellStart"/>
      <w:r>
        <w:t>arisch</w:t>
      </w:r>
      <w:proofErr w:type="spellEnd"/>
      <w:r>
        <w:t>’ origin from all persons of all countries?’</w:t>
      </w:r>
      <w:r>
        <w:rPr>
          <w:rStyle w:val="FootnoteReference"/>
        </w:rPr>
        <w:footnoteReference w:id="20"/>
      </w:r>
    </w:p>
    <w:p w14:paraId="55F21B34" w14:textId="34CDFE65" w:rsidR="00DB389A" w:rsidRDefault="00745E6B" w:rsidP="00FE06DC">
      <w:pPr>
        <w:spacing w:line="360" w:lineRule="auto"/>
      </w:pPr>
      <w:r>
        <w:t>Clearly</w:t>
      </w:r>
      <w:r w:rsidR="002134B7">
        <w:t xml:space="preserve"> Tolkien in this letter is aware of the impact of, and value being placed, on being Aryan, and belonging to a pure ‘master race’ that would suit the laws and desires of Germany in the build up to 1939. He expresses further </w:t>
      </w:r>
      <w:r w:rsidR="003F24F4">
        <w:t>distaste</w:t>
      </w:r>
      <w:r w:rsidR="002134B7">
        <w:t xml:space="preserve"> for ‘the wholly pernicious and unscientific race-doctrine’</w:t>
      </w:r>
      <w:r w:rsidR="002134B7">
        <w:rPr>
          <w:rStyle w:val="FootnoteReference"/>
        </w:rPr>
        <w:footnoteReference w:id="21"/>
      </w:r>
      <w:r w:rsidR="002134B7">
        <w:t xml:space="preserve"> in this letter, which further evidences his understanding that his own heritage places him at risk of assumed association with German Weltanschauung and his clear desire to place himself at opposition to this</w:t>
      </w:r>
      <w:r w:rsidR="000A463B">
        <w:t xml:space="preserve"> ideology. </w:t>
      </w:r>
    </w:p>
    <w:p w14:paraId="0B079C80" w14:textId="4FE6ED78" w:rsidR="00A94CBC" w:rsidRDefault="002134B7" w:rsidP="00FE06DC">
      <w:pPr>
        <w:spacing w:line="360" w:lineRule="auto"/>
      </w:pPr>
      <w:r>
        <w:t xml:space="preserve">In </w:t>
      </w:r>
      <w:r>
        <w:rPr>
          <w:i/>
          <w:iCs/>
        </w:rPr>
        <w:t>The Lord of the Rings</w:t>
      </w:r>
      <w:r>
        <w:t xml:space="preserve">, this is seen in many locations throughout the text. </w:t>
      </w:r>
      <w:r w:rsidR="00452413">
        <w:t xml:space="preserve">A pointed example of this is demonstrable throughout the text, but noticeable from the very beginning in the form of the Black Riders. In a very similar vein to the spread of Nazi propaganda and the slow development into the horrors of World War Two, the </w:t>
      </w:r>
      <w:r w:rsidR="00334FE6">
        <w:t>Black Riders</w:t>
      </w:r>
      <w:r w:rsidR="00452413">
        <w:t xml:space="preserve"> are shadows that spread fear. As Aragorn explains to the Hobbits in Bree, ‘In dark and loneliness they are strongest… their power is in terror’</w:t>
      </w:r>
      <w:r w:rsidR="00452413">
        <w:rPr>
          <w:rStyle w:val="FootnoteReference"/>
        </w:rPr>
        <w:footnoteReference w:id="22"/>
      </w:r>
      <w:r w:rsidR="00452413">
        <w:t xml:space="preserve">. Tolkien’s letters place him at opposition to what he </w:t>
      </w:r>
      <w:r w:rsidR="00A94CBC">
        <w:t xml:space="preserve">is clearly listing as primary ideologies of Germany in the 1930s. In an unsent letter to the German publishers responsible for translating </w:t>
      </w:r>
      <w:r w:rsidR="00A94CBC">
        <w:rPr>
          <w:i/>
          <w:iCs/>
        </w:rPr>
        <w:t xml:space="preserve">The Hobbit </w:t>
      </w:r>
      <w:r w:rsidR="00A94CBC">
        <w:t xml:space="preserve">in 1938 he clearly lists ‘if I am to understand that you are enquiring whether I am of </w:t>
      </w:r>
      <w:r w:rsidR="00A94CBC">
        <w:rPr>
          <w:i/>
          <w:iCs/>
        </w:rPr>
        <w:t>Jewish</w:t>
      </w:r>
      <w:r w:rsidR="00A94CBC">
        <w:t xml:space="preserve"> origin…’</w:t>
      </w:r>
      <w:r w:rsidR="00A94CBC">
        <w:rPr>
          <w:rStyle w:val="FootnoteReference"/>
        </w:rPr>
        <w:footnoteReference w:id="23"/>
      </w:r>
      <w:r w:rsidR="00A94CBC">
        <w:t xml:space="preserve">, highlighting that he clearly understood German </w:t>
      </w:r>
      <w:r w:rsidR="00A94CBC">
        <w:lastRenderedPageBreak/>
        <w:t>priorities and their hidden language</w:t>
      </w:r>
      <w:r w:rsidR="00334FE6">
        <w:t xml:space="preserve"> (also known to modern audiences as dog whistles)</w:t>
      </w:r>
      <w:r w:rsidR="00A94CBC">
        <w:t xml:space="preserve"> </w:t>
      </w:r>
      <w:r w:rsidR="00334FE6">
        <w:t xml:space="preserve">amongst a specific demographic. </w:t>
      </w:r>
    </w:p>
    <w:p w14:paraId="7F5824E4" w14:textId="4C220910" w:rsidR="00A94CBC" w:rsidRDefault="00A94CBC" w:rsidP="00FE06DC">
      <w:pPr>
        <w:spacing w:line="360" w:lineRule="auto"/>
      </w:pPr>
      <w:r>
        <w:t xml:space="preserve">When analysing the storyline of </w:t>
      </w:r>
      <w:r>
        <w:rPr>
          <w:i/>
          <w:iCs/>
        </w:rPr>
        <w:t>The Lord of the Rings</w:t>
      </w:r>
      <w:r w:rsidR="000C485E">
        <w:t xml:space="preserve"> it is clear that while Tolkien intended the text to primarily deal with the theme of overcoming evil, much of this is framed through acts of war and battle</w:t>
      </w:r>
      <w:r>
        <w:t xml:space="preserve">, and </w:t>
      </w:r>
      <w:r w:rsidR="000C485E">
        <w:t xml:space="preserve">his work </w:t>
      </w:r>
      <w:r>
        <w:t>deal</w:t>
      </w:r>
      <w:r w:rsidR="000C485E">
        <w:t>s</w:t>
      </w:r>
      <w:r>
        <w:t xml:space="preserve"> with the loss and despair that must have been common on the front lines in the First and Second World Wars</w:t>
      </w:r>
      <w:r w:rsidR="000C485E">
        <w:t xml:space="preserve"> in detail</w:t>
      </w:r>
      <w:r>
        <w:t xml:space="preserve">. In Rivendell, Gandalf explains to </w:t>
      </w:r>
      <w:r w:rsidR="00942A54">
        <w:t>Frodo ‘there is a power in Rivendell to withstand the might of Mordor, for a while: and elsewhere other powers still dwell’</w:t>
      </w:r>
      <w:r w:rsidR="00942A54">
        <w:rPr>
          <w:rStyle w:val="FootnoteReference"/>
        </w:rPr>
        <w:footnoteReference w:id="24"/>
      </w:r>
      <w:r w:rsidR="00942A54">
        <w:t xml:space="preserve">. It can be argued that while this power is referring explicitly to the Elves in Rivendell (and those who dwell in </w:t>
      </w:r>
      <w:proofErr w:type="spellStart"/>
      <w:r w:rsidR="0012345A">
        <w:t>Lothl</w:t>
      </w:r>
      <w:r w:rsidR="0043443A">
        <w:t>ó</w:t>
      </w:r>
      <w:r w:rsidR="0012345A">
        <w:t>rien</w:t>
      </w:r>
      <w:proofErr w:type="spellEnd"/>
      <w:r w:rsidR="0012345A">
        <w:t xml:space="preserve"> with</w:t>
      </w:r>
      <w:r w:rsidR="00942A54">
        <w:t xml:space="preserve"> Galadriel), Tolkien also used this as a </w:t>
      </w:r>
      <w:r w:rsidR="0043443A">
        <w:t>method of reassurance</w:t>
      </w:r>
      <w:r w:rsidR="00942A54">
        <w:t xml:space="preserve"> that it was possible to stand up to the threat of Germany and the National Socialist regime</w:t>
      </w:r>
      <w:r w:rsidR="0043443A">
        <w:t xml:space="preserve"> during the creation of </w:t>
      </w:r>
      <w:r w:rsidR="00942A54">
        <w:rPr>
          <w:i/>
          <w:iCs/>
        </w:rPr>
        <w:t>The Lord of the Rings</w:t>
      </w:r>
      <w:r w:rsidR="00942A54">
        <w:t xml:space="preserve">. </w:t>
      </w:r>
    </w:p>
    <w:p w14:paraId="1643517C" w14:textId="77777777" w:rsidR="000C485E" w:rsidRPr="00670111" w:rsidRDefault="000C485E" w:rsidP="00FE06DC">
      <w:pPr>
        <w:spacing w:line="360" w:lineRule="auto"/>
        <w:rPr>
          <w:iCs/>
        </w:rPr>
      </w:pPr>
      <w:r>
        <w:rPr>
          <w:iCs/>
          <w:u w:val="single"/>
        </w:rPr>
        <w:t>Espionage</w:t>
      </w:r>
    </w:p>
    <w:p w14:paraId="2F99C0EA" w14:textId="38A094A9" w:rsidR="000C485E" w:rsidRDefault="000C485E" w:rsidP="00FE06DC">
      <w:pPr>
        <w:spacing w:line="360" w:lineRule="auto"/>
        <w:rPr>
          <w:iCs/>
        </w:rPr>
      </w:pPr>
      <w:r>
        <w:rPr>
          <w:iCs/>
        </w:rPr>
        <w:t>Another way in which Tolkien processed details of the lived reality of Nazi ideology is visible throughout the text in the form of espionage. It is well known that part of the Nazi regime’s success is down to encouraging people to spy on and report any acts of wrongdoing or anyone harbouring ‘criminals’ or those who were of a lesser rac</w:t>
      </w:r>
      <w:r w:rsidR="0043443A">
        <w:rPr>
          <w:iCs/>
        </w:rPr>
        <w:t>e</w:t>
      </w:r>
      <w:r>
        <w:rPr>
          <w:iCs/>
        </w:rPr>
        <w:t xml:space="preserve">. This deliberate breakdown in communication and discussion of secrets was also present to an extent in England, with </w:t>
      </w:r>
      <w:r w:rsidR="00870FD6">
        <w:rPr>
          <w:iCs/>
        </w:rPr>
        <w:t>evidence of the ‘Careless Talk’ movemen</w:t>
      </w:r>
      <w:r w:rsidR="00202E32">
        <w:rPr>
          <w:iCs/>
        </w:rPr>
        <w:t xml:space="preserve">t placing ‘aspects of “ordinary” life </w:t>
      </w:r>
      <w:r w:rsidR="00483020">
        <w:rPr>
          <w:iCs/>
        </w:rPr>
        <w:t>[such] as conversational gossip’</w:t>
      </w:r>
      <w:r w:rsidR="00483020">
        <w:rPr>
          <w:rStyle w:val="FootnoteReference"/>
          <w:iCs/>
        </w:rPr>
        <w:footnoteReference w:id="25"/>
      </w:r>
      <w:r w:rsidR="00371779">
        <w:rPr>
          <w:iCs/>
        </w:rPr>
        <w:t xml:space="preserve"> at odds with the widely </w:t>
      </w:r>
      <w:r w:rsidR="003A3FE0">
        <w:rPr>
          <w:iCs/>
        </w:rPr>
        <w:t>known push</w:t>
      </w:r>
      <w:r w:rsidR="00371779">
        <w:rPr>
          <w:iCs/>
        </w:rPr>
        <w:t xml:space="preserve"> for unity in the UK</w:t>
      </w:r>
      <w:r w:rsidR="003A3FE0">
        <w:rPr>
          <w:iCs/>
        </w:rPr>
        <w:t xml:space="preserve"> to preserve morale</w:t>
      </w:r>
      <w:r w:rsidR="00371779">
        <w:rPr>
          <w:iCs/>
        </w:rPr>
        <w:t>. T</w:t>
      </w:r>
      <w:r>
        <w:rPr>
          <w:iCs/>
        </w:rPr>
        <w:t xml:space="preserve">he pressure to keep secrets, and to not trust one’s neighbour, is keenly felt in the text, but nowhere is it more blatantly described than in the early parts of the text, while the party is in Bree. Tolkien’s depiction of being unable to trust others is particularly </w:t>
      </w:r>
      <w:r w:rsidR="00371779">
        <w:rPr>
          <w:iCs/>
        </w:rPr>
        <w:t>chilling</w:t>
      </w:r>
      <w:r>
        <w:rPr>
          <w:iCs/>
        </w:rPr>
        <w:t xml:space="preserve">, </w:t>
      </w:r>
      <w:r w:rsidR="00371779">
        <w:rPr>
          <w:iCs/>
        </w:rPr>
        <w:t>with</w:t>
      </w:r>
      <w:r>
        <w:rPr>
          <w:iCs/>
        </w:rPr>
        <w:t xml:space="preserve"> the concept of the enemy somehow being able to find them in a moment of weakness in their home. </w:t>
      </w:r>
    </w:p>
    <w:p w14:paraId="388A93B2" w14:textId="3D945630" w:rsidR="000C485E" w:rsidRDefault="000C485E" w:rsidP="00FE06DC">
      <w:pPr>
        <w:spacing w:line="360" w:lineRule="auto"/>
        <w:rPr>
          <w:iCs/>
        </w:rPr>
      </w:pPr>
      <w:r>
        <w:rPr>
          <w:iCs/>
        </w:rPr>
        <w:t>As Strider explains when they are discussing in the inn what happened to Merry with the Black Rider, ‘… already some in Bree are in their clutch’</w:t>
      </w:r>
      <w:r>
        <w:rPr>
          <w:rStyle w:val="FootnoteReference"/>
          <w:iCs/>
        </w:rPr>
        <w:footnoteReference w:id="26"/>
      </w:r>
      <w:r>
        <w:rPr>
          <w:iCs/>
        </w:rPr>
        <w:t>. Frodo laments ‘We seem to have enemies all around’</w:t>
      </w:r>
      <w:r>
        <w:rPr>
          <w:rStyle w:val="FootnoteReference"/>
          <w:iCs/>
        </w:rPr>
        <w:footnoteReference w:id="27"/>
      </w:r>
      <w:r>
        <w:rPr>
          <w:iCs/>
        </w:rPr>
        <w:t>, something which would have been clear from the propaganda from the National Socialist Party</w:t>
      </w:r>
      <w:r w:rsidR="00371779">
        <w:rPr>
          <w:iCs/>
        </w:rPr>
        <w:t xml:space="preserve"> and its widespread effects throughout both Germany but wider Europe and the UK</w:t>
      </w:r>
      <w:r>
        <w:rPr>
          <w:iCs/>
        </w:rPr>
        <w:t xml:space="preserve">. </w:t>
      </w:r>
      <w:r w:rsidR="00371779">
        <w:rPr>
          <w:iCs/>
        </w:rPr>
        <w:t xml:space="preserve">However, in a similar approach to his challenge </w:t>
      </w:r>
      <w:r w:rsidR="00C15B99">
        <w:rPr>
          <w:iCs/>
        </w:rPr>
        <w:t>against the power of evil, this</w:t>
      </w:r>
      <w:r>
        <w:rPr>
          <w:iCs/>
        </w:rPr>
        <w:t xml:space="preserve"> is something </w:t>
      </w:r>
      <w:r>
        <w:rPr>
          <w:iCs/>
        </w:rPr>
        <w:lastRenderedPageBreak/>
        <w:t>Tolkien challenges within the text</w:t>
      </w:r>
      <w:r w:rsidR="00C15B99">
        <w:rPr>
          <w:iCs/>
        </w:rPr>
        <w:t>. As the Hobbits have</w:t>
      </w:r>
      <w:r>
        <w:rPr>
          <w:iCs/>
        </w:rPr>
        <w:t xml:space="preserve"> the presence of Strider to guide and save the Hobbits from their fate at the hands of the Black Riders</w:t>
      </w:r>
      <w:r w:rsidR="00C15B99">
        <w:rPr>
          <w:iCs/>
        </w:rPr>
        <w:t>, t</w:t>
      </w:r>
      <w:r w:rsidR="000E2EE2">
        <w:rPr>
          <w:iCs/>
        </w:rPr>
        <w:t xml:space="preserve">errible fates never quite befall them. </w:t>
      </w:r>
      <w:r>
        <w:rPr>
          <w:iCs/>
        </w:rPr>
        <w:t xml:space="preserve">There is always a presence in the text who steps in to save the Hobbits and prevent Sauron’s men from reclaiming the </w:t>
      </w:r>
      <w:r w:rsidR="000E2EE2">
        <w:rPr>
          <w:iCs/>
        </w:rPr>
        <w:t xml:space="preserve">One Ring, evidencing Tolkien processing and ultimately reframing the narrative demonstrated by Nazi ideology. </w:t>
      </w:r>
    </w:p>
    <w:p w14:paraId="3750E077" w14:textId="32763459" w:rsidR="000C485E" w:rsidRDefault="000C485E" w:rsidP="00FE06DC">
      <w:pPr>
        <w:spacing w:line="360" w:lineRule="auto"/>
        <w:rPr>
          <w:iCs/>
        </w:rPr>
      </w:pPr>
      <w:r>
        <w:rPr>
          <w:iCs/>
        </w:rPr>
        <w:t>Ultimately</w:t>
      </w:r>
      <w:r w:rsidR="000E2EE2">
        <w:rPr>
          <w:iCs/>
        </w:rPr>
        <w:t xml:space="preserve"> the espionage coming from those in the community around </w:t>
      </w:r>
      <w:r w:rsidR="00994386">
        <w:rPr>
          <w:iCs/>
        </w:rPr>
        <w:t xml:space="preserve">the Hobbits </w:t>
      </w:r>
      <w:proofErr w:type="gramStart"/>
      <w:r w:rsidR="00994386">
        <w:rPr>
          <w:iCs/>
        </w:rPr>
        <w:t xml:space="preserve">and </w:t>
      </w:r>
      <w:r>
        <w:rPr>
          <w:iCs/>
        </w:rPr>
        <w:t xml:space="preserve"> develops</w:t>
      </w:r>
      <w:proofErr w:type="gramEnd"/>
      <w:r>
        <w:rPr>
          <w:iCs/>
        </w:rPr>
        <w:t xml:space="preserve"> through the t</w:t>
      </w:r>
      <w:r w:rsidR="00994386">
        <w:rPr>
          <w:iCs/>
        </w:rPr>
        <w:t>ale</w:t>
      </w:r>
      <w:r>
        <w:rPr>
          <w:iCs/>
        </w:rPr>
        <w:t xml:space="preserve"> to being a physical weight for Frodo, and by the time Frodo, Sam and Gollum approach Mordor Frodo is suffering greatly with his burden. Tolkien describes Frodo’s concerns: </w:t>
      </w:r>
    </w:p>
    <w:p w14:paraId="34C0160A" w14:textId="77777777" w:rsidR="000C485E" w:rsidRDefault="000C485E" w:rsidP="00FE06DC">
      <w:pPr>
        <w:spacing w:line="240" w:lineRule="auto"/>
        <w:ind w:left="720" w:right="567"/>
        <w:rPr>
          <w:iCs/>
        </w:rPr>
      </w:pPr>
      <w:r>
        <w:rPr>
          <w:iCs/>
        </w:rPr>
        <w:t>…far more he was troubled by the Eye… The Eye: that horrible growing sense of a hostile will that strove with great power to pierce all shadows of cloud, and earth, and flesh, and to see you: to pin you under its deadly gaze, naked, immovable.</w:t>
      </w:r>
      <w:r>
        <w:rPr>
          <w:rStyle w:val="FootnoteReference"/>
          <w:iCs/>
        </w:rPr>
        <w:footnoteReference w:id="28"/>
      </w:r>
    </w:p>
    <w:p w14:paraId="1D4FB79A" w14:textId="4312C3F5" w:rsidR="000C485E" w:rsidRDefault="000C485E" w:rsidP="00FE06DC">
      <w:pPr>
        <w:spacing w:line="360" w:lineRule="auto"/>
      </w:pPr>
      <w:r>
        <w:rPr>
          <w:iCs/>
        </w:rPr>
        <w:t xml:space="preserve">The weight of espionage and the damage that the lack of trust in </w:t>
      </w:r>
      <w:proofErr w:type="gramStart"/>
      <w:r>
        <w:rPr>
          <w:iCs/>
        </w:rPr>
        <w:t>ones</w:t>
      </w:r>
      <w:proofErr w:type="gramEnd"/>
      <w:r>
        <w:rPr>
          <w:iCs/>
        </w:rPr>
        <w:t xml:space="preserve"> neighbour(s) must have been difficult for Tolkien</w:t>
      </w:r>
      <w:r w:rsidR="00994386">
        <w:rPr>
          <w:iCs/>
        </w:rPr>
        <w:t>, as this piece of the story demonstrates</w:t>
      </w:r>
      <w:r>
        <w:rPr>
          <w:iCs/>
        </w:rPr>
        <w:t xml:space="preserve">. However, Tolkien clearly highlights later in the work that the Eye does not always see everything, especially </w:t>
      </w:r>
      <w:proofErr w:type="gramStart"/>
      <w:r>
        <w:rPr>
          <w:iCs/>
        </w:rPr>
        <w:t>in the midst of</w:t>
      </w:r>
      <w:proofErr w:type="gramEnd"/>
      <w:r>
        <w:rPr>
          <w:iCs/>
        </w:rPr>
        <w:t xml:space="preserve"> war – </w:t>
      </w:r>
      <w:proofErr w:type="gramStart"/>
      <w:r>
        <w:rPr>
          <w:iCs/>
        </w:rPr>
        <w:t>‘ The</w:t>
      </w:r>
      <w:proofErr w:type="gramEnd"/>
      <w:r>
        <w:rPr>
          <w:iCs/>
        </w:rPr>
        <w:t xml:space="preserve"> Eye was busy elsewhere, I suppose’</w:t>
      </w:r>
      <w:r>
        <w:rPr>
          <w:rStyle w:val="FootnoteReference"/>
          <w:iCs/>
        </w:rPr>
        <w:footnoteReference w:id="29"/>
      </w:r>
      <w:r>
        <w:rPr>
          <w:iCs/>
        </w:rPr>
        <w:t>. Highlighting this important detail reiterates to the reader that no matter how all-powerful a regime may intend to come across, or how thorough its propaganda of spying and knowing everything may be, it is never truly infallible. Despite countless attempts to stalk, hunt, spy upon and locate Frodo, the Fellowship and ultimately to locate the One Ring, Sauron does not manage this successfully, and against all odds, Frodo and Sam survive their journey and the long quest, thus undermining Sauron’s attempt at omniscience and omnipresence throughout the books</w:t>
      </w:r>
      <w:r w:rsidR="00994386">
        <w:rPr>
          <w:iCs/>
        </w:rPr>
        <w:t xml:space="preserve">. Tolkien’s attempt at reframing the overwhelming power of the propaganda from Nazi Germany is successful here, as his protagonists survive against all odds and against the overwhelming weight and burden of carrying the Ring to its doom in Mordor. </w:t>
      </w:r>
    </w:p>
    <w:p w14:paraId="0EB088C5" w14:textId="5C1E3F68" w:rsidR="00B84CBC" w:rsidRPr="00670111" w:rsidRDefault="00670111" w:rsidP="00FE06DC">
      <w:pPr>
        <w:spacing w:line="360" w:lineRule="auto"/>
      </w:pPr>
      <w:r>
        <w:rPr>
          <w:u w:val="single"/>
        </w:rPr>
        <w:t>Anti-Jewishness and the Dwarves</w:t>
      </w:r>
    </w:p>
    <w:p w14:paraId="2BC559C6" w14:textId="51A1DA1B" w:rsidR="00994386" w:rsidRPr="00994386" w:rsidRDefault="00994386" w:rsidP="00FE06DC">
      <w:pPr>
        <w:spacing w:line="360" w:lineRule="auto"/>
      </w:pPr>
      <w:r>
        <w:t xml:space="preserve">As this essay has highlighted, Germany was not entirely alone in its anti-Jewish ideology. English culture is traditionally very anti-Jewish and anti-Semitic, something Tolkien would have known perfectly well being a scholar of medieval Britain. Tolkien himself has been accused of maintaining the status quo and in particular replicating anti-Semitic views and stereotypes within his work, especially </w:t>
      </w:r>
      <w:r w:rsidR="00FE06DC">
        <w:t xml:space="preserve">regarding </w:t>
      </w:r>
      <w:r>
        <w:rPr>
          <w:i/>
          <w:iCs/>
        </w:rPr>
        <w:t>The Hobbit</w:t>
      </w:r>
      <w:r>
        <w:t xml:space="preserve">. </w:t>
      </w:r>
    </w:p>
    <w:p w14:paraId="648B42A7" w14:textId="58620D3F" w:rsidR="007415B1" w:rsidRPr="009A74CF" w:rsidRDefault="007A4B7A" w:rsidP="00FE06DC">
      <w:pPr>
        <w:spacing w:line="360" w:lineRule="auto"/>
        <w:rPr>
          <w:iCs/>
        </w:rPr>
      </w:pPr>
      <w:r>
        <w:lastRenderedPageBreak/>
        <w:t xml:space="preserve">Brackmann discusses in her 2010 paper that </w:t>
      </w:r>
      <w:r w:rsidR="00EA2CBD">
        <w:t xml:space="preserve">‘the creation of the Dwarves steeps itself in the sort of </w:t>
      </w:r>
      <w:proofErr w:type="spellStart"/>
      <w:r w:rsidR="00EA2CBD">
        <w:t>supersessionist</w:t>
      </w:r>
      <w:proofErr w:type="spellEnd"/>
      <w:r w:rsidR="00EA2CBD">
        <w:t xml:space="preserve"> dynamic that early Christian writers used’</w:t>
      </w:r>
      <w:r w:rsidR="0026045A">
        <w:rPr>
          <w:rStyle w:val="FootnoteReference"/>
        </w:rPr>
        <w:footnoteReference w:id="30"/>
      </w:r>
      <w:r w:rsidR="00EA2CBD">
        <w:t xml:space="preserve"> when discussing Judaism and Christianity’s origins. </w:t>
      </w:r>
      <w:r w:rsidR="00BD7CD0">
        <w:t xml:space="preserve">Even Brackmann notes that Tolkien’s experiences likely shaped </w:t>
      </w:r>
      <w:r w:rsidR="00D407FD">
        <w:t>the narrative, stating that ‘Tolkien’s exposure to antisemitic beliefs came potentially from two sources: the culture of his own lifetime, and the medieval texts that he studied’</w:t>
      </w:r>
      <w:r w:rsidR="00D407FD">
        <w:rPr>
          <w:rStyle w:val="FootnoteReference"/>
        </w:rPr>
        <w:footnoteReference w:id="31"/>
      </w:r>
      <w:r w:rsidR="00685D7E">
        <w:t>. The culture in Tolkien’s lifetime, as previously discussed</w:t>
      </w:r>
      <w:r w:rsidR="00ED5A91">
        <w:t>, was fraught with political tension. Letters sent by Tolkien</w:t>
      </w:r>
      <w:r w:rsidR="00685D7E">
        <w:t xml:space="preserve"> demonstrates that </w:t>
      </w:r>
      <w:r w:rsidR="00ED5A91">
        <w:t>he</w:t>
      </w:r>
      <w:r w:rsidR="00685D7E">
        <w:t xml:space="preserve"> had a very clear understanding of his own difficult position, as an English man with a German name and German ancestry</w:t>
      </w:r>
      <w:r w:rsidR="000612CE">
        <w:t xml:space="preserve">. Tolkien </w:t>
      </w:r>
      <w:r w:rsidR="00037A3A">
        <w:t xml:space="preserve">clearly </w:t>
      </w:r>
      <w:r w:rsidR="000612CE">
        <w:t xml:space="preserve">did not agree with the anti-Semitic beliefs portrayed by the </w:t>
      </w:r>
      <w:r w:rsidR="0011727B">
        <w:t xml:space="preserve">Germans, and taking this into consideration it can be argued that while Tolkien may well have unconsciously reflected anti-Jewish bias based on both his modelling of </w:t>
      </w:r>
      <w:r w:rsidR="0011727B">
        <w:rPr>
          <w:i/>
          <w:iCs/>
        </w:rPr>
        <w:t>The Lord of the Rings</w:t>
      </w:r>
      <w:r w:rsidR="0011727B">
        <w:t xml:space="preserve"> and</w:t>
      </w:r>
      <w:r w:rsidR="0011727B">
        <w:rPr>
          <w:iCs/>
        </w:rPr>
        <w:t xml:space="preserve"> the wider culture in his narratives of Middle-Earth, </w:t>
      </w:r>
      <w:r w:rsidR="00FF0320">
        <w:rPr>
          <w:iCs/>
        </w:rPr>
        <w:t>he did not necessarily agree with them</w:t>
      </w:r>
      <w:r w:rsidR="00D53BC5">
        <w:rPr>
          <w:iCs/>
        </w:rPr>
        <w:t xml:space="preserve">. </w:t>
      </w:r>
      <w:r w:rsidR="002D6C0D">
        <w:rPr>
          <w:iCs/>
        </w:rPr>
        <w:t>However, as Zak Cramer discusses and asks of Tolkien- ‘Did Tolkien, thus, think of Thorin as like a Jew?’</w:t>
      </w:r>
      <w:r w:rsidR="002D6C0D">
        <w:rPr>
          <w:rStyle w:val="FootnoteReference"/>
          <w:iCs/>
        </w:rPr>
        <w:footnoteReference w:id="32"/>
      </w:r>
      <w:r w:rsidR="009A74CF">
        <w:rPr>
          <w:iCs/>
        </w:rPr>
        <w:t xml:space="preserve">. </w:t>
      </w:r>
      <w:r w:rsidR="00FE06DC">
        <w:rPr>
          <w:iCs/>
        </w:rPr>
        <w:t>Certainly,</w:t>
      </w:r>
      <w:r w:rsidR="009A74CF">
        <w:rPr>
          <w:iCs/>
        </w:rPr>
        <w:t xml:space="preserve"> in </w:t>
      </w:r>
      <w:r w:rsidR="009A74CF">
        <w:rPr>
          <w:i/>
        </w:rPr>
        <w:t>The Hobbit</w:t>
      </w:r>
      <w:r w:rsidR="009A74CF">
        <w:rPr>
          <w:iCs/>
        </w:rPr>
        <w:t xml:space="preserve"> Tolkien’s depiction of Dwarves is less than positive, with Thorin’s possessive gold-sickness overcoming him. However, Tolkien uses writing </w:t>
      </w:r>
      <w:r w:rsidR="009A74CF">
        <w:rPr>
          <w:i/>
        </w:rPr>
        <w:t>The Lord of the Rings</w:t>
      </w:r>
      <w:r w:rsidR="009A74CF">
        <w:rPr>
          <w:iCs/>
        </w:rPr>
        <w:t xml:space="preserve"> to challenge this. </w:t>
      </w:r>
    </w:p>
    <w:p w14:paraId="1D9C40EC" w14:textId="3D2A5908" w:rsidR="00FF0320" w:rsidRDefault="002275AA" w:rsidP="00FE06DC">
      <w:pPr>
        <w:spacing w:line="360" w:lineRule="auto"/>
        <w:rPr>
          <w:iCs/>
        </w:rPr>
      </w:pPr>
      <w:r>
        <w:rPr>
          <w:iCs/>
        </w:rPr>
        <w:t>In the face of the German anti-Jewish ideology which was becoming more widespread throughout the 1930s Tolkien changes</w:t>
      </w:r>
      <w:r w:rsidR="00006FE9">
        <w:rPr>
          <w:iCs/>
        </w:rPr>
        <w:t xml:space="preserve"> his approach to describing</w:t>
      </w:r>
      <w:r>
        <w:rPr>
          <w:iCs/>
        </w:rPr>
        <w:t xml:space="preserve"> the </w:t>
      </w:r>
      <w:r w:rsidR="00687C3D">
        <w:rPr>
          <w:iCs/>
        </w:rPr>
        <w:t>Dwarves</w:t>
      </w:r>
      <w:r w:rsidR="00006FE9">
        <w:rPr>
          <w:iCs/>
        </w:rPr>
        <w:t xml:space="preserve"> in the face of the anti-Jewish propaganda coming from Germany at the time</w:t>
      </w:r>
      <w:r w:rsidR="00164CC7">
        <w:rPr>
          <w:iCs/>
        </w:rPr>
        <w:t>.</w:t>
      </w:r>
      <w:r w:rsidR="00006FE9">
        <w:rPr>
          <w:iCs/>
        </w:rPr>
        <w:t xml:space="preserve"> Gandalf, who is frequently responsible for saving Bilbo (and the Company) in </w:t>
      </w:r>
      <w:r w:rsidR="00006FE9">
        <w:rPr>
          <w:i/>
        </w:rPr>
        <w:t xml:space="preserve">The Hobbit </w:t>
      </w:r>
      <w:r w:rsidR="00006FE9">
        <w:rPr>
          <w:iCs/>
        </w:rPr>
        <w:t>steps</w:t>
      </w:r>
      <w:r w:rsidR="006C5A86">
        <w:rPr>
          <w:iCs/>
        </w:rPr>
        <w:t xml:space="preserve"> in to single-handedly save Moria from </w:t>
      </w:r>
      <w:r w:rsidR="00585C9F">
        <w:rPr>
          <w:iCs/>
        </w:rPr>
        <w:t xml:space="preserve">the Balrog titled </w:t>
      </w:r>
      <w:r w:rsidR="006C5A86">
        <w:rPr>
          <w:iCs/>
        </w:rPr>
        <w:t>Durin’s Bane</w:t>
      </w:r>
      <w:r w:rsidR="00D50754">
        <w:rPr>
          <w:iCs/>
        </w:rPr>
        <w:t xml:space="preserve"> ‘</w:t>
      </w:r>
      <w:r w:rsidR="00D04755">
        <w:rPr>
          <w:iCs/>
        </w:rPr>
        <w:t>…but still Gandalf could be seen, glimmering in the gloom</w:t>
      </w:r>
      <w:r w:rsidR="00ED2258">
        <w:rPr>
          <w:iCs/>
        </w:rPr>
        <w:t>’</w:t>
      </w:r>
      <w:r w:rsidR="00ED2258">
        <w:rPr>
          <w:rStyle w:val="FootnoteReference"/>
          <w:iCs/>
        </w:rPr>
        <w:footnoteReference w:id="33"/>
      </w:r>
      <w:r w:rsidR="00CB7C5D">
        <w:rPr>
          <w:iCs/>
        </w:rPr>
        <w:t>. In this, Tolkien models the Dwarves being saved from their own greed</w:t>
      </w:r>
      <w:r w:rsidR="00585C9F">
        <w:rPr>
          <w:iCs/>
        </w:rPr>
        <w:t xml:space="preserve"> (as the Balrog was uncovered through extraction of the metal mithril against warnings from outsiders)</w:t>
      </w:r>
      <w:r w:rsidR="00CB7C5D">
        <w:rPr>
          <w:iCs/>
        </w:rPr>
        <w:t xml:space="preserve">, and </w:t>
      </w:r>
      <w:r w:rsidR="00585C9F">
        <w:rPr>
          <w:iCs/>
        </w:rPr>
        <w:t xml:space="preserve">it can be argued that this is akin to a spiritual pardon with </w:t>
      </w:r>
      <w:r w:rsidR="007A0FCB">
        <w:rPr>
          <w:iCs/>
        </w:rPr>
        <w:t xml:space="preserve">crimes of their people being absolved by the death of the Balrog at Gandalf’s hand. </w:t>
      </w:r>
    </w:p>
    <w:p w14:paraId="660C5903" w14:textId="73587C49" w:rsidR="007A0FCB" w:rsidRDefault="00232D7A" w:rsidP="00FE06DC">
      <w:pPr>
        <w:spacing w:line="360" w:lineRule="auto"/>
        <w:rPr>
          <w:iCs/>
        </w:rPr>
      </w:pPr>
      <w:r>
        <w:rPr>
          <w:iCs/>
        </w:rPr>
        <w:t xml:space="preserve">Tolkien further redeems the Dwarves in </w:t>
      </w:r>
      <w:r w:rsidR="00585C9F">
        <w:rPr>
          <w:iCs/>
        </w:rPr>
        <w:t xml:space="preserve">the figure of </w:t>
      </w:r>
      <w:r>
        <w:rPr>
          <w:iCs/>
        </w:rPr>
        <w:t xml:space="preserve">Gimli, who overcomes </w:t>
      </w:r>
      <w:proofErr w:type="gramStart"/>
      <w:r>
        <w:rPr>
          <w:iCs/>
        </w:rPr>
        <w:t>all of</w:t>
      </w:r>
      <w:proofErr w:type="gramEnd"/>
      <w:r>
        <w:rPr>
          <w:iCs/>
        </w:rPr>
        <w:t xml:space="preserve"> the judgements cast about him by the Elves of </w:t>
      </w:r>
      <w:proofErr w:type="spellStart"/>
      <w:r>
        <w:rPr>
          <w:iCs/>
        </w:rPr>
        <w:t>Lothl</w:t>
      </w:r>
      <w:r w:rsidR="0043443A">
        <w:rPr>
          <w:iCs/>
        </w:rPr>
        <w:t>ó</w:t>
      </w:r>
      <w:r>
        <w:rPr>
          <w:iCs/>
        </w:rPr>
        <w:t>rien</w:t>
      </w:r>
      <w:proofErr w:type="spellEnd"/>
      <w:r w:rsidR="008B0E76">
        <w:rPr>
          <w:iCs/>
        </w:rPr>
        <w:t xml:space="preserve">, </w:t>
      </w:r>
      <w:r w:rsidR="0033106D">
        <w:rPr>
          <w:iCs/>
        </w:rPr>
        <w:t xml:space="preserve">and leaves </w:t>
      </w:r>
      <w:r w:rsidR="0016566F">
        <w:rPr>
          <w:iCs/>
        </w:rPr>
        <w:t>with ‘three golden hairs’</w:t>
      </w:r>
      <w:r w:rsidR="0016566F">
        <w:rPr>
          <w:rStyle w:val="FootnoteReference"/>
          <w:iCs/>
        </w:rPr>
        <w:footnoteReference w:id="34"/>
      </w:r>
      <w:r w:rsidR="00DE7E04">
        <w:rPr>
          <w:iCs/>
        </w:rPr>
        <w:t xml:space="preserve"> from Galadriel’s head, which symbolise the redemption</w:t>
      </w:r>
      <w:r w:rsidR="00585C9F">
        <w:rPr>
          <w:iCs/>
        </w:rPr>
        <w:t xml:space="preserve"> in direct contrast to prior </w:t>
      </w:r>
      <w:r w:rsidR="00F249A3">
        <w:rPr>
          <w:iCs/>
        </w:rPr>
        <w:t>suitors whom Galadriel refused</w:t>
      </w:r>
      <w:r w:rsidR="00585C9F">
        <w:rPr>
          <w:iCs/>
        </w:rPr>
        <w:t xml:space="preserve">. </w:t>
      </w:r>
      <w:r w:rsidR="00F249A3">
        <w:rPr>
          <w:iCs/>
        </w:rPr>
        <w:t xml:space="preserve">Finally, </w:t>
      </w:r>
      <w:r w:rsidR="00DE7E04">
        <w:rPr>
          <w:iCs/>
        </w:rPr>
        <w:t xml:space="preserve">Gimli ultimately leaves Middle-Earth with </w:t>
      </w:r>
      <w:r w:rsidR="00E31844">
        <w:rPr>
          <w:iCs/>
        </w:rPr>
        <w:t>Legolas to return to the Elf-lands</w:t>
      </w:r>
      <w:r w:rsidR="00F249A3">
        <w:rPr>
          <w:iCs/>
        </w:rPr>
        <w:t xml:space="preserve"> over </w:t>
      </w:r>
      <w:r w:rsidR="00F249A3">
        <w:rPr>
          <w:iCs/>
        </w:rPr>
        <w:lastRenderedPageBreak/>
        <w:t>the Sea, becoming the only Dwarf ever to do so</w:t>
      </w:r>
      <w:r w:rsidR="00E31844">
        <w:rPr>
          <w:iCs/>
        </w:rPr>
        <w:t>. These actions taken to ‘redeem’ the Dwarve</w:t>
      </w:r>
      <w:r w:rsidR="00F249A3">
        <w:rPr>
          <w:iCs/>
        </w:rPr>
        <w:t xml:space="preserve">s clearly demonstrate </w:t>
      </w:r>
      <w:r w:rsidR="00E31844">
        <w:rPr>
          <w:iCs/>
        </w:rPr>
        <w:t>Tolkien</w:t>
      </w:r>
      <w:r w:rsidR="00F249A3">
        <w:rPr>
          <w:iCs/>
        </w:rPr>
        <w:t xml:space="preserve"> understanding and challenging the notions of </w:t>
      </w:r>
      <w:r w:rsidR="003A218C">
        <w:rPr>
          <w:iCs/>
        </w:rPr>
        <w:t>anti-Semitism and</w:t>
      </w:r>
      <w:r w:rsidR="00F249A3">
        <w:rPr>
          <w:iCs/>
        </w:rPr>
        <w:t xml:space="preserve"> taking active steps to undo any potential damage from his own</w:t>
      </w:r>
      <w:r w:rsidR="003A218C">
        <w:rPr>
          <w:iCs/>
        </w:rPr>
        <w:t xml:space="preserve"> story. The actions taken by characters in </w:t>
      </w:r>
      <w:r w:rsidR="003A218C">
        <w:rPr>
          <w:i/>
        </w:rPr>
        <w:t xml:space="preserve">The Lord of the Rings </w:t>
      </w:r>
      <w:r w:rsidR="003A218C">
        <w:rPr>
          <w:iCs/>
        </w:rPr>
        <w:t>therefore symbolise</w:t>
      </w:r>
      <w:r w:rsidR="00E31844">
        <w:rPr>
          <w:iCs/>
        </w:rPr>
        <w:t xml:space="preserve"> a potential ‘redemption’ and forgiveness of the </w:t>
      </w:r>
      <w:r w:rsidR="00816F8E">
        <w:rPr>
          <w:iCs/>
        </w:rPr>
        <w:t>villainization</w:t>
      </w:r>
      <w:r w:rsidR="00E31844">
        <w:rPr>
          <w:iCs/>
        </w:rPr>
        <w:t xml:space="preserve"> of Jewish people, and ultimately a reconciliation between Jewish people and other cultures</w:t>
      </w:r>
      <w:r w:rsidR="003A218C">
        <w:rPr>
          <w:iCs/>
        </w:rPr>
        <w:t xml:space="preserve"> which Tolkien may have hoped for</w:t>
      </w:r>
      <w:r w:rsidR="00F249A3">
        <w:rPr>
          <w:iCs/>
        </w:rPr>
        <w:t xml:space="preserve">. </w:t>
      </w:r>
    </w:p>
    <w:p w14:paraId="027829BD" w14:textId="2FD388C7" w:rsidR="008678BB" w:rsidRPr="00670111" w:rsidRDefault="00670111" w:rsidP="00FE06DC">
      <w:pPr>
        <w:spacing w:line="360" w:lineRule="auto"/>
        <w:rPr>
          <w:iCs/>
        </w:rPr>
      </w:pPr>
      <w:r>
        <w:rPr>
          <w:iCs/>
          <w:u w:val="single"/>
        </w:rPr>
        <w:t>The Aftermath of War</w:t>
      </w:r>
    </w:p>
    <w:p w14:paraId="0124F9D8" w14:textId="5568FAAB" w:rsidR="00512D4D" w:rsidRDefault="002E5F6F" w:rsidP="00FE06DC">
      <w:pPr>
        <w:spacing w:line="360" w:lineRule="auto"/>
        <w:rPr>
          <w:iCs/>
        </w:rPr>
      </w:pPr>
      <w:r>
        <w:rPr>
          <w:iCs/>
        </w:rPr>
        <w:t xml:space="preserve">One of the </w:t>
      </w:r>
      <w:r w:rsidR="00847FB8">
        <w:rPr>
          <w:iCs/>
        </w:rPr>
        <w:t xml:space="preserve">other </w:t>
      </w:r>
      <w:r>
        <w:rPr>
          <w:iCs/>
        </w:rPr>
        <w:t xml:space="preserve">primary ways it can be argued that Tolkien </w:t>
      </w:r>
      <w:r w:rsidR="00512D4D">
        <w:rPr>
          <w:iCs/>
        </w:rPr>
        <w:t xml:space="preserve">used the creation of </w:t>
      </w:r>
      <w:r w:rsidR="00512D4D">
        <w:rPr>
          <w:i/>
        </w:rPr>
        <w:t>The Lord of the Rings</w:t>
      </w:r>
      <w:r w:rsidR="00512D4D">
        <w:rPr>
          <w:iCs/>
        </w:rPr>
        <w:t xml:space="preserve"> to process is the aftermath of the War, and this is shown </w:t>
      </w:r>
      <w:r w:rsidR="006409E6">
        <w:rPr>
          <w:iCs/>
        </w:rPr>
        <w:t xml:space="preserve">in </w:t>
      </w:r>
      <w:r w:rsidR="00816F8E">
        <w:rPr>
          <w:iCs/>
        </w:rPr>
        <w:t>the ways</w:t>
      </w:r>
      <w:r w:rsidR="008E10F8">
        <w:rPr>
          <w:iCs/>
        </w:rPr>
        <w:t xml:space="preserve"> the characters are impacted after the events of the text. This is particularly poignant when </w:t>
      </w:r>
      <w:r>
        <w:rPr>
          <w:iCs/>
        </w:rPr>
        <w:t xml:space="preserve">considering the timescales of which the text was written. In the Foreword in </w:t>
      </w:r>
      <w:r w:rsidR="008678BB">
        <w:rPr>
          <w:i/>
        </w:rPr>
        <w:t>The Fellowship of the Ring</w:t>
      </w:r>
      <w:r w:rsidR="008678BB">
        <w:rPr>
          <w:iCs/>
        </w:rPr>
        <w:t xml:space="preserve"> Tolkien discusses </w:t>
      </w:r>
      <w:r w:rsidR="00845C85">
        <w:rPr>
          <w:iCs/>
        </w:rPr>
        <w:t xml:space="preserve">how Frodo’s journey to Mordor was </w:t>
      </w:r>
      <w:r w:rsidR="00C66CC8">
        <w:rPr>
          <w:iCs/>
        </w:rPr>
        <w:t xml:space="preserve">begun </w:t>
      </w:r>
      <w:r w:rsidR="00845C85">
        <w:rPr>
          <w:iCs/>
        </w:rPr>
        <w:t>in 1944 and sent as a serial to his son Christopher,</w:t>
      </w:r>
      <w:r w:rsidR="00C66CC8">
        <w:rPr>
          <w:iCs/>
        </w:rPr>
        <w:t xml:space="preserve"> </w:t>
      </w:r>
      <w:r w:rsidR="00845C85">
        <w:rPr>
          <w:iCs/>
        </w:rPr>
        <w:t>and over the next 5 years the text was written</w:t>
      </w:r>
      <w:r w:rsidR="00512D4D">
        <w:rPr>
          <w:iCs/>
        </w:rPr>
        <w:t xml:space="preserve">. This would have therefore been created during the end of the Second World War and the </w:t>
      </w:r>
      <w:r w:rsidR="00E12D6F">
        <w:rPr>
          <w:iCs/>
        </w:rPr>
        <w:t>subsequent Nuremberg Trials.</w:t>
      </w:r>
    </w:p>
    <w:p w14:paraId="7277C236" w14:textId="4D03E87E" w:rsidR="00BE495E" w:rsidRDefault="000440FC" w:rsidP="00FE06DC">
      <w:pPr>
        <w:spacing w:line="360" w:lineRule="auto"/>
        <w:rPr>
          <w:iCs/>
        </w:rPr>
      </w:pPr>
      <w:r>
        <w:rPr>
          <w:iCs/>
        </w:rPr>
        <w:t xml:space="preserve">Tolkien’s text </w:t>
      </w:r>
      <w:r w:rsidR="00023AE1">
        <w:rPr>
          <w:iCs/>
        </w:rPr>
        <w:t>is almost a mirror to the events of wrapping up the war</w:t>
      </w:r>
      <w:r w:rsidR="00850BE4">
        <w:rPr>
          <w:iCs/>
        </w:rPr>
        <w:t xml:space="preserve"> </w:t>
      </w:r>
      <w:r w:rsidR="008E10F8">
        <w:rPr>
          <w:iCs/>
        </w:rPr>
        <w:t xml:space="preserve">and its outcome. The Hobbits deal with the formalities of </w:t>
      </w:r>
      <w:r w:rsidR="00E12D6F">
        <w:rPr>
          <w:iCs/>
        </w:rPr>
        <w:t>the victory, including state funerals and reinstatement of rulers (Th</w:t>
      </w:r>
      <w:r w:rsidR="005F7996">
        <w:rPr>
          <w:iCs/>
        </w:rPr>
        <w:t>éo</w:t>
      </w:r>
      <w:r w:rsidR="00E12D6F">
        <w:rPr>
          <w:iCs/>
        </w:rPr>
        <w:t>den and Aragorn)</w:t>
      </w:r>
      <w:r w:rsidR="005F7996">
        <w:rPr>
          <w:iCs/>
        </w:rPr>
        <w:t>, before returning home</w:t>
      </w:r>
      <w:r w:rsidR="00413571">
        <w:rPr>
          <w:iCs/>
        </w:rPr>
        <w:t xml:space="preserve"> to the Shire</w:t>
      </w:r>
      <w:r w:rsidR="00337C36">
        <w:rPr>
          <w:iCs/>
        </w:rPr>
        <w:t xml:space="preserve">, and the text </w:t>
      </w:r>
      <w:r w:rsidR="005F7996">
        <w:rPr>
          <w:iCs/>
        </w:rPr>
        <w:t xml:space="preserve">does not simply end at the point that Frodo, Sam and Gollum </w:t>
      </w:r>
      <w:r w:rsidR="007A1399">
        <w:rPr>
          <w:iCs/>
        </w:rPr>
        <w:t xml:space="preserve">destroy the ring. </w:t>
      </w:r>
      <w:proofErr w:type="gramStart"/>
      <w:r w:rsidR="007A1399">
        <w:rPr>
          <w:iCs/>
        </w:rPr>
        <w:t>Instead</w:t>
      </w:r>
      <w:proofErr w:type="gramEnd"/>
      <w:r w:rsidR="007A1399">
        <w:rPr>
          <w:iCs/>
        </w:rPr>
        <w:t xml:space="preserve"> the tale continues and provides details of </w:t>
      </w:r>
      <w:r w:rsidR="00337C36">
        <w:rPr>
          <w:iCs/>
        </w:rPr>
        <w:t xml:space="preserve">their journey home </w:t>
      </w:r>
      <w:r w:rsidR="00FA5A17">
        <w:rPr>
          <w:iCs/>
        </w:rPr>
        <w:t>and further dealings with Saruman.</w:t>
      </w:r>
      <w:r w:rsidR="007A1399">
        <w:rPr>
          <w:iCs/>
        </w:rPr>
        <w:t xml:space="preserve"> In direct </w:t>
      </w:r>
      <w:r w:rsidR="00FE06DC">
        <w:rPr>
          <w:iCs/>
        </w:rPr>
        <w:t>correlation, after</w:t>
      </w:r>
      <w:r w:rsidR="00745408">
        <w:rPr>
          <w:iCs/>
        </w:rPr>
        <w:t xml:space="preserve"> the conclusion to the Second World War the</w:t>
      </w:r>
      <w:r w:rsidR="0040156F">
        <w:rPr>
          <w:iCs/>
        </w:rPr>
        <w:t xml:space="preserve"> ramifications of the War continued while Nazi generals were brought to account for their crimes during the war. There was limited appetite for the realities of the concentration camps and the full spectrum of </w:t>
      </w:r>
      <w:r w:rsidR="00587F0C">
        <w:rPr>
          <w:iCs/>
        </w:rPr>
        <w:t xml:space="preserve">crimes committed in the name of Nazi ideology, </w:t>
      </w:r>
      <w:r w:rsidR="001A7141">
        <w:rPr>
          <w:iCs/>
        </w:rPr>
        <w:t xml:space="preserve">as </w:t>
      </w:r>
      <w:r w:rsidR="00260810">
        <w:rPr>
          <w:iCs/>
        </w:rPr>
        <w:t>Caroline Sharples writes</w:t>
      </w:r>
      <w:r w:rsidR="00587F0C">
        <w:rPr>
          <w:iCs/>
        </w:rPr>
        <w:t>:</w:t>
      </w:r>
      <w:r w:rsidR="00260810">
        <w:rPr>
          <w:iCs/>
        </w:rPr>
        <w:t xml:space="preserve"> ‘</w:t>
      </w:r>
      <w:r w:rsidR="00EC4D00">
        <w:rPr>
          <w:iCs/>
        </w:rPr>
        <w:t>… much of the focus within Britain… rested firmly on the concentration camps in Western Europe’</w:t>
      </w:r>
      <w:r w:rsidR="00235423">
        <w:rPr>
          <w:rStyle w:val="FootnoteReference"/>
          <w:iCs/>
        </w:rPr>
        <w:footnoteReference w:id="35"/>
      </w:r>
      <w:r w:rsidR="00587F0C">
        <w:rPr>
          <w:iCs/>
        </w:rPr>
        <w:t>. U</w:t>
      </w:r>
      <w:r w:rsidR="00E463B6">
        <w:rPr>
          <w:iCs/>
        </w:rPr>
        <w:t xml:space="preserve">ltimately full clarity was not given to the true events of the War, which happened </w:t>
      </w:r>
      <w:r w:rsidR="00621671">
        <w:rPr>
          <w:iCs/>
        </w:rPr>
        <w:t xml:space="preserve">years later. </w:t>
      </w:r>
    </w:p>
    <w:p w14:paraId="7BDA6210" w14:textId="7E4E94FA" w:rsidR="00847FB8" w:rsidRPr="008678BB" w:rsidRDefault="0039467F" w:rsidP="00FE06DC">
      <w:pPr>
        <w:spacing w:line="360" w:lineRule="auto"/>
        <w:rPr>
          <w:iCs/>
        </w:rPr>
      </w:pPr>
      <w:r>
        <w:rPr>
          <w:iCs/>
        </w:rPr>
        <w:t>While the information of the War may not have been truly accessible until much later, in the development of the</w:t>
      </w:r>
      <w:r w:rsidR="00587F0C">
        <w:rPr>
          <w:iCs/>
        </w:rPr>
        <w:t xml:space="preserve"> plot in </w:t>
      </w:r>
      <w:r w:rsidR="00587F0C">
        <w:rPr>
          <w:i/>
        </w:rPr>
        <w:t xml:space="preserve">The Lord of the Rings </w:t>
      </w:r>
      <w:r>
        <w:rPr>
          <w:iCs/>
        </w:rPr>
        <w:t xml:space="preserve">focusing on the aftermath of the war it is plausible to trace both autobiographical </w:t>
      </w:r>
      <w:r w:rsidR="009F0CD8">
        <w:rPr>
          <w:iCs/>
        </w:rPr>
        <w:t xml:space="preserve">experience </w:t>
      </w:r>
      <w:r w:rsidR="00850BE4">
        <w:rPr>
          <w:iCs/>
        </w:rPr>
        <w:t>and</w:t>
      </w:r>
      <w:r w:rsidR="009F0CD8">
        <w:rPr>
          <w:iCs/>
        </w:rPr>
        <w:t xml:space="preserve"> Tolkien’s </w:t>
      </w:r>
      <w:r w:rsidR="004B410D">
        <w:rPr>
          <w:iCs/>
        </w:rPr>
        <w:t xml:space="preserve">understanding and processing of the aftermath of the Nazi regime in Europe. As </w:t>
      </w:r>
      <w:r w:rsidR="002A0DB6">
        <w:rPr>
          <w:iCs/>
        </w:rPr>
        <w:t>Hauner explains</w:t>
      </w:r>
      <w:r w:rsidR="004B410D">
        <w:rPr>
          <w:iCs/>
        </w:rPr>
        <w:t xml:space="preserve"> </w:t>
      </w:r>
      <w:r w:rsidR="004B410D">
        <w:t xml:space="preserve">‘The memories of the first world war, with its endless carnage, exercised a profound influence on men like </w:t>
      </w:r>
      <w:r w:rsidR="004B410D">
        <w:lastRenderedPageBreak/>
        <w:t>Hitler’</w:t>
      </w:r>
      <w:r w:rsidR="004B410D">
        <w:rPr>
          <w:rStyle w:val="FootnoteReference"/>
        </w:rPr>
        <w:footnoteReference w:id="36"/>
      </w:r>
      <w:r w:rsidR="004B410D">
        <w:t xml:space="preserve">.  It can be argued that the </w:t>
      </w:r>
      <w:r w:rsidR="002A0DB6">
        <w:t>First World War</w:t>
      </w:r>
      <w:r w:rsidR="00702751">
        <w:t>’s impact on Tolkien would have been similar – he acknowledges</w:t>
      </w:r>
      <w:r w:rsidR="00CA3B61">
        <w:t xml:space="preserve"> this himself in his </w:t>
      </w:r>
      <w:r w:rsidR="004E2492">
        <w:t>Foreword</w:t>
      </w:r>
      <w:r w:rsidR="00CA3B61">
        <w:t xml:space="preserve"> to the Second Edition of the book.</w:t>
      </w:r>
      <w:r w:rsidR="008E3FB6">
        <w:t xml:space="preserve"> </w:t>
      </w:r>
      <w:r w:rsidR="00587F0C">
        <w:t>His</w:t>
      </w:r>
      <w:r w:rsidR="00850BE4">
        <w:t xml:space="preserve"> own experiences were</w:t>
      </w:r>
      <w:r w:rsidR="0069565D">
        <w:t xml:space="preserve"> likely at the forefront of </w:t>
      </w:r>
      <w:r w:rsidR="00850BE4">
        <w:t xml:space="preserve">his mind while </w:t>
      </w:r>
      <w:r w:rsidR="00587F0C">
        <w:t>news</w:t>
      </w:r>
      <w:r w:rsidR="00850BE4">
        <w:t xml:space="preserve"> about the aftermath of the Nazi regime and the ultimate repercussions of its worldview</w:t>
      </w:r>
      <w:r w:rsidR="00587F0C">
        <w:t xml:space="preserve"> spread</w:t>
      </w:r>
      <w:r w:rsidR="00850BE4">
        <w:t>. Ultimately then, t</w:t>
      </w:r>
      <w:r w:rsidR="004B2484">
        <w:rPr>
          <w:iCs/>
        </w:rPr>
        <w:t>his can be argued to be Tolkien’s attempt at understanding and processing the events that were happening alongside the text</w:t>
      </w:r>
      <w:r w:rsidR="00BE495E">
        <w:rPr>
          <w:iCs/>
        </w:rPr>
        <w:t>’</w:t>
      </w:r>
      <w:r w:rsidR="004B2484">
        <w:rPr>
          <w:iCs/>
        </w:rPr>
        <w:t xml:space="preserve">s construction. As the book itself reads: </w:t>
      </w:r>
      <w:proofErr w:type="gramStart"/>
      <w:r w:rsidR="000D4288">
        <w:rPr>
          <w:iCs/>
        </w:rPr>
        <w:t>‘</w:t>
      </w:r>
      <w:r w:rsidR="00E90A85">
        <w:rPr>
          <w:iCs/>
        </w:rPr>
        <w:t>”</w:t>
      </w:r>
      <w:r w:rsidR="000D4288">
        <w:rPr>
          <w:iCs/>
        </w:rPr>
        <w:t>I</w:t>
      </w:r>
      <w:proofErr w:type="gramEnd"/>
      <w:r w:rsidR="000D4288">
        <w:rPr>
          <w:iCs/>
        </w:rPr>
        <w:t xml:space="preserve"> shan’t call it the end, till we’ve cleared up the mess,” said Sam gloomily. “And that’ll take a lot of time and work.”’</w:t>
      </w:r>
      <w:r w:rsidR="000D4288">
        <w:rPr>
          <w:rStyle w:val="FootnoteReference"/>
          <w:iCs/>
        </w:rPr>
        <w:footnoteReference w:id="37"/>
      </w:r>
      <w:r w:rsidR="00847FB8">
        <w:rPr>
          <w:iCs/>
        </w:rPr>
        <w:t xml:space="preserve"> </w:t>
      </w:r>
    </w:p>
    <w:p w14:paraId="0DAA9716" w14:textId="2D3327D7" w:rsidR="00DB389A" w:rsidRDefault="000A681E" w:rsidP="00FE06DC">
      <w:pPr>
        <w:spacing w:line="360" w:lineRule="auto"/>
      </w:pPr>
      <w:r>
        <w:rPr>
          <w:u w:val="single"/>
        </w:rPr>
        <w:t>Conclusion</w:t>
      </w:r>
    </w:p>
    <w:p w14:paraId="409152A5" w14:textId="7E2EED69" w:rsidR="00D07A78" w:rsidRDefault="000A681E" w:rsidP="00FE06DC">
      <w:pPr>
        <w:spacing w:line="360" w:lineRule="auto"/>
        <w:rPr>
          <w:iCs/>
        </w:rPr>
      </w:pPr>
      <w:r>
        <w:t xml:space="preserve">As this essay has discussed in detail, much of Tolkien’s work in </w:t>
      </w:r>
      <w:r>
        <w:rPr>
          <w:i/>
          <w:iCs/>
        </w:rPr>
        <w:t>The Lord of the Rings</w:t>
      </w:r>
      <w:r>
        <w:rPr>
          <w:iCs/>
        </w:rPr>
        <w:t xml:space="preserve"> is used to change</w:t>
      </w:r>
      <w:r w:rsidR="00587F0C">
        <w:rPr>
          <w:iCs/>
        </w:rPr>
        <w:t xml:space="preserve"> or challenge</w:t>
      </w:r>
      <w:r>
        <w:rPr>
          <w:iCs/>
        </w:rPr>
        <w:t xml:space="preserve"> the outcome of </w:t>
      </w:r>
      <w:r w:rsidR="00B32784">
        <w:rPr>
          <w:iCs/>
        </w:rPr>
        <w:t>events that he would have seen</w:t>
      </w:r>
      <w:r w:rsidR="00587F0C">
        <w:rPr>
          <w:iCs/>
        </w:rPr>
        <w:t xml:space="preserve"> in the news from</w:t>
      </w:r>
      <w:r w:rsidR="0006160D">
        <w:rPr>
          <w:iCs/>
        </w:rPr>
        <w:t xml:space="preserve"> Nazi Germany. A</w:t>
      </w:r>
      <w:r w:rsidR="00B32784">
        <w:rPr>
          <w:iCs/>
        </w:rPr>
        <w:t xml:space="preserve">s someone who had personal dealings with people who </w:t>
      </w:r>
      <w:r w:rsidR="00F3089A">
        <w:rPr>
          <w:iCs/>
        </w:rPr>
        <w:t>demanded examples of his ancestry and genealogy</w:t>
      </w:r>
      <w:r w:rsidR="0006160D">
        <w:rPr>
          <w:iCs/>
        </w:rPr>
        <w:t xml:space="preserve">, </w:t>
      </w:r>
      <w:r w:rsidR="00587F0C">
        <w:rPr>
          <w:iCs/>
        </w:rPr>
        <w:t>Tolkien clearly felt discomfort at the thought he may be included with the National Socialist ideology based on assumptions about his surname and heritage and took lengths to cha</w:t>
      </w:r>
      <w:r w:rsidR="00CA464F">
        <w:rPr>
          <w:iCs/>
        </w:rPr>
        <w:t xml:space="preserve">llenge this in both his own work </w:t>
      </w:r>
      <w:r w:rsidR="00D07A78">
        <w:rPr>
          <w:iCs/>
        </w:rPr>
        <w:t>and</w:t>
      </w:r>
      <w:r w:rsidR="00CA464F">
        <w:rPr>
          <w:iCs/>
        </w:rPr>
        <w:t xml:space="preserve"> clearly in his personal life</w:t>
      </w:r>
      <w:r w:rsidR="00A32AAB">
        <w:rPr>
          <w:iCs/>
        </w:rPr>
        <w:t xml:space="preserve">. </w:t>
      </w:r>
      <w:r w:rsidR="009C3A23">
        <w:rPr>
          <w:iCs/>
        </w:rPr>
        <w:br/>
      </w:r>
      <w:r w:rsidR="009C3A23">
        <w:rPr>
          <w:iCs/>
        </w:rPr>
        <w:br/>
      </w:r>
      <w:r w:rsidR="00D07A78">
        <w:rPr>
          <w:iCs/>
        </w:rPr>
        <w:t>Middle-Earth’s</w:t>
      </w:r>
      <w:r w:rsidR="009C3A23">
        <w:rPr>
          <w:iCs/>
        </w:rPr>
        <w:t xml:space="preserve"> Dwarves, while designed with notably Semitic and Jewish traits, were consciously offered ‘redemption’ in the token figure of Gimli, who singlehandedly rights </w:t>
      </w:r>
      <w:r w:rsidR="00410696">
        <w:rPr>
          <w:iCs/>
        </w:rPr>
        <w:t xml:space="preserve">the ills laid out to the Elves of </w:t>
      </w:r>
      <w:proofErr w:type="spellStart"/>
      <w:r w:rsidR="00410696">
        <w:rPr>
          <w:iCs/>
        </w:rPr>
        <w:t>Lothl</w:t>
      </w:r>
      <w:r w:rsidR="0043443A">
        <w:rPr>
          <w:iCs/>
        </w:rPr>
        <w:t>ó</w:t>
      </w:r>
      <w:r w:rsidR="00410696">
        <w:rPr>
          <w:iCs/>
        </w:rPr>
        <w:t>rien</w:t>
      </w:r>
      <w:proofErr w:type="spellEnd"/>
      <w:r w:rsidR="00410696">
        <w:rPr>
          <w:iCs/>
        </w:rPr>
        <w:t>, is perhaps the clearest example of this</w:t>
      </w:r>
      <w:r w:rsidR="00D07A78">
        <w:rPr>
          <w:iCs/>
        </w:rPr>
        <w:t xml:space="preserve"> conscious choice to challenge the ideologies of the National Socialist Party. </w:t>
      </w:r>
    </w:p>
    <w:p w14:paraId="63CFCE57" w14:textId="4ECC1D3F" w:rsidR="00B31036" w:rsidRDefault="009F116E" w:rsidP="00FE06DC">
      <w:pPr>
        <w:spacing w:line="360" w:lineRule="auto"/>
        <w:rPr>
          <w:iCs/>
        </w:rPr>
      </w:pPr>
      <w:r>
        <w:rPr>
          <w:iCs/>
        </w:rPr>
        <w:t>While Tolkien argues in his foreword that his intention is for his audience to divorce the concept of the Second World War and his personal experiences from his life, he</w:t>
      </w:r>
      <w:r w:rsidR="00EB358A">
        <w:rPr>
          <w:iCs/>
        </w:rPr>
        <w:t xml:space="preserve"> does acknowledge that ‘an author cannot of course remain wholly unaffected by his experience’</w:t>
      </w:r>
      <w:r w:rsidR="00EB358A">
        <w:rPr>
          <w:rStyle w:val="FootnoteReference"/>
          <w:iCs/>
        </w:rPr>
        <w:footnoteReference w:id="38"/>
      </w:r>
      <w:r w:rsidR="00C62415">
        <w:rPr>
          <w:iCs/>
        </w:rPr>
        <w:t>. A</w:t>
      </w:r>
      <w:r w:rsidR="002444DD">
        <w:rPr>
          <w:iCs/>
        </w:rPr>
        <w:t xml:space="preserve">s a historian himself, Tolkien must surely have been aware </w:t>
      </w:r>
      <w:r w:rsidR="00013B7B">
        <w:rPr>
          <w:iCs/>
        </w:rPr>
        <w:t xml:space="preserve">of the </w:t>
      </w:r>
      <w:r w:rsidR="00954E71">
        <w:rPr>
          <w:iCs/>
        </w:rPr>
        <w:t>hypocrisy in asking his audience and students of his text not to look for allegorical links between real-world events and the events in his text</w:t>
      </w:r>
      <w:r w:rsidR="00C62415">
        <w:rPr>
          <w:iCs/>
        </w:rPr>
        <w:t xml:space="preserve">. His position </w:t>
      </w:r>
      <w:r w:rsidR="0017287D">
        <w:rPr>
          <w:iCs/>
        </w:rPr>
        <w:t xml:space="preserve">as outlined in the </w:t>
      </w:r>
      <w:r w:rsidR="004E2492">
        <w:rPr>
          <w:iCs/>
        </w:rPr>
        <w:t>Foreword</w:t>
      </w:r>
      <w:r w:rsidR="0017287D">
        <w:rPr>
          <w:iCs/>
        </w:rPr>
        <w:t xml:space="preserve"> to the Second Edition appears</w:t>
      </w:r>
      <w:r w:rsidR="00C62415">
        <w:rPr>
          <w:iCs/>
        </w:rPr>
        <w:t xml:space="preserve"> to be one in which he is aware of the shades of grey between his intention and </w:t>
      </w:r>
      <w:r w:rsidR="007D232C">
        <w:rPr>
          <w:iCs/>
        </w:rPr>
        <w:t>events</w:t>
      </w:r>
      <w:r w:rsidR="00C62415">
        <w:rPr>
          <w:iCs/>
        </w:rPr>
        <w:t xml:space="preserve"> that</w:t>
      </w:r>
      <w:r w:rsidR="0017287D">
        <w:rPr>
          <w:iCs/>
        </w:rPr>
        <w:t xml:space="preserve"> he has included in the text subconsciously. </w:t>
      </w:r>
    </w:p>
    <w:p w14:paraId="43368BC6" w14:textId="4DF7155D" w:rsidR="002444DD" w:rsidRPr="005E5E3E" w:rsidRDefault="002444DD" w:rsidP="00FE06DC">
      <w:pPr>
        <w:spacing w:line="360" w:lineRule="auto"/>
        <w:rPr>
          <w:iCs/>
        </w:rPr>
      </w:pPr>
      <w:r>
        <w:rPr>
          <w:iCs/>
        </w:rPr>
        <w:t xml:space="preserve">Overall, it is undeniably clear that while Tolkien himself was very clearly uninterested in allegorical themes being drawn from his work (as he himself states in the prologue to the text), he was not successful </w:t>
      </w:r>
      <w:r w:rsidR="007D232C">
        <w:rPr>
          <w:iCs/>
        </w:rPr>
        <w:t>in his attempts to remove</w:t>
      </w:r>
      <w:r>
        <w:rPr>
          <w:iCs/>
        </w:rPr>
        <w:t xml:space="preserve"> all cultural context, as this is ultimately </w:t>
      </w:r>
      <w:r>
        <w:rPr>
          <w:iCs/>
        </w:rPr>
        <w:lastRenderedPageBreak/>
        <w:t>impossible for any author. While his intention may have been in line with Roland Barthes’ idea</w:t>
      </w:r>
      <w:r w:rsidR="0017287D">
        <w:rPr>
          <w:iCs/>
        </w:rPr>
        <w:t>s</w:t>
      </w:r>
      <w:r>
        <w:rPr>
          <w:iCs/>
        </w:rPr>
        <w:t xml:space="preserve"> around the ultimate death of the author and in his own words declares that the text holds no ‘inner meaning or “message[s]”’</w:t>
      </w:r>
      <w:r>
        <w:rPr>
          <w:rStyle w:val="FootnoteReference"/>
          <w:iCs/>
        </w:rPr>
        <w:footnoteReference w:id="39"/>
      </w:r>
      <w:r>
        <w:rPr>
          <w:iCs/>
        </w:rPr>
        <w:t>, from a historiographical standpoint it is clear this was not the case with the text</w:t>
      </w:r>
      <w:r>
        <w:rPr>
          <w:iCs/>
        </w:rPr>
        <w:t xml:space="preserve"> and that </w:t>
      </w:r>
      <w:r w:rsidR="00603CCC">
        <w:rPr>
          <w:iCs/>
        </w:rPr>
        <w:t xml:space="preserve">writing </w:t>
      </w:r>
      <w:r w:rsidR="00603CCC">
        <w:rPr>
          <w:i/>
        </w:rPr>
        <w:t>The Lord of the Rings</w:t>
      </w:r>
      <w:r>
        <w:rPr>
          <w:iCs/>
        </w:rPr>
        <w:t xml:space="preserve"> was a useful tool for Tolkien to process </w:t>
      </w:r>
      <w:r w:rsidR="00603CCC">
        <w:rPr>
          <w:iCs/>
        </w:rPr>
        <w:t xml:space="preserve">and in several cases directly challenge </w:t>
      </w:r>
      <w:r>
        <w:rPr>
          <w:iCs/>
        </w:rPr>
        <w:t xml:space="preserve">the Weltanschauung of Nazi Germany as the events of the late 1930s and 40s unfolded across Europe. </w:t>
      </w:r>
    </w:p>
    <w:p w14:paraId="25481E5D" w14:textId="5AC19253" w:rsidR="00DB389A" w:rsidRDefault="00DB389A" w:rsidP="00FE06DC">
      <w:pPr>
        <w:spacing w:line="360" w:lineRule="auto"/>
        <w:rPr>
          <w:u w:val="single"/>
        </w:rPr>
      </w:pPr>
      <w:r>
        <w:rPr>
          <w:u w:val="single"/>
        </w:rPr>
        <w:br w:type="page"/>
      </w:r>
    </w:p>
    <w:p w14:paraId="4F17715D" w14:textId="77777777" w:rsidR="00DB389A" w:rsidRPr="00786746" w:rsidRDefault="00DB389A" w:rsidP="00DB389A">
      <w:pPr>
        <w:ind w:left="720"/>
      </w:pPr>
    </w:p>
    <w:p w14:paraId="4F495882" w14:textId="4124AA9D" w:rsidR="009E5F35" w:rsidRDefault="009E5F35" w:rsidP="009E5F35">
      <w:pPr>
        <w:ind w:left="720" w:hanging="720"/>
        <w:jc w:val="center"/>
        <w:rPr>
          <w:u w:val="single"/>
        </w:rPr>
      </w:pPr>
      <w:r>
        <w:rPr>
          <w:u w:val="single"/>
        </w:rPr>
        <w:t xml:space="preserve">Bibliography </w:t>
      </w:r>
    </w:p>
    <w:p w14:paraId="057D3719" w14:textId="0D231084" w:rsidR="009E5F35" w:rsidRDefault="009E5F35" w:rsidP="009E5F35">
      <w:pPr>
        <w:ind w:left="720" w:hanging="720"/>
        <w:rPr>
          <w:u w:val="single"/>
        </w:rPr>
      </w:pPr>
      <w:r>
        <w:rPr>
          <w:u w:val="single"/>
        </w:rPr>
        <w:t>Primary Source</w:t>
      </w:r>
      <w:r w:rsidR="00DE7E04">
        <w:rPr>
          <w:u w:val="single"/>
        </w:rPr>
        <w:t>s</w:t>
      </w:r>
    </w:p>
    <w:p w14:paraId="7E9A1447" w14:textId="77777777" w:rsidR="00452413" w:rsidRDefault="00452413" w:rsidP="009E5F35">
      <w:pPr>
        <w:ind w:left="720" w:hanging="720"/>
      </w:pPr>
      <w:r>
        <w:t xml:space="preserve">J.R.R. Tolkien, </w:t>
      </w:r>
      <w:r>
        <w:rPr>
          <w:i/>
          <w:iCs/>
        </w:rPr>
        <w:t xml:space="preserve">The Lord of the Rings: The Fellowship of the Ring </w:t>
      </w:r>
      <w:r>
        <w:t>(London: Harper Collins, 2001)</w:t>
      </w:r>
    </w:p>
    <w:p w14:paraId="71EB87ED" w14:textId="4B18CBC0" w:rsidR="00510620" w:rsidRDefault="00510620" w:rsidP="009E5F35">
      <w:pPr>
        <w:ind w:left="720" w:hanging="720"/>
      </w:pPr>
      <w:r>
        <w:t xml:space="preserve">J.R.R. Tolkien, </w:t>
      </w:r>
      <w:r>
        <w:rPr>
          <w:i/>
          <w:iCs/>
        </w:rPr>
        <w:t>The Lord of the Rings: The Two Towers</w:t>
      </w:r>
      <w:r>
        <w:t xml:space="preserve"> (London: Harper Collins, 2001)</w:t>
      </w:r>
    </w:p>
    <w:p w14:paraId="5E4FAE41" w14:textId="7AEA649F" w:rsidR="00510620" w:rsidRPr="00DE7E04" w:rsidRDefault="00510620" w:rsidP="009E5F35">
      <w:pPr>
        <w:ind w:left="720" w:hanging="720"/>
      </w:pPr>
      <w:r>
        <w:t xml:space="preserve">J.R.R. Tolkien, </w:t>
      </w:r>
      <w:r>
        <w:rPr>
          <w:i/>
          <w:iCs/>
        </w:rPr>
        <w:t xml:space="preserve">The Lord of the Rings: </w:t>
      </w:r>
      <w:r w:rsidR="00DE7E04">
        <w:rPr>
          <w:i/>
          <w:iCs/>
        </w:rPr>
        <w:t>The Return of the King</w:t>
      </w:r>
      <w:r w:rsidR="00DE7E04">
        <w:t xml:space="preserve"> (London: Harper Collins, 2001)</w:t>
      </w:r>
    </w:p>
    <w:p w14:paraId="3A16B225" w14:textId="6BC84F60" w:rsidR="009E5F35" w:rsidRDefault="009E5F35" w:rsidP="009E5F35">
      <w:pPr>
        <w:ind w:left="720" w:hanging="720"/>
        <w:rPr>
          <w:u w:val="single"/>
        </w:rPr>
      </w:pPr>
      <w:r>
        <w:rPr>
          <w:u w:val="single"/>
        </w:rPr>
        <w:t>Secondary Sources</w:t>
      </w:r>
    </w:p>
    <w:p w14:paraId="13CE8AC3" w14:textId="77777777" w:rsidR="00FE06DC" w:rsidRDefault="00FE06DC" w:rsidP="009E5F35">
      <w:pPr>
        <w:ind w:left="720" w:hanging="720"/>
      </w:pPr>
      <w:r>
        <w:t xml:space="preserve">Barthes, Roland, </w:t>
      </w:r>
      <w:r>
        <w:rPr>
          <w:i/>
          <w:iCs/>
        </w:rPr>
        <w:t>Image Music Text,</w:t>
      </w:r>
      <w:r>
        <w:t xml:space="preserve"> trans. by Stephen Heath (New York: Hill and Wang, 1977)</w:t>
      </w:r>
    </w:p>
    <w:p w14:paraId="75AE0F96" w14:textId="77777777" w:rsidR="00FE06DC" w:rsidRDefault="00FE06DC" w:rsidP="009E5F35">
      <w:pPr>
        <w:ind w:left="720" w:hanging="720"/>
      </w:pPr>
      <w:r>
        <w:t xml:space="preserve">Becker, Carl, “What Is Historiography?”, </w:t>
      </w:r>
      <w:r>
        <w:rPr>
          <w:i/>
          <w:iCs/>
        </w:rPr>
        <w:t xml:space="preserve">The American Historical Review, </w:t>
      </w:r>
      <w:r>
        <w:t>44.1 (1938), pp. 20-28</w:t>
      </w:r>
    </w:p>
    <w:p w14:paraId="3198E8E6" w14:textId="77777777" w:rsidR="00FE06DC" w:rsidRDefault="00FE06DC" w:rsidP="009E5F35">
      <w:pPr>
        <w:ind w:left="720" w:hanging="720"/>
      </w:pPr>
      <w:r>
        <w:t>Fox,</w:t>
      </w:r>
      <w:r>
        <w:t xml:space="preserve"> Jo,</w:t>
      </w:r>
      <w:r>
        <w:t xml:space="preserve"> ‘Careless Talk: Tensions within British Domestic Propaganda during the Second World War’, </w:t>
      </w:r>
      <w:r>
        <w:rPr>
          <w:i/>
          <w:iCs/>
        </w:rPr>
        <w:t>Journal of British Studies</w:t>
      </w:r>
      <w:r>
        <w:t>, 51.4 (2012), pp. 936-966, &lt;</w:t>
      </w:r>
      <w:hyperlink r:id="rId10" w:history="1">
        <w:r w:rsidRPr="000020D1">
          <w:rPr>
            <w:rStyle w:val="Hyperlink"/>
          </w:rPr>
          <w:t>https://www.jstor.org/stable/41999124</w:t>
        </w:r>
      </w:hyperlink>
      <w:r>
        <w:t>&gt; [Accessed 4 May 2025].</w:t>
      </w:r>
    </w:p>
    <w:p w14:paraId="522B9FB0" w14:textId="77777777" w:rsidR="00FE06DC" w:rsidRDefault="00FE06DC" w:rsidP="009E5F35">
      <w:pPr>
        <w:ind w:left="720" w:hanging="720"/>
      </w:pPr>
      <w:r>
        <w:t xml:space="preserve">Hauner, Milan, ‘Did Hitler Want a World Dominion?’, </w:t>
      </w:r>
      <w:r>
        <w:rPr>
          <w:i/>
          <w:iCs/>
        </w:rPr>
        <w:t>Journal of Contemporary History</w:t>
      </w:r>
      <w:r>
        <w:t>, 13.1 (1978), pp. 15-32</w:t>
      </w:r>
    </w:p>
    <w:p w14:paraId="6E99FE7F" w14:textId="77777777" w:rsidR="00FE06DC" w:rsidRDefault="00FE06DC" w:rsidP="009E5F35">
      <w:pPr>
        <w:ind w:left="720" w:hanging="720"/>
      </w:pPr>
      <w:r>
        <w:t xml:space="preserve">J.R.R. Tolkien, </w:t>
      </w:r>
      <w:r>
        <w:rPr>
          <w:i/>
          <w:iCs/>
        </w:rPr>
        <w:t>The Letters of J.R.R Tolkien</w:t>
      </w:r>
      <w:r>
        <w:t>, ed. by Humphrey Carpenter and Christopher Tolkien (London: Harper Collins, 2006)</w:t>
      </w:r>
    </w:p>
    <w:p w14:paraId="24C54CFE" w14:textId="77777777" w:rsidR="00FE06DC" w:rsidRDefault="00FE06DC" w:rsidP="009E5F35">
      <w:pPr>
        <w:ind w:left="720" w:hanging="720"/>
      </w:pPr>
      <w:r>
        <w:t>Kamenetsky,</w:t>
      </w:r>
      <w:r>
        <w:t xml:space="preserve"> Christa,</w:t>
      </w:r>
      <w:r>
        <w:t xml:space="preserve"> ‘Folktale and Ideology in the Third Reich’, </w:t>
      </w:r>
      <w:r>
        <w:rPr>
          <w:i/>
          <w:iCs/>
        </w:rPr>
        <w:t>The Journal of American Folklore,</w:t>
      </w:r>
      <w:r>
        <w:t xml:space="preserve"> 90.356 (1977), pp.168-178</w:t>
      </w:r>
    </w:p>
    <w:p w14:paraId="402773AE" w14:textId="77777777" w:rsidR="00FE06DC" w:rsidRDefault="00FE06DC" w:rsidP="009E5F35">
      <w:pPr>
        <w:ind w:left="720" w:hanging="720"/>
      </w:pPr>
      <w:r>
        <w:t xml:space="preserve">Raphael, Lutz, ‘Pluralities of National Socialist Ideology: New Perspectives on the Production and Diffusion of National Socialist </w:t>
      </w:r>
      <w:r>
        <w:rPr>
          <w:i/>
          <w:iCs/>
        </w:rPr>
        <w:t>Weltanschauung</w:t>
      </w:r>
      <w:r>
        <w:t xml:space="preserve">’, in </w:t>
      </w:r>
      <w:r>
        <w:rPr>
          <w:i/>
          <w:iCs/>
        </w:rPr>
        <w:t>Visions of Community in Nazi Germany: Social Engineering and Private Lives</w:t>
      </w:r>
      <w:r>
        <w:t>, ed. by Martina Steber and Bernhard Gotto (Oxford: Oxford University Press, 2014), pp. 73-86</w:t>
      </w:r>
    </w:p>
    <w:p w14:paraId="448DB805" w14:textId="77777777" w:rsidR="00FE06DC" w:rsidRDefault="00FE06DC" w:rsidP="009E5F35">
      <w:pPr>
        <w:ind w:left="720" w:hanging="720"/>
      </w:pPr>
      <w:r>
        <w:t xml:space="preserve">Schwabe, Klaus, ‘World War I and the Rise of Hitler’, </w:t>
      </w:r>
      <w:r>
        <w:rPr>
          <w:i/>
          <w:iCs/>
        </w:rPr>
        <w:t>Diplomatic History</w:t>
      </w:r>
      <w:r>
        <w:t>, 38.4 (2014), pp. 864-879</w:t>
      </w:r>
    </w:p>
    <w:p w14:paraId="0BD9818B" w14:textId="77777777" w:rsidR="00FE06DC" w:rsidRDefault="00FE06DC" w:rsidP="009E5F35">
      <w:pPr>
        <w:ind w:left="720" w:hanging="720"/>
      </w:pPr>
      <w:r>
        <w:t>Sharples</w:t>
      </w:r>
      <w:r>
        <w:t xml:space="preserve">, </w:t>
      </w:r>
      <w:r>
        <w:t xml:space="preserve">Caroline, </w:t>
      </w:r>
      <w:r>
        <w:t xml:space="preserve">‘Holocaust on Trial: Mass Observation and British Media Responses to the Nuremberg Tribunal, 1945-1946’, in </w:t>
      </w:r>
      <w:r>
        <w:rPr>
          <w:i/>
          <w:iCs/>
        </w:rPr>
        <w:t>Britain and the Holocaust: Remembering and Representing War and Genocide</w:t>
      </w:r>
      <w:r>
        <w:t>, ed. by Caroline Sharples and Olaf Jensen (London: Palgrave Macmillan, 2013), pp. 31-50</w:t>
      </w:r>
    </w:p>
    <w:p w14:paraId="324B704A" w14:textId="77777777" w:rsidR="00FE06DC" w:rsidRDefault="00FE06DC" w:rsidP="009E5F35">
      <w:pPr>
        <w:ind w:left="720" w:hanging="720"/>
      </w:pPr>
      <w:r>
        <w:t xml:space="preserve">Shippey, </w:t>
      </w:r>
      <w:r>
        <w:t xml:space="preserve">Tom, ‘Tolkien as a Post-War Writer, </w:t>
      </w:r>
      <w:r>
        <w:rPr>
          <w:i/>
          <w:iCs/>
        </w:rPr>
        <w:t>Mallorn: The Journal of the Tolkien Society</w:t>
      </w:r>
      <w:r>
        <w:t>, 33 (1995), 84-93 &lt;</w:t>
      </w:r>
      <w:r w:rsidRPr="00C8262D">
        <w:t xml:space="preserve"> </w:t>
      </w:r>
      <w:hyperlink r:id="rId11" w:history="1">
        <w:r w:rsidRPr="000020D1">
          <w:rPr>
            <w:rStyle w:val="Hyperlink"/>
          </w:rPr>
          <w:t>https://www.jstor.org/stable/45320418</w:t>
        </w:r>
      </w:hyperlink>
      <w:r>
        <w:t>&gt; [Accessed 4 May 2025].</w:t>
      </w:r>
    </w:p>
    <w:p w14:paraId="131F829B" w14:textId="77777777" w:rsidR="00FE06DC" w:rsidRDefault="00FE06DC" w:rsidP="009E5F35">
      <w:pPr>
        <w:ind w:left="720" w:hanging="720"/>
      </w:pPr>
      <w:r>
        <w:t xml:space="preserve">Stacey, Robert, ‘Antisemitism and the Medieval English State’, in </w:t>
      </w:r>
      <w:r>
        <w:rPr>
          <w:i/>
          <w:iCs/>
        </w:rPr>
        <w:t>The Medieval English State: Essays Presented to James Campbell</w:t>
      </w:r>
      <w:r>
        <w:t xml:space="preserve">, ed. by John R. </w:t>
      </w:r>
      <w:proofErr w:type="spellStart"/>
      <w:r>
        <w:t>Maddicott</w:t>
      </w:r>
      <w:proofErr w:type="spellEnd"/>
      <w:r>
        <w:t xml:space="preserve"> and David Palliser (London: </w:t>
      </w:r>
      <w:proofErr w:type="spellStart"/>
      <w:r>
        <w:t>Hambledon</w:t>
      </w:r>
      <w:proofErr w:type="spellEnd"/>
      <w:r>
        <w:t xml:space="preserve"> Press, 2000)</w:t>
      </w:r>
    </w:p>
    <w:p w14:paraId="3AE21EDE" w14:textId="77777777" w:rsidR="00FE06DC" w:rsidRDefault="00FE06DC" w:rsidP="009E5F35">
      <w:pPr>
        <w:ind w:left="720" w:hanging="720"/>
      </w:pPr>
      <w:r>
        <w:t xml:space="preserve">van Ginneken, Jaap, </w:t>
      </w:r>
      <w:r>
        <w:rPr>
          <w:i/>
          <w:iCs/>
        </w:rPr>
        <w:t xml:space="preserve">Kurt Baschwitz: A Pioneer of Communication Studies and Social Psychology </w:t>
      </w:r>
      <w:r>
        <w:t>(Amsterdam: Amsterdam University Press, 2018)</w:t>
      </w:r>
    </w:p>
    <w:p w14:paraId="0FC70B16" w14:textId="77777777" w:rsidR="00FE06DC" w:rsidRPr="009E5F35" w:rsidRDefault="00FE06DC" w:rsidP="009E5F35">
      <w:pPr>
        <w:ind w:left="720" w:hanging="720"/>
      </w:pPr>
      <w:r>
        <w:t xml:space="preserve">Zak Cramer, ‘Jewish influences in </w:t>
      </w:r>
      <w:proofErr w:type="gramStart"/>
      <w:r>
        <w:t>Middle-earth</w:t>
      </w:r>
      <w:proofErr w:type="gramEnd"/>
      <w:r>
        <w:t xml:space="preserve">’, </w:t>
      </w:r>
      <w:proofErr w:type="spellStart"/>
      <w:r>
        <w:rPr>
          <w:i/>
          <w:iCs/>
        </w:rPr>
        <w:t>MAllorn</w:t>
      </w:r>
      <w:proofErr w:type="spellEnd"/>
      <w:r>
        <w:rPr>
          <w:i/>
          <w:iCs/>
        </w:rPr>
        <w:t>: The Journal of the Tolkien Society</w:t>
      </w:r>
      <w:r>
        <w:t>, 44 (2006), pp. 9-16, &lt;</w:t>
      </w:r>
      <w:hyperlink r:id="rId12" w:history="1">
        <w:r w:rsidRPr="000020D1">
          <w:rPr>
            <w:rStyle w:val="Hyperlink"/>
          </w:rPr>
          <w:t>https://www.jstor.org/stable/45320162</w:t>
        </w:r>
      </w:hyperlink>
      <w:r>
        <w:t>&gt; [Accessed 4 May 2025]</w:t>
      </w:r>
    </w:p>
    <w:sectPr w:rsidR="00FE06DC" w:rsidRPr="009E5F3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53E9A" w14:textId="77777777" w:rsidR="00321364" w:rsidRDefault="00321364" w:rsidP="00970BE9">
      <w:pPr>
        <w:spacing w:after="0" w:line="240" w:lineRule="auto"/>
      </w:pPr>
      <w:r>
        <w:separator/>
      </w:r>
    </w:p>
  </w:endnote>
  <w:endnote w:type="continuationSeparator" w:id="0">
    <w:p w14:paraId="0E6DF3A5" w14:textId="77777777" w:rsidR="00321364" w:rsidRDefault="00321364" w:rsidP="00970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099CE" w14:textId="77777777" w:rsidR="00321364" w:rsidRDefault="00321364" w:rsidP="00970BE9">
      <w:pPr>
        <w:spacing w:after="0" w:line="240" w:lineRule="auto"/>
      </w:pPr>
      <w:r>
        <w:separator/>
      </w:r>
    </w:p>
  </w:footnote>
  <w:footnote w:type="continuationSeparator" w:id="0">
    <w:p w14:paraId="3AA83C1F" w14:textId="77777777" w:rsidR="00321364" w:rsidRDefault="00321364" w:rsidP="00970BE9">
      <w:pPr>
        <w:spacing w:after="0" w:line="240" w:lineRule="auto"/>
      </w:pPr>
      <w:r>
        <w:continuationSeparator/>
      </w:r>
    </w:p>
  </w:footnote>
  <w:footnote w:id="1">
    <w:p w14:paraId="5FBB8FB8" w14:textId="77777777" w:rsidR="0092330B" w:rsidRPr="00B80BB8" w:rsidRDefault="0092330B" w:rsidP="0092330B">
      <w:pPr>
        <w:pStyle w:val="FootnoteText"/>
      </w:pPr>
      <w:r>
        <w:rPr>
          <w:rStyle w:val="FootnoteReference"/>
        </w:rPr>
        <w:footnoteRef/>
      </w:r>
      <w:r>
        <w:t xml:space="preserve"> Roland Barthes, </w:t>
      </w:r>
      <w:r>
        <w:rPr>
          <w:i/>
          <w:iCs/>
        </w:rPr>
        <w:t>Image Music Text,</w:t>
      </w:r>
      <w:r>
        <w:t xml:space="preserve"> trans. by Stephen Heath (New York: Hill and Wang, 1977), p.147.</w:t>
      </w:r>
    </w:p>
  </w:footnote>
  <w:footnote w:id="2">
    <w:p w14:paraId="4E3C7DE1" w14:textId="77777777" w:rsidR="004E4343" w:rsidRDefault="004E4343" w:rsidP="004E4343">
      <w:pPr>
        <w:pStyle w:val="FootnoteText"/>
      </w:pPr>
      <w:r>
        <w:rPr>
          <w:rStyle w:val="FootnoteReference"/>
        </w:rPr>
        <w:footnoteRef/>
      </w:r>
      <w:r>
        <w:t xml:space="preserve"> Barthes, p. 143.</w:t>
      </w:r>
    </w:p>
  </w:footnote>
  <w:footnote w:id="3">
    <w:p w14:paraId="2E46C6E6" w14:textId="7415B478" w:rsidR="000702A0" w:rsidRPr="00120538" w:rsidRDefault="000702A0">
      <w:pPr>
        <w:pStyle w:val="FootnoteText"/>
      </w:pPr>
      <w:r>
        <w:rPr>
          <w:rStyle w:val="FootnoteReference"/>
        </w:rPr>
        <w:footnoteRef/>
      </w:r>
      <w:r>
        <w:t xml:space="preserve"> Carl Becker, “What I</w:t>
      </w:r>
      <w:r w:rsidR="00120538">
        <w:t xml:space="preserve">s Historiography?”, </w:t>
      </w:r>
      <w:r w:rsidR="00120538">
        <w:rPr>
          <w:i/>
          <w:iCs/>
        </w:rPr>
        <w:t xml:space="preserve">The American Historical Review, </w:t>
      </w:r>
      <w:r w:rsidR="00120538">
        <w:t xml:space="preserve">44.1 (1938), pp. 20-28, p. </w:t>
      </w:r>
      <w:r w:rsidR="00BE5081">
        <w:t>20</w:t>
      </w:r>
    </w:p>
  </w:footnote>
  <w:footnote w:id="4">
    <w:p w14:paraId="0EEFBED2" w14:textId="5CEB8338" w:rsidR="0095372E" w:rsidRDefault="0095372E">
      <w:pPr>
        <w:pStyle w:val="FootnoteText"/>
      </w:pPr>
      <w:r>
        <w:rPr>
          <w:rStyle w:val="FootnoteReference"/>
        </w:rPr>
        <w:footnoteRef/>
      </w:r>
      <w:r>
        <w:t xml:space="preserve">  </w:t>
      </w:r>
      <w:r w:rsidR="00A7660D">
        <w:t xml:space="preserve">Lutz Raphael, ‘Pluralities of National Socialist Ideology: New Perspectives on </w:t>
      </w:r>
      <w:r w:rsidR="00AB1347">
        <w:t xml:space="preserve">the Production and Diffusion of National Socialist </w:t>
      </w:r>
      <w:r w:rsidR="00AB1347">
        <w:rPr>
          <w:i/>
          <w:iCs/>
        </w:rPr>
        <w:t>Weltanschauung</w:t>
      </w:r>
      <w:r w:rsidR="00AB1347">
        <w:t>’,</w:t>
      </w:r>
      <w:r w:rsidR="005725DE">
        <w:t xml:space="preserve"> in</w:t>
      </w:r>
      <w:r w:rsidR="00AB1347">
        <w:t xml:space="preserve"> </w:t>
      </w:r>
      <w:r w:rsidR="00AB1347">
        <w:rPr>
          <w:i/>
          <w:iCs/>
        </w:rPr>
        <w:t>Visions of Community in Nazi Germany: Social Engineering and Private Lives</w:t>
      </w:r>
      <w:r w:rsidR="00AB1347">
        <w:t>, ed. by Martina Steber and Bernhard Gotto (</w:t>
      </w:r>
      <w:r w:rsidR="00FB1C05">
        <w:t>Oxford: Oxford University Press, 2014),</w:t>
      </w:r>
      <w:r>
        <w:t xml:space="preserve"> </w:t>
      </w:r>
      <w:r w:rsidR="005725DE">
        <w:t>pp. 73-86</w:t>
      </w:r>
      <w:r w:rsidR="009E5F35">
        <w:t xml:space="preserve"> (</w:t>
      </w:r>
      <w:r>
        <w:t>p. 76</w:t>
      </w:r>
      <w:r w:rsidR="009E5F35">
        <w:t>)</w:t>
      </w:r>
      <w:r w:rsidR="00A7660D">
        <w:t>.</w:t>
      </w:r>
    </w:p>
  </w:footnote>
  <w:footnote w:id="5">
    <w:p w14:paraId="371A14BA" w14:textId="6BE42498" w:rsidR="009407F8" w:rsidRDefault="009407F8">
      <w:pPr>
        <w:pStyle w:val="FootnoteText"/>
      </w:pPr>
      <w:r>
        <w:rPr>
          <w:rStyle w:val="FootnoteReference"/>
        </w:rPr>
        <w:footnoteRef/>
      </w:r>
      <w:r>
        <w:t xml:space="preserve"> </w:t>
      </w:r>
      <w:r w:rsidR="00BA420D">
        <w:t xml:space="preserve">Jaap van Ginneken, </w:t>
      </w:r>
      <w:r w:rsidR="002D24FF">
        <w:rPr>
          <w:i/>
          <w:iCs/>
        </w:rPr>
        <w:t xml:space="preserve">Kurt Baschwitz: A Pioneer of Communication Studies and Social Psychology </w:t>
      </w:r>
      <w:r w:rsidR="004A1833">
        <w:t>(</w:t>
      </w:r>
      <w:r w:rsidR="007366EC">
        <w:t>Amsterdam: Amsterdam University Press, 2018),</w:t>
      </w:r>
      <w:r w:rsidR="00E56309">
        <w:t xml:space="preserve"> </w:t>
      </w:r>
      <w:r w:rsidR="007366EC">
        <w:t>p.</w:t>
      </w:r>
      <w:r w:rsidR="00E56309">
        <w:t xml:space="preserve"> 116.</w:t>
      </w:r>
    </w:p>
  </w:footnote>
  <w:footnote w:id="6">
    <w:p w14:paraId="01C40E1D" w14:textId="3AC72CDC" w:rsidR="0065175A" w:rsidRDefault="0065175A">
      <w:pPr>
        <w:pStyle w:val="FootnoteText"/>
      </w:pPr>
      <w:r>
        <w:rPr>
          <w:rStyle w:val="FootnoteReference"/>
        </w:rPr>
        <w:footnoteRef/>
      </w:r>
      <w:r>
        <w:t xml:space="preserve"> Raphael, p. </w:t>
      </w:r>
      <w:r w:rsidR="00CD17E8">
        <w:t>74.</w:t>
      </w:r>
    </w:p>
  </w:footnote>
  <w:footnote w:id="7">
    <w:p w14:paraId="16D35E91" w14:textId="318B6C44" w:rsidR="00A21083" w:rsidRDefault="00A21083">
      <w:pPr>
        <w:pStyle w:val="FootnoteText"/>
      </w:pPr>
      <w:r>
        <w:rPr>
          <w:rStyle w:val="FootnoteReference"/>
        </w:rPr>
        <w:footnoteRef/>
      </w:r>
      <w:r>
        <w:t xml:space="preserve"> Raphael, p.76.</w:t>
      </w:r>
    </w:p>
  </w:footnote>
  <w:footnote w:id="8">
    <w:p w14:paraId="7231FAD1" w14:textId="170DDF34" w:rsidR="00BF4526" w:rsidRDefault="00BF4526">
      <w:pPr>
        <w:pStyle w:val="FootnoteText"/>
      </w:pPr>
      <w:r>
        <w:rPr>
          <w:rStyle w:val="FootnoteReference"/>
        </w:rPr>
        <w:footnoteRef/>
      </w:r>
      <w:r>
        <w:t xml:space="preserve"> Van Ginneken, p. 116. </w:t>
      </w:r>
    </w:p>
  </w:footnote>
  <w:footnote w:id="9">
    <w:p w14:paraId="627AAD62" w14:textId="4DFF162B" w:rsidR="00FB25AD" w:rsidRDefault="00FB25AD">
      <w:pPr>
        <w:pStyle w:val="FootnoteText"/>
      </w:pPr>
      <w:r>
        <w:rPr>
          <w:rStyle w:val="FootnoteReference"/>
        </w:rPr>
        <w:footnoteRef/>
      </w:r>
      <w:r>
        <w:t xml:space="preserve"> </w:t>
      </w:r>
      <w:r w:rsidR="0059694D">
        <w:t xml:space="preserve">Klaus Schwabe, ‘World War I and the Rise of Hitler’, </w:t>
      </w:r>
      <w:r w:rsidR="0059694D">
        <w:rPr>
          <w:i/>
          <w:iCs/>
        </w:rPr>
        <w:t>Diplomatic History</w:t>
      </w:r>
      <w:r w:rsidR="00937817">
        <w:t>, 38.4 (2014)</w:t>
      </w:r>
      <w:r>
        <w:t>,</w:t>
      </w:r>
      <w:r w:rsidR="00937817">
        <w:t xml:space="preserve"> pp.</w:t>
      </w:r>
      <w:r>
        <w:t xml:space="preserve"> </w:t>
      </w:r>
      <w:r w:rsidR="0059694D">
        <w:t xml:space="preserve">864-879 </w:t>
      </w:r>
      <w:r>
        <w:t>(p. 878).</w:t>
      </w:r>
    </w:p>
  </w:footnote>
  <w:footnote w:id="10">
    <w:p w14:paraId="6272D02D" w14:textId="128147D3" w:rsidR="00673BAA" w:rsidRDefault="00673BAA">
      <w:pPr>
        <w:pStyle w:val="FootnoteText"/>
      </w:pPr>
      <w:r>
        <w:rPr>
          <w:rStyle w:val="FootnoteReference"/>
        </w:rPr>
        <w:footnoteRef/>
      </w:r>
      <w:r>
        <w:t xml:space="preserve"> Schwabe, p. </w:t>
      </w:r>
      <w:r w:rsidR="002536D3">
        <w:t>879.</w:t>
      </w:r>
    </w:p>
  </w:footnote>
  <w:footnote w:id="11">
    <w:p w14:paraId="61464D9B" w14:textId="7089859F" w:rsidR="00A24562" w:rsidRDefault="00A24562">
      <w:pPr>
        <w:pStyle w:val="FootnoteText"/>
      </w:pPr>
      <w:r>
        <w:rPr>
          <w:rStyle w:val="FootnoteReference"/>
        </w:rPr>
        <w:footnoteRef/>
      </w:r>
      <w:r>
        <w:t xml:space="preserve"> Raphael, p.76. </w:t>
      </w:r>
    </w:p>
  </w:footnote>
  <w:footnote w:id="12">
    <w:p w14:paraId="78853FB1" w14:textId="7DD42963" w:rsidR="009371EB" w:rsidRDefault="009371EB">
      <w:pPr>
        <w:pStyle w:val="FootnoteText"/>
      </w:pPr>
      <w:r>
        <w:rPr>
          <w:rStyle w:val="FootnoteReference"/>
        </w:rPr>
        <w:footnoteRef/>
      </w:r>
      <w:r>
        <w:t xml:space="preserve"> Schwabe, p. 878.</w:t>
      </w:r>
    </w:p>
  </w:footnote>
  <w:footnote w:id="13">
    <w:p w14:paraId="5A0306EA" w14:textId="07D603B5" w:rsidR="000D12E1" w:rsidRDefault="000D12E1" w:rsidP="000D12E1">
      <w:pPr>
        <w:pStyle w:val="FootnoteText"/>
      </w:pPr>
      <w:r>
        <w:rPr>
          <w:rStyle w:val="FootnoteReference"/>
        </w:rPr>
        <w:footnoteRef/>
      </w:r>
      <w:r>
        <w:t xml:space="preserve"> </w:t>
      </w:r>
      <w:r w:rsidR="00B13E33" w:rsidRPr="00B13E33">
        <w:t xml:space="preserve">Milan Hauner, ‘Did Hitler Want a World Dominion?’, </w:t>
      </w:r>
      <w:r w:rsidR="00B13E33" w:rsidRPr="00996197">
        <w:rPr>
          <w:i/>
          <w:iCs/>
        </w:rPr>
        <w:t>Journal of Contemporary History</w:t>
      </w:r>
      <w:r w:rsidR="00B13E33" w:rsidRPr="00B13E33">
        <w:t>, 13.1 (1978), pp. 15-32 (p. 2</w:t>
      </w:r>
      <w:r w:rsidR="00B13E33">
        <w:t>2)</w:t>
      </w:r>
      <w:r>
        <w:t>.</w:t>
      </w:r>
    </w:p>
  </w:footnote>
  <w:footnote w:id="14">
    <w:p w14:paraId="0C47472A" w14:textId="0737C911" w:rsidR="00F91740" w:rsidRPr="00F91740" w:rsidRDefault="00F91740">
      <w:pPr>
        <w:pStyle w:val="FootnoteText"/>
      </w:pPr>
      <w:r>
        <w:rPr>
          <w:rStyle w:val="FootnoteReference"/>
        </w:rPr>
        <w:footnoteRef/>
      </w:r>
      <w:r>
        <w:t xml:space="preserve"> Christa Kamenetsky, ‘Folktale and Ideology in the Third Reich’, </w:t>
      </w:r>
      <w:r>
        <w:rPr>
          <w:i/>
          <w:iCs/>
        </w:rPr>
        <w:t>The Journal of American Folklore,</w:t>
      </w:r>
      <w:r>
        <w:t xml:space="preserve"> 90.356 (1977), pp.168-178 (p. 168).</w:t>
      </w:r>
    </w:p>
  </w:footnote>
  <w:footnote w:id="15">
    <w:p w14:paraId="7B77F206" w14:textId="63DD548B" w:rsidR="00BB048A" w:rsidRDefault="00BB048A">
      <w:pPr>
        <w:pStyle w:val="FootnoteText"/>
      </w:pPr>
      <w:r>
        <w:rPr>
          <w:rStyle w:val="FootnoteReference"/>
        </w:rPr>
        <w:footnoteRef/>
      </w:r>
      <w:r>
        <w:t xml:space="preserve"> </w:t>
      </w:r>
      <w:r w:rsidR="00C20553">
        <w:t>Hauner, p.22.</w:t>
      </w:r>
    </w:p>
  </w:footnote>
  <w:footnote w:id="16">
    <w:p w14:paraId="50E2DD04" w14:textId="3A19A69D" w:rsidR="0080002C" w:rsidRPr="00996197" w:rsidRDefault="0080002C">
      <w:pPr>
        <w:pStyle w:val="FootnoteText"/>
      </w:pPr>
      <w:r>
        <w:rPr>
          <w:rStyle w:val="FootnoteReference"/>
        </w:rPr>
        <w:footnoteRef/>
      </w:r>
      <w:r>
        <w:t xml:space="preserve"> Robert Stacey, ‘Antisemitism and the Medieval English State’,</w:t>
      </w:r>
      <w:r w:rsidR="004E3A06">
        <w:t xml:space="preserve"> in</w:t>
      </w:r>
      <w:r>
        <w:t xml:space="preserve"> </w:t>
      </w:r>
      <w:r w:rsidR="00996197">
        <w:rPr>
          <w:i/>
          <w:iCs/>
        </w:rPr>
        <w:t>The Medieval English State: Essays Presented to James Campbell</w:t>
      </w:r>
      <w:r w:rsidR="00996197">
        <w:t xml:space="preserve">, ed. by John R. </w:t>
      </w:r>
      <w:proofErr w:type="spellStart"/>
      <w:r w:rsidR="00996197">
        <w:t>Maddicott</w:t>
      </w:r>
      <w:proofErr w:type="spellEnd"/>
      <w:r w:rsidR="00996197">
        <w:t xml:space="preserve"> and David Palliser (London: </w:t>
      </w:r>
      <w:proofErr w:type="spellStart"/>
      <w:r w:rsidR="00996197">
        <w:t>Hambledon</w:t>
      </w:r>
      <w:proofErr w:type="spellEnd"/>
      <w:r w:rsidR="00996197">
        <w:t xml:space="preserve"> Press, 2000), </w:t>
      </w:r>
      <w:r w:rsidR="0018328A">
        <w:t xml:space="preserve">p. 174. </w:t>
      </w:r>
    </w:p>
  </w:footnote>
  <w:footnote w:id="17">
    <w:p w14:paraId="21F26E2D" w14:textId="3FD56957" w:rsidR="00CA40DB" w:rsidRPr="00CA40DB" w:rsidRDefault="00CA40DB">
      <w:pPr>
        <w:pStyle w:val="FootnoteText"/>
      </w:pPr>
      <w:r>
        <w:rPr>
          <w:rStyle w:val="FootnoteReference"/>
        </w:rPr>
        <w:footnoteRef/>
      </w:r>
      <w:r>
        <w:t xml:space="preserve"> Tom Shippey, ‘Tolkien as a Post-War Writer, </w:t>
      </w:r>
      <w:r>
        <w:rPr>
          <w:i/>
          <w:iCs/>
        </w:rPr>
        <w:t>Mallorn: The Journal of the Tolkien Society</w:t>
      </w:r>
      <w:r>
        <w:t xml:space="preserve">, </w:t>
      </w:r>
      <w:r w:rsidR="000A4138">
        <w:t>33 (1995),</w:t>
      </w:r>
      <w:r w:rsidR="000E7516">
        <w:t xml:space="preserve"> </w:t>
      </w:r>
      <w:r w:rsidR="00B46BBB">
        <w:t>84-93</w:t>
      </w:r>
      <w:r w:rsidR="000E7516">
        <w:t xml:space="preserve"> (p. 84) &lt;</w:t>
      </w:r>
      <w:r w:rsidR="00C8262D" w:rsidRPr="00C8262D">
        <w:t xml:space="preserve"> </w:t>
      </w:r>
      <w:hyperlink r:id="rId1" w:history="1">
        <w:r w:rsidR="00C8262D" w:rsidRPr="000020D1">
          <w:rPr>
            <w:rStyle w:val="Hyperlink"/>
          </w:rPr>
          <w:t>https://www.jstor.org/stable/45320418</w:t>
        </w:r>
      </w:hyperlink>
      <w:r w:rsidR="00C8262D">
        <w:t>&gt; [Accessed 4 May 2025].</w:t>
      </w:r>
      <w:r w:rsidR="00B46BBB">
        <w:t xml:space="preserve"> </w:t>
      </w:r>
    </w:p>
  </w:footnote>
  <w:footnote w:id="18">
    <w:p w14:paraId="77BB78CB" w14:textId="09A83F99" w:rsidR="002061AC" w:rsidRDefault="002061AC">
      <w:pPr>
        <w:pStyle w:val="FootnoteText"/>
      </w:pPr>
      <w:r>
        <w:rPr>
          <w:rStyle w:val="FootnoteReference"/>
        </w:rPr>
        <w:footnoteRef/>
      </w:r>
      <w:r>
        <w:t xml:space="preserve"> Shippey, p. 90.</w:t>
      </w:r>
    </w:p>
  </w:footnote>
  <w:footnote w:id="19">
    <w:p w14:paraId="7CA3378A" w14:textId="29802A77" w:rsidR="00DB389A" w:rsidRPr="00DB389A" w:rsidRDefault="00DB389A">
      <w:pPr>
        <w:pStyle w:val="FootnoteText"/>
      </w:pPr>
      <w:r>
        <w:rPr>
          <w:rStyle w:val="FootnoteReference"/>
        </w:rPr>
        <w:footnoteRef/>
      </w:r>
      <w:r>
        <w:t xml:space="preserve"> J.R.R. Tolkien, </w:t>
      </w:r>
      <w:r>
        <w:rPr>
          <w:i/>
          <w:iCs/>
        </w:rPr>
        <w:t>The Letters of J.R.R Tolkien</w:t>
      </w:r>
      <w:r>
        <w:t xml:space="preserve">, ed. by Humphrey Carpenter and Christopher Tolkien (London: Harper Collins, 2006), p. </w:t>
      </w:r>
      <w:r w:rsidR="002134B7">
        <w:t>37</w:t>
      </w:r>
      <w:r>
        <w:t>.</w:t>
      </w:r>
    </w:p>
  </w:footnote>
  <w:footnote w:id="20">
    <w:p w14:paraId="1F84D73C" w14:textId="173AF437" w:rsidR="00745E6B" w:rsidRPr="00745E6B" w:rsidRDefault="00745E6B">
      <w:pPr>
        <w:pStyle w:val="FootnoteText"/>
      </w:pPr>
      <w:r>
        <w:rPr>
          <w:rStyle w:val="FootnoteReference"/>
        </w:rPr>
        <w:footnoteRef/>
      </w:r>
      <w:r>
        <w:t xml:space="preserve"> Tolkien, </w:t>
      </w:r>
      <w:r>
        <w:rPr>
          <w:i/>
          <w:iCs/>
        </w:rPr>
        <w:t>The Letters of J.R.R. Tolkien</w:t>
      </w:r>
      <w:r>
        <w:t xml:space="preserve">, p. </w:t>
      </w:r>
      <w:r w:rsidR="002134B7">
        <w:t>37</w:t>
      </w:r>
      <w:r>
        <w:t xml:space="preserve">. </w:t>
      </w:r>
    </w:p>
  </w:footnote>
  <w:footnote w:id="21">
    <w:p w14:paraId="5ED44CFB" w14:textId="3D2FB57A" w:rsidR="002134B7" w:rsidRPr="002134B7" w:rsidRDefault="002134B7">
      <w:pPr>
        <w:pStyle w:val="FootnoteText"/>
      </w:pPr>
      <w:r>
        <w:rPr>
          <w:rStyle w:val="FootnoteReference"/>
        </w:rPr>
        <w:footnoteRef/>
      </w:r>
      <w:r>
        <w:t xml:space="preserve"> Tolkien, </w:t>
      </w:r>
      <w:r>
        <w:rPr>
          <w:i/>
          <w:iCs/>
        </w:rPr>
        <w:t>The Letters of J.R.R. Tolkien</w:t>
      </w:r>
      <w:r>
        <w:t>, p. 37.</w:t>
      </w:r>
    </w:p>
  </w:footnote>
  <w:footnote w:id="22">
    <w:p w14:paraId="086EE383" w14:textId="003C560A" w:rsidR="00452413" w:rsidRPr="00452413" w:rsidRDefault="00452413">
      <w:pPr>
        <w:pStyle w:val="FootnoteText"/>
      </w:pPr>
      <w:r>
        <w:rPr>
          <w:rStyle w:val="FootnoteReference"/>
        </w:rPr>
        <w:footnoteRef/>
      </w:r>
      <w:r>
        <w:t xml:space="preserve"> J.R.R. Tolkien, </w:t>
      </w:r>
      <w:r>
        <w:rPr>
          <w:i/>
          <w:iCs/>
        </w:rPr>
        <w:t xml:space="preserve">The Lord of the Rings: The Fellowship of the Ring </w:t>
      </w:r>
      <w:r>
        <w:t xml:space="preserve">(London: Harper Collins, 2001), p. 229. </w:t>
      </w:r>
    </w:p>
  </w:footnote>
  <w:footnote w:id="23">
    <w:p w14:paraId="3691A049" w14:textId="7292ECDE" w:rsidR="00A94CBC" w:rsidRPr="00A94CBC" w:rsidRDefault="00A94CBC">
      <w:pPr>
        <w:pStyle w:val="FootnoteText"/>
      </w:pPr>
      <w:r>
        <w:rPr>
          <w:rStyle w:val="FootnoteReference"/>
        </w:rPr>
        <w:footnoteRef/>
      </w:r>
      <w:r>
        <w:t xml:space="preserve"> Tolkien, </w:t>
      </w:r>
      <w:r>
        <w:rPr>
          <w:i/>
          <w:iCs/>
        </w:rPr>
        <w:t>The Letters of J.R.R. Tolkien</w:t>
      </w:r>
      <w:r>
        <w:t>, p.37.</w:t>
      </w:r>
    </w:p>
  </w:footnote>
  <w:footnote w:id="24">
    <w:p w14:paraId="2BC5C22E" w14:textId="19574E2B" w:rsidR="00942A54" w:rsidRPr="00942A54" w:rsidRDefault="00942A54">
      <w:pPr>
        <w:pStyle w:val="FootnoteText"/>
      </w:pPr>
      <w:r>
        <w:rPr>
          <w:rStyle w:val="FootnoteReference"/>
        </w:rPr>
        <w:footnoteRef/>
      </w:r>
      <w:r>
        <w:t xml:space="preserve"> Tolkien, </w:t>
      </w:r>
      <w:r>
        <w:rPr>
          <w:i/>
          <w:iCs/>
        </w:rPr>
        <w:t xml:space="preserve">The </w:t>
      </w:r>
      <w:r w:rsidR="008449ED">
        <w:rPr>
          <w:i/>
          <w:iCs/>
        </w:rPr>
        <w:t>Fellowship of the Ring</w:t>
      </w:r>
      <w:r>
        <w:t xml:space="preserve">, p. 292. </w:t>
      </w:r>
    </w:p>
  </w:footnote>
  <w:footnote w:id="25">
    <w:p w14:paraId="0F8FD205" w14:textId="028E7186" w:rsidR="00483020" w:rsidRPr="00483020" w:rsidRDefault="00483020">
      <w:pPr>
        <w:pStyle w:val="FootnoteText"/>
      </w:pPr>
      <w:r>
        <w:rPr>
          <w:rStyle w:val="FootnoteReference"/>
        </w:rPr>
        <w:footnoteRef/>
      </w:r>
      <w:r>
        <w:t xml:space="preserve"> Jo Fox, ‘Careless Talk: Tensions within British Domestic Propaganda during the Second World War’, </w:t>
      </w:r>
      <w:r>
        <w:rPr>
          <w:i/>
          <w:iCs/>
        </w:rPr>
        <w:t>Journal of British Studies</w:t>
      </w:r>
      <w:r>
        <w:t>, 51.4 (2012), pp. 9</w:t>
      </w:r>
      <w:r w:rsidR="00533965">
        <w:t>3</w:t>
      </w:r>
      <w:r>
        <w:t>6-966</w:t>
      </w:r>
      <w:r w:rsidR="00533965">
        <w:t xml:space="preserve"> (p.937), &lt;</w:t>
      </w:r>
      <w:r w:rsidR="00371779" w:rsidRPr="00371779">
        <w:t xml:space="preserve"> </w:t>
      </w:r>
      <w:hyperlink r:id="rId2" w:history="1">
        <w:r w:rsidR="00371779" w:rsidRPr="000020D1">
          <w:rPr>
            <w:rStyle w:val="Hyperlink"/>
          </w:rPr>
          <w:t>https://www.jstor.org/stable/41999124</w:t>
        </w:r>
      </w:hyperlink>
      <w:r w:rsidR="00371779">
        <w:t>&gt; [Accessed 4 May 2025].</w:t>
      </w:r>
    </w:p>
  </w:footnote>
  <w:footnote w:id="26">
    <w:p w14:paraId="33C323D7" w14:textId="77777777" w:rsidR="000C485E" w:rsidRPr="009467CB" w:rsidRDefault="000C485E" w:rsidP="000C485E">
      <w:pPr>
        <w:pStyle w:val="FootnoteText"/>
      </w:pPr>
      <w:r>
        <w:rPr>
          <w:rStyle w:val="FootnoteReference"/>
        </w:rPr>
        <w:footnoteRef/>
      </w:r>
      <w:r>
        <w:t xml:space="preserve"> Tolkien, </w:t>
      </w:r>
      <w:r>
        <w:rPr>
          <w:i/>
          <w:iCs/>
        </w:rPr>
        <w:t>The Fellowship of the Ring</w:t>
      </w:r>
      <w:r>
        <w:t>, pp 230-231.</w:t>
      </w:r>
    </w:p>
  </w:footnote>
  <w:footnote w:id="27">
    <w:p w14:paraId="6042B9CF" w14:textId="77777777" w:rsidR="000C485E" w:rsidRPr="00442844" w:rsidRDefault="000C485E" w:rsidP="000C485E">
      <w:pPr>
        <w:pStyle w:val="FootnoteText"/>
      </w:pPr>
      <w:r>
        <w:rPr>
          <w:rStyle w:val="FootnoteReference"/>
        </w:rPr>
        <w:footnoteRef/>
      </w:r>
      <w:r>
        <w:t xml:space="preserve"> Tolkien, </w:t>
      </w:r>
      <w:r>
        <w:rPr>
          <w:i/>
          <w:iCs/>
        </w:rPr>
        <w:t>The Fellowship of the Ring</w:t>
      </w:r>
      <w:r>
        <w:t xml:space="preserve">, p. 231. </w:t>
      </w:r>
    </w:p>
  </w:footnote>
  <w:footnote w:id="28">
    <w:p w14:paraId="7ADF17B5" w14:textId="77777777" w:rsidR="000C485E" w:rsidRPr="00421DD5" w:rsidRDefault="000C485E" w:rsidP="000C485E">
      <w:pPr>
        <w:pStyle w:val="FootnoteText"/>
      </w:pPr>
      <w:r>
        <w:rPr>
          <w:rStyle w:val="FootnoteReference"/>
        </w:rPr>
        <w:footnoteRef/>
      </w:r>
      <w:r>
        <w:t xml:space="preserve"> Tolkien, </w:t>
      </w:r>
      <w:r>
        <w:rPr>
          <w:i/>
          <w:iCs/>
        </w:rPr>
        <w:t>The Two Towers</w:t>
      </w:r>
      <w:r>
        <w:t xml:space="preserve">, p. 292. </w:t>
      </w:r>
    </w:p>
  </w:footnote>
  <w:footnote w:id="29">
    <w:p w14:paraId="5B9D6EF7" w14:textId="77777777" w:rsidR="000C485E" w:rsidRPr="00CA6951" w:rsidRDefault="000C485E" w:rsidP="000C485E">
      <w:pPr>
        <w:pStyle w:val="FootnoteText"/>
      </w:pPr>
      <w:r>
        <w:rPr>
          <w:rStyle w:val="FootnoteReference"/>
        </w:rPr>
        <w:footnoteRef/>
      </w:r>
      <w:r>
        <w:t xml:space="preserve"> Tolkien, </w:t>
      </w:r>
      <w:r>
        <w:rPr>
          <w:i/>
          <w:iCs/>
        </w:rPr>
        <w:t>The Two Towers</w:t>
      </w:r>
      <w:r>
        <w:t xml:space="preserve">, p. 434. </w:t>
      </w:r>
    </w:p>
  </w:footnote>
  <w:footnote w:id="30">
    <w:p w14:paraId="7465A40B" w14:textId="0E714A55" w:rsidR="0026045A" w:rsidRPr="0026045A" w:rsidRDefault="0026045A">
      <w:pPr>
        <w:pStyle w:val="FootnoteText"/>
      </w:pPr>
      <w:r>
        <w:rPr>
          <w:rStyle w:val="FootnoteReference"/>
        </w:rPr>
        <w:footnoteRef/>
      </w:r>
      <w:r>
        <w:t xml:space="preserve"> Rebecca Brackmann, “’Dwarves are Not Heroes’: Antisemitism and the Dwarves in J.R.R. Tolkien’s Writing’, </w:t>
      </w:r>
      <w:proofErr w:type="spellStart"/>
      <w:r>
        <w:rPr>
          <w:i/>
          <w:iCs/>
        </w:rPr>
        <w:t>Mythlore</w:t>
      </w:r>
      <w:proofErr w:type="spellEnd"/>
      <w:r w:rsidR="00B32B65">
        <w:t xml:space="preserve">, 28.3 (2010), pp. </w:t>
      </w:r>
      <w:r w:rsidR="00420E07">
        <w:t xml:space="preserve">85-106, p. </w:t>
      </w:r>
      <w:r w:rsidR="00D769B7">
        <w:t xml:space="preserve">87. </w:t>
      </w:r>
    </w:p>
  </w:footnote>
  <w:footnote w:id="31">
    <w:p w14:paraId="53E24FB9" w14:textId="26FBD50B" w:rsidR="00D407FD" w:rsidRDefault="00D407FD">
      <w:pPr>
        <w:pStyle w:val="FootnoteText"/>
      </w:pPr>
      <w:r>
        <w:rPr>
          <w:rStyle w:val="FootnoteReference"/>
        </w:rPr>
        <w:footnoteRef/>
      </w:r>
      <w:r>
        <w:t xml:space="preserve"> Brackmann, </w:t>
      </w:r>
      <w:r w:rsidR="00685D7E">
        <w:t>p.88.</w:t>
      </w:r>
    </w:p>
  </w:footnote>
  <w:footnote w:id="32">
    <w:p w14:paraId="581FA2D7" w14:textId="23D81F47" w:rsidR="002D6C0D" w:rsidRPr="009A74CF" w:rsidRDefault="002D6C0D">
      <w:pPr>
        <w:pStyle w:val="FootnoteText"/>
      </w:pPr>
      <w:r>
        <w:rPr>
          <w:rStyle w:val="FootnoteReference"/>
        </w:rPr>
        <w:footnoteRef/>
      </w:r>
      <w:r>
        <w:t xml:space="preserve"> Zak Cramer, ‘Jewish influences in Middle-earth’</w:t>
      </w:r>
      <w:r w:rsidR="009A74CF">
        <w:t xml:space="preserve">, </w:t>
      </w:r>
      <w:proofErr w:type="spellStart"/>
      <w:r w:rsidR="009A74CF">
        <w:rPr>
          <w:i/>
          <w:iCs/>
        </w:rPr>
        <w:t>MAllorn</w:t>
      </w:r>
      <w:proofErr w:type="spellEnd"/>
      <w:r w:rsidR="009A74CF">
        <w:rPr>
          <w:i/>
          <w:iCs/>
        </w:rPr>
        <w:t>: The Journal of the Tolkien Society</w:t>
      </w:r>
      <w:r w:rsidR="009A74CF">
        <w:t>, 44 (2006), pp. 9-16 (p.10), &lt;</w:t>
      </w:r>
      <w:r w:rsidR="009A74CF" w:rsidRPr="009A74CF">
        <w:t xml:space="preserve"> </w:t>
      </w:r>
      <w:hyperlink r:id="rId3" w:history="1">
        <w:r w:rsidR="009A74CF" w:rsidRPr="000020D1">
          <w:rPr>
            <w:rStyle w:val="Hyperlink"/>
          </w:rPr>
          <w:t>https://www.jstor.org/stable/45320162</w:t>
        </w:r>
      </w:hyperlink>
      <w:r w:rsidR="009A74CF">
        <w:t>&gt; [Accessed 4 May 2025].</w:t>
      </w:r>
    </w:p>
  </w:footnote>
  <w:footnote w:id="33">
    <w:p w14:paraId="79AEB418" w14:textId="4D912A87" w:rsidR="00ED2258" w:rsidRPr="00ED2258" w:rsidRDefault="00ED2258">
      <w:pPr>
        <w:pStyle w:val="FootnoteText"/>
      </w:pPr>
      <w:r>
        <w:rPr>
          <w:rStyle w:val="FootnoteReference"/>
        </w:rPr>
        <w:footnoteRef/>
      </w:r>
      <w:r>
        <w:t xml:space="preserve"> Tolkien, </w:t>
      </w:r>
      <w:r>
        <w:rPr>
          <w:i/>
          <w:iCs/>
        </w:rPr>
        <w:t xml:space="preserve">The </w:t>
      </w:r>
      <w:r w:rsidR="008449ED">
        <w:rPr>
          <w:i/>
          <w:iCs/>
        </w:rPr>
        <w:t>Fellowship of the Ring</w:t>
      </w:r>
      <w:r>
        <w:t xml:space="preserve">, p. </w:t>
      </w:r>
      <w:r w:rsidR="00CB7C5D">
        <w:t xml:space="preserve">433. </w:t>
      </w:r>
    </w:p>
  </w:footnote>
  <w:footnote w:id="34">
    <w:p w14:paraId="48FA63FD" w14:textId="3D56C3C4" w:rsidR="0016566F" w:rsidRPr="00DD2503" w:rsidRDefault="0016566F">
      <w:pPr>
        <w:pStyle w:val="FootnoteText"/>
      </w:pPr>
      <w:r>
        <w:rPr>
          <w:rStyle w:val="FootnoteReference"/>
        </w:rPr>
        <w:footnoteRef/>
      </w:r>
      <w:r>
        <w:t xml:space="preserve"> Tolkien, </w:t>
      </w:r>
      <w:r w:rsidR="00DD2503">
        <w:rPr>
          <w:i/>
          <w:iCs/>
        </w:rPr>
        <w:t>The Fellowship of the Ring</w:t>
      </w:r>
      <w:r w:rsidR="00DD2503">
        <w:t xml:space="preserve">, p. </w:t>
      </w:r>
      <w:r w:rsidR="00510620">
        <w:t xml:space="preserve">494. </w:t>
      </w:r>
    </w:p>
  </w:footnote>
  <w:footnote w:id="35">
    <w:p w14:paraId="5C0089F1" w14:textId="5BBF277D" w:rsidR="00235423" w:rsidRPr="00A67836" w:rsidRDefault="00235423">
      <w:pPr>
        <w:pStyle w:val="FootnoteText"/>
      </w:pPr>
      <w:r>
        <w:rPr>
          <w:rStyle w:val="FootnoteReference"/>
        </w:rPr>
        <w:footnoteRef/>
      </w:r>
      <w:r>
        <w:t xml:space="preserve"> Caroline Sharples, ‘Holocaust on Trial: Mass Observation and British Media Responses to the Nuremberg Tribunal, 1945-1946’, in </w:t>
      </w:r>
      <w:r w:rsidR="00E36E7C">
        <w:rPr>
          <w:i/>
          <w:iCs/>
        </w:rPr>
        <w:t>Britain and the Holocaust</w:t>
      </w:r>
      <w:r w:rsidR="00A67836">
        <w:rPr>
          <w:i/>
          <w:iCs/>
        </w:rPr>
        <w:t>: Remembering and Representing War and Genocide</w:t>
      </w:r>
      <w:r w:rsidR="00A67836">
        <w:t>, ed. by Caroline Sharples and Olaf Jensen</w:t>
      </w:r>
      <w:r w:rsidR="005C35D8">
        <w:t xml:space="preserve"> (London: </w:t>
      </w:r>
      <w:r w:rsidR="0061648B">
        <w:t>Palgrave Macmillan, 2013), pp. 31-50, p.</w:t>
      </w:r>
      <w:r w:rsidR="003B015A">
        <w:t xml:space="preserve"> 32.</w:t>
      </w:r>
    </w:p>
  </w:footnote>
  <w:footnote w:id="36">
    <w:p w14:paraId="6E876A8F" w14:textId="77777777" w:rsidR="004B410D" w:rsidRDefault="004B410D" w:rsidP="004B410D">
      <w:pPr>
        <w:pStyle w:val="FootnoteText"/>
      </w:pPr>
      <w:r>
        <w:rPr>
          <w:rStyle w:val="FootnoteReference"/>
        </w:rPr>
        <w:footnoteRef/>
      </w:r>
      <w:r>
        <w:t xml:space="preserve"> Hauner, p. 22.</w:t>
      </w:r>
    </w:p>
  </w:footnote>
  <w:footnote w:id="37">
    <w:p w14:paraId="35A68958" w14:textId="3F07F186" w:rsidR="000D4288" w:rsidRPr="000D4288" w:rsidRDefault="000D4288">
      <w:pPr>
        <w:pStyle w:val="FootnoteText"/>
      </w:pPr>
      <w:r>
        <w:rPr>
          <w:rStyle w:val="FootnoteReference"/>
        </w:rPr>
        <w:footnoteRef/>
      </w:r>
      <w:r>
        <w:t xml:space="preserve"> Tolkien, </w:t>
      </w:r>
      <w:r>
        <w:rPr>
          <w:i/>
          <w:iCs/>
        </w:rPr>
        <w:t>The Return of the King</w:t>
      </w:r>
      <w:r w:rsidR="00EA34F7">
        <w:t xml:space="preserve"> (London: Harper Collins, 2001), p. </w:t>
      </w:r>
      <w:r w:rsidR="00E90A85">
        <w:t>364.</w:t>
      </w:r>
    </w:p>
  </w:footnote>
  <w:footnote w:id="38">
    <w:p w14:paraId="7280A813" w14:textId="2606A529" w:rsidR="00EB358A" w:rsidRPr="00C55DBB" w:rsidRDefault="00EB358A">
      <w:pPr>
        <w:pStyle w:val="FootnoteText"/>
      </w:pPr>
      <w:r>
        <w:rPr>
          <w:rStyle w:val="FootnoteReference"/>
        </w:rPr>
        <w:footnoteRef/>
      </w:r>
      <w:r>
        <w:t xml:space="preserve"> Tolkien, ‘</w:t>
      </w:r>
      <w:proofErr w:type="spellStart"/>
      <w:r>
        <w:t>Foreward</w:t>
      </w:r>
      <w:proofErr w:type="spellEnd"/>
      <w:r>
        <w:t xml:space="preserve"> to the Second Edition’, </w:t>
      </w:r>
      <w:r w:rsidR="00C55DBB">
        <w:rPr>
          <w:i/>
          <w:iCs/>
        </w:rPr>
        <w:t>The Lord of the Rings: The Fellowship of the Ring</w:t>
      </w:r>
      <w:r w:rsidR="00C55DBB">
        <w:t xml:space="preserve">, xviii. </w:t>
      </w:r>
    </w:p>
  </w:footnote>
  <w:footnote w:id="39">
    <w:p w14:paraId="089ECD50" w14:textId="77777777" w:rsidR="002444DD" w:rsidRPr="001E5F18" w:rsidRDefault="002444DD" w:rsidP="002444DD">
      <w:pPr>
        <w:pStyle w:val="FootnoteText"/>
      </w:pPr>
      <w:r>
        <w:rPr>
          <w:rStyle w:val="FootnoteReference"/>
        </w:rPr>
        <w:footnoteRef/>
      </w:r>
      <w:r>
        <w:t xml:space="preserve"> Tolkien, ‘</w:t>
      </w:r>
      <w:proofErr w:type="spellStart"/>
      <w:r>
        <w:t>Foreward</w:t>
      </w:r>
      <w:proofErr w:type="spellEnd"/>
      <w:r>
        <w:t xml:space="preserve"> to the Second Edition’, </w:t>
      </w:r>
      <w:r>
        <w:rPr>
          <w:i/>
          <w:iCs/>
        </w:rPr>
        <w:t>The Lord of the Rings: The Fellowship of the Ring</w:t>
      </w:r>
      <w:r>
        <w:t>, xvii.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90DAB" w14:textId="77777777" w:rsidR="00970BE9" w:rsidRPr="00970BE9" w:rsidRDefault="00970BE9" w:rsidP="00970BE9">
    <w:pPr>
      <w:pStyle w:val="Header"/>
    </w:pPr>
    <w:r w:rsidRPr="00970BE9">
      <w:t>Liss Dark 2306897</w:t>
    </w:r>
    <w:r w:rsidRPr="00970BE9">
      <w:tab/>
      <w:t>HPHI7008 Fact or Fiction? Literature and History</w:t>
    </w:r>
  </w:p>
  <w:p w14:paraId="310B3BC4" w14:textId="77777777" w:rsidR="00970BE9" w:rsidRDefault="00970B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BE9"/>
    <w:rsid w:val="00002662"/>
    <w:rsid w:val="000051AF"/>
    <w:rsid w:val="00006FE9"/>
    <w:rsid w:val="00011C6E"/>
    <w:rsid w:val="00012914"/>
    <w:rsid w:val="00013B7B"/>
    <w:rsid w:val="00014DE3"/>
    <w:rsid w:val="00023AE1"/>
    <w:rsid w:val="00025D10"/>
    <w:rsid w:val="00027937"/>
    <w:rsid w:val="000309EC"/>
    <w:rsid w:val="00037A3A"/>
    <w:rsid w:val="000440FC"/>
    <w:rsid w:val="00044ACD"/>
    <w:rsid w:val="00050F26"/>
    <w:rsid w:val="00052C3D"/>
    <w:rsid w:val="000612CE"/>
    <w:rsid w:val="0006160D"/>
    <w:rsid w:val="00066320"/>
    <w:rsid w:val="000702A0"/>
    <w:rsid w:val="00094DD2"/>
    <w:rsid w:val="00096755"/>
    <w:rsid w:val="000A1203"/>
    <w:rsid w:val="000A4138"/>
    <w:rsid w:val="000A463B"/>
    <w:rsid w:val="000A681E"/>
    <w:rsid w:val="000A68A5"/>
    <w:rsid w:val="000B2ECE"/>
    <w:rsid w:val="000B4900"/>
    <w:rsid w:val="000C485E"/>
    <w:rsid w:val="000C6CA5"/>
    <w:rsid w:val="000C7F64"/>
    <w:rsid w:val="000D12E1"/>
    <w:rsid w:val="000D19D0"/>
    <w:rsid w:val="000D1ABC"/>
    <w:rsid w:val="000D4288"/>
    <w:rsid w:val="000D4A7A"/>
    <w:rsid w:val="000D59B9"/>
    <w:rsid w:val="000E2E06"/>
    <w:rsid w:val="000E2EE2"/>
    <w:rsid w:val="000E7516"/>
    <w:rsid w:val="000F47DB"/>
    <w:rsid w:val="000F64F0"/>
    <w:rsid w:val="000F762C"/>
    <w:rsid w:val="00100D07"/>
    <w:rsid w:val="00102BA8"/>
    <w:rsid w:val="0010457B"/>
    <w:rsid w:val="00110A7B"/>
    <w:rsid w:val="00110ECB"/>
    <w:rsid w:val="001115CA"/>
    <w:rsid w:val="0011727B"/>
    <w:rsid w:val="00120538"/>
    <w:rsid w:val="00120B0E"/>
    <w:rsid w:val="0012345A"/>
    <w:rsid w:val="00133499"/>
    <w:rsid w:val="00133ECC"/>
    <w:rsid w:val="0013425E"/>
    <w:rsid w:val="00135518"/>
    <w:rsid w:val="00136A19"/>
    <w:rsid w:val="00140478"/>
    <w:rsid w:val="00141EE3"/>
    <w:rsid w:val="0014210A"/>
    <w:rsid w:val="0014400B"/>
    <w:rsid w:val="00162463"/>
    <w:rsid w:val="0016444A"/>
    <w:rsid w:val="00164CC7"/>
    <w:rsid w:val="0016566F"/>
    <w:rsid w:val="0017287D"/>
    <w:rsid w:val="0017331D"/>
    <w:rsid w:val="0018328A"/>
    <w:rsid w:val="001A30B3"/>
    <w:rsid w:val="001A7141"/>
    <w:rsid w:val="001D0FDA"/>
    <w:rsid w:val="001D1322"/>
    <w:rsid w:val="001D1D5A"/>
    <w:rsid w:val="001D32D3"/>
    <w:rsid w:val="001D686D"/>
    <w:rsid w:val="001E5F18"/>
    <w:rsid w:val="00201AE9"/>
    <w:rsid w:val="002029D8"/>
    <w:rsid w:val="00202A08"/>
    <w:rsid w:val="00202E32"/>
    <w:rsid w:val="00204AE1"/>
    <w:rsid w:val="00204BBE"/>
    <w:rsid w:val="002061AC"/>
    <w:rsid w:val="00211CD0"/>
    <w:rsid w:val="00213451"/>
    <w:rsid w:val="002134B7"/>
    <w:rsid w:val="00214D2E"/>
    <w:rsid w:val="00215A3A"/>
    <w:rsid w:val="00222C1D"/>
    <w:rsid w:val="002239D4"/>
    <w:rsid w:val="0022463A"/>
    <w:rsid w:val="002275AA"/>
    <w:rsid w:val="00232D7A"/>
    <w:rsid w:val="00235423"/>
    <w:rsid w:val="00237258"/>
    <w:rsid w:val="00240B77"/>
    <w:rsid w:val="00243BED"/>
    <w:rsid w:val="002444DD"/>
    <w:rsid w:val="00250153"/>
    <w:rsid w:val="0025264D"/>
    <w:rsid w:val="002530A5"/>
    <w:rsid w:val="002536D3"/>
    <w:rsid w:val="00254E9F"/>
    <w:rsid w:val="002569F4"/>
    <w:rsid w:val="0026045A"/>
    <w:rsid w:val="00260810"/>
    <w:rsid w:val="002632F4"/>
    <w:rsid w:val="00263B3B"/>
    <w:rsid w:val="002668BC"/>
    <w:rsid w:val="002669FE"/>
    <w:rsid w:val="00266CDC"/>
    <w:rsid w:val="00267BBD"/>
    <w:rsid w:val="002724D7"/>
    <w:rsid w:val="00273EB3"/>
    <w:rsid w:val="00275252"/>
    <w:rsid w:val="002756F3"/>
    <w:rsid w:val="00280320"/>
    <w:rsid w:val="00283861"/>
    <w:rsid w:val="00283A46"/>
    <w:rsid w:val="0029468A"/>
    <w:rsid w:val="002A0DB6"/>
    <w:rsid w:val="002A3768"/>
    <w:rsid w:val="002A568B"/>
    <w:rsid w:val="002A7D70"/>
    <w:rsid w:val="002B02AE"/>
    <w:rsid w:val="002B2149"/>
    <w:rsid w:val="002B2FD0"/>
    <w:rsid w:val="002D24FF"/>
    <w:rsid w:val="002D6C0D"/>
    <w:rsid w:val="002E187F"/>
    <w:rsid w:val="002E5F6F"/>
    <w:rsid w:val="002E7181"/>
    <w:rsid w:val="002F4877"/>
    <w:rsid w:val="00303648"/>
    <w:rsid w:val="00304FB4"/>
    <w:rsid w:val="00305A06"/>
    <w:rsid w:val="00307413"/>
    <w:rsid w:val="00314473"/>
    <w:rsid w:val="00321364"/>
    <w:rsid w:val="003252E2"/>
    <w:rsid w:val="00327C84"/>
    <w:rsid w:val="0033106D"/>
    <w:rsid w:val="00334FE6"/>
    <w:rsid w:val="00336E37"/>
    <w:rsid w:val="00337C36"/>
    <w:rsid w:val="0034180B"/>
    <w:rsid w:val="00354C2E"/>
    <w:rsid w:val="003632CE"/>
    <w:rsid w:val="0037167C"/>
    <w:rsid w:val="00371779"/>
    <w:rsid w:val="00373FC3"/>
    <w:rsid w:val="00392A9D"/>
    <w:rsid w:val="003933A1"/>
    <w:rsid w:val="0039467F"/>
    <w:rsid w:val="003A0A81"/>
    <w:rsid w:val="003A218C"/>
    <w:rsid w:val="003A3FE0"/>
    <w:rsid w:val="003A7D73"/>
    <w:rsid w:val="003B015A"/>
    <w:rsid w:val="003B20F5"/>
    <w:rsid w:val="003C0636"/>
    <w:rsid w:val="003E13B3"/>
    <w:rsid w:val="003E32D7"/>
    <w:rsid w:val="003E4543"/>
    <w:rsid w:val="003E4E4E"/>
    <w:rsid w:val="003F0AE0"/>
    <w:rsid w:val="003F24F4"/>
    <w:rsid w:val="003F316B"/>
    <w:rsid w:val="0040156F"/>
    <w:rsid w:val="0040545B"/>
    <w:rsid w:val="00410696"/>
    <w:rsid w:val="0041294E"/>
    <w:rsid w:val="00413571"/>
    <w:rsid w:val="00420E07"/>
    <w:rsid w:val="00420E83"/>
    <w:rsid w:val="00421DD5"/>
    <w:rsid w:val="00422C4F"/>
    <w:rsid w:val="0043443A"/>
    <w:rsid w:val="004365A3"/>
    <w:rsid w:val="00442844"/>
    <w:rsid w:val="00452413"/>
    <w:rsid w:val="0047241B"/>
    <w:rsid w:val="0047432B"/>
    <w:rsid w:val="00483020"/>
    <w:rsid w:val="00483ECE"/>
    <w:rsid w:val="00493F13"/>
    <w:rsid w:val="004A1833"/>
    <w:rsid w:val="004A6840"/>
    <w:rsid w:val="004B2484"/>
    <w:rsid w:val="004B410D"/>
    <w:rsid w:val="004B4670"/>
    <w:rsid w:val="004B722E"/>
    <w:rsid w:val="004C51BE"/>
    <w:rsid w:val="004D4F9D"/>
    <w:rsid w:val="004E2492"/>
    <w:rsid w:val="004E3A06"/>
    <w:rsid w:val="004E4343"/>
    <w:rsid w:val="00510620"/>
    <w:rsid w:val="00511753"/>
    <w:rsid w:val="00512D4D"/>
    <w:rsid w:val="00516FF5"/>
    <w:rsid w:val="00522510"/>
    <w:rsid w:val="00524CC8"/>
    <w:rsid w:val="00526E0C"/>
    <w:rsid w:val="00530F07"/>
    <w:rsid w:val="00532B50"/>
    <w:rsid w:val="00533965"/>
    <w:rsid w:val="00551364"/>
    <w:rsid w:val="005545B6"/>
    <w:rsid w:val="005725DE"/>
    <w:rsid w:val="00583C31"/>
    <w:rsid w:val="00585C9F"/>
    <w:rsid w:val="00585D41"/>
    <w:rsid w:val="00587F0C"/>
    <w:rsid w:val="00590814"/>
    <w:rsid w:val="00595203"/>
    <w:rsid w:val="00595EC7"/>
    <w:rsid w:val="0059694D"/>
    <w:rsid w:val="005A073A"/>
    <w:rsid w:val="005A0800"/>
    <w:rsid w:val="005A3067"/>
    <w:rsid w:val="005A58A3"/>
    <w:rsid w:val="005B05D0"/>
    <w:rsid w:val="005B15CD"/>
    <w:rsid w:val="005C35D8"/>
    <w:rsid w:val="005C424A"/>
    <w:rsid w:val="005C69AE"/>
    <w:rsid w:val="005D69A4"/>
    <w:rsid w:val="005E5E3E"/>
    <w:rsid w:val="005F5AC0"/>
    <w:rsid w:val="005F7996"/>
    <w:rsid w:val="00603CCC"/>
    <w:rsid w:val="00607E4C"/>
    <w:rsid w:val="00607FF1"/>
    <w:rsid w:val="0061648B"/>
    <w:rsid w:val="0061754A"/>
    <w:rsid w:val="00621671"/>
    <w:rsid w:val="00630238"/>
    <w:rsid w:val="006409E6"/>
    <w:rsid w:val="0065175A"/>
    <w:rsid w:val="006603E9"/>
    <w:rsid w:val="006666E4"/>
    <w:rsid w:val="00667812"/>
    <w:rsid w:val="00670111"/>
    <w:rsid w:val="006731E7"/>
    <w:rsid w:val="00673BAA"/>
    <w:rsid w:val="00673E02"/>
    <w:rsid w:val="006764EF"/>
    <w:rsid w:val="00685D7E"/>
    <w:rsid w:val="0068725E"/>
    <w:rsid w:val="0068755F"/>
    <w:rsid w:val="00687C3D"/>
    <w:rsid w:val="0069192D"/>
    <w:rsid w:val="00691F15"/>
    <w:rsid w:val="006929D8"/>
    <w:rsid w:val="0069565D"/>
    <w:rsid w:val="00696036"/>
    <w:rsid w:val="0069691C"/>
    <w:rsid w:val="006A2839"/>
    <w:rsid w:val="006B7967"/>
    <w:rsid w:val="006C4859"/>
    <w:rsid w:val="006C5A86"/>
    <w:rsid w:val="006D4FCD"/>
    <w:rsid w:val="006E03A8"/>
    <w:rsid w:val="006E14A6"/>
    <w:rsid w:val="006F376D"/>
    <w:rsid w:val="006F44C7"/>
    <w:rsid w:val="00702751"/>
    <w:rsid w:val="0070378A"/>
    <w:rsid w:val="00706D10"/>
    <w:rsid w:val="00707DA0"/>
    <w:rsid w:val="007101DD"/>
    <w:rsid w:val="00710C61"/>
    <w:rsid w:val="0071738F"/>
    <w:rsid w:val="00727795"/>
    <w:rsid w:val="00734EBA"/>
    <w:rsid w:val="007360BA"/>
    <w:rsid w:val="007366EC"/>
    <w:rsid w:val="007415B1"/>
    <w:rsid w:val="007452D0"/>
    <w:rsid w:val="00745408"/>
    <w:rsid w:val="00745E6B"/>
    <w:rsid w:val="00747B10"/>
    <w:rsid w:val="00766AA1"/>
    <w:rsid w:val="007708D1"/>
    <w:rsid w:val="00773892"/>
    <w:rsid w:val="00777776"/>
    <w:rsid w:val="00786746"/>
    <w:rsid w:val="007A036D"/>
    <w:rsid w:val="007A0FCB"/>
    <w:rsid w:val="007A1399"/>
    <w:rsid w:val="007A4B7A"/>
    <w:rsid w:val="007B0A67"/>
    <w:rsid w:val="007B4CBE"/>
    <w:rsid w:val="007C0EAE"/>
    <w:rsid w:val="007D232C"/>
    <w:rsid w:val="007E3CF0"/>
    <w:rsid w:val="007E523E"/>
    <w:rsid w:val="007F3E95"/>
    <w:rsid w:val="007F4723"/>
    <w:rsid w:val="0080002C"/>
    <w:rsid w:val="008064C9"/>
    <w:rsid w:val="00810EDA"/>
    <w:rsid w:val="00814E1B"/>
    <w:rsid w:val="00816F8E"/>
    <w:rsid w:val="00822977"/>
    <w:rsid w:val="008241E2"/>
    <w:rsid w:val="0083791A"/>
    <w:rsid w:val="00840935"/>
    <w:rsid w:val="008449ED"/>
    <w:rsid w:val="00845C85"/>
    <w:rsid w:val="00847FB8"/>
    <w:rsid w:val="00850BE4"/>
    <w:rsid w:val="008543B4"/>
    <w:rsid w:val="008678BB"/>
    <w:rsid w:val="00870FD6"/>
    <w:rsid w:val="0087709C"/>
    <w:rsid w:val="00877935"/>
    <w:rsid w:val="00886184"/>
    <w:rsid w:val="00890284"/>
    <w:rsid w:val="00892876"/>
    <w:rsid w:val="00894F17"/>
    <w:rsid w:val="008A5AE8"/>
    <w:rsid w:val="008A6DFF"/>
    <w:rsid w:val="008B0DED"/>
    <w:rsid w:val="008B0E76"/>
    <w:rsid w:val="008C399A"/>
    <w:rsid w:val="008D0385"/>
    <w:rsid w:val="008D4489"/>
    <w:rsid w:val="008E00F3"/>
    <w:rsid w:val="008E10F8"/>
    <w:rsid w:val="008E14FA"/>
    <w:rsid w:val="008E3234"/>
    <w:rsid w:val="008E3FB6"/>
    <w:rsid w:val="008F6AC7"/>
    <w:rsid w:val="00901A73"/>
    <w:rsid w:val="009131C5"/>
    <w:rsid w:val="0092330B"/>
    <w:rsid w:val="00925CA9"/>
    <w:rsid w:val="009263E8"/>
    <w:rsid w:val="0093147C"/>
    <w:rsid w:val="009371EB"/>
    <w:rsid w:val="00937817"/>
    <w:rsid w:val="009407F8"/>
    <w:rsid w:val="00942A54"/>
    <w:rsid w:val="009467CB"/>
    <w:rsid w:val="00946D16"/>
    <w:rsid w:val="00951F32"/>
    <w:rsid w:val="0095372E"/>
    <w:rsid w:val="00954E71"/>
    <w:rsid w:val="00962910"/>
    <w:rsid w:val="00970BE9"/>
    <w:rsid w:val="00983F14"/>
    <w:rsid w:val="00991A3B"/>
    <w:rsid w:val="0099234C"/>
    <w:rsid w:val="00994386"/>
    <w:rsid w:val="00996197"/>
    <w:rsid w:val="00996ACE"/>
    <w:rsid w:val="009A3913"/>
    <w:rsid w:val="009A4B68"/>
    <w:rsid w:val="009A744B"/>
    <w:rsid w:val="009A74CF"/>
    <w:rsid w:val="009B12B6"/>
    <w:rsid w:val="009B6C70"/>
    <w:rsid w:val="009C12F2"/>
    <w:rsid w:val="009C3A23"/>
    <w:rsid w:val="009C584E"/>
    <w:rsid w:val="009D2F20"/>
    <w:rsid w:val="009E5F35"/>
    <w:rsid w:val="009E602C"/>
    <w:rsid w:val="009F0CD8"/>
    <w:rsid w:val="009F116E"/>
    <w:rsid w:val="009F3C4E"/>
    <w:rsid w:val="009F5094"/>
    <w:rsid w:val="009F6F10"/>
    <w:rsid w:val="00A03FDA"/>
    <w:rsid w:val="00A07AE7"/>
    <w:rsid w:val="00A07F6B"/>
    <w:rsid w:val="00A1009F"/>
    <w:rsid w:val="00A15B70"/>
    <w:rsid w:val="00A21083"/>
    <w:rsid w:val="00A2169F"/>
    <w:rsid w:val="00A24562"/>
    <w:rsid w:val="00A27897"/>
    <w:rsid w:val="00A3277A"/>
    <w:rsid w:val="00A32AAB"/>
    <w:rsid w:val="00A4586E"/>
    <w:rsid w:val="00A51F01"/>
    <w:rsid w:val="00A62A28"/>
    <w:rsid w:val="00A67836"/>
    <w:rsid w:val="00A733D1"/>
    <w:rsid w:val="00A7660D"/>
    <w:rsid w:val="00A804E8"/>
    <w:rsid w:val="00A94CBC"/>
    <w:rsid w:val="00A97983"/>
    <w:rsid w:val="00AA10D2"/>
    <w:rsid w:val="00AA2B77"/>
    <w:rsid w:val="00AA67C5"/>
    <w:rsid w:val="00AB11EC"/>
    <w:rsid w:val="00AB1347"/>
    <w:rsid w:val="00AB2565"/>
    <w:rsid w:val="00AB5D42"/>
    <w:rsid w:val="00AB626A"/>
    <w:rsid w:val="00AC3AE8"/>
    <w:rsid w:val="00AC5038"/>
    <w:rsid w:val="00AC53D9"/>
    <w:rsid w:val="00AD01D2"/>
    <w:rsid w:val="00AD045E"/>
    <w:rsid w:val="00AD74E0"/>
    <w:rsid w:val="00AE3392"/>
    <w:rsid w:val="00AF4674"/>
    <w:rsid w:val="00AF4CB1"/>
    <w:rsid w:val="00AF66B8"/>
    <w:rsid w:val="00AF7732"/>
    <w:rsid w:val="00B00B61"/>
    <w:rsid w:val="00B02AE7"/>
    <w:rsid w:val="00B1103C"/>
    <w:rsid w:val="00B13E33"/>
    <w:rsid w:val="00B17701"/>
    <w:rsid w:val="00B222EB"/>
    <w:rsid w:val="00B30451"/>
    <w:rsid w:val="00B31036"/>
    <w:rsid w:val="00B311BD"/>
    <w:rsid w:val="00B32784"/>
    <w:rsid w:val="00B32B65"/>
    <w:rsid w:val="00B33F12"/>
    <w:rsid w:val="00B355AC"/>
    <w:rsid w:val="00B35F9A"/>
    <w:rsid w:val="00B401C0"/>
    <w:rsid w:val="00B44A38"/>
    <w:rsid w:val="00B44B19"/>
    <w:rsid w:val="00B46BBB"/>
    <w:rsid w:val="00B566FB"/>
    <w:rsid w:val="00B72F50"/>
    <w:rsid w:val="00B80BB8"/>
    <w:rsid w:val="00B84CBC"/>
    <w:rsid w:val="00B975EB"/>
    <w:rsid w:val="00BA34D0"/>
    <w:rsid w:val="00BA420D"/>
    <w:rsid w:val="00BA6516"/>
    <w:rsid w:val="00BA6EE3"/>
    <w:rsid w:val="00BB048A"/>
    <w:rsid w:val="00BB6DC4"/>
    <w:rsid w:val="00BB773F"/>
    <w:rsid w:val="00BC04B6"/>
    <w:rsid w:val="00BC69A2"/>
    <w:rsid w:val="00BC6D16"/>
    <w:rsid w:val="00BD4289"/>
    <w:rsid w:val="00BD7CD0"/>
    <w:rsid w:val="00BE14A6"/>
    <w:rsid w:val="00BE495E"/>
    <w:rsid w:val="00BE5081"/>
    <w:rsid w:val="00BE67DA"/>
    <w:rsid w:val="00BF3901"/>
    <w:rsid w:val="00BF4526"/>
    <w:rsid w:val="00C05080"/>
    <w:rsid w:val="00C0681F"/>
    <w:rsid w:val="00C12CA1"/>
    <w:rsid w:val="00C13CD3"/>
    <w:rsid w:val="00C15B99"/>
    <w:rsid w:val="00C20553"/>
    <w:rsid w:val="00C20B6E"/>
    <w:rsid w:val="00C333CD"/>
    <w:rsid w:val="00C438CE"/>
    <w:rsid w:val="00C5591E"/>
    <w:rsid w:val="00C55DBB"/>
    <w:rsid w:val="00C56CC9"/>
    <w:rsid w:val="00C61DF5"/>
    <w:rsid w:val="00C62415"/>
    <w:rsid w:val="00C66CC8"/>
    <w:rsid w:val="00C8106C"/>
    <w:rsid w:val="00C8262D"/>
    <w:rsid w:val="00C87B17"/>
    <w:rsid w:val="00C923E3"/>
    <w:rsid w:val="00CA3B61"/>
    <w:rsid w:val="00CA40DB"/>
    <w:rsid w:val="00CA464F"/>
    <w:rsid w:val="00CA4EDC"/>
    <w:rsid w:val="00CA540E"/>
    <w:rsid w:val="00CA6565"/>
    <w:rsid w:val="00CA6951"/>
    <w:rsid w:val="00CB7C5D"/>
    <w:rsid w:val="00CC576E"/>
    <w:rsid w:val="00CD17E8"/>
    <w:rsid w:val="00CD4406"/>
    <w:rsid w:val="00CD493C"/>
    <w:rsid w:val="00CF1B8B"/>
    <w:rsid w:val="00CF2235"/>
    <w:rsid w:val="00D04003"/>
    <w:rsid w:val="00D04755"/>
    <w:rsid w:val="00D072DC"/>
    <w:rsid w:val="00D0789C"/>
    <w:rsid w:val="00D07A78"/>
    <w:rsid w:val="00D12F53"/>
    <w:rsid w:val="00D15798"/>
    <w:rsid w:val="00D15926"/>
    <w:rsid w:val="00D205C6"/>
    <w:rsid w:val="00D320C8"/>
    <w:rsid w:val="00D360A7"/>
    <w:rsid w:val="00D407FD"/>
    <w:rsid w:val="00D422DC"/>
    <w:rsid w:val="00D422F3"/>
    <w:rsid w:val="00D437FA"/>
    <w:rsid w:val="00D46479"/>
    <w:rsid w:val="00D47781"/>
    <w:rsid w:val="00D50754"/>
    <w:rsid w:val="00D53BC5"/>
    <w:rsid w:val="00D573AA"/>
    <w:rsid w:val="00D612B3"/>
    <w:rsid w:val="00D632F2"/>
    <w:rsid w:val="00D735DD"/>
    <w:rsid w:val="00D769B7"/>
    <w:rsid w:val="00D80B75"/>
    <w:rsid w:val="00D81560"/>
    <w:rsid w:val="00D8263B"/>
    <w:rsid w:val="00D92499"/>
    <w:rsid w:val="00DA4020"/>
    <w:rsid w:val="00DA6325"/>
    <w:rsid w:val="00DB389A"/>
    <w:rsid w:val="00DB64B7"/>
    <w:rsid w:val="00DB68C6"/>
    <w:rsid w:val="00DC440A"/>
    <w:rsid w:val="00DC59A9"/>
    <w:rsid w:val="00DC5F45"/>
    <w:rsid w:val="00DD0461"/>
    <w:rsid w:val="00DD2503"/>
    <w:rsid w:val="00DD376E"/>
    <w:rsid w:val="00DD3E91"/>
    <w:rsid w:val="00DD7474"/>
    <w:rsid w:val="00DE1EDF"/>
    <w:rsid w:val="00DE57C1"/>
    <w:rsid w:val="00DE657D"/>
    <w:rsid w:val="00DE7E04"/>
    <w:rsid w:val="00DF04B7"/>
    <w:rsid w:val="00DF5986"/>
    <w:rsid w:val="00E01855"/>
    <w:rsid w:val="00E01859"/>
    <w:rsid w:val="00E04F2E"/>
    <w:rsid w:val="00E05F9D"/>
    <w:rsid w:val="00E12D6F"/>
    <w:rsid w:val="00E21932"/>
    <w:rsid w:val="00E24C30"/>
    <w:rsid w:val="00E26C29"/>
    <w:rsid w:val="00E30266"/>
    <w:rsid w:val="00E31844"/>
    <w:rsid w:val="00E33744"/>
    <w:rsid w:val="00E36E7C"/>
    <w:rsid w:val="00E424E8"/>
    <w:rsid w:val="00E463B6"/>
    <w:rsid w:val="00E47CA4"/>
    <w:rsid w:val="00E509A2"/>
    <w:rsid w:val="00E5202E"/>
    <w:rsid w:val="00E53D1D"/>
    <w:rsid w:val="00E56309"/>
    <w:rsid w:val="00E577D3"/>
    <w:rsid w:val="00E6367F"/>
    <w:rsid w:val="00E65DBD"/>
    <w:rsid w:val="00E6784E"/>
    <w:rsid w:val="00E732CC"/>
    <w:rsid w:val="00E8785B"/>
    <w:rsid w:val="00E90A85"/>
    <w:rsid w:val="00E948B8"/>
    <w:rsid w:val="00EA2CBD"/>
    <w:rsid w:val="00EA2F4F"/>
    <w:rsid w:val="00EA34F7"/>
    <w:rsid w:val="00EA43D0"/>
    <w:rsid w:val="00EB358A"/>
    <w:rsid w:val="00EB4355"/>
    <w:rsid w:val="00EB4720"/>
    <w:rsid w:val="00EB4940"/>
    <w:rsid w:val="00EB65B6"/>
    <w:rsid w:val="00EC0E79"/>
    <w:rsid w:val="00EC4D00"/>
    <w:rsid w:val="00ED0AEC"/>
    <w:rsid w:val="00ED2258"/>
    <w:rsid w:val="00ED5A91"/>
    <w:rsid w:val="00ED5DD5"/>
    <w:rsid w:val="00ED7251"/>
    <w:rsid w:val="00EE3FF7"/>
    <w:rsid w:val="00EE60EF"/>
    <w:rsid w:val="00EE70D0"/>
    <w:rsid w:val="00EF08A4"/>
    <w:rsid w:val="00EF267A"/>
    <w:rsid w:val="00EF3359"/>
    <w:rsid w:val="00EF45A7"/>
    <w:rsid w:val="00EF667E"/>
    <w:rsid w:val="00EF69B2"/>
    <w:rsid w:val="00F021D1"/>
    <w:rsid w:val="00F02F74"/>
    <w:rsid w:val="00F0582C"/>
    <w:rsid w:val="00F05F04"/>
    <w:rsid w:val="00F05F46"/>
    <w:rsid w:val="00F23083"/>
    <w:rsid w:val="00F249A3"/>
    <w:rsid w:val="00F273E8"/>
    <w:rsid w:val="00F2749A"/>
    <w:rsid w:val="00F3089A"/>
    <w:rsid w:val="00F35160"/>
    <w:rsid w:val="00F37C86"/>
    <w:rsid w:val="00F419FD"/>
    <w:rsid w:val="00F51F67"/>
    <w:rsid w:val="00F60C27"/>
    <w:rsid w:val="00F80356"/>
    <w:rsid w:val="00F81DBB"/>
    <w:rsid w:val="00F8375B"/>
    <w:rsid w:val="00F91740"/>
    <w:rsid w:val="00F91AE6"/>
    <w:rsid w:val="00F97CC5"/>
    <w:rsid w:val="00FA077C"/>
    <w:rsid w:val="00FA2005"/>
    <w:rsid w:val="00FA251E"/>
    <w:rsid w:val="00FA5A17"/>
    <w:rsid w:val="00FB1915"/>
    <w:rsid w:val="00FB1C05"/>
    <w:rsid w:val="00FB25AD"/>
    <w:rsid w:val="00FB3C56"/>
    <w:rsid w:val="00FC432F"/>
    <w:rsid w:val="00FC4E96"/>
    <w:rsid w:val="00FC5D32"/>
    <w:rsid w:val="00FD642F"/>
    <w:rsid w:val="00FD702C"/>
    <w:rsid w:val="00FE06DC"/>
    <w:rsid w:val="00FF0320"/>
    <w:rsid w:val="00FF38C0"/>
    <w:rsid w:val="00FF6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DAE7D"/>
  <w15:chartTrackingRefBased/>
  <w15:docId w15:val="{AA9BABD1-4399-4192-83F0-6218932C9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B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0B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B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B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B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B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B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B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B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B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0B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0B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0B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0B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0B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0B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0B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0BE9"/>
    <w:rPr>
      <w:rFonts w:eastAsiaTheme="majorEastAsia" w:cstheme="majorBidi"/>
      <w:color w:val="272727" w:themeColor="text1" w:themeTint="D8"/>
    </w:rPr>
  </w:style>
  <w:style w:type="paragraph" w:styleId="Title">
    <w:name w:val="Title"/>
    <w:basedOn w:val="Normal"/>
    <w:next w:val="Normal"/>
    <w:link w:val="TitleChar"/>
    <w:uiPriority w:val="10"/>
    <w:qFormat/>
    <w:rsid w:val="00970B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0B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0B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0B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0BE9"/>
    <w:pPr>
      <w:spacing w:before="160"/>
      <w:jc w:val="center"/>
    </w:pPr>
    <w:rPr>
      <w:i/>
      <w:iCs/>
      <w:color w:val="404040" w:themeColor="text1" w:themeTint="BF"/>
    </w:rPr>
  </w:style>
  <w:style w:type="character" w:customStyle="1" w:styleId="QuoteChar">
    <w:name w:val="Quote Char"/>
    <w:basedOn w:val="DefaultParagraphFont"/>
    <w:link w:val="Quote"/>
    <w:uiPriority w:val="29"/>
    <w:rsid w:val="00970BE9"/>
    <w:rPr>
      <w:i/>
      <w:iCs/>
      <w:color w:val="404040" w:themeColor="text1" w:themeTint="BF"/>
    </w:rPr>
  </w:style>
  <w:style w:type="paragraph" w:styleId="ListParagraph">
    <w:name w:val="List Paragraph"/>
    <w:basedOn w:val="Normal"/>
    <w:uiPriority w:val="34"/>
    <w:qFormat/>
    <w:rsid w:val="00970BE9"/>
    <w:pPr>
      <w:ind w:left="720"/>
      <w:contextualSpacing/>
    </w:pPr>
  </w:style>
  <w:style w:type="character" w:styleId="IntenseEmphasis">
    <w:name w:val="Intense Emphasis"/>
    <w:basedOn w:val="DefaultParagraphFont"/>
    <w:uiPriority w:val="21"/>
    <w:qFormat/>
    <w:rsid w:val="00970BE9"/>
    <w:rPr>
      <w:i/>
      <w:iCs/>
      <w:color w:val="0F4761" w:themeColor="accent1" w:themeShade="BF"/>
    </w:rPr>
  </w:style>
  <w:style w:type="paragraph" w:styleId="IntenseQuote">
    <w:name w:val="Intense Quote"/>
    <w:basedOn w:val="Normal"/>
    <w:next w:val="Normal"/>
    <w:link w:val="IntenseQuoteChar"/>
    <w:uiPriority w:val="30"/>
    <w:qFormat/>
    <w:rsid w:val="00970B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0BE9"/>
    <w:rPr>
      <w:i/>
      <w:iCs/>
      <w:color w:val="0F4761" w:themeColor="accent1" w:themeShade="BF"/>
    </w:rPr>
  </w:style>
  <w:style w:type="character" w:styleId="IntenseReference">
    <w:name w:val="Intense Reference"/>
    <w:basedOn w:val="DefaultParagraphFont"/>
    <w:uiPriority w:val="32"/>
    <w:qFormat/>
    <w:rsid w:val="00970BE9"/>
    <w:rPr>
      <w:b/>
      <w:bCs/>
      <w:smallCaps/>
      <w:color w:val="0F4761" w:themeColor="accent1" w:themeShade="BF"/>
      <w:spacing w:val="5"/>
    </w:rPr>
  </w:style>
  <w:style w:type="paragraph" w:styleId="Header">
    <w:name w:val="header"/>
    <w:basedOn w:val="Normal"/>
    <w:link w:val="HeaderChar"/>
    <w:uiPriority w:val="99"/>
    <w:unhideWhenUsed/>
    <w:rsid w:val="00970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BE9"/>
  </w:style>
  <w:style w:type="paragraph" w:styleId="Footer">
    <w:name w:val="footer"/>
    <w:basedOn w:val="Normal"/>
    <w:link w:val="FooterChar"/>
    <w:uiPriority w:val="99"/>
    <w:unhideWhenUsed/>
    <w:rsid w:val="00970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BE9"/>
  </w:style>
  <w:style w:type="character" w:styleId="Hyperlink">
    <w:name w:val="Hyperlink"/>
    <w:basedOn w:val="DefaultParagraphFont"/>
    <w:uiPriority w:val="99"/>
    <w:unhideWhenUsed/>
    <w:rsid w:val="00B975EB"/>
    <w:rPr>
      <w:color w:val="467886" w:themeColor="hyperlink"/>
      <w:u w:val="single"/>
    </w:rPr>
  </w:style>
  <w:style w:type="character" w:styleId="UnresolvedMention">
    <w:name w:val="Unresolved Mention"/>
    <w:basedOn w:val="DefaultParagraphFont"/>
    <w:uiPriority w:val="99"/>
    <w:semiHidden/>
    <w:unhideWhenUsed/>
    <w:rsid w:val="00B975EB"/>
    <w:rPr>
      <w:color w:val="605E5C"/>
      <w:shd w:val="clear" w:color="auto" w:fill="E1DFDD"/>
    </w:rPr>
  </w:style>
  <w:style w:type="paragraph" w:styleId="FootnoteText">
    <w:name w:val="footnote text"/>
    <w:basedOn w:val="Normal"/>
    <w:link w:val="FootnoteTextChar"/>
    <w:uiPriority w:val="99"/>
    <w:semiHidden/>
    <w:unhideWhenUsed/>
    <w:rsid w:val="00EB65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65B6"/>
    <w:rPr>
      <w:sz w:val="20"/>
      <w:szCs w:val="20"/>
    </w:rPr>
  </w:style>
  <w:style w:type="character" w:styleId="FootnoteReference">
    <w:name w:val="footnote reference"/>
    <w:basedOn w:val="DefaultParagraphFont"/>
    <w:uiPriority w:val="99"/>
    <w:semiHidden/>
    <w:unhideWhenUsed/>
    <w:rsid w:val="00EB65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0590237">
      <w:bodyDiv w:val="1"/>
      <w:marLeft w:val="0"/>
      <w:marRight w:val="0"/>
      <w:marTop w:val="0"/>
      <w:marBottom w:val="0"/>
      <w:divBdr>
        <w:top w:val="none" w:sz="0" w:space="0" w:color="auto"/>
        <w:left w:val="none" w:sz="0" w:space="0" w:color="auto"/>
        <w:bottom w:val="none" w:sz="0" w:space="0" w:color="auto"/>
        <w:right w:val="none" w:sz="0" w:space="0" w:color="auto"/>
      </w:divBdr>
    </w:div>
    <w:div w:id="1944413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jstor.org/stable/4532016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stor.org/stable/45320418"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jstor.org/stable/41999124"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45320162" TargetMode="External"/><Relationship Id="rId2" Type="http://schemas.openxmlformats.org/officeDocument/2006/relationships/hyperlink" Target="https://www.jstor.org/stable/41999124" TargetMode="External"/><Relationship Id="rId1" Type="http://schemas.openxmlformats.org/officeDocument/2006/relationships/hyperlink" Target="https://www.jstor.org/stable/453204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d5887fa0c24c11744d780ed6f74ce03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827988e4ba7eb77f336cf1fd2bdfa7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B7375-0500-41F7-B246-E7FAAC9765DD}">
  <ds:schemaRefs>
    <ds:schemaRef ds:uri="http://www.w3.org/XML/1998/namespace"/>
    <ds:schemaRef ds:uri="http://purl.org/dc/terms/"/>
    <ds:schemaRef ds:uri="http://schemas.microsoft.com/office/infopath/2007/PartnerControls"/>
    <ds:schemaRef ds:uri="ad7316b1-23f1-480c-8fa6-cbf037f4db9c"/>
    <ds:schemaRef ds:uri="http://schemas.microsoft.com/office/2006/documentManagement/types"/>
    <ds:schemaRef ds:uri="http://purl.org/dc/elements/1.1/"/>
    <ds:schemaRef ds:uri="http://schemas.microsoft.com/office/2006/metadata/properties"/>
    <ds:schemaRef ds:uri="bd2b2a82-bc2e-4fcc-b8ad-fd63686c78d2"/>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D54D82D5-448B-40AB-9922-477E86B806EE}">
  <ds:schemaRefs>
    <ds:schemaRef ds:uri="http://schemas.microsoft.com/sharepoint/v3/contenttype/forms"/>
  </ds:schemaRefs>
</ds:datastoreItem>
</file>

<file path=customXml/itemProps3.xml><?xml version="1.0" encoding="utf-8"?>
<ds:datastoreItem xmlns:ds="http://schemas.openxmlformats.org/officeDocument/2006/customXml" ds:itemID="{7818D1ED-8D07-4772-83EE-185BF0BA0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B59CE69-471C-4A37-B1A0-7A67B7737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4606</Words>
  <Characters>26260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 (2306897)</dc:creator>
  <cp:keywords/>
  <dc:description/>
  <cp:lastModifiedBy>Liss Dark (2306897)</cp:lastModifiedBy>
  <cp:revision>2</cp:revision>
  <dcterms:created xsi:type="dcterms:W3CDTF">2025-05-04T21:25:00Z</dcterms:created>
  <dcterms:modified xsi:type="dcterms:W3CDTF">2025-05-04T21:25:00Z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