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CEAB77" w14:textId="77777777" w:rsidR="00B17DAC" w:rsidRDefault="00B17DAC" w:rsidP="00276BBC">
      <w:pPr>
        <w:ind w:firstLine="720"/>
        <w:rPr>
          <w:color w:val="595959" w:themeColor="text1" w:themeTint="A6"/>
        </w:rPr>
      </w:pPr>
    </w:p>
    <w:p w14:paraId="4CFAAD61" w14:textId="77777777" w:rsidR="00B17DAC" w:rsidRPr="000E6707" w:rsidRDefault="00B17DAC" w:rsidP="00B17DAC">
      <w:pPr>
        <w:shd w:val="clear" w:color="auto" w:fill="FFFFFF"/>
        <w:ind w:left="-360"/>
        <w:jc w:val="center"/>
        <w:rPr>
          <w:rFonts w:cstheme="minorHAnsi"/>
          <w:color w:val="595959" w:themeColor="text1" w:themeTint="A6"/>
          <w:kern w:val="36"/>
        </w:rPr>
      </w:pPr>
      <w:r w:rsidRPr="000E6707">
        <w:rPr>
          <w:rFonts w:cstheme="minorHAnsi"/>
          <w:color w:val="595959" w:themeColor="text1" w:themeTint="A6"/>
          <w:kern w:val="36"/>
        </w:rPr>
        <w:t>Study Skills for Biblical Interpretation, Islamic Studies, Study of Religions and Christian Theology (TRDL7110)</w:t>
      </w:r>
    </w:p>
    <w:p w14:paraId="47DA52DB" w14:textId="77777777" w:rsidR="00B17DAC" w:rsidRPr="000E6707" w:rsidRDefault="00B17DAC" w:rsidP="00B17DAC">
      <w:pPr>
        <w:shd w:val="clear" w:color="auto" w:fill="FFFFFF"/>
        <w:ind w:left="-360"/>
        <w:jc w:val="center"/>
        <w:rPr>
          <w:rFonts w:cstheme="minorHAnsi"/>
          <w:color w:val="595959" w:themeColor="text1" w:themeTint="A6"/>
          <w:kern w:val="36"/>
        </w:rPr>
      </w:pPr>
    </w:p>
    <w:p w14:paraId="1DA975A0" w14:textId="079327F2" w:rsidR="00B17DAC" w:rsidRPr="000E6707" w:rsidRDefault="00276BBC" w:rsidP="00B17DAC">
      <w:pPr>
        <w:shd w:val="clear" w:color="auto" w:fill="FFFFFF"/>
        <w:ind w:left="-360"/>
        <w:jc w:val="center"/>
        <w:rPr>
          <w:rFonts w:cstheme="minorHAnsi"/>
          <w:color w:val="595959" w:themeColor="text1" w:themeTint="A6"/>
          <w:kern w:val="36"/>
        </w:rPr>
      </w:pPr>
      <w:r w:rsidRPr="000E6707">
        <w:rPr>
          <w:rFonts w:cstheme="minorHAnsi"/>
          <w:color w:val="595959" w:themeColor="text1" w:themeTint="A6"/>
          <w:kern w:val="36"/>
        </w:rPr>
        <w:t>Second</w:t>
      </w:r>
      <w:r w:rsidR="00B17DAC" w:rsidRPr="000E6707">
        <w:rPr>
          <w:rFonts w:cstheme="minorHAnsi"/>
          <w:color w:val="595959" w:themeColor="text1" w:themeTint="A6"/>
          <w:kern w:val="36"/>
        </w:rPr>
        <w:t xml:space="preserve"> Assessment Task </w:t>
      </w:r>
    </w:p>
    <w:p w14:paraId="09123B58" w14:textId="40C8BF94" w:rsidR="00B17DAC" w:rsidRPr="000E6707" w:rsidRDefault="00F24655" w:rsidP="00B17DAC">
      <w:pPr>
        <w:shd w:val="clear" w:color="auto" w:fill="FFFFFF"/>
        <w:ind w:left="-360"/>
        <w:jc w:val="center"/>
        <w:rPr>
          <w:rFonts w:cstheme="minorHAnsi"/>
          <w:color w:val="595959" w:themeColor="text1" w:themeTint="A6"/>
          <w:kern w:val="36"/>
        </w:rPr>
      </w:pPr>
      <w:r w:rsidRPr="000E6707">
        <w:rPr>
          <w:rFonts w:cstheme="minorHAnsi"/>
          <w:color w:val="595959" w:themeColor="text1" w:themeTint="A6"/>
          <w:kern w:val="36"/>
        </w:rPr>
        <w:t>15 November</w:t>
      </w:r>
      <w:r w:rsidR="00B17DAC" w:rsidRPr="000E6707">
        <w:rPr>
          <w:rFonts w:cstheme="minorHAnsi"/>
          <w:color w:val="595959" w:themeColor="text1" w:themeTint="A6"/>
          <w:kern w:val="36"/>
        </w:rPr>
        <w:t xml:space="preserve"> 2019</w:t>
      </w:r>
    </w:p>
    <w:p w14:paraId="1B7B45A2" w14:textId="77777777" w:rsidR="00B17DAC" w:rsidRPr="000E6707" w:rsidRDefault="00B17DAC" w:rsidP="00B17DAC">
      <w:pPr>
        <w:shd w:val="clear" w:color="auto" w:fill="FFFFFF"/>
        <w:ind w:left="-360"/>
        <w:jc w:val="center"/>
        <w:rPr>
          <w:rFonts w:cstheme="minorHAnsi"/>
          <w:color w:val="595959" w:themeColor="text1" w:themeTint="A6"/>
          <w:kern w:val="36"/>
        </w:rPr>
      </w:pPr>
    </w:p>
    <w:p w14:paraId="632B2733" w14:textId="6CCAC7A5" w:rsidR="00B17DAC" w:rsidRPr="000E6707" w:rsidRDefault="00276BBC" w:rsidP="00B17DAC">
      <w:pPr>
        <w:shd w:val="clear" w:color="auto" w:fill="FFFFFF"/>
        <w:ind w:left="-360"/>
        <w:jc w:val="center"/>
        <w:rPr>
          <w:rFonts w:cstheme="minorHAnsi"/>
          <w:color w:val="595959" w:themeColor="text1" w:themeTint="A6"/>
          <w:kern w:val="36"/>
        </w:rPr>
      </w:pPr>
      <w:r w:rsidRPr="000E6707">
        <w:rPr>
          <w:rFonts w:cstheme="minorHAnsi"/>
          <w:color w:val="595959" w:themeColor="text1" w:themeTint="A6"/>
          <w:kern w:val="36"/>
        </w:rPr>
        <w:t>Literary Review</w:t>
      </w:r>
    </w:p>
    <w:p w14:paraId="098BB715" w14:textId="77777777" w:rsidR="00B17DAC" w:rsidRPr="000E6707" w:rsidRDefault="00B17DAC" w:rsidP="00B17DAC">
      <w:pPr>
        <w:shd w:val="clear" w:color="auto" w:fill="FFFFFF"/>
        <w:ind w:left="-360"/>
        <w:jc w:val="center"/>
        <w:rPr>
          <w:rFonts w:cstheme="minorHAnsi"/>
          <w:color w:val="595959" w:themeColor="text1" w:themeTint="A6"/>
          <w:kern w:val="36"/>
        </w:rPr>
      </w:pPr>
      <w:r w:rsidRPr="000E6707">
        <w:rPr>
          <w:rFonts w:cstheme="minorHAnsi"/>
          <w:color w:val="595959" w:themeColor="text1" w:themeTint="A6"/>
          <w:kern w:val="36"/>
        </w:rPr>
        <w:t xml:space="preserve"> </w:t>
      </w:r>
    </w:p>
    <w:p w14:paraId="4FFB5527" w14:textId="77777777" w:rsidR="00B17DAC" w:rsidRPr="000E6707" w:rsidRDefault="00B17DAC" w:rsidP="00B17DAC">
      <w:pPr>
        <w:shd w:val="clear" w:color="auto" w:fill="FFFFFF"/>
        <w:ind w:left="-360"/>
        <w:jc w:val="center"/>
        <w:rPr>
          <w:rFonts w:cstheme="minorHAnsi"/>
          <w:color w:val="595959" w:themeColor="text1" w:themeTint="A6"/>
          <w:kern w:val="36"/>
        </w:rPr>
      </w:pPr>
      <w:r w:rsidRPr="000E6707">
        <w:rPr>
          <w:rFonts w:cstheme="minorHAnsi"/>
          <w:color w:val="595959" w:themeColor="text1" w:themeTint="A6"/>
          <w:kern w:val="36"/>
        </w:rPr>
        <w:t xml:space="preserve">By </w:t>
      </w:r>
    </w:p>
    <w:p w14:paraId="77FE9FAB" w14:textId="77777777" w:rsidR="00B17DAC" w:rsidRPr="000E6707" w:rsidRDefault="00B17DAC" w:rsidP="00B17DAC">
      <w:pPr>
        <w:shd w:val="clear" w:color="auto" w:fill="FFFFFF"/>
        <w:ind w:left="-360"/>
        <w:jc w:val="center"/>
        <w:rPr>
          <w:rFonts w:cstheme="minorHAnsi"/>
          <w:color w:val="595959" w:themeColor="text1" w:themeTint="A6"/>
          <w:kern w:val="36"/>
        </w:rPr>
      </w:pPr>
      <w:r w:rsidRPr="000E6707">
        <w:rPr>
          <w:rFonts w:cstheme="minorHAnsi"/>
          <w:color w:val="595959" w:themeColor="text1" w:themeTint="A6"/>
          <w:kern w:val="36"/>
        </w:rPr>
        <w:t>Asher Tauran</w:t>
      </w:r>
    </w:p>
    <w:p w14:paraId="7E404F8A" w14:textId="3A59FC4E" w:rsidR="00B17DAC" w:rsidRPr="000E6707" w:rsidRDefault="00B17DAC" w:rsidP="00B17DAC">
      <w:pPr>
        <w:shd w:val="clear" w:color="auto" w:fill="FFFFFF"/>
        <w:ind w:left="-360"/>
        <w:jc w:val="center"/>
        <w:rPr>
          <w:rFonts w:cstheme="minorHAnsi"/>
          <w:color w:val="595959" w:themeColor="text1" w:themeTint="A6"/>
          <w:kern w:val="36"/>
        </w:rPr>
      </w:pPr>
      <w:r w:rsidRPr="000E6707">
        <w:rPr>
          <w:rFonts w:cstheme="minorHAnsi"/>
          <w:color w:val="595959" w:themeColor="text1" w:themeTint="A6"/>
          <w:kern w:val="36"/>
        </w:rPr>
        <w:t>Student number 1904355</w:t>
      </w:r>
    </w:p>
    <w:p w14:paraId="2930FD73" w14:textId="01847572" w:rsidR="00276BBC" w:rsidRDefault="00276BBC" w:rsidP="00276BBC">
      <w:pPr>
        <w:shd w:val="clear" w:color="auto" w:fill="FFFFFF"/>
        <w:tabs>
          <w:tab w:val="left" w:pos="5103"/>
        </w:tabs>
        <w:ind w:left="-360"/>
        <w:jc w:val="center"/>
        <w:rPr>
          <w:rFonts w:cstheme="minorHAnsi"/>
          <w:color w:val="111111"/>
          <w:kern w:val="36"/>
        </w:rPr>
      </w:pPr>
    </w:p>
    <w:p w14:paraId="519A4BC3" w14:textId="77777777" w:rsidR="00276BBC" w:rsidRDefault="00276BBC" w:rsidP="00276BBC">
      <w:pPr>
        <w:shd w:val="clear" w:color="auto" w:fill="FFFFFF"/>
        <w:tabs>
          <w:tab w:val="left" w:pos="5103"/>
        </w:tabs>
        <w:ind w:left="-360"/>
        <w:jc w:val="center"/>
        <w:rPr>
          <w:rFonts w:cstheme="minorHAnsi"/>
          <w:color w:val="111111"/>
          <w:kern w:val="36"/>
        </w:rPr>
      </w:pPr>
    </w:p>
    <w:p w14:paraId="7D2D469B" w14:textId="77777777" w:rsidR="00B17DAC" w:rsidRDefault="00B17DAC" w:rsidP="00CE046D">
      <w:pPr>
        <w:ind w:firstLine="720"/>
        <w:jc w:val="center"/>
        <w:rPr>
          <w:color w:val="595959" w:themeColor="text1" w:themeTint="A6"/>
        </w:rPr>
      </w:pPr>
    </w:p>
    <w:p w14:paraId="254A6646" w14:textId="0A1DE4AC" w:rsidR="00CE046D" w:rsidRDefault="00CE046D" w:rsidP="00CE046D">
      <w:pPr>
        <w:ind w:firstLine="720"/>
        <w:jc w:val="center"/>
        <w:rPr>
          <w:color w:val="595959" w:themeColor="text1" w:themeTint="A6"/>
        </w:rPr>
      </w:pPr>
      <w:r w:rsidRPr="001354F9">
        <w:rPr>
          <w:color w:val="595959" w:themeColor="text1" w:themeTint="A6"/>
        </w:rPr>
        <w:t>Bureaucratization of Religion: In Service of State Policy</w:t>
      </w:r>
    </w:p>
    <w:p w14:paraId="37DA498A" w14:textId="4C440FAB" w:rsidR="00276BBC" w:rsidRDefault="00276BBC" w:rsidP="00CE046D">
      <w:pPr>
        <w:ind w:firstLine="720"/>
        <w:jc w:val="center"/>
        <w:rPr>
          <w:color w:val="595959" w:themeColor="text1" w:themeTint="A6"/>
        </w:rPr>
      </w:pPr>
    </w:p>
    <w:p w14:paraId="6A19F979" w14:textId="77777777" w:rsidR="00276BBC" w:rsidRPr="001354F9" w:rsidRDefault="00276BBC" w:rsidP="00CE046D">
      <w:pPr>
        <w:ind w:firstLine="720"/>
        <w:jc w:val="center"/>
        <w:rPr>
          <w:color w:val="595959" w:themeColor="text1" w:themeTint="A6"/>
        </w:rPr>
      </w:pPr>
    </w:p>
    <w:p w14:paraId="324241AE" w14:textId="77777777" w:rsidR="00CE046D" w:rsidRDefault="00CE046D" w:rsidP="00CE046D">
      <w:pPr>
        <w:ind w:firstLine="720"/>
        <w:jc w:val="center"/>
      </w:pPr>
    </w:p>
    <w:p w14:paraId="32DE772B" w14:textId="4C7D72D0" w:rsidR="00CE046D" w:rsidRDefault="00CE046D" w:rsidP="00CE046D">
      <w:pPr>
        <w:spacing w:after="120" w:line="360" w:lineRule="auto"/>
        <w:jc w:val="both"/>
        <w:rPr>
          <w:color w:val="595959" w:themeColor="text1" w:themeTint="A6"/>
        </w:rPr>
      </w:pPr>
      <w:r>
        <w:rPr>
          <w:color w:val="595959" w:themeColor="text1" w:themeTint="A6"/>
        </w:rPr>
        <w:t xml:space="preserve">The </w:t>
      </w:r>
      <w:r w:rsidRPr="00C02C41">
        <w:rPr>
          <w:color w:val="595959" w:themeColor="text1" w:themeTint="A6"/>
        </w:rPr>
        <w:t xml:space="preserve">way religion </w:t>
      </w:r>
      <w:r>
        <w:rPr>
          <w:color w:val="595959" w:themeColor="text1" w:themeTint="A6"/>
        </w:rPr>
        <w:t>in Indonesia has been</w:t>
      </w:r>
      <w:r w:rsidRPr="00C02C41">
        <w:rPr>
          <w:color w:val="595959" w:themeColor="text1" w:themeTint="A6"/>
        </w:rPr>
        <w:t xml:space="preserve"> portrayed </w:t>
      </w:r>
      <w:r>
        <w:rPr>
          <w:color w:val="595959" w:themeColor="text1" w:themeTint="A6"/>
        </w:rPr>
        <w:t xml:space="preserve">since the late </w:t>
      </w:r>
      <w:r w:rsidR="00E4110E">
        <w:rPr>
          <w:color w:val="595959" w:themeColor="text1" w:themeTint="A6"/>
        </w:rPr>
        <w:t xml:space="preserve">nineteen </w:t>
      </w:r>
      <w:bookmarkStart w:id="0" w:name="_GoBack"/>
      <w:bookmarkEnd w:id="0"/>
      <w:r>
        <w:rPr>
          <w:color w:val="595959" w:themeColor="text1" w:themeTint="A6"/>
        </w:rPr>
        <w:t xml:space="preserve">eighties cannot be separated from the role it </w:t>
      </w:r>
      <w:r w:rsidRPr="00C02C41">
        <w:rPr>
          <w:color w:val="595959" w:themeColor="text1" w:themeTint="A6"/>
        </w:rPr>
        <w:t>has played</w:t>
      </w:r>
      <w:r>
        <w:rPr>
          <w:color w:val="595959" w:themeColor="text1" w:themeTint="A6"/>
        </w:rPr>
        <w:t xml:space="preserve"> in Indonesian politics from the start of the countries’ independence.</w:t>
      </w:r>
      <w:r w:rsidRPr="00C02C41">
        <w:rPr>
          <w:color w:val="595959" w:themeColor="text1" w:themeTint="A6"/>
        </w:rPr>
        <w:t xml:space="preserve"> </w:t>
      </w:r>
      <w:r>
        <w:rPr>
          <w:color w:val="595959" w:themeColor="text1" w:themeTint="A6"/>
        </w:rPr>
        <w:t>Nor can it be separated from the social, economic and cultural impact it has on the country as a whole. Indonesia may not be secular nor a theocracy, nonetheless religion and the belief in God is a trait many Indonesians are proud to be identified with. Arguably the greatest majority of Indonesians need for religion to be part of their everyday li</w:t>
      </w:r>
      <w:r w:rsidR="002B2F99">
        <w:rPr>
          <w:color w:val="595959" w:themeColor="text1" w:themeTint="A6"/>
        </w:rPr>
        <w:t>v</w:t>
      </w:r>
      <w:r>
        <w:rPr>
          <w:color w:val="595959" w:themeColor="text1" w:themeTint="A6"/>
        </w:rPr>
        <w:t>e</w:t>
      </w:r>
      <w:r w:rsidR="00372C8B">
        <w:rPr>
          <w:color w:val="595959" w:themeColor="text1" w:themeTint="A6"/>
        </w:rPr>
        <w:t>s</w:t>
      </w:r>
      <w:r>
        <w:rPr>
          <w:color w:val="595959" w:themeColor="text1" w:themeTint="A6"/>
        </w:rPr>
        <w:t>. This review is about the way Indonesians became defined by religion as can be seen by its manifestations and encompassing process of bureaucratization of religion in Indonesia</w:t>
      </w:r>
    </w:p>
    <w:p w14:paraId="1B8E86FD" w14:textId="77777777" w:rsidR="00CE046D" w:rsidRDefault="00CE046D" w:rsidP="00CE046D">
      <w:pPr>
        <w:spacing w:line="360" w:lineRule="auto"/>
        <w:jc w:val="both"/>
        <w:rPr>
          <w:color w:val="595959" w:themeColor="text1" w:themeTint="A6"/>
        </w:rPr>
      </w:pPr>
    </w:p>
    <w:p w14:paraId="55F822C2" w14:textId="189AFF8A" w:rsidR="00CE046D" w:rsidRDefault="00CE046D" w:rsidP="00CE046D">
      <w:pPr>
        <w:spacing w:line="360" w:lineRule="auto"/>
        <w:rPr>
          <w:color w:val="595959" w:themeColor="text1" w:themeTint="A6"/>
        </w:rPr>
      </w:pPr>
      <w:r>
        <w:rPr>
          <w:color w:val="595959" w:themeColor="text1" w:themeTint="A6"/>
        </w:rPr>
        <w:t>R</w:t>
      </w:r>
      <w:r w:rsidRPr="00960E0B">
        <w:rPr>
          <w:color w:val="595959" w:themeColor="text1" w:themeTint="A6"/>
        </w:rPr>
        <w:t xml:space="preserve">eligion became </w:t>
      </w:r>
      <w:r>
        <w:rPr>
          <w:color w:val="595959" w:themeColor="text1" w:themeTint="A6"/>
        </w:rPr>
        <w:t xml:space="preserve">legally </w:t>
      </w:r>
      <w:r w:rsidRPr="00960E0B">
        <w:rPr>
          <w:color w:val="595959" w:themeColor="text1" w:themeTint="A6"/>
        </w:rPr>
        <w:t>interconnected with citizenship</w:t>
      </w:r>
      <w:r w:rsidRPr="008F4004">
        <w:rPr>
          <w:color w:val="595959" w:themeColor="text1" w:themeTint="A6"/>
        </w:rPr>
        <w:t>.</w:t>
      </w:r>
      <w:r>
        <w:rPr>
          <w:color w:val="595959" w:themeColor="text1" w:themeTint="A6"/>
        </w:rPr>
        <w:t xml:space="preserve"> The </w:t>
      </w:r>
      <w:r w:rsidRPr="00D06673">
        <w:rPr>
          <w:color w:val="595959" w:themeColor="text1" w:themeTint="A6"/>
        </w:rPr>
        <w:t xml:space="preserve">process of bureaucratization of religion </w:t>
      </w:r>
      <w:r>
        <w:rPr>
          <w:color w:val="595959" w:themeColor="text1" w:themeTint="A6"/>
        </w:rPr>
        <w:t>started</w:t>
      </w:r>
      <w:r w:rsidRPr="00D06673">
        <w:rPr>
          <w:color w:val="595959" w:themeColor="text1" w:themeTint="A6"/>
        </w:rPr>
        <w:t xml:space="preserve"> </w:t>
      </w:r>
      <w:r>
        <w:rPr>
          <w:color w:val="595959" w:themeColor="text1" w:themeTint="A6"/>
        </w:rPr>
        <w:t>with the</w:t>
      </w:r>
      <w:r w:rsidRPr="00D06673">
        <w:rPr>
          <w:color w:val="595959" w:themeColor="text1" w:themeTint="A6"/>
        </w:rPr>
        <w:t xml:space="preserve"> categorization and registration of citizen</w:t>
      </w:r>
      <w:r w:rsidR="00C94AAD">
        <w:rPr>
          <w:color w:val="595959" w:themeColor="text1" w:themeTint="A6"/>
        </w:rPr>
        <w:t>’s</w:t>
      </w:r>
      <w:r w:rsidRPr="00D06673">
        <w:rPr>
          <w:color w:val="595959" w:themeColor="text1" w:themeTint="A6"/>
        </w:rPr>
        <w:t xml:space="preserve"> religion and became one of the most influential dynamism in the concept of “citizenship” in Indonesia</w:t>
      </w:r>
      <w:r>
        <w:rPr>
          <w:color w:val="595959" w:themeColor="text1" w:themeTint="A6"/>
        </w:rPr>
        <w:t>.</w:t>
      </w:r>
      <w:r w:rsidR="008B48C7">
        <w:rPr>
          <w:rStyle w:val="FootnoteReference"/>
          <w:color w:val="595959" w:themeColor="text1" w:themeTint="A6"/>
        </w:rPr>
        <w:footnoteReference w:id="1"/>
      </w:r>
      <w:r w:rsidRPr="00D06673">
        <w:rPr>
          <w:color w:val="595959" w:themeColor="text1" w:themeTint="A6"/>
        </w:rPr>
        <w:t xml:space="preserve"> </w:t>
      </w:r>
      <w:r>
        <w:rPr>
          <w:color w:val="595959" w:themeColor="text1" w:themeTint="A6"/>
        </w:rPr>
        <w:t xml:space="preserve">It essentially </w:t>
      </w:r>
      <w:r w:rsidRPr="00D06673">
        <w:rPr>
          <w:color w:val="595959" w:themeColor="text1" w:themeTint="A6"/>
        </w:rPr>
        <w:t>link</w:t>
      </w:r>
      <w:r>
        <w:rPr>
          <w:color w:val="595959" w:themeColor="text1" w:themeTint="A6"/>
        </w:rPr>
        <w:t xml:space="preserve">ed </w:t>
      </w:r>
      <w:r w:rsidRPr="00D06673">
        <w:rPr>
          <w:color w:val="595959" w:themeColor="text1" w:themeTint="A6"/>
        </w:rPr>
        <w:t>religion to citizenship effectively defining those who fell under the definition of state recognized religion as legitimate citizens.</w:t>
      </w:r>
      <w:r>
        <w:rPr>
          <w:rStyle w:val="FootnoteReference"/>
          <w:color w:val="595959" w:themeColor="text1" w:themeTint="A6"/>
        </w:rPr>
        <w:footnoteReference w:id="2"/>
      </w:r>
      <w:r w:rsidRPr="00D06673">
        <w:rPr>
          <w:color w:val="595959" w:themeColor="text1" w:themeTint="A6"/>
        </w:rPr>
        <w:t xml:space="preserve"> </w:t>
      </w:r>
      <w:r>
        <w:rPr>
          <w:color w:val="595959" w:themeColor="text1" w:themeTint="A6"/>
        </w:rPr>
        <w:t>Government bodies were set up originally to mold and tame religion in order to achieve nation building.</w:t>
      </w:r>
      <w:r>
        <w:rPr>
          <w:rStyle w:val="FootnoteReference"/>
          <w:color w:val="595959" w:themeColor="text1" w:themeTint="A6"/>
        </w:rPr>
        <w:footnoteReference w:id="3"/>
      </w:r>
      <w:r>
        <w:rPr>
          <w:color w:val="595959" w:themeColor="text1" w:themeTint="A6"/>
        </w:rPr>
        <w:t xml:space="preserve"> </w:t>
      </w:r>
      <w:proofErr w:type="spellStart"/>
      <w:r>
        <w:rPr>
          <w:color w:val="595959" w:themeColor="text1" w:themeTint="A6"/>
        </w:rPr>
        <w:t>Ismatu</w:t>
      </w:r>
      <w:proofErr w:type="spellEnd"/>
      <w:r>
        <w:rPr>
          <w:color w:val="595959" w:themeColor="text1" w:themeTint="A6"/>
        </w:rPr>
        <w:t xml:space="preserve"> </w:t>
      </w:r>
      <w:proofErr w:type="spellStart"/>
      <w:r>
        <w:rPr>
          <w:color w:val="595959" w:themeColor="text1" w:themeTint="A6"/>
        </w:rPr>
        <w:t>Ropi</w:t>
      </w:r>
      <w:proofErr w:type="spellEnd"/>
      <w:r>
        <w:rPr>
          <w:color w:val="595959" w:themeColor="text1" w:themeTint="A6"/>
        </w:rPr>
        <w:t xml:space="preserve"> believed it to be from the </w:t>
      </w:r>
      <w:r>
        <w:rPr>
          <w:color w:val="595959" w:themeColor="text1" w:themeTint="A6"/>
        </w:rPr>
        <w:lastRenderedPageBreak/>
        <w:t xml:space="preserve">start a means of </w:t>
      </w:r>
      <w:r w:rsidRPr="008B5B0A">
        <w:rPr>
          <w:color w:val="595959" w:themeColor="text1" w:themeTint="A6"/>
        </w:rPr>
        <w:t>steering government policies on religion into the service of Islamic affairs and making Islamic values influential within those policies.</w:t>
      </w:r>
      <w:r>
        <w:rPr>
          <w:rStyle w:val="FootnoteReference"/>
          <w:color w:val="595959" w:themeColor="text1" w:themeTint="A6"/>
        </w:rPr>
        <w:footnoteReference w:id="4"/>
      </w:r>
      <w:r>
        <w:rPr>
          <w:color w:val="595959" w:themeColor="text1" w:themeTint="A6"/>
        </w:rPr>
        <w:t xml:space="preserve"> </w:t>
      </w:r>
    </w:p>
    <w:p w14:paraId="2B5A3D53" w14:textId="77777777" w:rsidR="00CE046D" w:rsidRDefault="00CE046D" w:rsidP="00CE046D">
      <w:pPr>
        <w:spacing w:line="360" w:lineRule="auto"/>
        <w:rPr>
          <w:color w:val="595959" w:themeColor="text1" w:themeTint="A6"/>
        </w:rPr>
      </w:pPr>
    </w:p>
    <w:p w14:paraId="3FEF729E" w14:textId="2ED9B8A8" w:rsidR="00CE046D" w:rsidRDefault="00CE046D" w:rsidP="00CE046D">
      <w:pPr>
        <w:spacing w:line="360" w:lineRule="auto"/>
        <w:rPr>
          <w:color w:val="595959" w:themeColor="text1" w:themeTint="A6"/>
        </w:rPr>
      </w:pPr>
      <w:r>
        <w:rPr>
          <w:color w:val="595959" w:themeColor="text1" w:themeTint="A6"/>
        </w:rPr>
        <w:t xml:space="preserve">Bureaucratization of religion </w:t>
      </w:r>
      <w:r w:rsidRPr="00061A2E">
        <w:rPr>
          <w:color w:val="595959" w:themeColor="text1" w:themeTint="A6"/>
        </w:rPr>
        <w:t xml:space="preserve">in Indonesia </w:t>
      </w:r>
      <w:r>
        <w:rPr>
          <w:color w:val="595959" w:themeColor="text1" w:themeTint="A6"/>
        </w:rPr>
        <w:t>became also increasingly evident with t</w:t>
      </w:r>
      <w:r w:rsidRPr="00061A2E">
        <w:rPr>
          <w:color w:val="595959" w:themeColor="text1" w:themeTint="A6"/>
        </w:rPr>
        <w:t xml:space="preserve">he </w:t>
      </w:r>
      <w:r>
        <w:rPr>
          <w:color w:val="595959" w:themeColor="text1" w:themeTint="A6"/>
        </w:rPr>
        <w:t>implementation</w:t>
      </w:r>
      <w:r w:rsidRPr="00061A2E">
        <w:rPr>
          <w:color w:val="595959" w:themeColor="text1" w:themeTint="A6"/>
        </w:rPr>
        <w:t xml:space="preserve"> of the Marriage Law (1974). </w:t>
      </w:r>
      <w:r w:rsidRPr="008D65F9">
        <w:rPr>
          <w:color w:val="595959" w:themeColor="text1" w:themeTint="A6"/>
        </w:rPr>
        <w:t xml:space="preserve">The Law made </w:t>
      </w:r>
      <w:r>
        <w:rPr>
          <w:color w:val="595959" w:themeColor="text1" w:themeTint="A6"/>
        </w:rPr>
        <w:t xml:space="preserve">Interfaith marriage more complex because of its legal vacuum on specific issues. </w:t>
      </w:r>
      <w:r w:rsidR="00EA465A">
        <w:rPr>
          <w:color w:val="595959" w:themeColor="text1" w:themeTint="A6"/>
        </w:rPr>
        <w:t>It made it</w:t>
      </w:r>
      <w:r>
        <w:rPr>
          <w:color w:val="595959" w:themeColor="text1" w:themeTint="A6"/>
        </w:rPr>
        <w:t xml:space="preserve"> impossible to register the interfaith marriage and </w:t>
      </w:r>
      <w:r w:rsidR="00EA465A">
        <w:rPr>
          <w:color w:val="595959" w:themeColor="text1" w:themeTint="A6"/>
        </w:rPr>
        <w:t xml:space="preserve">therefore </w:t>
      </w:r>
      <w:r>
        <w:rPr>
          <w:color w:val="595959" w:themeColor="text1" w:themeTint="A6"/>
        </w:rPr>
        <w:t>effectively contradict</w:t>
      </w:r>
      <w:r w:rsidR="00EA465A">
        <w:rPr>
          <w:color w:val="595959" w:themeColor="text1" w:themeTint="A6"/>
        </w:rPr>
        <w:t>ed</w:t>
      </w:r>
      <w:r>
        <w:rPr>
          <w:color w:val="595959" w:themeColor="text1" w:themeTint="A6"/>
        </w:rPr>
        <w:t xml:space="preserve"> the government’s own strategy of legal pluralism. </w:t>
      </w:r>
      <w:r w:rsidR="00EA465A">
        <w:rPr>
          <w:color w:val="595959" w:themeColor="text1" w:themeTint="A6"/>
        </w:rPr>
        <w:t>E</w:t>
      </w:r>
      <w:r>
        <w:rPr>
          <w:color w:val="595959" w:themeColor="text1" w:themeTint="A6"/>
        </w:rPr>
        <w:t xml:space="preserve">ssentially </w:t>
      </w:r>
      <w:r w:rsidR="00EA465A">
        <w:rPr>
          <w:color w:val="595959" w:themeColor="text1" w:themeTint="A6"/>
        </w:rPr>
        <w:t xml:space="preserve">by law </w:t>
      </w:r>
      <w:r>
        <w:rPr>
          <w:color w:val="595959" w:themeColor="text1" w:themeTint="A6"/>
        </w:rPr>
        <w:t xml:space="preserve">Muslim and non- Muslims </w:t>
      </w:r>
      <w:r w:rsidR="00EA465A">
        <w:rPr>
          <w:color w:val="595959" w:themeColor="text1" w:themeTint="A6"/>
        </w:rPr>
        <w:t xml:space="preserve">became segregated </w:t>
      </w:r>
      <w:r>
        <w:rPr>
          <w:color w:val="595959" w:themeColor="text1" w:themeTint="A6"/>
        </w:rPr>
        <w:t>in the registration of their marriages.</w:t>
      </w:r>
      <w:r>
        <w:rPr>
          <w:rStyle w:val="FootnoteReference"/>
          <w:color w:val="595959" w:themeColor="text1" w:themeTint="A6"/>
        </w:rPr>
        <w:footnoteReference w:id="5"/>
      </w:r>
      <w:r>
        <w:rPr>
          <w:color w:val="595959" w:themeColor="text1" w:themeTint="A6"/>
        </w:rPr>
        <w:t xml:space="preserve">  More recently, the discussion focused on secret </w:t>
      </w:r>
      <w:r w:rsidRPr="00291165">
        <w:rPr>
          <w:color w:val="595959" w:themeColor="text1" w:themeTint="A6"/>
        </w:rPr>
        <w:t>Muslim marriage</w:t>
      </w:r>
      <w:r>
        <w:rPr>
          <w:color w:val="595959" w:themeColor="text1" w:themeTint="A6"/>
        </w:rPr>
        <w:t>s (nikah Siri) and the process of their registration. The debate was seen as a move to emancipate family law from the anti-egalitarian provisions of Islam.</w:t>
      </w:r>
      <w:r>
        <w:rPr>
          <w:rStyle w:val="FootnoteReference"/>
          <w:color w:val="595959" w:themeColor="text1" w:themeTint="A6"/>
        </w:rPr>
        <w:footnoteReference w:id="6"/>
      </w:r>
      <w:r>
        <w:rPr>
          <w:color w:val="595959" w:themeColor="text1" w:themeTint="A6"/>
        </w:rPr>
        <w:t xml:space="preserve"> But it remains an uphill battle in view of increasing numbers of Indonesia Muslims who are keen to accentuate their piety. </w:t>
      </w:r>
      <w:r w:rsidR="00632CEE">
        <w:rPr>
          <w:color w:val="595959" w:themeColor="text1" w:themeTint="A6"/>
        </w:rPr>
        <w:t>The</w:t>
      </w:r>
      <w:r>
        <w:rPr>
          <w:color w:val="595959" w:themeColor="text1" w:themeTint="A6"/>
        </w:rPr>
        <w:t xml:space="preserve"> Government chose to remain ambiguous</w:t>
      </w:r>
      <w:r w:rsidR="00C94AAD">
        <w:rPr>
          <w:color w:val="595959" w:themeColor="text1" w:themeTint="A6"/>
        </w:rPr>
        <w:t xml:space="preserve"> on this issue</w:t>
      </w:r>
      <w:r>
        <w:rPr>
          <w:color w:val="595959" w:themeColor="text1" w:themeTint="A6"/>
        </w:rPr>
        <w:t xml:space="preserve"> </w:t>
      </w:r>
      <w:r w:rsidR="000140BD">
        <w:rPr>
          <w:color w:val="595959" w:themeColor="text1" w:themeTint="A6"/>
        </w:rPr>
        <w:t xml:space="preserve">by </w:t>
      </w:r>
      <w:r w:rsidR="009449D5">
        <w:rPr>
          <w:color w:val="595959" w:themeColor="text1" w:themeTint="A6"/>
        </w:rPr>
        <w:t xml:space="preserve">declaring </w:t>
      </w:r>
      <w:r>
        <w:rPr>
          <w:color w:val="595959" w:themeColor="text1" w:themeTint="A6"/>
        </w:rPr>
        <w:t xml:space="preserve">unregistered and “secret” marriages illegal, </w:t>
      </w:r>
      <w:r w:rsidR="000140BD">
        <w:rPr>
          <w:color w:val="595959" w:themeColor="text1" w:themeTint="A6"/>
        </w:rPr>
        <w:t>and</w:t>
      </w:r>
      <w:r>
        <w:rPr>
          <w:color w:val="595959" w:themeColor="text1" w:themeTint="A6"/>
        </w:rPr>
        <w:t xml:space="preserve"> simultaneously admitting that such marriages are valid in Islam. Such a position is increasingly raising serious questions about the bureaucratization of religion and social order in Indonesia.</w:t>
      </w:r>
      <w:r>
        <w:rPr>
          <w:rStyle w:val="FootnoteReference"/>
          <w:color w:val="595959" w:themeColor="text1" w:themeTint="A6"/>
        </w:rPr>
        <w:footnoteReference w:id="7"/>
      </w:r>
    </w:p>
    <w:p w14:paraId="600CEC97" w14:textId="77777777" w:rsidR="00CE046D" w:rsidRDefault="00CE046D" w:rsidP="00CE046D">
      <w:pPr>
        <w:jc w:val="both"/>
        <w:rPr>
          <w:color w:val="595959" w:themeColor="text1" w:themeTint="A6"/>
        </w:rPr>
      </w:pPr>
    </w:p>
    <w:p w14:paraId="6ADD4AD9" w14:textId="2AF7A6F6" w:rsidR="00CE046D" w:rsidRDefault="00CE046D" w:rsidP="00CE046D">
      <w:pPr>
        <w:spacing w:line="360" w:lineRule="auto"/>
        <w:jc w:val="both"/>
        <w:rPr>
          <w:color w:val="595959" w:themeColor="text1" w:themeTint="A6"/>
        </w:rPr>
      </w:pPr>
      <w:r w:rsidRPr="006E47B5">
        <w:rPr>
          <w:color w:val="595959" w:themeColor="text1" w:themeTint="A6"/>
        </w:rPr>
        <w:t>The implementation of the law regulating places of worship</w:t>
      </w:r>
      <w:r w:rsidR="00EC686A">
        <w:rPr>
          <w:color w:val="595959" w:themeColor="text1" w:themeTint="A6"/>
        </w:rPr>
        <w:t xml:space="preserve"> </w:t>
      </w:r>
      <w:r>
        <w:rPr>
          <w:color w:val="595959" w:themeColor="text1" w:themeTint="A6"/>
        </w:rPr>
        <w:t xml:space="preserve">was </w:t>
      </w:r>
      <w:r w:rsidR="00B40CC9">
        <w:rPr>
          <w:color w:val="595959" w:themeColor="text1" w:themeTint="A6"/>
        </w:rPr>
        <w:t xml:space="preserve">bureaucratically </w:t>
      </w:r>
      <w:r w:rsidR="00B23589">
        <w:rPr>
          <w:color w:val="595959" w:themeColor="text1" w:themeTint="A6"/>
        </w:rPr>
        <w:t>design</w:t>
      </w:r>
      <w:r w:rsidR="00B40CC9">
        <w:rPr>
          <w:color w:val="595959" w:themeColor="text1" w:themeTint="A6"/>
        </w:rPr>
        <w:t xml:space="preserve">ed </w:t>
      </w:r>
      <w:r w:rsidR="002B2F99">
        <w:rPr>
          <w:color w:val="595959" w:themeColor="text1" w:themeTint="A6"/>
        </w:rPr>
        <w:t xml:space="preserve">regulation </w:t>
      </w:r>
      <w:r w:rsidR="009E5744">
        <w:rPr>
          <w:color w:val="595959" w:themeColor="text1" w:themeTint="A6"/>
        </w:rPr>
        <w:t xml:space="preserve">primarily </w:t>
      </w:r>
      <w:r>
        <w:rPr>
          <w:color w:val="595959" w:themeColor="text1" w:themeTint="A6"/>
        </w:rPr>
        <w:t>to control religion and create religious harmony under the guise of protection of religious freedom, especially for religious minorities in relation to places of worship.</w:t>
      </w:r>
      <w:r w:rsidR="00EC686A">
        <w:rPr>
          <w:rStyle w:val="FootnoteReference"/>
          <w:color w:val="595959" w:themeColor="text1" w:themeTint="A6"/>
        </w:rPr>
        <w:footnoteReference w:id="8"/>
      </w:r>
      <w:r>
        <w:rPr>
          <w:color w:val="595959" w:themeColor="text1" w:themeTint="A6"/>
        </w:rPr>
        <w:t xml:space="preserve"> Crouch describes it as a way of promoting the government’s political agenda ensuring that these religious groups would not become a threat to their political power.</w:t>
      </w:r>
      <w:r>
        <w:rPr>
          <w:rStyle w:val="FootnoteReference"/>
          <w:color w:val="595959" w:themeColor="text1" w:themeTint="A6"/>
        </w:rPr>
        <w:footnoteReference w:id="9"/>
      </w:r>
      <w:r>
        <w:rPr>
          <w:color w:val="595959" w:themeColor="text1" w:themeTint="A6"/>
        </w:rPr>
        <w:t xml:space="preserve"> Nonetheless, and Ironically, the decree </w:t>
      </w:r>
      <w:r w:rsidR="00794552">
        <w:rPr>
          <w:color w:val="595959" w:themeColor="text1" w:themeTint="A6"/>
        </w:rPr>
        <w:t>si</w:t>
      </w:r>
      <w:r w:rsidR="0071158D">
        <w:rPr>
          <w:color w:val="595959" w:themeColor="text1" w:themeTint="A6"/>
        </w:rPr>
        <w:t xml:space="preserve">mply </w:t>
      </w:r>
      <w:r>
        <w:rPr>
          <w:color w:val="595959" w:themeColor="text1" w:themeTint="A6"/>
        </w:rPr>
        <w:t>added to the religious tensions in the country. The subsequent decree was supposed to mend the earlier problematic regulation</w:t>
      </w:r>
      <w:r w:rsidR="009C2BD4">
        <w:rPr>
          <w:color w:val="595959" w:themeColor="text1" w:themeTint="A6"/>
        </w:rPr>
        <w:t xml:space="preserve"> </w:t>
      </w:r>
      <w:r w:rsidR="00BB06E8">
        <w:rPr>
          <w:color w:val="595959" w:themeColor="text1" w:themeTint="A6"/>
        </w:rPr>
        <w:t xml:space="preserve">but instead </w:t>
      </w:r>
      <w:r w:rsidR="00AD3344">
        <w:rPr>
          <w:color w:val="595959" w:themeColor="text1" w:themeTint="A6"/>
        </w:rPr>
        <w:lastRenderedPageBreak/>
        <w:t xml:space="preserve">created more ambiguity </w:t>
      </w:r>
      <w:r w:rsidR="00E51082">
        <w:rPr>
          <w:color w:val="595959" w:themeColor="text1" w:themeTint="A6"/>
        </w:rPr>
        <w:t>as it found justification in</w:t>
      </w:r>
      <w:r>
        <w:rPr>
          <w:color w:val="595959" w:themeColor="text1" w:themeTint="A6"/>
        </w:rPr>
        <w:t xml:space="preserve"> by-laws issued under the nation’s Law on Decentralization.</w:t>
      </w:r>
      <w:r>
        <w:rPr>
          <w:rStyle w:val="FootnoteReference"/>
          <w:color w:val="595959" w:themeColor="text1" w:themeTint="A6"/>
        </w:rPr>
        <w:footnoteReference w:id="10"/>
      </w:r>
    </w:p>
    <w:p w14:paraId="468D598C" w14:textId="77777777" w:rsidR="00CE046D" w:rsidRDefault="00CE046D" w:rsidP="00CE046D">
      <w:pPr>
        <w:spacing w:line="360" w:lineRule="auto"/>
        <w:jc w:val="both"/>
        <w:rPr>
          <w:color w:val="595959" w:themeColor="text1" w:themeTint="A6"/>
          <w:highlight w:val="yellow"/>
        </w:rPr>
      </w:pPr>
    </w:p>
    <w:p w14:paraId="37B12D4C" w14:textId="2E5FF4BF" w:rsidR="00CE046D" w:rsidRPr="00540345" w:rsidRDefault="00CE046D" w:rsidP="00CE046D">
      <w:pPr>
        <w:spacing w:line="360" w:lineRule="auto"/>
        <w:jc w:val="both"/>
        <w:rPr>
          <w:color w:val="FF0000"/>
        </w:rPr>
      </w:pPr>
      <w:r>
        <w:rPr>
          <w:color w:val="595959" w:themeColor="text1" w:themeTint="A6"/>
        </w:rPr>
        <w:t>A</w:t>
      </w:r>
      <w:r w:rsidRPr="008807A9">
        <w:rPr>
          <w:color w:val="595959" w:themeColor="text1" w:themeTint="A6"/>
        </w:rPr>
        <w:t>cademic discourse about religion in Indonesia</w:t>
      </w:r>
      <w:r>
        <w:rPr>
          <w:color w:val="595959" w:themeColor="text1" w:themeTint="A6"/>
        </w:rPr>
        <w:t xml:space="preserve"> </w:t>
      </w:r>
      <w:r w:rsidR="00457C25">
        <w:rPr>
          <w:color w:val="595959" w:themeColor="text1" w:themeTint="A6"/>
        </w:rPr>
        <w:t xml:space="preserve">stresses </w:t>
      </w:r>
      <w:r w:rsidR="00030E2C">
        <w:rPr>
          <w:color w:val="595959" w:themeColor="text1" w:themeTint="A6"/>
        </w:rPr>
        <w:t>the ambiguity</w:t>
      </w:r>
      <w:r>
        <w:rPr>
          <w:color w:val="595959" w:themeColor="text1" w:themeTint="A6"/>
        </w:rPr>
        <w:t xml:space="preserve"> o</w:t>
      </w:r>
      <w:r w:rsidR="00030E2C">
        <w:rPr>
          <w:color w:val="595959" w:themeColor="text1" w:themeTint="A6"/>
        </w:rPr>
        <w:t>f</w:t>
      </w:r>
      <w:r w:rsidRPr="008807A9">
        <w:rPr>
          <w:color w:val="595959" w:themeColor="text1" w:themeTint="A6"/>
        </w:rPr>
        <w:t xml:space="preserve"> the Blasphemy Law and in particular its effect on the position of religious minorities. </w:t>
      </w:r>
      <w:r>
        <w:rPr>
          <w:rStyle w:val="FootnoteReference"/>
          <w:color w:val="595959" w:themeColor="text1" w:themeTint="A6"/>
        </w:rPr>
        <w:footnoteReference w:id="11"/>
      </w:r>
      <w:r>
        <w:rPr>
          <w:color w:val="595959" w:themeColor="text1" w:themeTint="A6"/>
        </w:rPr>
        <w:t xml:space="preserve"> </w:t>
      </w:r>
      <w:proofErr w:type="spellStart"/>
      <w:r w:rsidRPr="00CA19BD">
        <w:rPr>
          <w:color w:val="595959" w:themeColor="text1" w:themeTint="A6"/>
        </w:rPr>
        <w:t>Noorhaidi</w:t>
      </w:r>
      <w:proofErr w:type="spellEnd"/>
      <w:r w:rsidRPr="00CA19BD">
        <w:rPr>
          <w:color w:val="595959" w:themeColor="text1" w:themeTint="A6"/>
        </w:rPr>
        <w:t xml:space="preserve"> Hasan </w:t>
      </w:r>
      <w:r>
        <w:rPr>
          <w:color w:val="595959" w:themeColor="text1" w:themeTint="A6"/>
        </w:rPr>
        <w:t>notes that the Blasphemy Law is incompatible with principles of religious freedom and as such also the freedom of expression.</w:t>
      </w:r>
      <w:r>
        <w:rPr>
          <w:rStyle w:val="FootnoteReference"/>
          <w:color w:val="595959" w:themeColor="text1" w:themeTint="A6"/>
        </w:rPr>
        <w:footnoteReference w:id="12"/>
      </w:r>
      <w:r>
        <w:rPr>
          <w:color w:val="595959" w:themeColor="text1" w:themeTint="A6"/>
        </w:rPr>
        <w:t xml:space="preserve"> Fenton points out that the Indonesian Constitution repeatedly guarantees the protection not only of one’s religious freedom but also the expression of one’s opinions and beliefs.</w:t>
      </w:r>
      <w:r>
        <w:rPr>
          <w:rStyle w:val="FootnoteReference"/>
          <w:color w:val="595959" w:themeColor="text1" w:themeTint="A6"/>
        </w:rPr>
        <w:footnoteReference w:id="13"/>
      </w:r>
      <w:r>
        <w:rPr>
          <w:color w:val="595959" w:themeColor="text1" w:themeTint="A6"/>
        </w:rPr>
        <w:t xml:space="preserve"> Yet, the blasphemy law </w:t>
      </w:r>
      <w:r w:rsidR="005D7FF5">
        <w:rPr>
          <w:color w:val="595959" w:themeColor="text1" w:themeTint="A6"/>
        </w:rPr>
        <w:t>allows for various</w:t>
      </w:r>
      <w:r>
        <w:rPr>
          <w:color w:val="595959" w:themeColor="text1" w:themeTint="A6"/>
        </w:rPr>
        <w:t xml:space="preserve"> interpretation</w:t>
      </w:r>
      <w:r w:rsidR="005D7FF5">
        <w:rPr>
          <w:color w:val="595959" w:themeColor="text1" w:themeTint="A6"/>
        </w:rPr>
        <w:t>s</w:t>
      </w:r>
      <w:r w:rsidR="0084554E">
        <w:rPr>
          <w:color w:val="595959" w:themeColor="text1" w:themeTint="A6"/>
        </w:rPr>
        <w:t>.</w:t>
      </w:r>
      <w:r>
        <w:rPr>
          <w:rStyle w:val="FootnoteReference"/>
          <w:color w:val="595959" w:themeColor="text1" w:themeTint="A6"/>
        </w:rPr>
        <w:footnoteReference w:id="14"/>
      </w:r>
    </w:p>
    <w:p w14:paraId="2323837E" w14:textId="77777777" w:rsidR="00CE046D" w:rsidRDefault="00CE046D" w:rsidP="00CE046D">
      <w:pPr>
        <w:spacing w:line="360" w:lineRule="auto"/>
        <w:rPr>
          <w:color w:val="595959" w:themeColor="text1" w:themeTint="A6"/>
        </w:rPr>
      </w:pPr>
    </w:p>
    <w:p w14:paraId="24784C2C" w14:textId="06721389" w:rsidR="00CE046D" w:rsidRDefault="00CE046D" w:rsidP="00CE046D">
      <w:pPr>
        <w:spacing w:line="360" w:lineRule="auto"/>
        <w:jc w:val="both"/>
        <w:rPr>
          <w:color w:val="595959" w:themeColor="text1" w:themeTint="A6"/>
        </w:rPr>
      </w:pPr>
      <w:r>
        <w:rPr>
          <w:color w:val="595959" w:themeColor="text1" w:themeTint="A6"/>
        </w:rPr>
        <w:t xml:space="preserve">The bureaucratization of religion as a means to harmonize religious life in Indonesia has been a continuous process of being overtaken by events. With the establishment of the </w:t>
      </w:r>
      <w:r w:rsidRPr="00D73062">
        <w:rPr>
          <w:i/>
          <w:iCs/>
          <w:color w:val="595959" w:themeColor="text1" w:themeTint="A6"/>
        </w:rPr>
        <w:t>Indonesian Ulama Council for Religion</w:t>
      </w:r>
      <w:r>
        <w:rPr>
          <w:color w:val="595959" w:themeColor="text1" w:themeTint="A6"/>
        </w:rPr>
        <w:t xml:space="preserve"> </w:t>
      </w:r>
      <w:r w:rsidR="00E87D60" w:rsidRPr="00F40F8D">
        <w:rPr>
          <w:color w:val="595959" w:themeColor="text1" w:themeTint="A6"/>
        </w:rPr>
        <w:t>(MUI)</w:t>
      </w:r>
      <w:r w:rsidR="00477931">
        <w:rPr>
          <w:color w:val="595959" w:themeColor="text1" w:themeTint="A6"/>
        </w:rPr>
        <w:t xml:space="preserve"> in </w:t>
      </w:r>
      <w:r>
        <w:rPr>
          <w:color w:val="595959" w:themeColor="text1" w:themeTint="A6"/>
        </w:rPr>
        <w:t>1975</w:t>
      </w:r>
      <w:r w:rsidR="00477931">
        <w:rPr>
          <w:color w:val="595959" w:themeColor="text1" w:themeTint="A6"/>
        </w:rPr>
        <w:t xml:space="preserve"> </w:t>
      </w:r>
      <w:r>
        <w:rPr>
          <w:color w:val="595959" w:themeColor="text1" w:themeTint="A6"/>
        </w:rPr>
        <w:t>the Government tried to give itself even more religious (Islamic) legitimacy.</w:t>
      </w:r>
      <w:r>
        <w:rPr>
          <w:rStyle w:val="FootnoteReference"/>
          <w:color w:val="595959" w:themeColor="text1" w:themeTint="A6"/>
        </w:rPr>
        <w:footnoteReference w:id="15"/>
      </w:r>
      <w:r>
        <w:rPr>
          <w:color w:val="595959" w:themeColor="text1" w:themeTint="A6"/>
        </w:rPr>
        <w:t xml:space="preserve"> </w:t>
      </w:r>
      <w:r w:rsidR="008A2A0B">
        <w:rPr>
          <w:color w:val="595959" w:themeColor="text1" w:themeTint="A6"/>
        </w:rPr>
        <w:t xml:space="preserve"> </w:t>
      </w:r>
      <w:r w:rsidR="003A4E9B">
        <w:rPr>
          <w:color w:val="595959" w:themeColor="text1" w:themeTint="A6"/>
        </w:rPr>
        <w:t>Today</w:t>
      </w:r>
      <w:r w:rsidR="00406631">
        <w:rPr>
          <w:color w:val="595959" w:themeColor="text1" w:themeTint="A6"/>
        </w:rPr>
        <w:t>, the</w:t>
      </w:r>
      <w:r>
        <w:rPr>
          <w:color w:val="595959" w:themeColor="text1" w:themeTint="A6"/>
        </w:rPr>
        <w:t xml:space="preserve"> MUI </w:t>
      </w:r>
      <w:r w:rsidR="00FD12C8">
        <w:rPr>
          <w:color w:val="595959" w:themeColor="text1" w:themeTint="A6"/>
        </w:rPr>
        <w:t>is effectively</w:t>
      </w:r>
      <w:r>
        <w:rPr>
          <w:color w:val="595959" w:themeColor="text1" w:themeTint="A6"/>
        </w:rPr>
        <w:t xml:space="preserve"> allowed to deliver definitive interpretations of Islam in specific areas of administration</w:t>
      </w:r>
      <w:r w:rsidR="00406631">
        <w:rPr>
          <w:color w:val="595959" w:themeColor="text1" w:themeTint="A6"/>
        </w:rPr>
        <w:t xml:space="preserve"> effectively acting as a</w:t>
      </w:r>
      <w:r w:rsidR="00B24175">
        <w:rPr>
          <w:color w:val="595959" w:themeColor="text1" w:themeTint="A6"/>
        </w:rPr>
        <w:t>n un</w:t>
      </w:r>
      <w:r w:rsidR="00EA1728">
        <w:rPr>
          <w:color w:val="595959" w:themeColor="text1" w:themeTint="A6"/>
        </w:rPr>
        <w:t>official</w:t>
      </w:r>
      <w:r w:rsidR="00406631">
        <w:rPr>
          <w:color w:val="595959" w:themeColor="text1" w:themeTint="A6"/>
        </w:rPr>
        <w:t xml:space="preserve"> Mufti</w:t>
      </w:r>
      <w:r>
        <w:rPr>
          <w:color w:val="595959" w:themeColor="text1" w:themeTint="A6"/>
        </w:rPr>
        <w:t>.</w:t>
      </w:r>
      <w:r>
        <w:rPr>
          <w:rStyle w:val="FootnoteReference"/>
          <w:color w:val="595959" w:themeColor="text1" w:themeTint="A6"/>
        </w:rPr>
        <w:footnoteReference w:id="16"/>
      </w:r>
      <w:r>
        <w:rPr>
          <w:color w:val="595959" w:themeColor="text1" w:themeTint="A6"/>
        </w:rPr>
        <w:t xml:space="preserve"> </w:t>
      </w:r>
      <w:proofErr w:type="spellStart"/>
      <w:r w:rsidR="00101B74">
        <w:rPr>
          <w:color w:val="595959" w:themeColor="text1" w:themeTint="A6"/>
        </w:rPr>
        <w:t>K</w:t>
      </w:r>
      <w:r w:rsidR="00101B74">
        <w:rPr>
          <w:rFonts w:ascii="Calibri" w:hAnsi="Calibri" w:cs="Calibri"/>
          <w:color w:val="595959" w:themeColor="text1" w:themeTint="A6"/>
        </w:rPr>
        <w:t>ü</w:t>
      </w:r>
      <w:r w:rsidR="00101B74">
        <w:rPr>
          <w:color w:val="595959" w:themeColor="text1" w:themeTint="A6"/>
        </w:rPr>
        <w:t>nkler</w:t>
      </w:r>
      <w:proofErr w:type="spellEnd"/>
      <w:r w:rsidR="00101B74">
        <w:rPr>
          <w:color w:val="595959" w:themeColor="text1" w:themeTint="A6"/>
        </w:rPr>
        <w:t xml:space="preserve"> </w:t>
      </w:r>
      <w:r w:rsidR="0075326C">
        <w:rPr>
          <w:color w:val="595959" w:themeColor="text1" w:themeTint="A6"/>
        </w:rPr>
        <w:t>describes</w:t>
      </w:r>
      <w:r w:rsidR="00101B74">
        <w:rPr>
          <w:color w:val="595959" w:themeColor="text1" w:themeTint="A6"/>
        </w:rPr>
        <w:t xml:space="preserve"> this phenomenon as the transformation from servants of ideological state projects to large independent institutions commanding religious authority in the country.</w:t>
      </w:r>
      <w:r w:rsidR="007436F3">
        <w:rPr>
          <w:rStyle w:val="FootnoteReference"/>
          <w:color w:val="595959" w:themeColor="text1" w:themeTint="A6"/>
        </w:rPr>
        <w:footnoteReference w:id="17"/>
      </w:r>
    </w:p>
    <w:p w14:paraId="360EEDD4" w14:textId="77777777" w:rsidR="00CE046D" w:rsidRDefault="00CE046D" w:rsidP="00CE046D">
      <w:pPr>
        <w:spacing w:line="360" w:lineRule="auto"/>
        <w:jc w:val="both"/>
        <w:rPr>
          <w:color w:val="595959" w:themeColor="text1" w:themeTint="A6"/>
        </w:rPr>
      </w:pPr>
    </w:p>
    <w:p w14:paraId="75C6C08B" w14:textId="26F03454" w:rsidR="00CE046D" w:rsidRDefault="00CE046D" w:rsidP="00CE046D">
      <w:pPr>
        <w:spacing w:line="360" w:lineRule="auto"/>
        <w:jc w:val="both"/>
        <w:rPr>
          <w:color w:val="595959" w:themeColor="text1" w:themeTint="A6"/>
        </w:rPr>
      </w:pPr>
      <w:r>
        <w:rPr>
          <w:color w:val="595959" w:themeColor="text1" w:themeTint="A6"/>
        </w:rPr>
        <w:lastRenderedPageBreak/>
        <w:t>Over the last three decades the government became increasingly eager to demonstrate their religious credentials in front of an increasing conservative and pious Islamic middle class. To accommodate the rise of religiosity in the country, the bureaucratization of religion, especially channeled through the “religious” citizenship regulations, the laws on marriage, places of worship and blasphemy under the watchful eyes of the MUI, solidified the government’s religious credentials at the expense of religious minorities.</w:t>
      </w:r>
      <w:r>
        <w:rPr>
          <w:rStyle w:val="FootnoteReference"/>
          <w:color w:val="595959" w:themeColor="text1" w:themeTint="A6"/>
        </w:rPr>
        <w:footnoteReference w:id="18"/>
      </w:r>
      <w:r>
        <w:rPr>
          <w:color w:val="595959" w:themeColor="text1" w:themeTint="A6"/>
        </w:rPr>
        <w:t xml:space="preserve"> It remains to be seen at what price the use of Religion for bureaucratic and political purposes in Indonesia can be sustained. </w:t>
      </w:r>
    </w:p>
    <w:p w14:paraId="6814302A" w14:textId="69889731" w:rsidR="00AB5549" w:rsidRDefault="00AB5549" w:rsidP="00CE046D">
      <w:pPr>
        <w:spacing w:line="360" w:lineRule="auto"/>
        <w:jc w:val="both"/>
        <w:rPr>
          <w:color w:val="595959" w:themeColor="text1" w:themeTint="A6"/>
        </w:rPr>
      </w:pPr>
    </w:p>
    <w:p w14:paraId="381D2E22" w14:textId="527FA771" w:rsidR="00AB5549" w:rsidRDefault="00AB5549" w:rsidP="00CE046D">
      <w:pPr>
        <w:spacing w:line="360" w:lineRule="auto"/>
        <w:jc w:val="both"/>
        <w:rPr>
          <w:color w:val="595959" w:themeColor="text1" w:themeTint="A6"/>
        </w:rPr>
      </w:pPr>
    </w:p>
    <w:p w14:paraId="72CB55AB" w14:textId="1AB3C800" w:rsidR="00CC6F2A" w:rsidRDefault="00CC6F2A" w:rsidP="00CE046D">
      <w:pPr>
        <w:spacing w:line="360" w:lineRule="auto"/>
        <w:jc w:val="both"/>
        <w:rPr>
          <w:color w:val="595959" w:themeColor="text1" w:themeTint="A6"/>
        </w:rPr>
      </w:pPr>
    </w:p>
    <w:p w14:paraId="7E0C58C6" w14:textId="3AB6ADA6" w:rsidR="00CC6F2A" w:rsidRDefault="00CC6F2A" w:rsidP="00CE046D">
      <w:pPr>
        <w:spacing w:line="360" w:lineRule="auto"/>
        <w:jc w:val="both"/>
        <w:rPr>
          <w:color w:val="595959" w:themeColor="text1" w:themeTint="A6"/>
        </w:rPr>
      </w:pPr>
    </w:p>
    <w:p w14:paraId="0D308DC1" w14:textId="1ABACD6D" w:rsidR="00CC6F2A" w:rsidRDefault="00CC6F2A" w:rsidP="00CE046D">
      <w:pPr>
        <w:spacing w:line="360" w:lineRule="auto"/>
        <w:jc w:val="both"/>
        <w:rPr>
          <w:color w:val="595959" w:themeColor="text1" w:themeTint="A6"/>
        </w:rPr>
      </w:pPr>
    </w:p>
    <w:p w14:paraId="0D1AFB7E" w14:textId="1EAE7786" w:rsidR="00CC6F2A" w:rsidRDefault="00CC6F2A" w:rsidP="00CE046D">
      <w:pPr>
        <w:spacing w:line="360" w:lineRule="auto"/>
        <w:jc w:val="both"/>
        <w:rPr>
          <w:color w:val="595959" w:themeColor="text1" w:themeTint="A6"/>
        </w:rPr>
      </w:pPr>
    </w:p>
    <w:p w14:paraId="262C11FE" w14:textId="03BB0D9A" w:rsidR="00CC6F2A" w:rsidRDefault="00CC6F2A" w:rsidP="00CE046D">
      <w:pPr>
        <w:spacing w:line="360" w:lineRule="auto"/>
        <w:jc w:val="both"/>
        <w:rPr>
          <w:color w:val="595959" w:themeColor="text1" w:themeTint="A6"/>
        </w:rPr>
      </w:pPr>
    </w:p>
    <w:p w14:paraId="3A0575A2" w14:textId="7E7E9387" w:rsidR="00CC6F2A" w:rsidRDefault="00CC6F2A" w:rsidP="00CE046D">
      <w:pPr>
        <w:spacing w:line="360" w:lineRule="auto"/>
        <w:jc w:val="both"/>
        <w:rPr>
          <w:color w:val="595959" w:themeColor="text1" w:themeTint="A6"/>
        </w:rPr>
      </w:pPr>
    </w:p>
    <w:p w14:paraId="58EE8D6A" w14:textId="52B40096" w:rsidR="00CC6F2A" w:rsidRDefault="00CC6F2A" w:rsidP="00CE046D">
      <w:pPr>
        <w:spacing w:line="360" w:lineRule="auto"/>
        <w:jc w:val="both"/>
        <w:rPr>
          <w:color w:val="595959" w:themeColor="text1" w:themeTint="A6"/>
        </w:rPr>
      </w:pPr>
    </w:p>
    <w:p w14:paraId="5E87559A" w14:textId="08EBF05B" w:rsidR="00CC6F2A" w:rsidRDefault="00CC6F2A" w:rsidP="00CE046D">
      <w:pPr>
        <w:spacing w:line="360" w:lineRule="auto"/>
        <w:jc w:val="both"/>
        <w:rPr>
          <w:color w:val="595959" w:themeColor="text1" w:themeTint="A6"/>
        </w:rPr>
      </w:pPr>
    </w:p>
    <w:p w14:paraId="5E708CC0" w14:textId="1ED49CB6" w:rsidR="00CC6F2A" w:rsidRDefault="00CC6F2A" w:rsidP="00CE046D">
      <w:pPr>
        <w:spacing w:line="360" w:lineRule="auto"/>
        <w:jc w:val="both"/>
        <w:rPr>
          <w:color w:val="595959" w:themeColor="text1" w:themeTint="A6"/>
        </w:rPr>
      </w:pPr>
    </w:p>
    <w:p w14:paraId="5D8CA85D" w14:textId="7823E51A" w:rsidR="00CC6F2A" w:rsidRDefault="00CC6F2A" w:rsidP="00CE046D">
      <w:pPr>
        <w:spacing w:line="360" w:lineRule="auto"/>
        <w:jc w:val="both"/>
        <w:rPr>
          <w:color w:val="595959" w:themeColor="text1" w:themeTint="A6"/>
        </w:rPr>
      </w:pPr>
    </w:p>
    <w:p w14:paraId="1419172D" w14:textId="219ACF39" w:rsidR="00CC6F2A" w:rsidRDefault="00CC6F2A" w:rsidP="00CE046D">
      <w:pPr>
        <w:spacing w:line="360" w:lineRule="auto"/>
        <w:jc w:val="both"/>
        <w:rPr>
          <w:color w:val="595959" w:themeColor="text1" w:themeTint="A6"/>
        </w:rPr>
      </w:pPr>
    </w:p>
    <w:p w14:paraId="4B0C882F" w14:textId="3AD1620B" w:rsidR="00CC6F2A" w:rsidRDefault="00CC6F2A" w:rsidP="00CE046D">
      <w:pPr>
        <w:spacing w:line="360" w:lineRule="auto"/>
        <w:jc w:val="both"/>
        <w:rPr>
          <w:color w:val="595959" w:themeColor="text1" w:themeTint="A6"/>
        </w:rPr>
      </w:pPr>
    </w:p>
    <w:p w14:paraId="0DAB1A37" w14:textId="77777777" w:rsidR="00CC6F2A" w:rsidRDefault="00CC6F2A" w:rsidP="00CE046D">
      <w:pPr>
        <w:spacing w:line="360" w:lineRule="auto"/>
        <w:jc w:val="both"/>
        <w:rPr>
          <w:color w:val="595959" w:themeColor="text1" w:themeTint="A6"/>
        </w:rPr>
      </w:pPr>
    </w:p>
    <w:p w14:paraId="5C1A77FD" w14:textId="77777777" w:rsidR="00CC6F2A" w:rsidRDefault="00CC6F2A" w:rsidP="00CE046D">
      <w:pPr>
        <w:spacing w:line="360" w:lineRule="auto"/>
        <w:jc w:val="both"/>
        <w:rPr>
          <w:color w:val="595959" w:themeColor="text1" w:themeTint="A6"/>
        </w:rPr>
      </w:pPr>
    </w:p>
    <w:sdt>
      <w:sdtPr>
        <w:rPr>
          <w:rFonts w:asciiTheme="minorHAnsi" w:eastAsiaTheme="minorHAnsi" w:hAnsiTheme="minorHAnsi" w:cstheme="minorBidi"/>
          <w:b w:val="0"/>
          <w:bCs w:val="0"/>
          <w:color w:val="auto"/>
          <w:sz w:val="24"/>
          <w:szCs w:val="24"/>
          <w:lang w:val="en-ID" w:bidi="ar-SA"/>
        </w:rPr>
        <w:id w:val="392247670"/>
        <w:docPartObj>
          <w:docPartGallery w:val="Bibliographies"/>
          <w:docPartUnique/>
        </w:docPartObj>
      </w:sdtPr>
      <w:sdtEndPr>
        <w:rPr>
          <w:rFonts w:ascii="Times New Roman" w:eastAsia="Times New Roman" w:hAnsi="Times New Roman" w:cs="Times New Roman"/>
        </w:rPr>
      </w:sdtEndPr>
      <w:sdtContent>
        <w:p w14:paraId="46CD6866" w14:textId="77777777" w:rsidR="00A567FD" w:rsidRDefault="00A567FD" w:rsidP="00CE046D">
          <w:pPr>
            <w:pStyle w:val="Heading1"/>
            <w:rPr>
              <w:rFonts w:asciiTheme="minorHAnsi" w:eastAsiaTheme="minorHAnsi" w:hAnsiTheme="minorHAnsi" w:cstheme="minorBidi"/>
              <w:b w:val="0"/>
              <w:bCs w:val="0"/>
              <w:color w:val="auto"/>
              <w:sz w:val="24"/>
              <w:szCs w:val="24"/>
              <w:lang w:bidi="ar-SA"/>
            </w:rPr>
          </w:pPr>
        </w:p>
        <w:p w14:paraId="7E510C6B" w14:textId="77777777" w:rsidR="00780F0A" w:rsidRDefault="00780F0A" w:rsidP="00CE046D">
          <w:pPr>
            <w:pStyle w:val="Heading1"/>
          </w:pPr>
        </w:p>
        <w:p w14:paraId="2054218F" w14:textId="77777777" w:rsidR="00780F0A" w:rsidRDefault="00780F0A" w:rsidP="00CE046D">
          <w:pPr>
            <w:pStyle w:val="Heading1"/>
          </w:pPr>
        </w:p>
        <w:p w14:paraId="64D58F3A" w14:textId="07F014A1" w:rsidR="00CE046D" w:rsidRDefault="00CE046D" w:rsidP="00CE046D">
          <w:pPr>
            <w:pStyle w:val="Heading1"/>
          </w:pPr>
          <w:r>
            <w:t>Bibliography</w:t>
          </w:r>
        </w:p>
        <w:sdt>
          <w:sdtPr>
            <w:id w:val="111145805"/>
            <w:showingPlcHdr/>
            <w:bibliography/>
          </w:sdtPr>
          <w:sdtEndPr/>
          <w:sdtContent>
            <w:p w14:paraId="6FE4924A" w14:textId="77777777" w:rsidR="00CE046D" w:rsidRDefault="00CE046D" w:rsidP="00CE046D">
              <w:r>
                <w:t xml:space="preserve">     </w:t>
              </w:r>
            </w:p>
          </w:sdtContent>
        </w:sdt>
      </w:sdtContent>
    </w:sdt>
    <w:p w14:paraId="40959FA5" w14:textId="6139DAC7" w:rsidR="001F512A" w:rsidRDefault="001F512A" w:rsidP="001F512A">
      <w:pPr>
        <w:pStyle w:val="FootnoteText"/>
        <w:ind w:left="567" w:hanging="567"/>
      </w:pPr>
      <w:proofErr w:type="spellStart"/>
      <w:r>
        <w:t>Arianingtyas</w:t>
      </w:r>
      <w:proofErr w:type="spellEnd"/>
      <w:r>
        <w:t xml:space="preserve">, Renata. “Indonesia: Between Religious Harmony and Religious Freedom” in Kirkham, M. David. (ed.) </w:t>
      </w:r>
      <w:r w:rsidRPr="007401D5">
        <w:rPr>
          <w:i/>
          <w:iCs/>
        </w:rPr>
        <w:t>State Responses to Minority Religions</w:t>
      </w:r>
      <w:r>
        <w:t xml:space="preserve"> (Surrey: Ashgate Publishing Limited, 2013).</w:t>
      </w:r>
    </w:p>
    <w:p w14:paraId="582F8BF3" w14:textId="77777777" w:rsidR="001F512A" w:rsidRDefault="001F512A" w:rsidP="00780F0A">
      <w:pPr>
        <w:pStyle w:val="FootnoteText"/>
        <w:ind w:left="567" w:hanging="567"/>
      </w:pPr>
    </w:p>
    <w:p w14:paraId="4D6BEF95" w14:textId="471A54AF" w:rsidR="00780F0A" w:rsidRDefault="00780F0A" w:rsidP="00780F0A">
      <w:pPr>
        <w:pStyle w:val="FootnoteText"/>
        <w:ind w:left="567" w:hanging="567"/>
      </w:pPr>
      <w:proofErr w:type="spellStart"/>
      <w:r>
        <w:t>Bruinessen</w:t>
      </w:r>
      <w:proofErr w:type="spellEnd"/>
      <w:r>
        <w:t xml:space="preserve"> van, Martin, “The Governance of Islam in Two Secular Polities: Turkey’s </w:t>
      </w:r>
      <w:proofErr w:type="spellStart"/>
      <w:r>
        <w:t>Diyanet</w:t>
      </w:r>
      <w:proofErr w:type="spellEnd"/>
      <w:r>
        <w:t xml:space="preserve"> and Indonesia’s Ministry of Religious Affairs”, </w:t>
      </w:r>
      <w:r w:rsidRPr="00035D1A">
        <w:rPr>
          <w:i/>
          <w:iCs/>
        </w:rPr>
        <w:t>European Journal of Turkish Studies</w:t>
      </w:r>
      <w:r>
        <w:t>, 27 (2018), 1-26.</w:t>
      </w:r>
    </w:p>
    <w:p w14:paraId="2ECD0224" w14:textId="123B9ED8" w:rsidR="00CE046D" w:rsidRDefault="00CE046D" w:rsidP="00CE046D"/>
    <w:p w14:paraId="7DFB9DAA" w14:textId="02CDEC74" w:rsidR="00780F0A" w:rsidRDefault="00780F0A" w:rsidP="00780F0A">
      <w:pPr>
        <w:pStyle w:val="FootnoteText"/>
        <w:ind w:left="567" w:hanging="567"/>
      </w:pPr>
      <w:r>
        <w:t xml:space="preserve">Crouch, Melissa, “Implementing the Regulation on Places of Worship in Indonesia: New Problems, Local Politics   and Court Action” in </w:t>
      </w:r>
      <w:r w:rsidRPr="002A5EFF">
        <w:rPr>
          <w:i/>
          <w:iCs/>
        </w:rPr>
        <w:t>Asian Studies Review</w:t>
      </w:r>
      <w:r>
        <w:t>, 34 (2010), 403-419.</w:t>
      </w:r>
    </w:p>
    <w:p w14:paraId="30F4DE21" w14:textId="77777777" w:rsidR="001F512A" w:rsidRDefault="001F512A" w:rsidP="00780F0A">
      <w:pPr>
        <w:pStyle w:val="FootnoteText"/>
        <w:ind w:left="567" w:hanging="567"/>
      </w:pPr>
    </w:p>
    <w:p w14:paraId="237824E3" w14:textId="77777777" w:rsidR="00780F0A" w:rsidRDefault="00780F0A" w:rsidP="00780F0A">
      <w:pPr>
        <w:pStyle w:val="FootnoteText"/>
        <w:ind w:left="567" w:hanging="567"/>
      </w:pPr>
      <w:proofErr w:type="spellStart"/>
      <w:r>
        <w:t>Darmaputera</w:t>
      </w:r>
      <w:proofErr w:type="spellEnd"/>
      <w:r>
        <w:t xml:space="preserve">, </w:t>
      </w:r>
      <w:proofErr w:type="spellStart"/>
      <w:r>
        <w:t>Eka</w:t>
      </w:r>
      <w:proofErr w:type="spellEnd"/>
      <w:r>
        <w:t xml:space="preserve">. (1988) </w:t>
      </w:r>
      <w:r w:rsidRPr="00EC4BD4">
        <w:rPr>
          <w:i/>
          <w:iCs/>
        </w:rPr>
        <w:t>Pancasila and the Search for Identity and Modernity in Indonesian Society</w:t>
      </w:r>
      <w:r>
        <w:t>. Leiden: E.J. Brill.</w:t>
      </w:r>
    </w:p>
    <w:p w14:paraId="30A67C4F" w14:textId="1832F5DE" w:rsidR="00780F0A" w:rsidRDefault="00780F0A" w:rsidP="00CE046D"/>
    <w:p w14:paraId="274BB185" w14:textId="2D6EDC39" w:rsidR="001F512A" w:rsidRDefault="001F512A" w:rsidP="001F512A">
      <w:pPr>
        <w:pStyle w:val="FootnoteText"/>
        <w:ind w:left="567" w:hanging="567"/>
      </w:pPr>
      <w:r>
        <w:t xml:space="preserve">Fenton J, Adam. “Faith Tolerance Violence and Bigotry: Legal and Constitutional Issues of Freedom of Religion in Indonesia”, (Based on a paper presented at the International Indonesia forum IX, 23-24 August 2016, </w:t>
      </w:r>
      <w:proofErr w:type="spellStart"/>
      <w:r>
        <w:t>Atma</w:t>
      </w:r>
      <w:proofErr w:type="spellEnd"/>
      <w:r>
        <w:t xml:space="preserve"> Jaya Catholic University, Jakarta), Journal of Indonesian Islam, 10(02), (2016), pp 181-211.</w:t>
      </w:r>
    </w:p>
    <w:p w14:paraId="1103545F" w14:textId="77777777" w:rsidR="001F512A" w:rsidRDefault="001F512A" w:rsidP="001F512A">
      <w:pPr>
        <w:pStyle w:val="FootnoteText"/>
        <w:ind w:left="567" w:hanging="567"/>
      </w:pPr>
    </w:p>
    <w:p w14:paraId="0C337727" w14:textId="441E8AB7" w:rsidR="001F512A" w:rsidRDefault="001F512A" w:rsidP="001F512A">
      <w:pPr>
        <w:pStyle w:val="FootnoteText"/>
        <w:ind w:left="567" w:hanging="567"/>
      </w:pPr>
      <w:r>
        <w:t xml:space="preserve">Hasan </w:t>
      </w:r>
      <w:proofErr w:type="spellStart"/>
      <w:r>
        <w:t>Noorhaidi</w:t>
      </w:r>
      <w:proofErr w:type="spellEnd"/>
      <w:r>
        <w:t xml:space="preserve">, “Religious Diversity and Blasphemy Law: Understanding Growing Religious Conflict and Intolerance in Post-Suharto Indonesia”, (presented at the international Workshop on the religious intolerance in Indonesia, organized jointly by Rajaratnam School of International Studies (RSIS), Singapore and </w:t>
      </w:r>
      <w:proofErr w:type="spellStart"/>
      <w:r>
        <w:t>Pascasarjana</w:t>
      </w:r>
      <w:proofErr w:type="spellEnd"/>
      <w:r>
        <w:t xml:space="preserve"> UIN </w:t>
      </w:r>
      <w:proofErr w:type="spellStart"/>
      <w:r>
        <w:t>Sunan</w:t>
      </w:r>
      <w:proofErr w:type="spellEnd"/>
      <w:r>
        <w:t xml:space="preserve"> </w:t>
      </w:r>
      <w:proofErr w:type="spellStart"/>
      <w:r>
        <w:t>Kalijaga</w:t>
      </w:r>
      <w:proofErr w:type="spellEnd"/>
      <w:r>
        <w:t xml:space="preserve">, Yogyakarta on 24-25 September 2015), Al- </w:t>
      </w:r>
      <w:proofErr w:type="spellStart"/>
      <w:r>
        <w:t>Jami’ah</w:t>
      </w:r>
      <w:proofErr w:type="spellEnd"/>
      <w:r>
        <w:t>: Journal of Islamic Studies,  55(1), (2017), pp. 105-126.</w:t>
      </w:r>
    </w:p>
    <w:p w14:paraId="62BC57AF" w14:textId="77777777" w:rsidR="001F512A" w:rsidRDefault="001F512A" w:rsidP="001F512A">
      <w:pPr>
        <w:pStyle w:val="FootnoteText"/>
        <w:ind w:left="567" w:hanging="567"/>
      </w:pPr>
    </w:p>
    <w:p w14:paraId="22FC4CE4" w14:textId="77777777" w:rsidR="001F512A" w:rsidRDefault="001F512A" w:rsidP="001F512A">
      <w:pPr>
        <w:pStyle w:val="FootnoteText"/>
        <w:ind w:left="567" w:hanging="567"/>
      </w:pPr>
      <w:proofErr w:type="spellStart"/>
      <w:r>
        <w:t>Hidayah</w:t>
      </w:r>
      <w:proofErr w:type="spellEnd"/>
      <w:r>
        <w:t xml:space="preserve">, Sita, “The Politics of Religion: The Invention of Agama in Indonesia”, </w:t>
      </w:r>
      <w:proofErr w:type="spellStart"/>
      <w:r w:rsidRPr="00EE5A46">
        <w:rPr>
          <w:i/>
          <w:iCs/>
        </w:rPr>
        <w:t>Kwisatara</w:t>
      </w:r>
      <w:proofErr w:type="spellEnd"/>
      <w:r>
        <w:t xml:space="preserve"> 2 (2), (2012), 105-224 (p.126).</w:t>
      </w:r>
    </w:p>
    <w:p w14:paraId="760F1705" w14:textId="3BF2FEB2" w:rsidR="001F512A" w:rsidRDefault="001F512A" w:rsidP="00CE046D"/>
    <w:p w14:paraId="2DE69399" w14:textId="5F7F4331" w:rsidR="001F512A" w:rsidRDefault="001F512A" w:rsidP="001F512A">
      <w:pPr>
        <w:pStyle w:val="FootnoteText"/>
        <w:ind w:left="567" w:hanging="567"/>
      </w:pPr>
      <w:proofErr w:type="spellStart"/>
      <w:r>
        <w:t>Hilmy</w:t>
      </w:r>
      <w:proofErr w:type="spellEnd"/>
      <w:r>
        <w:t xml:space="preserve">, Masdar. (2010) </w:t>
      </w:r>
      <w:r w:rsidRPr="00FB523E">
        <w:rPr>
          <w:i/>
          <w:iCs/>
        </w:rPr>
        <w:t>Islamism and Democracy in Indonesia: Piety and Pragmatism</w:t>
      </w:r>
      <w:r>
        <w:rPr>
          <w:i/>
          <w:iCs/>
        </w:rPr>
        <w:t>.</w:t>
      </w:r>
      <w:r>
        <w:t xml:space="preserve"> Singapore: Institute of Southeast Asian Studies.</w:t>
      </w:r>
    </w:p>
    <w:p w14:paraId="30418A5D" w14:textId="5D65EA46" w:rsidR="001F512A" w:rsidRDefault="001F512A" w:rsidP="001F512A">
      <w:pPr>
        <w:pStyle w:val="FootnoteText"/>
        <w:ind w:left="567" w:hanging="567"/>
      </w:pPr>
    </w:p>
    <w:p w14:paraId="153C3B78" w14:textId="77777777" w:rsidR="001F512A" w:rsidRDefault="001F512A" w:rsidP="001F512A">
      <w:pPr>
        <w:pStyle w:val="FootnoteText"/>
        <w:ind w:left="567" w:hanging="567"/>
      </w:pPr>
      <w:r>
        <w:t xml:space="preserve">Hosen, </w:t>
      </w:r>
      <w:proofErr w:type="spellStart"/>
      <w:r>
        <w:t>Nadirsyah</w:t>
      </w:r>
      <w:proofErr w:type="spellEnd"/>
      <w:r>
        <w:t xml:space="preserve">. (2007) </w:t>
      </w:r>
      <w:r w:rsidRPr="0066495A">
        <w:rPr>
          <w:i/>
          <w:iCs/>
        </w:rPr>
        <w:t>Sharia &amp; Constitutional Reform in Indonesia.</w:t>
      </w:r>
      <w:r>
        <w:t xml:space="preserve"> Singapore: Institute of Southeast Asian Studies.</w:t>
      </w:r>
    </w:p>
    <w:p w14:paraId="29D96D20" w14:textId="77777777" w:rsidR="001F512A" w:rsidRDefault="001F512A" w:rsidP="001F512A">
      <w:pPr>
        <w:pStyle w:val="FootnoteText"/>
        <w:ind w:left="567" w:hanging="567"/>
      </w:pPr>
    </w:p>
    <w:p w14:paraId="5CE38817" w14:textId="77777777" w:rsidR="001F512A" w:rsidRDefault="001F512A" w:rsidP="001F512A">
      <w:pPr>
        <w:pStyle w:val="FootnoteText"/>
        <w:ind w:left="567" w:hanging="567"/>
      </w:pPr>
      <w:proofErr w:type="spellStart"/>
      <w:r>
        <w:t>Intan</w:t>
      </w:r>
      <w:proofErr w:type="spellEnd"/>
      <w:r>
        <w:t xml:space="preserve">, </w:t>
      </w:r>
      <w:proofErr w:type="spellStart"/>
      <w:r>
        <w:t>Femming</w:t>
      </w:r>
      <w:proofErr w:type="spellEnd"/>
      <w:r>
        <w:t>, Benyamin. (2006) Public Religion and the Pancasila-Based State of Indonesia: An ethical and Sociological Analysis. New York: Peter Lang Publishing</w:t>
      </w:r>
    </w:p>
    <w:p w14:paraId="7421D172" w14:textId="77777777" w:rsidR="001F512A" w:rsidRDefault="001F512A" w:rsidP="00CE046D"/>
    <w:p w14:paraId="09D7F03B" w14:textId="73CB7FDC" w:rsidR="00CE046D" w:rsidRDefault="00CE046D" w:rsidP="00CE046D">
      <w:pPr>
        <w:pStyle w:val="FootnoteText"/>
        <w:ind w:left="567" w:hanging="567"/>
      </w:pPr>
      <w:proofErr w:type="spellStart"/>
      <w:r>
        <w:t>Sezgin</w:t>
      </w:r>
      <w:proofErr w:type="spellEnd"/>
      <w:r>
        <w:t xml:space="preserve">, </w:t>
      </w:r>
      <w:proofErr w:type="spellStart"/>
      <w:r>
        <w:t>Y</w:t>
      </w:r>
      <w:r>
        <w:rPr>
          <w:rFonts w:ascii="Calibri" w:hAnsi="Calibri" w:cs="Calibri"/>
        </w:rPr>
        <w:t>ü</w:t>
      </w:r>
      <w:r>
        <w:t>ksel</w:t>
      </w:r>
      <w:proofErr w:type="spellEnd"/>
      <w:r>
        <w:t xml:space="preserve"> and </w:t>
      </w:r>
      <w:proofErr w:type="spellStart"/>
      <w:r>
        <w:t>K</w:t>
      </w:r>
      <w:r>
        <w:rPr>
          <w:rFonts w:ascii="Calibri" w:hAnsi="Calibri" w:cs="Calibri"/>
        </w:rPr>
        <w:t>ü</w:t>
      </w:r>
      <w:r>
        <w:t>nkler</w:t>
      </w:r>
      <w:proofErr w:type="spellEnd"/>
      <w:r>
        <w:t xml:space="preserve">, </w:t>
      </w:r>
      <w:proofErr w:type="spellStart"/>
      <w:r>
        <w:t>Mirjam</w:t>
      </w:r>
      <w:proofErr w:type="spellEnd"/>
      <w:r>
        <w:t xml:space="preserve">, “Regulation of Religion and the “Religious”: The Politics of Judicialization       and Bureaucratization in India and Indonesia”, </w:t>
      </w:r>
      <w:r w:rsidRPr="00CE16BB">
        <w:rPr>
          <w:i/>
          <w:iCs/>
        </w:rPr>
        <w:t>Comparative Studies in Society and History</w:t>
      </w:r>
      <w:r>
        <w:t>, 56(2), (2014), 448-478.</w:t>
      </w:r>
    </w:p>
    <w:p w14:paraId="60F50492" w14:textId="77777777" w:rsidR="00C72586" w:rsidRDefault="00C72586" w:rsidP="00CC6F2A">
      <w:pPr>
        <w:pStyle w:val="FootnoteText"/>
      </w:pPr>
    </w:p>
    <w:p w14:paraId="6F7D8D59" w14:textId="77777777" w:rsidR="001F512A" w:rsidRDefault="001F512A" w:rsidP="00CC6F2A">
      <w:pPr>
        <w:pStyle w:val="FootnoteText"/>
      </w:pPr>
      <w:r>
        <w:t xml:space="preserve">Kersten, </w:t>
      </w:r>
      <w:proofErr w:type="spellStart"/>
      <w:r>
        <w:t>Carool</w:t>
      </w:r>
      <w:proofErr w:type="spellEnd"/>
      <w:r>
        <w:t xml:space="preserve">. (2015) </w:t>
      </w:r>
      <w:r w:rsidRPr="00927E0D">
        <w:rPr>
          <w:i/>
          <w:iCs/>
        </w:rPr>
        <w:t>Islam in Indonesia: The Contest for society</w:t>
      </w:r>
      <w:r>
        <w:t>. London: C. Hurst &amp; Co Ltd.</w:t>
      </w:r>
    </w:p>
    <w:p w14:paraId="12FDC5DF" w14:textId="15BB2A3B" w:rsidR="00CE046D" w:rsidRDefault="00CE046D" w:rsidP="00CE046D">
      <w:pPr>
        <w:pStyle w:val="FootnoteText"/>
      </w:pPr>
    </w:p>
    <w:p w14:paraId="37B1611D" w14:textId="77777777" w:rsidR="001F512A" w:rsidRDefault="001F512A" w:rsidP="001F512A">
      <w:pPr>
        <w:pStyle w:val="FootnoteText"/>
        <w:ind w:left="567" w:hanging="567"/>
      </w:pPr>
      <w:proofErr w:type="spellStart"/>
      <w:r>
        <w:t>K</w:t>
      </w:r>
      <w:r>
        <w:rPr>
          <w:rFonts w:ascii="Calibri" w:hAnsi="Calibri" w:cs="Calibri"/>
        </w:rPr>
        <w:t>ü</w:t>
      </w:r>
      <w:r>
        <w:t>nkler</w:t>
      </w:r>
      <w:proofErr w:type="spellEnd"/>
      <w:r>
        <w:t xml:space="preserve"> </w:t>
      </w:r>
      <w:proofErr w:type="spellStart"/>
      <w:r>
        <w:t>Mirjam</w:t>
      </w:r>
      <w:proofErr w:type="spellEnd"/>
      <w:r>
        <w:t xml:space="preserve">, “The Bureaucratization of Religion in Southeast Asia: Expanding or Restricting Religious Freedom?”, </w:t>
      </w:r>
      <w:r w:rsidRPr="00213F33">
        <w:rPr>
          <w:i/>
          <w:iCs/>
        </w:rPr>
        <w:t>Journal of Law and Religion</w:t>
      </w:r>
      <w:r>
        <w:t>, 33(2), (2018), 192-196.</w:t>
      </w:r>
    </w:p>
    <w:p w14:paraId="484FC7D0" w14:textId="77777777" w:rsidR="001F512A" w:rsidRDefault="001F512A" w:rsidP="00CE046D">
      <w:pPr>
        <w:pStyle w:val="FootnoteText"/>
      </w:pPr>
    </w:p>
    <w:p w14:paraId="2C9CC751" w14:textId="696D10EB" w:rsidR="00CE046D" w:rsidRPr="00661FFA" w:rsidRDefault="00D86F24" w:rsidP="00661FFA">
      <w:pPr>
        <w:rPr>
          <w:rFonts w:asciiTheme="minorHAnsi" w:hAnsiTheme="minorHAnsi" w:cstheme="minorHAnsi"/>
          <w:sz w:val="20"/>
          <w:szCs w:val="20"/>
        </w:rPr>
      </w:pPr>
      <w:r w:rsidRPr="00774F50">
        <w:rPr>
          <w:rFonts w:asciiTheme="minorHAnsi" w:hAnsiTheme="minorHAnsi" w:cstheme="minorHAnsi"/>
          <w:sz w:val="20"/>
          <w:szCs w:val="20"/>
        </w:rPr>
        <w:lastRenderedPageBreak/>
        <w:t>L</w:t>
      </w:r>
      <w:r w:rsidR="00774F50">
        <w:rPr>
          <w:rFonts w:asciiTheme="minorHAnsi" w:hAnsiTheme="minorHAnsi" w:cstheme="minorHAnsi"/>
          <w:sz w:val="20"/>
          <w:szCs w:val="20"/>
        </w:rPr>
        <w:t>aw</w:t>
      </w:r>
      <w:r w:rsidRPr="00774F50">
        <w:rPr>
          <w:rFonts w:asciiTheme="minorHAnsi" w:hAnsiTheme="minorHAnsi" w:cstheme="minorHAnsi"/>
          <w:sz w:val="20"/>
          <w:szCs w:val="20"/>
        </w:rPr>
        <w:t xml:space="preserve"> N</w:t>
      </w:r>
      <w:r w:rsidR="00774F50">
        <w:rPr>
          <w:rFonts w:asciiTheme="minorHAnsi" w:hAnsiTheme="minorHAnsi" w:cstheme="minorHAnsi"/>
          <w:sz w:val="20"/>
          <w:szCs w:val="20"/>
        </w:rPr>
        <w:t>o.</w:t>
      </w:r>
      <w:r w:rsidRPr="00774F50">
        <w:rPr>
          <w:rFonts w:asciiTheme="minorHAnsi" w:hAnsiTheme="minorHAnsi" w:cstheme="minorHAnsi"/>
          <w:sz w:val="20"/>
          <w:szCs w:val="20"/>
        </w:rPr>
        <w:t xml:space="preserve"> 23 </w:t>
      </w:r>
      <w:r w:rsidR="00774F50">
        <w:rPr>
          <w:rFonts w:asciiTheme="minorHAnsi" w:hAnsiTheme="minorHAnsi" w:cstheme="minorHAnsi"/>
          <w:sz w:val="20"/>
          <w:szCs w:val="20"/>
        </w:rPr>
        <w:t>of</w:t>
      </w:r>
      <w:r w:rsidRPr="00774F50">
        <w:rPr>
          <w:rFonts w:asciiTheme="minorHAnsi" w:hAnsiTheme="minorHAnsi" w:cstheme="minorHAnsi"/>
          <w:sz w:val="20"/>
          <w:szCs w:val="20"/>
        </w:rPr>
        <w:t xml:space="preserve"> 2014  </w:t>
      </w:r>
      <w:r w:rsidR="00661FFA">
        <w:rPr>
          <w:rFonts w:asciiTheme="minorHAnsi" w:hAnsiTheme="minorHAnsi" w:cstheme="minorHAnsi"/>
          <w:sz w:val="20"/>
          <w:szCs w:val="20"/>
        </w:rPr>
        <w:t xml:space="preserve">about local Government. </w:t>
      </w:r>
    </w:p>
    <w:p w14:paraId="159736F6" w14:textId="77777777" w:rsidR="00CE046D" w:rsidRDefault="00CE046D" w:rsidP="00CE046D">
      <w:pPr>
        <w:pStyle w:val="FootnoteText"/>
      </w:pPr>
    </w:p>
    <w:p w14:paraId="6524283F" w14:textId="0AACD6B7" w:rsidR="00CE046D" w:rsidRDefault="00CE046D" w:rsidP="00CE046D">
      <w:pPr>
        <w:pStyle w:val="FootnoteText"/>
      </w:pPr>
      <w:r>
        <w:t>Law No. 1 of 1965 on the prevention of the abuse or insulting of a religion</w:t>
      </w:r>
      <w:r w:rsidR="00B331CA">
        <w:t>.</w:t>
      </w:r>
    </w:p>
    <w:p w14:paraId="3728F186" w14:textId="77777777" w:rsidR="00CE046D" w:rsidRDefault="00CE046D" w:rsidP="00CE046D">
      <w:pPr>
        <w:pStyle w:val="FootnoteText"/>
      </w:pPr>
    </w:p>
    <w:p w14:paraId="3397C274" w14:textId="77777777" w:rsidR="00765BC3" w:rsidRDefault="00765BC3" w:rsidP="00765BC3">
      <w:pPr>
        <w:pStyle w:val="FootnoteText"/>
        <w:ind w:left="567" w:hanging="567"/>
      </w:pPr>
      <w:proofErr w:type="spellStart"/>
      <w:r>
        <w:t>Lukito</w:t>
      </w:r>
      <w:proofErr w:type="spellEnd"/>
      <w:r>
        <w:t xml:space="preserve">, </w:t>
      </w:r>
      <w:proofErr w:type="spellStart"/>
      <w:r>
        <w:t>Ratno</w:t>
      </w:r>
      <w:proofErr w:type="spellEnd"/>
      <w:r>
        <w:t xml:space="preserve">. “Trapped Between Legal Unification and Pluralism, The Indonesian Supreme Court’s Decision on Interfaith Marriage” in Jones, W. Gavin, </w:t>
      </w:r>
      <w:proofErr w:type="spellStart"/>
      <w:r>
        <w:t>Leng</w:t>
      </w:r>
      <w:proofErr w:type="spellEnd"/>
      <w:r>
        <w:t xml:space="preserve">, Heng Chee and Mohamad, </w:t>
      </w:r>
      <w:proofErr w:type="spellStart"/>
      <w:r>
        <w:t>Maznah</w:t>
      </w:r>
      <w:proofErr w:type="spellEnd"/>
      <w:r>
        <w:t xml:space="preserve">. (ed.) </w:t>
      </w:r>
      <w:r w:rsidRPr="00CB22F5">
        <w:rPr>
          <w:i/>
          <w:iCs/>
        </w:rPr>
        <w:t>Muslim-Non-Muslim Marriage: Political and Cultural Contestations in Southeast Asia</w:t>
      </w:r>
      <w:r>
        <w:t xml:space="preserve"> (Singapore: Institute of Southeast Asian Studies, 2009).</w:t>
      </w:r>
    </w:p>
    <w:p w14:paraId="2E4753FA" w14:textId="77777777" w:rsidR="00CE046D" w:rsidRDefault="00CE046D" w:rsidP="00CE046D">
      <w:pPr>
        <w:pStyle w:val="FootnoteText"/>
      </w:pPr>
    </w:p>
    <w:p w14:paraId="0789E8C0" w14:textId="33A7D36F" w:rsidR="00765BC3" w:rsidRDefault="00765BC3" w:rsidP="00765BC3">
      <w:pPr>
        <w:pStyle w:val="FootnoteText"/>
        <w:ind w:left="567" w:hanging="567"/>
      </w:pPr>
      <w:proofErr w:type="spellStart"/>
      <w:r>
        <w:t>Mietzner</w:t>
      </w:r>
      <w:proofErr w:type="spellEnd"/>
      <w:r>
        <w:t xml:space="preserve">, Marcus. (2009) </w:t>
      </w:r>
      <w:r w:rsidRPr="002821D7">
        <w:rPr>
          <w:i/>
          <w:iCs/>
        </w:rPr>
        <w:t>Military Politics, Islam and the State in Indonesia: From turbulent Transition to Democratic Consolidation</w:t>
      </w:r>
      <w:r>
        <w:t>. Singapore: Institute of Southeast Asian Studies.</w:t>
      </w:r>
    </w:p>
    <w:p w14:paraId="486705CB" w14:textId="77777777" w:rsidR="00765BC3" w:rsidRDefault="00765BC3" w:rsidP="00765BC3">
      <w:pPr>
        <w:pStyle w:val="FootnoteText"/>
        <w:ind w:left="567" w:hanging="567"/>
      </w:pPr>
    </w:p>
    <w:p w14:paraId="7E8CC7CC" w14:textId="77777777" w:rsidR="00765BC3" w:rsidRPr="00713F67" w:rsidRDefault="00765BC3" w:rsidP="00765BC3">
      <w:pPr>
        <w:rPr>
          <w:rFonts w:asciiTheme="minorHAnsi" w:hAnsiTheme="minorHAnsi" w:cstheme="minorHAnsi"/>
          <w:sz w:val="20"/>
          <w:szCs w:val="20"/>
        </w:rPr>
      </w:pPr>
      <w:r w:rsidRPr="00713F67">
        <w:rPr>
          <w:rFonts w:asciiTheme="minorHAnsi" w:hAnsiTheme="minorHAnsi" w:cstheme="minorHAnsi"/>
          <w:color w:val="222222"/>
          <w:sz w:val="20"/>
          <w:szCs w:val="20"/>
          <w:shd w:val="clear" w:color="auto" w:fill="FFFFFF"/>
        </w:rPr>
        <w:t>Ministry of Religious Affairs decree No. 9 of 2006 and Ministry of Home Affairs decree No. 8 of 2006</w:t>
      </w:r>
    </w:p>
    <w:p w14:paraId="79D9CD59" w14:textId="70435F73" w:rsidR="00765BC3" w:rsidRDefault="00765BC3" w:rsidP="00765BC3">
      <w:pPr>
        <w:pStyle w:val="FootnoteText"/>
        <w:ind w:left="567"/>
      </w:pPr>
      <w:r>
        <w:t>on the implementation of the Task of the District Head/Representative to Maintain Religious Harmony, equip the Religious Harmony Forum and Regulate the building of Places of Worship.</w:t>
      </w:r>
    </w:p>
    <w:p w14:paraId="63B1BE61" w14:textId="77777777" w:rsidR="00CC6F2A" w:rsidRDefault="00CC6F2A" w:rsidP="00765BC3">
      <w:pPr>
        <w:pStyle w:val="FootnoteText"/>
        <w:ind w:left="567"/>
      </w:pPr>
    </w:p>
    <w:p w14:paraId="540F768A" w14:textId="77777777" w:rsidR="00CC6F2A" w:rsidRDefault="00CC6F2A" w:rsidP="00CC6F2A">
      <w:pPr>
        <w:pStyle w:val="FootnoteText"/>
        <w:ind w:left="567" w:hanging="567"/>
      </w:pPr>
      <w:proofErr w:type="spellStart"/>
      <w:r w:rsidRPr="00AC64D2">
        <w:t>Nisa</w:t>
      </w:r>
      <w:proofErr w:type="spellEnd"/>
      <w:r w:rsidRPr="00AC64D2">
        <w:t xml:space="preserve"> F</w:t>
      </w:r>
      <w:r>
        <w:t>,</w:t>
      </w:r>
      <w:r w:rsidRPr="00AC64D2">
        <w:t xml:space="preserve"> Eva. “The Bureaucratization of Muslim Marriage in Indonesia</w:t>
      </w:r>
      <w:r>
        <w:t>”</w:t>
      </w:r>
      <w:r w:rsidRPr="00AC64D2">
        <w:t>,</w:t>
      </w:r>
      <w:r w:rsidRPr="00CE7259">
        <w:rPr>
          <w:i/>
          <w:iCs/>
        </w:rPr>
        <w:t xml:space="preserve"> </w:t>
      </w:r>
      <w:r w:rsidRPr="00213F33">
        <w:rPr>
          <w:i/>
          <w:iCs/>
        </w:rPr>
        <w:t>Journal of Law and Religion</w:t>
      </w:r>
      <w:r>
        <w:t>, 33(2), (2018)</w:t>
      </w:r>
      <w:r w:rsidRPr="00AC64D2">
        <w:t xml:space="preserve"> p. </w:t>
      </w:r>
      <w:r>
        <w:t>291-</w:t>
      </w:r>
      <w:r w:rsidRPr="00AC64D2">
        <w:t>309.</w:t>
      </w:r>
    </w:p>
    <w:p w14:paraId="5DEAF335" w14:textId="54F6BCC2" w:rsidR="00CE046D" w:rsidRDefault="00CE046D" w:rsidP="00CE046D">
      <w:pPr>
        <w:pStyle w:val="FootnoteText"/>
      </w:pPr>
    </w:p>
    <w:p w14:paraId="4B225C3C" w14:textId="0F43FBBE" w:rsidR="00CC6F2A" w:rsidRDefault="00CC6F2A" w:rsidP="00CC6F2A">
      <w:pPr>
        <w:pStyle w:val="FootnoteText"/>
        <w:ind w:left="567" w:hanging="567"/>
      </w:pPr>
      <w:proofErr w:type="spellStart"/>
      <w:r>
        <w:t>Norshahril</w:t>
      </w:r>
      <w:proofErr w:type="spellEnd"/>
      <w:r>
        <w:t xml:space="preserve"> </w:t>
      </w:r>
      <w:proofErr w:type="spellStart"/>
      <w:r>
        <w:t>Saat</w:t>
      </w:r>
      <w:proofErr w:type="spellEnd"/>
      <w:r>
        <w:t xml:space="preserve">, (2018) </w:t>
      </w:r>
      <w:r w:rsidRPr="00BC7E1F">
        <w:rPr>
          <w:i/>
          <w:iCs/>
        </w:rPr>
        <w:t xml:space="preserve">The State Ulama and Islam in Malaysia and Indonesia </w:t>
      </w:r>
      <w:r>
        <w:t>(Amsterdam: Amsterdam University Press B.V.</w:t>
      </w:r>
    </w:p>
    <w:p w14:paraId="3E1D4EE9" w14:textId="77777777" w:rsidR="00CC6F2A" w:rsidRDefault="00CC6F2A" w:rsidP="00CC6F2A">
      <w:pPr>
        <w:pStyle w:val="FootnoteText"/>
        <w:ind w:left="567" w:hanging="567"/>
      </w:pPr>
    </w:p>
    <w:p w14:paraId="1382780B" w14:textId="77777777" w:rsidR="00CC6F2A" w:rsidRDefault="00CC6F2A" w:rsidP="00CC6F2A">
      <w:pPr>
        <w:pStyle w:val="FootnoteText"/>
        <w:ind w:left="567" w:hanging="567"/>
      </w:pPr>
      <w:proofErr w:type="spellStart"/>
      <w:r>
        <w:t>Platzdasch</w:t>
      </w:r>
      <w:proofErr w:type="spellEnd"/>
      <w:r>
        <w:t xml:space="preserve">, Bernhard. (2009) </w:t>
      </w:r>
      <w:r w:rsidRPr="00B000E2">
        <w:rPr>
          <w:i/>
          <w:iCs/>
        </w:rPr>
        <w:t>Islamism in Indonesia: Politics in the emerging Democracy.</w:t>
      </w:r>
      <w:r>
        <w:t xml:space="preserve"> Singapore: Institute of Southeast Asian Studies.</w:t>
      </w:r>
    </w:p>
    <w:p w14:paraId="18B432D9" w14:textId="77777777" w:rsidR="00CC6F2A" w:rsidRDefault="00CC6F2A" w:rsidP="00CE046D">
      <w:pPr>
        <w:pStyle w:val="FootnoteText"/>
      </w:pPr>
    </w:p>
    <w:p w14:paraId="19810DC0" w14:textId="7C88BE44" w:rsidR="00CE046D" w:rsidRPr="006C23F6" w:rsidRDefault="002A50AE" w:rsidP="006C23F6">
      <w:pPr>
        <w:ind w:left="567" w:hanging="567"/>
        <w:rPr>
          <w:rFonts w:asciiTheme="minorHAnsi" w:hAnsiTheme="minorHAnsi" w:cstheme="minorHAnsi"/>
          <w:sz w:val="20"/>
          <w:szCs w:val="20"/>
          <w:lang w:val="en-US"/>
        </w:rPr>
      </w:pPr>
      <w:proofErr w:type="spellStart"/>
      <w:r w:rsidRPr="00F75E87">
        <w:rPr>
          <w:rFonts w:asciiTheme="minorHAnsi" w:hAnsiTheme="minorHAnsi" w:cstheme="minorHAnsi"/>
          <w:color w:val="222222"/>
          <w:sz w:val="20"/>
          <w:szCs w:val="20"/>
          <w:shd w:val="clear" w:color="auto" w:fill="FFFFFF"/>
          <w:lang w:val="id-ID"/>
        </w:rPr>
        <w:t>Undang-Undang</w:t>
      </w:r>
      <w:proofErr w:type="spellEnd"/>
      <w:r w:rsidRPr="00F75E87">
        <w:rPr>
          <w:rFonts w:asciiTheme="minorHAnsi" w:hAnsiTheme="minorHAnsi" w:cstheme="minorHAnsi"/>
          <w:color w:val="222222"/>
          <w:sz w:val="20"/>
          <w:szCs w:val="20"/>
          <w:shd w:val="clear" w:color="auto" w:fill="FFFFFF"/>
          <w:lang w:val="id-ID"/>
        </w:rPr>
        <w:t xml:space="preserve"> Dasar Negara Republik Indonesia Tahun 1945</w:t>
      </w:r>
      <w:r w:rsidRPr="00F75E87">
        <w:rPr>
          <w:rFonts w:asciiTheme="minorHAnsi" w:hAnsiTheme="minorHAnsi" w:cstheme="minorHAnsi"/>
          <w:color w:val="222222"/>
          <w:sz w:val="20"/>
          <w:szCs w:val="20"/>
          <w:shd w:val="clear" w:color="auto" w:fill="FFFFFF"/>
        </w:rPr>
        <w:t>, UUD '45</w:t>
      </w:r>
      <w:r w:rsidRPr="006C23F6">
        <w:rPr>
          <w:rFonts w:asciiTheme="minorHAnsi" w:hAnsiTheme="minorHAnsi" w:cstheme="minorHAnsi"/>
          <w:i/>
          <w:iCs/>
          <w:color w:val="222222"/>
          <w:sz w:val="20"/>
          <w:szCs w:val="20"/>
          <w:shd w:val="clear" w:color="auto" w:fill="FFFFFF"/>
        </w:rPr>
        <w:t xml:space="preserve"> </w:t>
      </w:r>
      <w:r w:rsidR="006C23F6" w:rsidRPr="006C23F6">
        <w:rPr>
          <w:rFonts w:asciiTheme="minorHAnsi" w:hAnsiTheme="minorHAnsi" w:cstheme="minorHAnsi"/>
          <w:color w:val="222222"/>
          <w:sz w:val="20"/>
          <w:szCs w:val="20"/>
          <w:shd w:val="clear" w:color="auto" w:fill="FFFFFF"/>
        </w:rPr>
        <w:t>(</w:t>
      </w:r>
      <w:r w:rsidR="00C61A0C" w:rsidRPr="006C23F6">
        <w:rPr>
          <w:rFonts w:asciiTheme="minorHAnsi" w:hAnsiTheme="minorHAnsi" w:cstheme="minorHAnsi"/>
          <w:color w:val="222222"/>
          <w:sz w:val="20"/>
          <w:szCs w:val="20"/>
          <w:shd w:val="clear" w:color="auto" w:fill="FFFFFF"/>
        </w:rPr>
        <w:t>The 1945 State Constitution of the Republic of Indonesia</w:t>
      </w:r>
      <w:r w:rsidR="006C23F6" w:rsidRPr="006C23F6">
        <w:rPr>
          <w:rFonts w:asciiTheme="minorHAnsi" w:hAnsiTheme="minorHAnsi" w:cstheme="minorHAnsi"/>
          <w:color w:val="222222"/>
          <w:sz w:val="20"/>
          <w:szCs w:val="20"/>
          <w:shd w:val="clear" w:color="auto" w:fill="FFFFFF"/>
          <w:lang w:val="en-US"/>
        </w:rPr>
        <w:t xml:space="preserve">), </w:t>
      </w:r>
      <w:r w:rsidR="00CE046D" w:rsidRPr="006C23F6">
        <w:rPr>
          <w:rFonts w:asciiTheme="minorHAnsi" w:hAnsiTheme="minorHAnsi" w:cstheme="minorHAnsi"/>
          <w:sz w:val="20"/>
          <w:szCs w:val="20"/>
        </w:rPr>
        <w:t xml:space="preserve">Article 28E, 28I </w:t>
      </w:r>
      <w:r w:rsidR="007A6626">
        <w:rPr>
          <w:rFonts w:asciiTheme="minorHAnsi" w:hAnsiTheme="minorHAnsi" w:cstheme="minorHAnsi"/>
          <w:sz w:val="20"/>
          <w:szCs w:val="20"/>
        </w:rPr>
        <w:t xml:space="preserve">, </w:t>
      </w:r>
      <w:r w:rsidR="007A6626" w:rsidRPr="006C23F6">
        <w:rPr>
          <w:rFonts w:asciiTheme="minorHAnsi" w:hAnsiTheme="minorHAnsi" w:cstheme="minorHAnsi"/>
          <w:sz w:val="20"/>
          <w:szCs w:val="20"/>
        </w:rPr>
        <w:t>28J</w:t>
      </w:r>
      <w:r w:rsidR="007A6626">
        <w:rPr>
          <w:rFonts w:asciiTheme="minorHAnsi" w:hAnsiTheme="minorHAnsi" w:cstheme="minorHAnsi"/>
          <w:sz w:val="20"/>
          <w:szCs w:val="20"/>
        </w:rPr>
        <w:t>,</w:t>
      </w:r>
      <w:r w:rsidR="007A6626" w:rsidRPr="006C23F6">
        <w:rPr>
          <w:rFonts w:asciiTheme="minorHAnsi" w:hAnsiTheme="minorHAnsi" w:cstheme="minorHAnsi"/>
          <w:sz w:val="20"/>
          <w:szCs w:val="20"/>
        </w:rPr>
        <w:t xml:space="preserve"> </w:t>
      </w:r>
      <w:r w:rsidR="00CE046D" w:rsidRPr="006C23F6">
        <w:rPr>
          <w:rFonts w:asciiTheme="minorHAnsi" w:hAnsiTheme="minorHAnsi" w:cstheme="minorHAnsi"/>
          <w:sz w:val="20"/>
          <w:szCs w:val="20"/>
        </w:rPr>
        <w:t>29</w:t>
      </w:r>
      <w:r w:rsidR="00CE046D" w:rsidRPr="006C23F6">
        <w:rPr>
          <w:rFonts w:asciiTheme="minorHAnsi" w:hAnsiTheme="minorHAnsi" w:cstheme="minorHAnsi"/>
          <w:color w:val="000000" w:themeColor="text1"/>
          <w:sz w:val="20"/>
          <w:szCs w:val="20"/>
        </w:rPr>
        <w:t>.”</w:t>
      </w:r>
    </w:p>
    <w:p w14:paraId="06F9475C" w14:textId="77777777" w:rsidR="00CE046D" w:rsidRDefault="00CE046D" w:rsidP="00CE046D">
      <w:pPr>
        <w:pStyle w:val="FootnoteText"/>
      </w:pPr>
    </w:p>
    <w:p w14:paraId="5E687394" w14:textId="77777777" w:rsidR="00CE046D" w:rsidRDefault="00CE046D" w:rsidP="00CE046D">
      <w:pPr>
        <w:pStyle w:val="FootnoteText"/>
      </w:pPr>
    </w:p>
    <w:p w14:paraId="3668E41B" w14:textId="77777777" w:rsidR="00CE046D" w:rsidRDefault="00CE046D" w:rsidP="00CE046D">
      <w:pPr>
        <w:pStyle w:val="FootnoteText"/>
      </w:pPr>
    </w:p>
    <w:p w14:paraId="37F5BB78" w14:textId="77777777" w:rsidR="00CE046D" w:rsidRPr="00EB1B97" w:rsidRDefault="00CE046D" w:rsidP="00CE046D">
      <w:pPr>
        <w:pStyle w:val="FootnoteText"/>
      </w:pPr>
    </w:p>
    <w:p w14:paraId="65A64DC2" w14:textId="77777777" w:rsidR="00CE046D" w:rsidRDefault="00CE046D" w:rsidP="00CE046D">
      <w:pPr>
        <w:pStyle w:val="FootnoteText"/>
        <w:ind w:left="567" w:hanging="567"/>
      </w:pPr>
    </w:p>
    <w:p w14:paraId="3DD24E90" w14:textId="77777777" w:rsidR="00CE046D" w:rsidRDefault="00CE046D" w:rsidP="00CE046D">
      <w:pPr>
        <w:pStyle w:val="FootnoteText"/>
      </w:pPr>
    </w:p>
    <w:p w14:paraId="0F620317" w14:textId="77777777" w:rsidR="00CE046D" w:rsidRDefault="00CE046D" w:rsidP="00CE046D">
      <w:pPr>
        <w:pStyle w:val="FootnoteText"/>
        <w:ind w:left="567" w:hanging="567"/>
      </w:pPr>
    </w:p>
    <w:p w14:paraId="02464DF8" w14:textId="77777777" w:rsidR="00CE046D" w:rsidRDefault="00CE046D" w:rsidP="00CE046D">
      <w:pPr>
        <w:pStyle w:val="FootnoteText"/>
        <w:ind w:left="567" w:hanging="567"/>
      </w:pPr>
    </w:p>
    <w:p w14:paraId="0680EC10" w14:textId="77777777" w:rsidR="00CE046D" w:rsidRDefault="00CE046D" w:rsidP="00CE046D">
      <w:pPr>
        <w:pStyle w:val="FootnoteText"/>
        <w:ind w:left="567" w:hanging="567"/>
      </w:pPr>
    </w:p>
    <w:p w14:paraId="09243C0D" w14:textId="77777777" w:rsidR="00CE046D" w:rsidRDefault="00CE046D" w:rsidP="00CE046D">
      <w:pPr>
        <w:pStyle w:val="FootnoteText"/>
        <w:ind w:left="567" w:hanging="567"/>
      </w:pPr>
    </w:p>
    <w:p w14:paraId="4FCC690D" w14:textId="77777777" w:rsidR="00CE046D" w:rsidRPr="007401D5" w:rsidRDefault="00CE046D" w:rsidP="00CE046D">
      <w:pPr>
        <w:pStyle w:val="FootnoteText"/>
        <w:ind w:left="567" w:hanging="567"/>
      </w:pPr>
    </w:p>
    <w:p w14:paraId="086C62E5" w14:textId="77777777" w:rsidR="00CE046D" w:rsidRDefault="00CE046D" w:rsidP="00CE046D">
      <w:pPr>
        <w:pStyle w:val="FootnoteText"/>
        <w:ind w:left="567" w:hanging="567"/>
      </w:pPr>
    </w:p>
    <w:p w14:paraId="3670CA58" w14:textId="77777777" w:rsidR="00CE046D" w:rsidRDefault="00CE046D" w:rsidP="00CE046D">
      <w:pPr>
        <w:pStyle w:val="FootnoteText"/>
        <w:ind w:left="567" w:hanging="567"/>
      </w:pPr>
    </w:p>
    <w:p w14:paraId="09998208" w14:textId="77777777" w:rsidR="00CE046D" w:rsidRDefault="00CE046D" w:rsidP="00CE046D">
      <w:pPr>
        <w:pStyle w:val="FootnoteText"/>
        <w:ind w:left="567" w:hanging="567"/>
      </w:pPr>
    </w:p>
    <w:p w14:paraId="611E23AD" w14:textId="77777777" w:rsidR="00CE046D" w:rsidRDefault="00CE046D" w:rsidP="00CE046D">
      <w:pPr>
        <w:pStyle w:val="FootnoteText"/>
        <w:ind w:left="567" w:hanging="567"/>
      </w:pPr>
    </w:p>
    <w:p w14:paraId="5C4B9B95" w14:textId="77777777" w:rsidR="00CE046D" w:rsidRDefault="00CE046D" w:rsidP="00CE046D"/>
    <w:p w14:paraId="5B9C8702" w14:textId="77777777" w:rsidR="00CE046D" w:rsidRDefault="00CE046D" w:rsidP="00CE046D"/>
    <w:p w14:paraId="03361361" w14:textId="77777777" w:rsidR="00572758" w:rsidRDefault="00E4110E"/>
    <w:sectPr w:rsidR="00572758" w:rsidSect="005C71E2">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F6F92F" w14:textId="77777777" w:rsidR="00715F13" w:rsidRDefault="00715F13" w:rsidP="00CE046D">
      <w:r>
        <w:separator/>
      </w:r>
    </w:p>
  </w:endnote>
  <w:endnote w:type="continuationSeparator" w:id="0">
    <w:p w14:paraId="082338A9" w14:textId="77777777" w:rsidR="00715F13" w:rsidRDefault="00715F13" w:rsidP="00CE04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57691599"/>
      <w:docPartObj>
        <w:docPartGallery w:val="Page Numbers (Bottom of Page)"/>
        <w:docPartUnique/>
      </w:docPartObj>
    </w:sdtPr>
    <w:sdtEndPr>
      <w:rPr>
        <w:rStyle w:val="PageNumber"/>
      </w:rPr>
    </w:sdtEndPr>
    <w:sdtContent>
      <w:p w14:paraId="1E70EF0B" w14:textId="77777777" w:rsidR="00DF6751" w:rsidRDefault="009A4B68" w:rsidP="00DF675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8F2F8B" w14:textId="77777777" w:rsidR="00DF6751" w:rsidRDefault="00E4110E" w:rsidP="00DF675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58772540"/>
      <w:docPartObj>
        <w:docPartGallery w:val="Page Numbers (Bottom of Page)"/>
        <w:docPartUnique/>
      </w:docPartObj>
    </w:sdtPr>
    <w:sdtEndPr>
      <w:rPr>
        <w:rStyle w:val="PageNumber"/>
      </w:rPr>
    </w:sdtEndPr>
    <w:sdtContent>
      <w:p w14:paraId="43A1C278" w14:textId="77777777" w:rsidR="00DF6751" w:rsidRDefault="009A4B68" w:rsidP="00DF675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AE5A26" w14:textId="77777777" w:rsidR="00DF6751" w:rsidRDefault="00E4110E" w:rsidP="00DF675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7648C0" w14:textId="77777777" w:rsidR="00715F13" w:rsidRDefault="00715F13" w:rsidP="00CE046D">
      <w:r>
        <w:separator/>
      </w:r>
    </w:p>
  </w:footnote>
  <w:footnote w:type="continuationSeparator" w:id="0">
    <w:p w14:paraId="7516D237" w14:textId="77777777" w:rsidR="00715F13" w:rsidRDefault="00715F13" w:rsidP="00CE046D">
      <w:r>
        <w:continuationSeparator/>
      </w:r>
    </w:p>
  </w:footnote>
  <w:footnote w:id="1">
    <w:p w14:paraId="1D92EEE8" w14:textId="762FC5DC" w:rsidR="008B48C7" w:rsidRDefault="008B48C7">
      <w:pPr>
        <w:pStyle w:val="FootnoteText"/>
      </w:pPr>
      <w:r>
        <w:rPr>
          <w:rStyle w:val="FootnoteReference"/>
        </w:rPr>
        <w:footnoteRef/>
      </w:r>
      <w:r>
        <w:t xml:space="preserve"> </w:t>
      </w:r>
      <w:proofErr w:type="spellStart"/>
      <w:r>
        <w:t>Y</w:t>
      </w:r>
      <w:r>
        <w:rPr>
          <w:rFonts w:ascii="Calibri" w:hAnsi="Calibri" w:cs="Calibri"/>
        </w:rPr>
        <w:t>ü</w:t>
      </w:r>
      <w:r>
        <w:t>ksel</w:t>
      </w:r>
      <w:proofErr w:type="spellEnd"/>
      <w:r>
        <w:t xml:space="preserve"> </w:t>
      </w:r>
      <w:proofErr w:type="spellStart"/>
      <w:r>
        <w:t>Sezgin</w:t>
      </w:r>
      <w:proofErr w:type="spellEnd"/>
      <w:r>
        <w:t xml:space="preserve"> and </w:t>
      </w:r>
      <w:proofErr w:type="spellStart"/>
      <w:r>
        <w:t>Mirjam</w:t>
      </w:r>
      <w:proofErr w:type="spellEnd"/>
      <w:r>
        <w:t xml:space="preserve"> </w:t>
      </w:r>
      <w:proofErr w:type="spellStart"/>
      <w:r>
        <w:t>K</w:t>
      </w:r>
      <w:r>
        <w:rPr>
          <w:rFonts w:ascii="Calibri" w:hAnsi="Calibri" w:cs="Calibri"/>
        </w:rPr>
        <w:t>ü</w:t>
      </w:r>
      <w:r>
        <w:t>nkler</w:t>
      </w:r>
      <w:proofErr w:type="spellEnd"/>
      <w:r>
        <w:t xml:space="preserve">, “Regulation of Religion and the “Religious”: The Politics of Judicialization and Bureaucratization in India and Indonesia”, </w:t>
      </w:r>
      <w:r w:rsidRPr="00CE16BB">
        <w:rPr>
          <w:i/>
          <w:iCs/>
        </w:rPr>
        <w:t>Comparative Studies in Society and History</w:t>
      </w:r>
      <w:r>
        <w:t>, 56(2), (2014), 448-478 (p. 451).</w:t>
      </w:r>
    </w:p>
  </w:footnote>
  <w:footnote w:id="2">
    <w:p w14:paraId="19D930F2" w14:textId="77777777" w:rsidR="00CE046D" w:rsidRDefault="00CE046D" w:rsidP="00CE046D">
      <w:pPr>
        <w:pStyle w:val="FootnoteText"/>
      </w:pPr>
      <w:r>
        <w:rPr>
          <w:rStyle w:val="FootnoteReference"/>
        </w:rPr>
        <w:footnoteRef/>
      </w:r>
      <w:r>
        <w:t xml:space="preserve"> Sita </w:t>
      </w:r>
      <w:proofErr w:type="spellStart"/>
      <w:r>
        <w:t>Hidayah</w:t>
      </w:r>
      <w:proofErr w:type="spellEnd"/>
      <w:r>
        <w:t xml:space="preserve">, “The Politics of Religion: The Invention of Agama in Indonesia”, </w:t>
      </w:r>
      <w:proofErr w:type="spellStart"/>
      <w:r w:rsidRPr="00EE5A46">
        <w:rPr>
          <w:i/>
          <w:iCs/>
        </w:rPr>
        <w:t>Kwisatara</w:t>
      </w:r>
      <w:proofErr w:type="spellEnd"/>
      <w:r>
        <w:t xml:space="preserve"> 2 (2), (2012), 105-224 (p.126).</w:t>
      </w:r>
    </w:p>
    <w:p w14:paraId="3C37679D" w14:textId="77777777" w:rsidR="00CE046D" w:rsidRDefault="00CE046D" w:rsidP="00CE046D">
      <w:pPr>
        <w:pStyle w:val="FootnoteText"/>
      </w:pPr>
      <w:proofErr w:type="spellStart"/>
      <w:r>
        <w:t>Y</w:t>
      </w:r>
      <w:r>
        <w:rPr>
          <w:rFonts w:ascii="Calibri" w:hAnsi="Calibri" w:cs="Calibri"/>
        </w:rPr>
        <w:t>ü</w:t>
      </w:r>
      <w:r>
        <w:t>ksel</w:t>
      </w:r>
      <w:proofErr w:type="spellEnd"/>
      <w:r>
        <w:t xml:space="preserve"> </w:t>
      </w:r>
      <w:proofErr w:type="spellStart"/>
      <w:r>
        <w:t>Sezgin</w:t>
      </w:r>
      <w:proofErr w:type="spellEnd"/>
      <w:r>
        <w:t xml:space="preserve"> and </w:t>
      </w:r>
      <w:proofErr w:type="spellStart"/>
      <w:r>
        <w:t>Mirjam</w:t>
      </w:r>
      <w:proofErr w:type="spellEnd"/>
      <w:r>
        <w:t xml:space="preserve"> </w:t>
      </w:r>
      <w:proofErr w:type="spellStart"/>
      <w:r>
        <w:t>K</w:t>
      </w:r>
      <w:r>
        <w:rPr>
          <w:rFonts w:ascii="Calibri" w:hAnsi="Calibri" w:cs="Calibri"/>
        </w:rPr>
        <w:t>ü</w:t>
      </w:r>
      <w:r>
        <w:t>nkler</w:t>
      </w:r>
      <w:proofErr w:type="spellEnd"/>
      <w:r>
        <w:t>, “Regulation of Religion and the “Religious, (p. 464).</w:t>
      </w:r>
    </w:p>
    <w:p w14:paraId="348ED89D" w14:textId="77777777" w:rsidR="00CE046D" w:rsidRPr="00EE5A46" w:rsidRDefault="00CE046D" w:rsidP="00CE046D">
      <w:pPr>
        <w:pStyle w:val="FootnoteText"/>
      </w:pPr>
      <w:r>
        <w:t xml:space="preserve">Sita </w:t>
      </w:r>
      <w:proofErr w:type="spellStart"/>
      <w:r>
        <w:t>Hidayah</w:t>
      </w:r>
      <w:proofErr w:type="spellEnd"/>
      <w:r>
        <w:t>, “The Politics of Religion: The Invention of “Agama” in Indonesia”,</w:t>
      </w:r>
      <w:r w:rsidRPr="00C50C3D">
        <w:t xml:space="preserve"> </w:t>
      </w:r>
      <w:r>
        <w:t>(p.126).</w:t>
      </w:r>
    </w:p>
  </w:footnote>
  <w:footnote w:id="3">
    <w:p w14:paraId="6718CC0F" w14:textId="77777777" w:rsidR="00CE046D" w:rsidRDefault="00CE046D" w:rsidP="00CE046D">
      <w:pPr>
        <w:pStyle w:val="FootnoteText"/>
      </w:pPr>
      <w:r>
        <w:rPr>
          <w:rStyle w:val="FootnoteReference"/>
        </w:rPr>
        <w:footnoteRef/>
      </w:r>
      <w:r>
        <w:t xml:space="preserve"> MORA and PAKEM.</w:t>
      </w:r>
    </w:p>
  </w:footnote>
  <w:footnote w:id="4">
    <w:p w14:paraId="3D595129" w14:textId="77777777" w:rsidR="00CE046D" w:rsidRPr="00511F01" w:rsidRDefault="00CE046D" w:rsidP="00CE046D">
      <w:pPr>
        <w:pStyle w:val="FootnoteText"/>
      </w:pPr>
      <w:r>
        <w:rPr>
          <w:rStyle w:val="FootnoteReference"/>
        </w:rPr>
        <w:footnoteRef/>
      </w:r>
      <w:r>
        <w:t xml:space="preserve"> </w:t>
      </w:r>
      <w:proofErr w:type="spellStart"/>
      <w:r>
        <w:t>Ismatu</w:t>
      </w:r>
      <w:proofErr w:type="spellEnd"/>
      <w:r>
        <w:t xml:space="preserve"> </w:t>
      </w:r>
      <w:proofErr w:type="spellStart"/>
      <w:r>
        <w:t>Ropi</w:t>
      </w:r>
      <w:proofErr w:type="spellEnd"/>
      <w:r>
        <w:t xml:space="preserve">, </w:t>
      </w:r>
      <w:r w:rsidRPr="007E4FC4">
        <w:rPr>
          <w:i/>
          <w:iCs/>
        </w:rPr>
        <w:t>Religion and Regulation in Indonesia</w:t>
      </w:r>
      <w:r>
        <w:rPr>
          <w:i/>
          <w:iCs/>
        </w:rPr>
        <w:t xml:space="preserve"> (</w:t>
      </w:r>
      <w:r>
        <w:t xml:space="preserve">Singapore: Springer Nature, </w:t>
      </w:r>
      <w:r w:rsidRPr="004D3A22">
        <w:t>Palgrave Macmillan</w:t>
      </w:r>
      <w:r>
        <w:rPr>
          <w:i/>
          <w:iCs/>
        </w:rPr>
        <w:t xml:space="preserve">, </w:t>
      </w:r>
      <w:r w:rsidRPr="004D3A22">
        <w:t>2017</w:t>
      </w:r>
      <w:r>
        <w:rPr>
          <w:i/>
          <w:iCs/>
        </w:rPr>
        <w:t>)</w:t>
      </w:r>
      <w:r>
        <w:t xml:space="preserve"> p.103.</w:t>
      </w:r>
    </w:p>
  </w:footnote>
  <w:footnote w:id="5">
    <w:p w14:paraId="4FBEE54D" w14:textId="77777777" w:rsidR="00CE046D" w:rsidRPr="00C77EF6" w:rsidRDefault="00CE046D" w:rsidP="00CE046D">
      <w:pPr>
        <w:pStyle w:val="FootnoteText"/>
      </w:pPr>
      <w:r>
        <w:rPr>
          <w:rStyle w:val="FootnoteReference"/>
        </w:rPr>
        <w:footnoteRef/>
      </w:r>
      <w:r>
        <w:t xml:space="preserve"> </w:t>
      </w:r>
      <w:proofErr w:type="spellStart"/>
      <w:r>
        <w:t>Ratno</w:t>
      </w:r>
      <w:proofErr w:type="spellEnd"/>
      <w:r>
        <w:t xml:space="preserve"> </w:t>
      </w:r>
      <w:proofErr w:type="spellStart"/>
      <w:r>
        <w:t>Lukito</w:t>
      </w:r>
      <w:proofErr w:type="spellEnd"/>
      <w:r>
        <w:t xml:space="preserve">, “Trapped between Legal Unification and Pluralism: The Indonesian Supreme Court’s Decision on Interfaith Marriage”, in </w:t>
      </w:r>
      <w:r w:rsidRPr="00C77EF6">
        <w:rPr>
          <w:i/>
          <w:iCs/>
        </w:rPr>
        <w:t>Muslim-Non-Muslim Marriage: Political and Cultural Contestations in Southeast Asia</w:t>
      </w:r>
      <w:r>
        <w:t xml:space="preserve">, ed. By Gavin W. Jones, Chee Hang Lang and </w:t>
      </w:r>
      <w:proofErr w:type="spellStart"/>
      <w:r>
        <w:t>Maznah</w:t>
      </w:r>
      <w:proofErr w:type="spellEnd"/>
      <w:r>
        <w:t xml:space="preserve"> Mohamad (Singapore: ISEAS publishing, 2009) pp 33-58, p. 41.</w:t>
      </w:r>
    </w:p>
  </w:footnote>
  <w:footnote w:id="6">
    <w:p w14:paraId="696FA179" w14:textId="77777777" w:rsidR="00CE046D" w:rsidRDefault="00CE046D" w:rsidP="00CE046D">
      <w:pPr>
        <w:pStyle w:val="FootnoteText"/>
      </w:pPr>
      <w:r>
        <w:rPr>
          <w:rStyle w:val="FootnoteReference"/>
        </w:rPr>
        <w:footnoteRef/>
      </w:r>
      <w:r>
        <w:t xml:space="preserve"> Eva F. </w:t>
      </w:r>
      <w:proofErr w:type="spellStart"/>
      <w:r>
        <w:t>Nisa</w:t>
      </w:r>
      <w:proofErr w:type="spellEnd"/>
      <w:r>
        <w:t xml:space="preserve"> “The Bureaucratization of Muslim Marriage in Indonesia”, Journal of Law and Religion, 33(2) (2018), 291-309 (p. 292).</w:t>
      </w:r>
    </w:p>
  </w:footnote>
  <w:footnote w:id="7">
    <w:p w14:paraId="7A928B60" w14:textId="77777777" w:rsidR="00CE046D" w:rsidRDefault="00CE046D" w:rsidP="00CE046D">
      <w:pPr>
        <w:pStyle w:val="FootnoteText"/>
      </w:pPr>
      <w:r>
        <w:rPr>
          <w:rStyle w:val="FootnoteReference"/>
        </w:rPr>
        <w:footnoteRef/>
      </w:r>
      <w:r>
        <w:t xml:space="preserve"> Eva F. </w:t>
      </w:r>
      <w:proofErr w:type="spellStart"/>
      <w:r>
        <w:t>Nisa</w:t>
      </w:r>
      <w:proofErr w:type="spellEnd"/>
      <w:r>
        <w:t xml:space="preserve"> “The Bureaucratization of Muslim Marriage in Indonesia”, p. 309.</w:t>
      </w:r>
    </w:p>
  </w:footnote>
  <w:footnote w:id="8">
    <w:p w14:paraId="655446D7" w14:textId="77777777" w:rsidR="00EC686A" w:rsidRDefault="00EC686A" w:rsidP="00EC686A">
      <w:pPr>
        <w:pStyle w:val="FootnoteText"/>
      </w:pPr>
      <w:r>
        <w:rPr>
          <w:rStyle w:val="FootnoteReference"/>
        </w:rPr>
        <w:footnoteRef/>
      </w:r>
      <w:r>
        <w:t xml:space="preserve"> Joint decree I/1969 of the Ministers of Religious and Internal Affairs on the implementation of Government Mandates for Ensuring Law and Order and the Effective Administration of Religious Development and Worship by Religious Followers.</w:t>
      </w:r>
    </w:p>
  </w:footnote>
  <w:footnote w:id="9">
    <w:p w14:paraId="266E9615" w14:textId="77777777" w:rsidR="00CE046D" w:rsidRPr="002A5EFF" w:rsidRDefault="00CE046D" w:rsidP="00CE046D">
      <w:pPr>
        <w:pStyle w:val="FootnoteText"/>
      </w:pPr>
      <w:r>
        <w:rPr>
          <w:rStyle w:val="FootnoteReference"/>
        </w:rPr>
        <w:footnoteRef/>
      </w:r>
      <w:r>
        <w:t xml:space="preserve"> Melissa Crouch, “Implementing the Regulation on Places of Worship in Indonesia: New Problems, Local Politics and Court Action” in </w:t>
      </w:r>
      <w:r w:rsidRPr="002A5EFF">
        <w:rPr>
          <w:i/>
          <w:iCs/>
        </w:rPr>
        <w:t>Asian Studies Review</w:t>
      </w:r>
      <w:r>
        <w:t>, 34 (2010), 403-419 (p. 405).</w:t>
      </w:r>
    </w:p>
  </w:footnote>
  <w:footnote w:id="10">
    <w:p w14:paraId="0860788A" w14:textId="77777777" w:rsidR="00CE046D" w:rsidRDefault="00CE046D" w:rsidP="00CE046D">
      <w:pPr>
        <w:pStyle w:val="FootnoteText"/>
      </w:pPr>
      <w:r>
        <w:rPr>
          <w:rStyle w:val="FootnoteReference"/>
        </w:rPr>
        <w:footnoteRef/>
      </w:r>
      <w:r>
        <w:t xml:space="preserve"> Provincial or regional regulations or “</w:t>
      </w:r>
      <w:proofErr w:type="spellStart"/>
      <w:r>
        <w:t>Peraturan</w:t>
      </w:r>
      <w:proofErr w:type="spellEnd"/>
      <w:r>
        <w:t xml:space="preserve"> Daerah” (</w:t>
      </w:r>
      <w:proofErr w:type="spellStart"/>
      <w:r>
        <w:t>Perda</w:t>
      </w:r>
      <w:proofErr w:type="spellEnd"/>
      <w:r>
        <w:t xml:space="preserve">), also called the </w:t>
      </w:r>
      <w:proofErr w:type="spellStart"/>
      <w:r>
        <w:t>Peraturan</w:t>
      </w:r>
      <w:proofErr w:type="spellEnd"/>
      <w:r>
        <w:t xml:space="preserve"> </w:t>
      </w:r>
      <w:proofErr w:type="spellStart"/>
      <w:r>
        <w:t>Otonomi</w:t>
      </w:r>
      <w:proofErr w:type="spellEnd"/>
      <w:r>
        <w:t xml:space="preserve"> Daerah (Laws on regional autonomy). Although the </w:t>
      </w:r>
      <w:r w:rsidRPr="00051206">
        <w:rPr>
          <w:color w:val="000000" w:themeColor="text1"/>
        </w:rPr>
        <w:t>authority to regulate religion was the central government</w:t>
      </w:r>
      <w:r>
        <w:rPr>
          <w:color w:val="000000" w:themeColor="text1"/>
        </w:rPr>
        <w:t xml:space="preserve"> prerogative</w:t>
      </w:r>
      <w:r w:rsidRPr="00051206">
        <w:rPr>
          <w:color w:val="000000" w:themeColor="text1"/>
        </w:rPr>
        <w:t xml:space="preserve">, regularly </w:t>
      </w:r>
      <w:r>
        <w:rPr>
          <w:color w:val="000000" w:themeColor="text1"/>
        </w:rPr>
        <w:t xml:space="preserve">this </w:t>
      </w:r>
      <w:r w:rsidRPr="00051206">
        <w:rPr>
          <w:color w:val="000000" w:themeColor="text1"/>
        </w:rPr>
        <w:t>was ignored by the local governments to accommodate the rise of religiosity in the country.</w:t>
      </w:r>
    </w:p>
  </w:footnote>
  <w:footnote w:id="11">
    <w:p w14:paraId="77FD0B24" w14:textId="77777777" w:rsidR="00CE046D" w:rsidRDefault="00CE046D" w:rsidP="00CE046D">
      <w:pPr>
        <w:pStyle w:val="FootnoteText"/>
      </w:pPr>
      <w:r>
        <w:rPr>
          <w:rStyle w:val="FootnoteReference"/>
        </w:rPr>
        <w:footnoteRef/>
      </w:r>
      <w:r>
        <w:t xml:space="preserve"> Law No. 1 of 1965 on the prevention of the abuse or insulting of a religion, known as the Blasphemy Law</w:t>
      </w:r>
    </w:p>
  </w:footnote>
  <w:footnote w:id="12">
    <w:p w14:paraId="41A14915" w14:textId="77777777" w:rsidR="00CE046D" w:rsidRDefault="00CE046D" w:rsidP="00CE046D">
      <w:pPr>
        <w:pStyle w:val="FootnoteText"/>
      </w:pPr>
      <w:r>
        <w:rPr>
          <w:rStyle w:val="FootnoteReference"/>
        </w:rPr>
        <w:footnoteRef/>
      </w:r>
      <w:r>
        <w:t xml:space="preserve"> </w:t>
      </w:r>
      <w:proofErr w:type="spellStart"/>
      <w:r>
        <w:t>Noorhaidi</w:t>
      </w:r>
      <w:proofErr w:type="spellEnd"/>
      <w:r>
        <w:t xml:space="preserve"> Hasan, “Religious Diversity and Blasphemy Law: Understanding Growing Religious Conflict and Intolerance in Post-Suharto Indonesia”, (presented at the international Workshop on the religious intolerance in Indonesia, organized jointly by Rajaratnam School of International Studies (RSIS), Singapore and </w:t>
      </w:r>
      <w:proofErr w:type="spellStart"/>
      <w:r>
        <w:t>Pascasarjana</w:t>
      </w:r>
      <w:proofErr w:type="spellEnd"/>
      <w:r>
        <w:t xml:space="preserve"> UIN </w:t>
      </w:r>
      <w:proofErr w:type="spellStart"/>
      <w:r>
        <w:t>Sunan</w:t>
      </w:r>
      <w:proofErr w:type="spellEnd"/>
      <w:r>
        <w:t xml:space="preserve"> </w:t>
      </w:r>
      <w:proofErr w:type="spellStart"/>
      <w:r>
        <w:t>Kalijaga</w:t>
      </w:r>
      <w:proofErr w:type="spellEnd"/>
      <w:r>
        <w:t xml:space="preserve">, Yogyakarta on 24-25 September 2015), Al- </w:t>
      </w:r>
      <w:proofErr w:type="spellStart"/>
      <w:r>
        <w:t>Jami’ah</w:t>
      </w:r>
      <w:proofErr w:type="spellEnd"/>
      <w:r>
        <w:t>: Journal of Islamic Studies,  55(1), (2017), pp. 105-126 (p.108).</w:t>
      </w:r>
    </w:p>
  </w:footnote>
  <w:footnote w:id="13">
    <w:p w14:paraId="637D7EC6" w14:textId="77777777" w:rsidR="00CE046D" w:rsidRDefault="00CE046D" w:rsidP="00CE046D">
      <w:pPr>
        <w:pStyle w:val="FootnoteText"/>
      </w:pPr>
      <w:r>
        <w:rPr>
          <w:rStyle w:val="FootnoteReference"/>
        </w:rPr>
        <w:footnoteRef/>
      </w:r>
      <w:r>
        <w:t xml:space="preserve"> Adam J. Fenton, “Faith Tolerance Violence and Bigotry: Legal and Constitutional Issues of Freedom of Religion in Indonesia”, Based on a paper presented at the International Indonesia forum IX, 23-24 August 2016, </w:t>
      </w:r>
      <w:proofErr w:type="spellStart"/>
      <w:r>
        <w:t>Atma</w:t>
      </w:r>
      <w:proofErr w:type="spellEnd"/>
      <w:r>
        <w:t xml:space="preserve"> Jaya Catholic University, Jakarta), Journal of Indonesian Islam, 10(02), (2016), pp 181-211 (p. 196).</w:t>
      </w:r>
    </w:p>
  </w:footnote>
  <w:footnote w:id="14">
    <w:p w14:paraId="60754B18" w14:textId="77777777" w:rsidR="00CE046D" w:rsidRDefault="00CE046D" w:rsidP="00CE046D">
      <w:pPr>
        <w:pStyle w:val="FootnoteText"/>
      </w:pPr>
      <w:r>
        <w:rPr>
          <w:rStyle w:val="FootnoteReference"/>
        </w:rPr>
        <w:footnoteRef/>
      </w:r>
      <w:r>
        <w:t xml:space="preserve"> Article 28E, 28I and 29 contain no less than four separate guarantees of freedom of religion, faith or belief, as well as protections from any kind of discriminative treatment, and to express opinions and beliefs.</w:t>
      </w:r>
      <w:r w:rsidRPr="005F64A4">
        <w:t xml:space="preserve"> </w:t>
      </w:r>
      <w:r>
        <w:t xml:space="preserve">Article 28J states: </w:t>
      </w:r>
      <w:r w:rsidRPr="00990AFE">
        <w:rPr>
          <w:color w:val="000000" w:themeColor="text1"/>
        </w:rPr>
        <w:t>“the rights and freedoms are subject to the restrictions established by law for the sole purposes of guaranteeing the recognition and respect of the rights and freedoms of others and to satisfying just demands based upon considerations of morality, religious values, security and public order in a democratic society”</w:t>
      </w:r>
    </w:p>
  </w:footnote>
  <w:footnote w:id="15">
    <w:p w14:paraId="0ECEB768" w14:textId="77777777" w:rsidR="00CE046D" w:rsidRDefault="00CE046D" w:rsidP="00CE046D">
      <w:pPr>
        <w:pStyle w:val="FootnoteText"/>
      </w:pPr>
      <w:r>
        <w:rPr>
          <w:rStyle w:val="FootnoteReference"/>
        </w:rPr>
        <w:footnoteRef/>
      </w:r>
      <w:r>
        <w:t xml:space="preserve"> Martin van </w:t>
      </w:r>
      <w:proofErr w:type="spellStart"/>
      <w:r>
        <w:t>Bruinessen</w:t>
      </w:r>
      <w:proofErr w:type="spellEnd"/>
      <w:r>
        <w:t xml:space="preserve">, “The Governance of Islam in Two Secular Polities: Turkey’s </w:t>
      </w:r>
      <w:proofErr w:type="spellStart"/>
      <w:r>
        <w:t>Diyanet</w:t>
      </w:r>
      <w:proofErr w:type="spellEnd"/>
      <w:r>
        <w:t xml:space="preserve"> and Indonesia’s Ministry of Religious Affairs”, </w:t>
      </w:r>
      <w:r w:rsidRPr="00035D1A">
        <w:rPr>
          <w:i/>
          <w:iCs/>
        </w:rPr>
        <w:t>European Journal of Turkish Studies</w:t>
      </w:r>
      <w:r>
        <w:t>, 27 (2018), 1-26 (p.7).</w:t>
      </w:r>
    </w:p>
  </w:footnote>
  <w:footnote w:id="16">
    <w:p w14:paraId="6D59CC9F" w14:textId="77777777" w:rsidR="00CE046D" w:rsidRPr="00EB1B97" w:rsidRDefault="00CE046D" w:rsidP="00CE046D">
      <w:pPr>
        <w:pStyle w:val="FootnoteText"/>
      </w:pPr>
      <w:r>
        <w:rPr>
          <w:rStyle w:val="FootnoteReference"/>
        </w:rPr>
        <w:footnoteRef/>
      </w:r>
      <w:r>
        <w:t xml:space="preserve"> </w:t>
      </w:r>
      <w:proofErr w:type="spellStart"/>
      <w:r>
        <w:t>Norshahril</w:t>
      </w:r>
      <w:proofErr w:type="spellEnd"/>
      <w:r>
        <w:t xml:space="preserve"> </w:t>
      </w:r>
      <w:proofErr w:type="spellStart"/>
      <w:r>
        <w:t>Saat</w:t>
      </w:r>
      <w:proofErr w:type="spellEnd"/>
      <w:r>
        <w:t xml:space="preserve">, </w:t>
      </w:r>
      <w:r w:rsidRPr="00BC7E1F">
        <w:rPr>
          <w:i/>
          <w:iCs/>
        </w:rPr>
        <w:t xml:space="preserve">The State Ulama and Islam in Malaysia and Indonesia </w:t>
      </w:r>
      <w:r>
        <w:t>(Amsterdam: Amsterdam University Press B.V. 2018) p.70-72.</w:t>
      </w:r>
    </w:p>
  </w:footnote>
  <w:footnote w:id="17">
    <w:p w14:paraId="556E1599" w14:textId="433F5980" w:rsidR="007436F3" w:rsidRDefault="007436F3">
      <w:pPr>
        <w:pStyle w:val="FootnoteText"/>
      </w:pPr>
      <w:r>
        <w:rPr>
          <w:rStyle w:val="FootnoteReference"/>
        </w:rPr>
        <w:footnoteRef/>
      </w:r>
      <w:r>
        <w:t xml:space="preserve"> </w:t>
      </w:r>
      <w:proofErr w:type="spellStart"/>
      <w:r w:rsidR="00E44224" w:rsidRPr="00F42B00">
        <w:t>Mirjam</w:t>
      </w:r>
      <w:proofErr w:type="spellEnd"/>
      <w:r w:rsidR="00E44224" w:rsidRPr="00F42B00">
        <w:t xml:space="preserve"> </w:t>
      </w:r>
      <w:proofErr w:type="spellStart"/>
      <w:r w:rsidR="00E44224" w:rsidRPr="0096317C">
        <w:t>K</w:t>
      </w:r>
      <w:r w:rsidR="00E44224" w:rsidRPr="0096317C">
        <w:rPr>
          <w:rFonts w:ascii="Calibri" w:hAnsi="Calibri" w:cs="Calibri"/>
        </w:rPr>
        <w:t>ü</w:t>
      </w:r>
      <w:r w:rsidR="00E44224" w:rsidRPr="0096317C">
        <w:t>nkler</w:t>
      </w:r>
      <w:proofErr w:type="spellEnd"/>
      <w:r w:rsidR="00E44224" w:rsidRPr="0096317C">
        <w:t>, “The</w:t>
      </w:r>
      <w:r w:rsidR="00E44224">
        <w:t xml:space="preserve"> bureaucratization of Religion in South East Asia: Expanding or Restriction Religious Freedom” </w:t>
      </w:r>
      <w:r w:rsidR="00E44224" w:rsidRPr="006868A0">
        <w:rPr>
          <w:i/>
          <w:iCs/>
        </w:rPr>
        <w:t>Journal of Law and Religion</w:t>
      </w:r>
      <w:r w:rsidR="00E44224" w:rsidRPr="00741E09">
        <w:t xml:space="preserve"> 33</w:t>
      </w:r>
      <w:r w:rsidR="00E44224">
        <w:t>(2), (2018), 192-196 (p.19</w:t>
      </w:r>
      <w:r w:rsidR="001C74D0">
        <w:t>6</w:t>
      </w:r>
      <w:r w:rsidR="00E44224">
        <w:t>)</w:t>
      </w:r>
    </w:p>
  </w:footnote>
  <w:footnote w:id="18">
    <w:p w14:paraId="290BDB36" w14:textId="77777777" w:rsidR="00CE046D" w:rsidRDefault="00CE046D" w:rsidP="00CE046D">
      <w:pPr>
        <w:pStyle w:val="FootnoteText"/>
      </w:pPr>
      <w:r>
        <w:rPr>
          <w:rStyle w:val="FootnoteReference"/>
        </w:rPr>
        <w:footnoteRef/>
      </w:r>
      <w:r>
        <w:t xml:space="preserve"> </w:t>
      </w:r>
      <w:r w:rsidRPr="00AC64D2">
        <w:t xml:space="preserve">Eva F. </w:t>
      </w:r>
      <w:proofErr w:type="spellStart"/>
      <w:r w:rsidRPr="00AC64D2">
        <w:t>Nisa</w:t>
      </w:r>
      <w:proofErr w:type="spellEnd"/>
      <w:r w:rsidRPr="00AC64D2">
        <w:t xml:space="preserve"> “The Bureaucratization of Muslim Marriage in Indonesia”, p. 309.</w:t>
      </w:r>
    </w:p>
    <w:p w14:paraId="46E56C60" w14:textId="77777777" w:rsidR="00CE046D" w:rsidRDefault="00CE046D" w:rsidP="00CE046D">
      <w:pPr>
        <w:pStyle w:val="FootnoteText"/>
      </w:pPr>
    </w:p>
    <w:p w14:paraId="6A7B7CD5" w14:textId="77777777" w:rsidR="00CE046D" w:rsidRDefault="00CE046D" w:rsidP="00CE046D">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46D"/>
    <w:rsid w:val="000140BD"/>
    <w:rsid w:val="00014E0A"/>
    <w:rsid w:val="00030E2C"/>
    <w:rsid w:val="00050234"/>
    <w:rsid w:val="00064B48"/>
    <w:rsid w:val="000816AE"/>
    <w:rsid w:val="000A154E"/>
    <w:rsid w:val="000E6707"/>
    <w:rsid w:val="00101B74"/>
    <w:rsid w:val="00131714"/>
    <w:rsid w:val="001B2983"/>
    <w:rsid w:val="001C0C91"/>
    <w:rsid w:val="001C74D0"/>
    <w:rsid w:val="001F512A"/>
    <w:rsid w:val="00276BBC"/>
    <w:rsid w:val="002A50AE"/>
    <w:rsid w:val="002B2F99"/>
    <w:rsid w:val="00372C8B"/>
    <w:rsid w:val="003A4E9B"/>
    <w:rsid w:val="00406631"/>
    <w:rsid w:val="00427FE3"/>
    <w:rsid w:val="00445597"/>
    <w:rsid w:val="00457C25"/>
    <w:rsid w:val="00477268"/>
    <w:rsid w:val="00477931"/>
    <w:rsid w:val="00480CDA"/>
    <w:rsid w:val="004921F9"/>
    <w:rsid w:val="004F3333"/>
    <w:rsid w:val="005157CA"/>
    <w:rsid w:val="00517BC6"/>
    <w:rsid w:val="00526B06"/>
    <w:rsid w:val="005C71E2"/>
    <w:rsid w:val="005D7FF5"/>
    <w:rsid w:val="005E7CE3"/>
    <w:rsid w:val="00632CEE"/>
    <w:rsid w:val="0066007B"/>
    <w:rsid w:val="00661FFA"/>
    <w:rsid w:val="00670F46"/>
    <w:rsid w:val="006C23F6"/>
    <w:rsid w:val="006D305E"/>
    <w:rsid w:val="0071158D"/>
    <w:rsid w:val="00713F67"/>
    <w:rsid w:val="00715F13"/>
    <w:rsid w:val="007436F3"/>
    <w:rsid w:val="0075326C"/>
    <w:rsid w:val="00765BC3"/>
    <w:rsid w:val="00774F50"/>
    <w:rsid w:val="00780F0A"/>
    <w:rsid w:val="00790B3F"/>
    <w:rsid w:val="00794552"/>
    <w:rsid w:val="007A6626"/>
    <w:rsid w:val="007B7B2E"/>
    <w:rsid w:val="007F3020"/>
    <w:rsid w:val="0082500D"/>
    <w:rsid w:val="0084554E"/>
    <w:rsid w:val="008A2A0B"/>
    <w:rsid w:val="008B48C7"/>
    <w:rsid w:val="009449D5"/>
    <w:rsid w:val="00951ABA"/>
    <w:rsid w:val="0096317C"/>
    <w:rsid w:val="009637E5"/>
    <w:rsid w:val="009A4B68"/>
    <w:rsid w:val="009C2BD4"/>
    <w:rsid w:val="009E1B82"/>
    <w:rsid w:val="009E5744"/>
    <w:rsid w:val="009F4AB0"/>
    <w:rsid w:val="00A161C3"/>
    <w:rsid w:val="00A23E83"/>
    <w:rsid w:val="00A567FD"/>
    <w:rsid w:val="00A711CE"/>
    <w:rsid w:val="00AB5549"/>
    <w:rsid w:val="00AD3344"/>
    <w:rsid w:val="00B17DAC"/>
    <w:rsid w:val="00B23589"/>
    <w:rsid w:val="00B24175"/>
    <w:rsid w:val="00B331CA"/>
    <w:rsid w:val="00B343F7"/>
    <w:rsid w:val="00B40CC9"/>
    <w:rsid w:val="00B74A1E"/>
    <w:rsid w:val="00B75684"/>
    <w:rsid w:val="00BA5706"/>
    <w:rsid w:val="00BA69FC"/>
    <w:rsid w:val="00BB06E8"/>
    <w:rsid w:val="00C61A0C"/>
    <w:rsid w:val="00C72586"/>
    <w:rsid w:val="00C94AAD"/>
    <w:rsid w:val="00CC6F2A"/>
    <w:rsid w:val="00CE046D"/>
    <w:rsid w:val="00CF44E5"/>
    <w:rsid w:val="00D133E3"/>
    <w:rsid w:val="00D25A48"/>
    <w:rsid w:val="00D6551D"/>
    <w:rsid w:val="00D74E39"/>
    <w:rsid w:val="00D86F24"/>
    <w:rsid w:val="00DC3BB1"/>
    <w:rsid w:val="00DD49C7"/>
    <w:rsid w:val="00DF5990"/>
    <w:rsid w:val="00E4110E"/>
    <w:rsid w:val="00E44224"/>
    <w:rsid w:val="00E51082"/>
    <w:rsid w:val="00E56FC6"/>
    <w:rsid w:val="00E87D60"/>
    <w:rsid w:val="00EA1728"/>
    <w:rsid w:val="00EA465A"/>
    <w:rsid w:val="00EC686A"/>
    <w:rsid w:val="00F24655"/>
    <w:rsid w:val="00F42B00"/>
    <w:rsid w:val="00F75E87"/>
    <w:rsid w:val="00FB26B9"/>
    <w:rsid w:val="00FD12C8"/>
    <w:rsid w:val="00FF44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E9BE7B5"/>
  <w14:defaultImageDpi w14:val="32767"/>
  <w15:chartTrackingRefBased/>
  <w15:docId w15:val="{5F4B18E1-ADB9-7444-8473-5ADE00B45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6F24"/>
    <w:rPr>
      <w:rFonts w:ascii="Times New Roman" w:eastAsia="Times New Roman" w:hAnsi="Times New Roman" w:cs="Times New Roman"/>
      <w:lang w:val="en-ID"/>
    </w:rPr>
  </w:style>
  <w:style w:type="paragraph" w:styleId="Heading1">
    <w:name w:val="heading 1"/>
    <w:basedOn w:val="Normal"/>
    <w:next w:val="Normal"/>
    <w:link w:val="Heading1Char"/>
    <w:uiPriority w:val="9"/>
    <w:qFormat/>
    <w:rsid w:val="00CE046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46D"/>
    <w:rPr>
      <w:rFonts w:asciiTheme="majorHAnsi" w:eastAsiaTheme="majorEastAsia" w:hAnsiTheme="majorHAnsi" w:cstheme="majorBidi"/>
      <w:b/>
      <w:bCs/>
      <w:color w:val="2F5496" w:themeColor="accent1" w:themeShade="BF"/>
      <w:sz w:val="28"/>
      <w:szCs w:val="28"/>
      <w:lang w:bidi="en-US"/>
    </w:rPr>
  </w:style>
  <w:style w:type="paragraph" w:styleId="FootnoteText">
    <w:name w:val="footnote text"/>
    <w:basedOn w:val="Normal"/>
    <w:link w:val="FootnoteTextChar"/>
    <w:uiPriority w:val="99"/>
    <w:semiHidden/>
    <w:unhideWhenUsed/>
    <w:rsid w:val="00CE046D"/>
    <w:rPr>
      <w:rFonts w:asciiTheme="minorHAnsi" w:eastAsiaTheme="minorHAnsi" w:hAnsiTheme="minorHAnsi" w:cstheme="minorBidi"/>
      <w:sz w:val="20"/>
      <w:szCs w:val="20"/>
      <w:lang w:val="en-US"/>
    </w:rPr>
  </w:style>
  <w:style w:type="character" w:customStyle="1" w:styleId="FootnoteTextChar">
    <w:name w:val="Footnote Text Char"/>
    <w:basedOn w:val="DefaultParagraphFont"/>
    <w:link w:val="FootnoteText"/>
    <w:uiPriority w:val="99"/>
    <w:semiHidden/>
    <w:rsid w:val="00CE046D"/>
    <w:rPr>
      <w:sz w:val="20"/>
      <w:szCs w:val="20"/>
    </w:rPr>
  </w:style>
  <w:style w:type="character" w:styleId="FootnoteReference">
    <w:name w:val="footnote reference"/>
    <w:basedOn w:val="DefaultParagraphFont"/>
    <w:uiPriority w:val="99"/>
    <w:semiHidden/>
    <w:unhideWhenUsed/>
    <w:rsid w:val="00CE046D"/>
    <w:rPr>
      <w:vertAlign w:val="superscript"/>
    </w:rPr>
  </w:style>
  <w:style w:type="paragraph" w:styleId="Footer">
    <w:name w:val="footer"/>
    <w:basedOn w:val="Normal"/>
    <w:link w:val="FooterChar"/>
    <w:uiPriority w:val="99"/>
    <w:unhideWhenUsed/>
    <w:rsid w:val="00CE046D"/>
    <w:pPr>
      <w:tabs>
        <w:tab w:val="center" w:pos="4680"/>
        <w:tab w:val="right" w:pos="9360"/>
      </w:tabs>
    </w:pPr>
    <w:rPr>
      <w:rFonts w:asciiTheme="minorHAnsi" w:eastAsiaTheme="minorHAnsi" w:hAnsiTheme="minorHAnsi" w:cstheme="minorBidi"/>
      <w:lang w:val="en-US"/>
    </w:rPr>
  </w:style>
  <w:style w:type="character" w:customStyle="1" w:styleId="FooterChar">
    <w:name w:val="Footer Char"/>
    <w:basedOn w:val="DefaultParagraphFont"/>
    <w:link w:val="Footer"/>
    <w:uiPriority w:val="99"/>
    <w:rsid w:val="00CE046D"/>
  </w:style>
  <w:style w:type="character" w:styleId="PageNumber">
    <w:name w:val="page number"/>
    <w:basedOn w:val="DefaultParagraphFont"/>
    <w:uiPriority w:val="99"/>
    <w:semiHidden/>
    <w:unhideWhenUsed/>
    <w:rsid w:val="00CE046D"/>
  </w:style>
  <w:style w:type="character" w:styleId="Hyperlink">
    <w:name w:val="Hyperlink"/>
    <w:basedOn w:val="DefaultParagraphFont"/>
    <w:uiPriority w:val="99"/>
    <w:semiHidden/>
    <w:unhideWhenUsed/>
    <w:rsid w:val="00A161C3"/>
    <w:rPr>
      <w:color w:val="0000FF"/>
      <w:u w:val="single"/>
    </w:rPr>
  </w:style>
  <w:style w:type="character" w:styleId="Emphasis">
    <w:name w:val="Emphasis"/>
    <w:basedOn w:val="DefaultParagraphFont"/>
    <w:uiPriority w:val="20"/>
    <w:qFormat/>
    <w:rsid w:val="00670F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520267">
      <w:bodyDiv w:val="1"/>
      <w:marLeft w:val="0"/>
      <w:marRight w:val="0"/>
      <w:marTop w:val="0"/>
      <w:marBottom w:val="0"/>
      <w:divBdr>
        <w:top w:val="none" w:sz="0" w:space="0" w:color="auto"/>
        <w:left w:val="none" w:sz="0" w:space="0" w:color="auto"/>
        <w:bottom w:val="none" w:sz="0" w:space="0" w:color="auto"/>
        <w:right w:val="none" w:sz="0" w:space="0" w:color="auto"/>
      </w:divBdr>
    </w:div>
    <w:div w:id="374619014">
      <w:bodyDiv w:val="1"/>
      <w:marLeft w:val="0"/>
      <w:marRight w:val="0"/>
      <w:marTop w:val="0"/>
      <w:marBottom w:val="0"/>
      <w:divBdr>
        <w:top w:val="none" w:sz="0" w:space="0" w:color="auto"/>
        <w:left w:val="none" w:sz="0" w:space="0" w:color="auto"/>
        <w:bottom w:val="none" w:sz="0" w:space="0" w:color="auto"/>
        <w:right w:val="none" w:sz="0" w:space="0" w:color="auto"/>
      </w:divBdr>
    </w:div>
    <w:div w:id="637345203">
      <w:bodyDiv w:val="1"/>
      <w:marLeft w:val="0"/>
      <w:marRight w:val="0"/>
      <w:marTop w:val="0"/>
      <w:marBottom w:val="0"/>
      <w:divBdr>
        <w:top w:val="none" w:sz="0" w:space="0" w:color="auto"/>
        <w:left w:val="none" w:sz="0" w:space="0" w:color="auto"/>
        <w:bottom w:val="none" w:sz="0" w:space="0" w:color="auto"/>
        <w:right w:val="none" w:sz="0" w:space="0" w:color="auto"/>
      </w:divBdr>
    </w:div>
    <w:div w:id="1300956188">
      <w:bodyDiv w:val="1"/>
      <w:marLeft w:val="0"/>
      <w:marRight w:val="0"/>
      <w:marTop w:val="0"/>
      <w:marBottom w:val="0"/>
      <w:divBdr>
        <w:top w:val="none" w:sz="0" w:space="0" w:color="auto"/>
        <w:left w:val="none" w:sz="0" w:space="0" w:color="auto"/>
        <w:bottom w:val="none" w:sz="0" w:space="0" w:color="auto"/>
        <w:right w:val="none" w:sz="0" w:space="0" w:color="auto"/>
      </w:divBdr>
    </w:div>
    <w:div w:id="1659530396">
      <w:bodyDiv w:val="1"/>
      <w:marLeft w:val="0"/>
      <w:marRight w:val="0"/>
      <w:marTop w:val="0"/>
      <w:marBottom w:val="0"/>
      <w:divBdr>
        <w:top w:val="none" w:sz="0" w:space="0" w:color="auto"/>
        <w:left w:val="none" w:sz="0" w:space="0" w:color="auto"/>
        <w:bottom w:val="none" w:sz="0" w:space="0" w:color="auto"/>
        <w:right w:val="none" w:sz="0" w:space="0" w:color="auto"/>
      </w:divBdr>
    </w:div>
    <w:div w:id="2008513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C8C5AA-6393-3243-918B-F17BEA4FD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6</Pages>
  <Words>1414</Words>
  <Characters>8066</Characters>
  <Application>Microsoft Office Word</Application>
  <DocSecurity>0</DocSecurity>
  <Lines>67</Lines>
  <Paragraphs>18</Paragraphs>
  <ScaleCrop>false</ScaleCrop>
  <Company/>
  <LinksUpToDate>false</LinksUpToDate>
  <CharactersWithSpaces>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Asher Tauran</dc:creator>
  <cp:keywords/>
  <dc:description/>
  <cp:lastModifiedBy>Asher Tauran</cp:lastModifiedBy>
  <cp:revision>105</cp:revision>
  <cp:lastPrinted>2019-11-10T15:17:00Z</cp:lastPrinted>
  <dcterms:created xsi:type="dcterms:W3CDTF">2019-11-07T14:52:00Z</dcterms:created>
  <dcterms:modified xsi:type="dcterms:W3CDTF">2019-11-10T15:18:00Z</dcterms:modified>
</cp:coreProperties>
</file>