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16506" w14:textId="77777777" w:rsidR="00464EA0" w:rsidRPr="00464EA0" w:rsidRDefault="00464EA0" w:rsidP="00464EA0">
      <w:pPr>
        <w:tabs>
          <w:tab w:val="left" w:pos="6540"/>
        </w:tabs>
        <w:spacing w:line="360" w:lineRule="auto"/>
        <w:jc w:val="center"/>
        <w:rPr>
          <w:b/>
          <w:bCs/>
          <w:sz w:val="28"/>
          <w:szCs w:val="28"/>
          <w:lang w:val="en-GB"/>
        </w:rPr>
      </w:pPr>
      <w:r w:rsidRPr="00464EA0">
        <w:rPr>
          <w:noProof/>
          <w:lang w:val="en-IN"/>
        </w:rPr>
        <w:drawing>
          <wp:inline distT="0" distB="0" distL="0" distR="0" wp14:anchorId="772229A1" wp14:editId="1F716F9F">
            <wp:extent cx="2076450" cy="942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450" cy="942975"/>
                    </a:xfrm>
                    <a:prstGeom prst="rect">
                      <a:avLst/>
                    </a:prstGeom>
                  </pic:spPr>
                </pic:pic>
              </a:graphicData>
            </a:graphic>
          </wp:inline>
        </w:drawing>
      </w:r>
    </w:p>
    <w:p w14:paraId="216D6CFA" w14:textId="77777777" w:rsidR="00464EA0" w:rsidRDefault="00464EA0" w:rsidP="00464EA0">
      <w:pPr>
        <w:tabs>
          <w:tab w:val="left" w:pos="6540"/>
        </w:tabs>
        <w:spacing w:line="360" w:lineRule="auto"/>
        <w:jc w:val="center"/>
        <w:rPr>
          <w:b/>
          <w:bCs/>
          <w:sz w:val="28"/>
          <w:szCs w:val="28"/>
          <w:lang w:val="en-GB"/>
        </w:rPr>
      </w:pPr>
    </w:p>
    <w:p w14:paraId="2ABA9C59" w14:textId="77777777" w:rsidR="00C82BD8" w:rsidRDefault="00C82BD8" w:rsidP="00464EA0">
      <w:pPr>
        <w:tabs>
          <w:tab w:val="left" w:pos="6540"/>
        </w:tabs>
        <w:spacing w:line="360" w:lineRule="auto"/>
        <w:jc w:val="center"/>
        <w:rPr>
          <w:b/>
          <w:bCs/>
          <w:sz w:val="28"/>
          <w:szCs w:val="28"/>
          <w:lang w:val="en-GB"/>
        </w:rPr>
      </w:pPr>
    </w:p>
    <w:p w14:paraId="0887A247" w14:textId="77777777" w:rsidR="00C82BD8" w:rsidRDefault="00C82BD8" w:rsidP="00464EA0">
      <w:pPr>
        <w:tabs>
          <w:tab w:val="left" w:pos="6540"/>
        </w:tabs>
        <w:spacing w:line="360" w:lineRule="auto"/>
        <w:jc w:val="center"/>
        <w:rPr>
          <w:b/>
          <w:bCs/>
          <w:sz w:val="28"/>
          <w:szCs w:val="28"/>
          <w:lang w:val="en-GB"/>
        </w:rPr>
      </w:pPr>
    </w:p>
    <w:p w14:paraId="1CDBD282" w14:textId="77777777" w:rsidR="00C82BD8" w:rsidRDefault="00C82BD8" w:rsidP="00464EA0">
      <w:pPr>
        <w:tabs>
          <w:tab w:val="left" w:pos="6540"/>
        </w:tabs>
        <w:spacing w:line="360" w:lineRule="auto"/>
        <w:jc w:val="center"/>
        <w:rPr>
          <w:b/>
          <w:bCs/>
          <w:sz w:val="28"/>
          <w:szCs w:val="28"/>
          <w:lang w:val="en-GB"/>
        </w:rPr>
      </w:pPr>
    </w:p>
    <w:p w14:paraId="5F0BEF04" w14:textId="77777777" w:rsidR="00C82BD8" w:rsidRPr="00464EA0" w:rsidRDefault="00C82BD8" w:rsidP="00464EA0">
      <w:pPr>
        <w:tabs>
          <w:tab w:val="left" w:pos="6540"/>
        </w:tabs>
        <w:spacing w:line="360" w:lineRule="auto"/>
        <w:jc w:val="center"/>
        <w:rPr>
          <w:b/>
          <w:bCs/>
          <w:sz w:val="28"/>
          <w:szCs w:val="28"/>
          <w:lang w:val="en-GB"/>
        </w:rPr>
      </w:pPr>
    </w:p>
    <w:p w14:paraId="7DFA6578" w14:textId="1697D5AC" w:rsidR="00464EA0" w:rsidRPr="00464EA0" w:rsidRDefault="00464EA0" w:rsidP="00C82BD8">
      <w:pPr>
        <w:tabs>
          <w:tab w:val="left" w:pos="6540"/>
        </w:tabs>
        <w:spacing w:line="360" w:lineRule="auto"/>
        <w:rPr>
          <w:sz w:val="28"/>
          <w:szCs w:val="28"/>
          <w:lang w:val="en-GB"/>
        </w:rPr>
      </w:pPr>
      <w:r w:rsidRPr="00464EA0">
        <w:rPr>
          <w:b/>
          <w:bCs/>
          <w:sz w:val="28"/>
          <w:szCs w:val="28"/>
          <w:lang w:val="en-GB"/>
        </w:rPr>
        <w:t>Module name</w:t>
      </w:r>
      <w:r w:rsidRPr="00464EA0">
        <w:rPr>
          <w:sz w:val="28"/>
          <w:szCs w:val="28"/>
          <w:lang w:val="en-GB"/>
        </w:rPr>
        <w:t xml:space="preserve">: </w:t>
      </w:r>
      <w:r w:rsidRPr="00464EA0">
        <w:rPr>
          <w:b/>
          <w:bCs/>
          <w:color w:val="222222"/>
          <w:sz w:val="28"/>
          <w:szCs w:val="28"/>
          <w:shd w:val="clear" w:color="auto" w:fill="FFFFFF"/>
          <w:lang w:val="en-GB"/>
        </w:rPr>
        <w:t>Introduction to Independent Research Skills</w:t>
      </w:r>
      <w:r w:rsidR="00542B45">
        <w:rPr>
          <w:b/>
          <w:bCs/>
          <w:color w:val="222222"/>
          <w:sz w:val="28"/>
          <w:szCs w:val="28"/>
          <w:shd w:val="clear" w:color="auto" w:fill="FFFFFF"/>
          <w:lang w:val="en-GB"/>
        </w:rPr>
        <w:t xml:space="preserve"> – Component 2</w:t>
      </w:r>
    </w:p>
    <w:p w14:paraId="0A13A4B5" w14:textId="77777777" w:rsidR="00464EA0" w:rsidRPr="00464EA0" w:rsidRDefault="00464EA0" w:rsidP="00C82BD8">
      <w:pPr>
        <w:tabs>
          <w:tab w:val="left" w:pos="6540"/>
        </w:tabs>
        <w:spacing w:line="360" w:lineRule="auto"/>
        <w:rPr>
          <w:b/>
          <w:bCs/>
          <w:sz w:val="28"/>
          <w:szCs w:val="28"/>
          <w:lang w:val="en-GB"/>
        </w:rPr>
      </w:pPr>
    </w:p>
    <w:p w14:paraId="2EA26DD3" w14:textId="629C7183" w:rsidR="00464EA0" w:rsidRPr="00464EA0" w:rsidRDefault="00464EA0" w:rsidP="00C82BD8">
      <w:pPr>
        <w:tabs>
          <w:tab w:val="left" w:pos="6540"/>
        </w:tabs>
        <w:spacing w:line="360" w:lineRule="auto"/>
        <w:rPr>
          <w:sz w:val="28"/>
          <w:szCs w:val="28"/>
          <w:lang w:val="en-GB"/>
        </w:rPr>
      </w:pPr>
      <w:r w:rsidRPr="00464EA0">
        <w:rPr>
          <w:b/>
          <w:bCs/>
          <w:sz w:val="28"/>
          <w:szCs w:val="28"/>
          <w:lang w:val="en-GB"/>
        </w:rPr>
        <w:t>Module code</w:t>
      </w:r>
      <w:r w:rsidRPr="00464EA0">
        <w:rPr>
          <w:sz w:val="28"/>
          <w:szCs w:val="28"/>
          <w:lang w:val="en-GB"/>
        </w:rPr>
        <w:t>:</w:t>
      </w:r>
      <w:r w:rsidR="00C82BD8" w:rsidRPr="00C82BD8">
        <w:rPr>
          <w:b/>
          <w:bCs/>
          <w:sz w:val="28"/>
          <w:szCs w:val="28"/>
        </w:rPr>
        <w:t xml:space="preserve"> </w:t>
      </w:r>
      <w:r w:rsidR="00C82BD8" w:rsidRPr="00AD0E8D">
        <w:rPr>
          <w:b/>
          <w:bCs/>
          <w:sz w:val="28"/>
          <w:szCs w:val="28"/>
        </w:rPr>
        <w:t>BMHP5019</w:t>
      </w:r>
    </w:p>
    <w:p w14:paraId="285C08BA" w14:textId="77777777" w:rsidR="00464EA0" w:rsidRPr="00464EA0" w:rsidRDefault="00464EA0" w:rsidP="00C82BD8">
      <w:pPr>
        <w:tabs>
          <w:tab w:val="left" w:pos="6540"/>
        </w:tabs>
        <w:spacing w:line="360" w:lineRule="auto"/>
        <w:rPr>
          <w:b/>
          <w:bCs/>
          <w:sz w:val="28"/>
          <w:szCs w:val="28"/>
          <w:lang w:val="en-GB"/>
        </w:rPr>
      </w:pPr>
    </w:p>
    <w:p w14:paraId="638D61EC" w14:textId="10B09793" w:rsidR="004A24AB" w:rsidRPr="00A55728" w:rsidRDefault="00464EA0" w:rsidP="00C82BD8">
      <w:pPr>
        <w:spacing w:line="360" w:lineRule="auto"/>
        <w:rPr>
          <w:b/>
          <w:bCs/>
          <w:sz w:val="28"/>
          <w:szCs w:val="28"/>
        </w:rPr>
      </w:pPr>
      <w:r w:rsidRPr="00464EA0">
        <w:rPr>
          <w:b/>
          <w:bCs/>
          <w:sz w:val="28"/>
          <w:szCs w:val="28"/>
          <w:lang w:val="en-GB"/>
        </w:rPr>
        <w:t>Student name</w:t>
      </w:r>
      <w:r w:rsidRPr="00464EA0">
        <w:rPr>
          <w:sz w:val="28"/>
          <w:szCs w:val="28"/>
          <w:lang w:val="en-GB"/>
        </w:rPr>
        <w:t>:</w:t>
      </w:r>
      <w:r w:rsidR="004A24AB" w:rsidRPr="004A24AB">
        <w:rPr>
          <w:b/>
          <w:bCs/>
          <w:sz w:val="28"/>
          <w:szCs w:val="28"/>
        </w:rPr>
        <w:t xml:space="preserve"> </w:t>
      </w:r>
      <w:r w:rsidR="004A24AB" w:rsidRPr="00A55728">
        <w:rPr>
          <w:b/>
          <w:bCs/>
          <w:sz w:val="28"/>
          <w:szCs w:val="28"/>
        </w:rPr>
        <w:t>Ana-Maria Melinda Avram</w:t>
      </w:r>
    </w:p>
    <w:p w14:paraId="6DC78F93" w14:textId="41F28A4E" w:rsidR="00464EA0" w:rsidRPr="00464EA0" w:rsidRDefault="00464EA0" w:rsidP="00C82BD8">
      <w:pPr>
        <w:tabs>
          <w:tab w:val="left" w:pos="6540"/>
        </w:tabs>
        <w:spacing w:line="360" w:lineRule="auto"/>
        <w:rPr>
          <w:sz w:val="28"/>
          <w:szCs w:val="28"/>
          <w:lang w:val="en-GB"/>
        </w:rPr>
      </w:pPr>
    </w:p>
    <w:p w14:paraId="10A056B9" w14:textId="0F319968" w:rsidR="00FD600D" w:rsidRPr="00A55728" w:rsidRDefault="00464EA0" w:rsidP="00C82BD8">
      <w:pPr>
        <w:spacing w:line="360" w:lineRule="auto"/>
        <w:rPr>
          <w:b/>
          <w:bCs/>
          <w:sz w:val="28"/>
          <w:szCs w:val="28"/>
        </w:rPr>
      </w:pPr>
      <w:r w:rsidRPr="00464EA0">
        <w:rPr>
          <w:b/>
          <w:bCs/>
          <w:sz w:val="28"/>
          <w:szCs w:val="28"/>
          <w:lang w:val="en-GB"/>
        </w:rPr>
        <w:t>Student ID</w:t>
      </w:r>
      <w:r w:rsidRPr="00464EA0">
        <w:rPr>
          <w:sz w:val="28"/>
          <w:szCs w:val="28"/>
          <w:lang w:val="en-GB"/>
        </w:rPr>
        <w:t>:</w:t>
      </w:r>
      <w:r w:rsidR="00FD600D" w:rsidRPr="00FD600D">
        <w:rPr>
          <w:b/>
          <w:bCs/>
          <w:sz w:val="28"/>
          <w:szCs w:val="28"/>
        </w:rPr>
        <w:t xml:space="preserve"> </w:t>
      </w:r>
      <w:r w:rsidR="00FD600D" w:rsidRPr="00A55728">
        <w:rPr>
          <w:b/>
          <w:bCs/>
          <w:sz w:val="28"/>
          <w:szCs w:val="28"/>
        </w:rPr>
        <w:t>2415593</w:t>
      </w:r>
    </w:p>
    <w:p w14:paraId="5E9D5B56" w14:textId="77777777" w:rsidR="00464EA0" w:rsidRPr="00464EA0" w:rsidRDefault="00464EA0" w:rsidP="00C82BD8">
      <w:pPr>
        <w:tabs>
          <w:tab w:val="left" w:pos="6540"/>
        </w:tabs>
        <w:spacing w:line="360" w:lineRule="auto"/>
        <w:rPr>
          <w:sz w:val="28"/>
          <w:szCs w:val="28"/>
          <w:lang w:val="en-GB"/>
        </w:rPr>
      </w:pPr>
    </w:p>
    <w:p w14:paraId="55C5DA64" w14:textId="3BB5630E" w:rsidR="00464EA0" w:rsidRPr="00464EA0" w:rsidRDefault="00464EA0" w:rsidP="00C82BD8">
      <w:pPr>
        <w:tabs>
          <w:tab w:val="left" w:pos="6540"/>
        </w:tabs>
        <w:spacing w:line="360" w:lineRule="auto"/>
        <w:rPr>
          <w:sz w:val="28"/>
          <w:szCs w:val="28"/>
          <w:lang w:val="en-GB"/>
        </w:rPr>
      </w:pPr>
      <w:r w:rsidRPr="00464EA0">
        <w:rPr>
          <w:b/>
          <w:bCs/>
          <w:sz w:val="28"/>
          <w:szCs w:val="28"/>
          <w:lang w:val="en-GB"/>
        </w:rPr>
        <w:t>Lecturer’s name</w:t>
      </w:r>
      <w:r w:rsidRPr="00464EA0">
        <w:rPr>
          <w:sz w:val="28"/>
          <w:szCs w:val="28"/>
          <w:lang w:val="en-GB"/>
        </w:rPr>
        <w:t>:</w:t>
      </w:r>
      <w:r w:rsidR="003F091F" w:rsidRPr="003F091F">
        <w:rPr>
          <w:rFonts w:ascii="Segoe UI" w:hAnsi="Segoe UI" w:cs="Segoe UI"/>
          <w:b/>
          <w:bCs/>
          <w:color w:val="1D2125"/>
          <w:sz w:val="36"/>
          <w:szCs w:val="36"/>
          <w:shd w:val="clear" w:color="auto" w:fill="FFFFFF"/>
        </w:rPr>
        <w:t xml:space="preserve"> </w:t>
      </w:r>
      <w:r w:rsidR="003F091F" w:rsidRPr="003F091F">
        <w:rPr>
          <w:b/>
          <w:bCs/>
          <w:sz w:val="28"/>
          <w:szCs w:val="28"/>
        </w:rPr>
        <w:t>Eleni </w:t>
      </w:r>
      <w:proofErr w:type="spellStart"/>
      <w:r w:rsidR="003F091F" w:rsidRPr="003F091F">
        <w:rPr>
          <w:b/>
          <w:bCs/>
          <w:sz w:val="28"/>
          <w:szCs w:val="28"/>
        </w:rPr>
        <w:t>Koutsogeorgou</w:t>
      </w:r>
      <w:proofErr w:type="spellEnd"/>
      <w:r w:rsidR="003F091F" w:rsidRPr="003F091F">
        <w:rPr>
          <w:b/>
          <w:bCs/>
          <w:sz w:val="28"/>
          <w:szCs w:val="28"/>
        </w:rPr>
        <w:t>-Andreou </w:t>
      </w:r>
    </w:p>
    <w:p w14:paraId="22581A9A" w14:textId="77777777" w:rsidR="00464EA0" w:rsidRPr="00464EA0" w:rsidRDefault="00464EA0" w:rsidP="00464EA0">
      <w:pPr>
        <w:tabs>
          <w:tab w:val="left" w:pos="6540"/>
        </w:tabs>
        <w:spacing w:line="360" w:lineRule="auto"/>
        <w:jc w:val="center"/>
        <w:rPr>
          <w:sz w:val="28"/>
          <w:szCs w:val="28"/>
          <w:lang w:val="en-GB"/>
        </w:rPr>
      </w:pPr>
    </w:p>
    <w:p w14:paraId="29014B7B" w14:textId="77777777" w:rsidR="00464EA0" w:rsidRPr="00464EA0" w:rsidRDefault="00464EA0" w:rsidP="00464EA0">
      <w:pPr>
        <w:tabs>
          <w:tab w:val="left" w:pos="6540"/>
        </w:tabs>
        <w:spacing w:line="360" w:lineRule="auto"/>
        <w:jc w:val="center"/>
        <w:rPr>
          <w:b/>
          <w:sz w:val="28"/>
          <w:szCs w:val="28"/>
          <w:lang w:val="en-GB"/>
        </w:rPr>
      </w:pPr>
      <w:r w:rsidRPr="00464EA0">
        <w:rPr>
          <w:b/>
          <w:sz w:val="28"/>
          <w:szCs w:val="28"/>
          <w:lang w:val="en-GB"/>
        </w:rPr>
        <w:t>Topic: Challenges Affecting Domiciliary Care for Older Adults in the United Kingdom: A Scoping Review</w:t>
      </w:r>
    </w:p>
    <w:p w14:paraId="31B976BD" w14:textId="77777777" w:rsidR="00464EA0" w:rsidRPr="00464EA0" w:rsidRDefault="00464EA0">
      <w:pPr>
        <w:rPr>
          <w:sz w:val="24"/>
          <w:szCs w:val="24"/>
          <w:lang w:val="en-GB"/>
        </w:rPr>
      </w:pPr>
      <w:r w:rsidRPr="00464EA0">
        <w:rPr>
          <w:sz w:val="24"/>
          <w:szCs w:val="24"/>
          <w:lang w:val="en-GB"/>
        </w:rPr>
        <w:br w:type="page"/>
      </w:r>
    </w:p>
    <w:p w14:paraId="330D0E52" w14:textId="77777777" w:rsidR="007017E5" w:rsidRPr="00464EA0" w:rsidRDefault="00464EA0">
      <w:pPr>
        <w:spacing w:line="360" w:lineRule="auto"/>
        <w:jc w:val="both"/>
        <w:rPr>
          <w:b/>
          <w:bCs/>
          <w:sz w:val="28"/>
          <w:szCs w:val="28"/>
          <w:lang w:val="en-GB"/>
        </w:rPr>
      </w:pPr>
      <w:r w:rsidRPr="00464EA0">
        <w:rPr>
          <w:b/>
          <w:bCs/>
          <w:sz w:val="28"/>
          <w:szCs w:val="28"/>
          <w:lang w:val="en-GB"/>
        </w:rPr>
        <w:lastRenderedPageBreak/>
        <w:t>1.0 Abstract</w:t>
      </w:r>
    </w:p>
    <w:p w14:paraId="16EB3B94" w14:textId="77777777" w:rsidR="007017E5" w:rsidRPr="006A5EBB" w:rsidRDefault="00464EA0">
      <w:pPr>
        <w:spacing w:line="360" w:lineRule="auto"/>
        <w:jc w:val="both"/>
        <w:rPr>
          <w:lang w:val="en-GB"/>
        </w:rPr>
      </w:pPr>
      <w:r w:rsidRPr="006A5EBB">
        <w:rPr>
          <w:lang w:val="en-GB"/>
        </w:rPr>
        <w:t>Domiciliary Care is a service that helps older people to remain living in their home with assistance and support to meet their healthcare needs that may be becoming more complex, as well as their personal and day</w:t>
      </w:r>
      <w:r w:rsidR="0081699C" w:rsidRPr="006A5EBB">
        <w:rPr>
          <w:lang w:val="en-GB"/>
        </w:rPr>
        <w:t>-to-</w:t>
      </w:r>
      <w:r w:rsidRPr="006A5EBB">
        <w:rPr>
          <w:lang w:val="en-GB"/>
        </w:rPr>
        <w:t>day needs. One of the reasons is the rise of an ageing population in Britain and the increase of older people living alone. The purpose of this scoping review was to gain a broad understanding of recent evidence on the topics of the domiciliary care of older adults in the UK. The methodological guidance of JBI and PRISMA-</w:t>
      </w:r>
      <w:proofErr w:type="spellStart"/>
      <w:r w:rsidRPr="006A5EBB">
        <w:rPr>
          <w:lang w:val="en-GB"/>
        </w:rPr>
        <w:t>ScR</w:t>
      </w:r>
      <w:proofErr w:type="spellEnd"/>
      <w:r w:rsidRPr="006A5EBB">
        <w:rPr>
          <w:lang w:val="en-GB"/>
        </w:rPr>
        <w:t xml:space="preserve"> principles w</w:t>
      </w:r>
      <w:r w:rsidR="0081699C" w:rsidRPr="006A5EBB">
        <w:rPr>
          <w:lang w:val="en-GB"/>
        </w:rPr>
        <w:t>as</w:t>
      </w:r>
      <w:r w:rsidRPr="006A5EBB">
        <w:rPr>
          <w:lang w:val="en-GB"/>
        </w:rPr>
        <w:t xml:space="preserve"> used to guide the scoping review methodology. Only peer-reviewed research published after 2022 was considered</w:t>
      </w:r>
      <w:r w:rsidR="0081699C" w:rsidRPr="006A5EBB">
        <w:rPr>
          <w:lang w:val="en-GB"/>
        </w:rPr>
        <w:t>,</w:t>
      </w:r>
      <w:r w:rsidRPr="006A5EBB">
        <w:rPr>
          <w:lang w:val="en-GB"/>
        </w:rPr>
        <w:t xml:space="preserve"> and five studies that focused on the UK were identified for detailed synthesis. </w:t>
      </w:r>
      <w:r w:rsidR="0081699C" w:rsidRPr="006A5EBB">
        <w:rPr>
          <w:lang w:val="en-GB"/>
        </w:rPr>
        <w:t>Four main themes</w:t>
      </w:r>
      <w:r w:rsidRPr="006A5EBB">
        <w:rPr>
          <w:lang w:val="en-GB"/>
        </w:rPr>
        <w:t xml:space="preserve"> emerged from the evidence: workforce capacity and conditions of employment; time pressure, continuity and service organisation; co-ordination and growing complexity of care and quality</w:t>
      </w:r>
      <w:r w:rsidR="0081699C" w:rsidRPr="006A5EBB">
        <w:rPr>
          <w:lang w:val="en-GB"/>
        </w:rPr>
        <w:t>; and</w:t>
      </w:r>
      <w:r w:rsidRPr="006A5EBB">
        <w:rPr>
          <w:lang w:val="en-GB"/>
        </w:rPr>
        <w:t xml:space="preserve"> person-centred care and inequalities. These findings are further backed up by recent workforce statistics, which reveal that the vacancy rate for domiciliary care in England </w:t>
      </w:r>
      <w:r w:rsidR="0081699C" w:rsidRPr="006A5EBB">
        <w:rPr>
          <w:lang w:val="en-GB"/>
        </w:rPr>
        <w:t>was</w:t>
      </w:r>
      <w:r w:rsidRPr="006A5EBB">
        <w:rPr>
          <w:lang w:val="en-GB"/>
        </w:rPr>
        <w:t xml:space="preserve"> 9.1% in 2025/26. The review concludes that issues of domiciliary care are more structural than individual issues with care workers. Improved workforce retention, improved commissioning arrangements to ensure continuity and adequate visit time, improved interfaces between health and social care and equitable access to person-centred services are needed for sustainable improvements.</w:t>
      </w:r>
    </w:p>
    <w:p w14:paraId="595963CC" w14:textId="77777777" w:rsidR="007017E5" w:rsidRPr="00464EA0" w:rsidRDefault="00464EA0">
      <w:pPr>
        <w:spacing w:line="360" w:lineRule="auto"/>
        <w:jc w:val="both"/>
        <w:rPr>
          <w:b/>
          <w:bCs/>
          <w:sz w:val="28"/>
          <w:szCs w:val="28"/>
          <w:lang w:val="en-GB"/>
        </w:rPr>
      </w:pPr>
      <w:r w:rsidRPr="00464EA0">
        <w:rPr>
          <w:lang w:val="en-GB"/>
        </w:rPr>
        <w:br w:type="page"/>
      </w:r>
    </w:p>
    <w:sdt>
      <w:sdtPr>
        <w:rPr>
          <w:rFonts w:ascii="Arial" w:eastAsia="Arial" w:hAnsi="Arial" w:cs="Arial"/>
          <w:color w:val="auto"/>
          <w:sz w:val="22"/>
          <w:szCs w:val="22"/>
          <w:lang w:val="en-GB" w:eastAsia="en-IN"/>
        </w:rPr>
        <w:id w:val="-311951601"/>
        <w:docPartObj>
          <w:docPartGallery w:val="Table of Contents"/>
          <w:docPartUnique/>
        </w:docPartObj>
      </w:sdtPr>
      <w:sdtEndPr>
        <w:rPr>
          <w:b/>
          <w:bCs/>
          <w:noProof/>
        </w:rPr>
      </w:sdtEndPr>
      <w:sdtContent>
        <w:p w14:paraId="55566A71" w14:textId="77777777" w:rsidR="00464EA0" w:rsidRPr="00464EA0" w:rsidRDefault="00464EA0" w:rsidP="00464EA0">
          <w:pPr>
            <w:pStyle w:val="TOCHeading"/>
            <w:jc w:val="center"/>
            <w:rPr>
              <w:rFonts w:ascii="Arial" w:hAnsi="Arial" w:cs="Arial"/>
              <w:b/>
              <w:lang w:val="en-GB"/>
            </w:rPr>
          </w:pPr>
          <w:r w:rsidRPr="00464EA0">
            <w:rPr>
              <w:rFonts w:ascii="Arial" w:hAnsi="Arial" w:cs="Arial"/>
              <w:b/>
              <w:lang w:val="en-GB"/>
            </w:rPr>
            <w:t>Table of Contents</w:t>
          </w:r>
        </w:p>
        <w:p w14:paraId="6F3E4904" w14:textId="77777777" w:rsidR="00464EA0" w:rsidRPr="00464EA0" w:rsidRDefault="00464EA0">
          <w:pPr>
            <w:pStyle w:val="TOC1"/>
            <w:tabs>
              <w:tab w:val="right" w:leader="dot" w:pos="9350"/>
            </w:tabs>
            <w:rPr>
              <w:noProof/>
              <w:sz w:val="24"/>
              <w:szCs w:val="24"/>
              <w:lang w:val="en-GB"/>
            </w:rPr>
          </w:pPr>
          <w:r w:rsidRPr="00464EA0">
            <w:rPr>
              <w:sz w:val="24"/>
              <w:szCs w:val="24"/>
              <w:lang w:val="en-GB"/>
            </w:rPr>
            <w:fldChar w:fldCharType="begin"/>
          </w:r>
          <w:r w:rsidRPr="00464EA0">
            <w:rPr>
              <w:sz w:val="24"/>
              <w:szCs w:val="24"/>
              <w:lang w:val="en-GB"/>
            </w:rPr>
            <w:instrText xml:space="preserve"> TOC \o "1-3" \h \z \u </w:instrText>
          </w:r>
          <w:r w:rsidRPr="00464EA0">
            <w:rPr>
              <w:sz w:val="24"/>
              <w:szCs w:val="24"/>
              <w:lang w:val="en-GB"/>
            </w:rPr>
            <w:fldChar w:fldCharType="separate"/>
          </w:r>
          <w:hyperlink w:anchor="_Toc237358427" w:history="1">
            <w:r w:rsidRPr="00464EA0">
              <w:rPr>
                <w:rStyle w:val="Hyperlink"/>
                <w:noProof/>
                <w:sz w:val="24"/>
                <w:szCs w:val="24"/>
                <w:lang w:val="en-GB"/>
              </w:rPr>
              <w:t>2.0 Introduction</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_Toc237358427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4</w:t>
            </w:r>
            <w:r w:rsidRPr="00464EA0">
              <w:rPr>
                <w:noProof/>
                <w:webHidden/>
                <w:sz w:val="24"/>
                <w:szCs w:val="24"/>
                <w:lang w:val="en-GB"/>
              </w:rPr>
              <w:fldChar w:fldCharType="end"/>
            </w:r>
          </w:hyperlink>
        </w:p>
        <w:p w14:paraId="438401BC" w14:textId="77777777" w:rsidR="00464EA0" w:rsidRPr="00464EA0" w:rsidRDefault="00464EA0">
          <w:pPr>
            <w:pStyle w:val="TOC1"/>
            <w:tabs>
              <w:tab w:val="right" w:leader="dot" w:pos="9350"/>
            </w:tabs>
            <w:rPr>
              <w:noProof/>
              <w:sz w:val="24"/>
              <w:szCs w:val="24"/>
              <w:lang w:val="en-GB"/>
            </w:rPr>
          </w:pPr>
          <w:hyperlink w:anchor="_Toc237358428" w:history="1">
            <w:r w:rsidRPr="00464EA0">
              <w:rPr>
                <w:rStyle w:val="Hyperlink"/>
                <w:noProof/>
                <w:sz w:val="24"/>
                <w:szCs w:val="24"/>
                <w:lang w:val="en-GB"/>
              </w:rPr>
              <w:t>3.0 Background</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_Toc237358428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6</w:t>
            </w:r>
            <w:r w:rsidRPr="00464EA0">
              <w:rPr>
                <w:noProof/>
                <w:webHidden/>
                <w:sz w:val="24"/>
                <w:szCs w:val="24"/>
                <w:lang w:val="en-GB"/>
              </w:rPr>
              <w:fldChar w:fldCharType="end"/>
            </w:r>
          </w:hyperlink>
        </w:p>
        <w:p w14:paraId="3A4356B3" w14:textId="77777777" w:rsidR="00464EA0" w:rsidRPr="00464EA0" w:rsidRDefault="00464EA0">
          <w:pPr>
            <w:pStyle w:val="TOC1"/>
            <w:tabs>
              <w:tab w:val="right" w:leader="dot" w:pos="9350"/>
            </w:tabs>
            <w:rPr>
              <w:noProof/>
              <w:sz w:val="24"/>
              <w:szCs w:val="24"/>
              <w:lang w:val="en-GB"/>
            </w:rPr>
          </w:pPr>
          <w:hyperlink w:anchor="_Toc237358429" w:history="1">
            <w:r w:rsidRPr="00464EA0">
              <w:rPr>
                <w:rStyle w:val="Hyperlink"/>
                <w:noProof/>
                <w:sz w:val="24"/>
                <w:szCs w:val="24"/>
                <w:lang w:val="en-GB"/>
              </w:rPr>
              <w:t>4.0 Methods</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_Toc237358429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7</w:t>
            </w:r>
            <w:r w:rsidRPr="00464EA0">
              <w:rPr>
                <w:noProof/>
                <w:webHidden/>
                <w:sz w:val="24"/>
                <w:szCs w:val="24"/>
                <w:lang w:val="en-GB"/>
              </w:rPr>
              <w:fldChar w:fldCharType="end"/>
            </w:r>
          </w:hyperlink>
        </w:p>
        <w:p w14:paraId="4461DCDB" w14:textId="77777777" w:rsidR="00464EA0" w:rsidRPr="00464EA0" w:rsidRDefault="00464EA0">
          <w:pPr>
            <w:pStyle w:val="TOC1"/>
            <w:tabs>
              <w:tab w:val="right" w:leader="dot" w:pos="9350"/>
            </w:tabs>
            <w:rPr>
              <w:noProof/>
              <w:sz w:val="24"/>
              <w:szCs w:val="24"/>
              <w:lang w:val="en-GB"/>
            </w:rPr>
          </w:pPr>
          <w:hyperlink w:anchor="_Toc237358430" w:history="1">
            <w:r w:rsidRPr="00464EA0">
              <w:rPr>
                <w:rStyle w:val="Hyperlink"/>
                <w:noProof/>
                <w:sz w:val="24"/>
                <w:szCs w:val="24"/>
                <w:lang w:val="en-GB"/>
              </w:rPr>
              <w:t>5.0 Results</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_Toc237358430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9</w:t>
            </w:r>
            <w:r w:rsidRPr="00464EA0">
              <w:rPr>
                <w:noProof/>
                <w:webHidden/>
                <w:sz w:val="24"/>
                <w:szCs w:val="24"/>
                <w:lang w:val="en-GB"/>
              </w:rPr>
              <w:fldChar w:fldCharType="end"/>
            </w:r>
          </w:hyperlink>
        </w:p>
        <w:p w14:paraId="79629080" w14:textId="77777777" w:rsidR="00464EA0" w:rsidRPr="00464EA0" w:rsidRDefault="00464EA0">
          <w:pPr>
            <w:pStyle w:val="TOC1"/>
            <w:tabs>
              <w:tab w:val="right" w:leader="dot" w:pos="9350"/>
            </w:tabs>
            <w:rPr>
              <w:noProof/>
              <w:sz w:val="24"/>
              <w:szCs w:val="24"/>
              <w:lang w:val="en-GB"/>
            </w:rPr>
          </w:pPr>
          <w:hyperlink w:anchor="_Toc237358431" w:history="1">
            <w:r w:rsidRPr="00464EA0">
              <w:rPr>
                <w:rStyle w:val="Hyperlink"/>
                <w:noProof/>
                <w:sz w:val="24"/>
                <w:szCs w:val="24"/>
                <w:lang w:val="en-GB"/>
              </w:rPr>
              <w:t>6.0 Discussion</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_Toc237358431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12</w:t>
            </w:r>
            <w:r w:rsidRPr="00464EA0">
              <w:rPr>
                <w:noProof/>
                <w:webHidden/>
                <w:sz w:val="24"/>
                <w:szCs w:val="24"/>
                <w:lang w:val="en-GB"/>
              </w:rPr>
              <w:fldChar w:fldCharType="end"/>
            </w:r>
          </w:hyperlink>
        </w:p>
        <w:p w14:paraId="554E81A0" w14:textId="77777777" w:rsidR="00464EA0" w:rsidRPr="00464EA0" w:rsidRDefault="00464EA0">
          <w:pPr>
            <w:pStyle w:val="TOC1"/>
            <w:tabs>
              <w:tab w:val="right" w:leader="dot" w:pos="9350"/>
            </w:tabs>
            <w:rPr>
              <w:noProof/>
              <w:sz w:val="24"/>
              <w:szCs w:val="24"/>
              <w:lang w:val="en-GB"/>
            </w:rPr>
          </w:pPr>
          <w:hyperlink w:anchor="_Toc237358432" w:history="1">
            <w:r w:rsidRPr="00464EA0">
              <w:rPr>
                <w:rStyle w:val="Hyperlink"/>
                <w:noProof/>
                <w:sz w:val="24"/>
                <w:szCs w:val="24"/>
                <w:lang w:val="en-GB"/>
              </w:rPr>
              <w:t>7.0 Conclusion and Recommendations</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_Toc237358432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16</w:t>
            </w:r>
            <w:r w:rsidRPr="00464EA0">
              <w:rPr>
                <w:noProof/>
                <w:webHidden/>
                <w:sz w:val="24"/>
                <w:szCs w:val="24"/>
                <w:lang w:val="en-GB"/>
              </w:rPr>
              <w:fldChar w:fldCharType="end"/>
            </w:r>
          </w:hyperlink>
        </w:p>
        <w:p w14:paraId="3FCFAC2B" w14:textId="77777777" w:rsidR="00464EA0" w:rsidRPr="00464EA0" w:rsidRDefault="00464EA0">
          <w:pPr>
            <w:pStyle w:val="TOC1"/>
            <w:tabs>
              <w:tab w:val="right" w:leader="dot" w:pos="9350"/>
            </w:tabs>
            <w:rPr>
              <w:noProof/>
              <w:sz w:val="24"/>
              <w:szCs w:val="24"/>
              <w:lang w:val="en-GB"/>
            </w:rPr>
          </w:pPr>
          <w:hyperlink w:anchor="_Toc237358433" w:history="1">
            <w:r w:rsidRPr="00464EA0">
              <w:rPr>
                <w:rStyle w:val="Hyperlink"/>
                <w:noProof/>
                <w:sz w:val="24"/>
                <w:szCs w:val="24"/>
                <w:lang w:val="en-GB"/>
              </w:rPr>
              <w:t>References</w:t>
            </w:r>
            <w:r w:rsidRPr="00464EA0">
              <w:rPr>
                <w:noProof/>
                <w:webHidden/>
                <w:sz w:val="24"/>
                <w:szCs w:val="24"/>
                <w:lang w:val="en-GB"/>
              </w:rPr>
              <w:tab/>
            </w:r>
            <w:r w:rsidRPr="00464EA0">
              <w:rPr>
                <w:noProof/>
                <w:webHidden/>
                <w:sz w:val="24"/>
                <w:szCs w:val="24"/>
                <w:lang w:val="en-GB"/>
              </w:rPr>
              <w:fldChar w:fldCharType="begin"/>
            </w:r>
            <w:r w:rsidRPr="00464EA0">
              <w:rPr>
                <w:noProof/>
                <w:webHidden/>
                <w:sz w:val="24"/>
                <w:szCs w:val="24"/>
                <w:lang w:val="en-GB"/>
              </w:rPr>
              <w:instrText xml:space="preserve"> PAGEREF _Toc237358433 \h </w:instrText>
            </w:r>
            <w:r w:rsidRPr="00464EA0">
              <w:rPr>
                <w:noProof/>
                <w:webHidden/>
                <w:sz w:val="24"/>
                <w:szCs w:val="24"/>
                <w:lang w:val="en-GB"/>
              </w:rPr>
            </w:r>
            <w:r w:rsidRPr="00464EA0">
              <w:rPr>
                <w:noProof/>
                <w:webHidden/>
                <w:sz w:val="24"/>
                <w:szCs w:val="24"/>
                <w:lang w:val="en-GB"/>
              </w:rPr>
              <w:fldChar w:fldCharType="separate"/>
            </w:r>
            <w:r w:rsidRPr="00464EA0">
              <w:rPr>
                <w:noProof/>
                <w:webHidden/>
                <w:sz w:val="24"/>
                <w:szCs w:val="24"/>
                <w:lang w:val="en-GB"/>
              </w:rPr>
              <w:t>18</w:t>
            </w:r>
            <w:r w:rsidRPr="00464EA0">
              <w:rPr>
                <w:noProof/>
                <w:webHidden/>
                <w:sz w:val="24"/>
                <w:szCs w:val="24"/>
                <w:lang w:val="en-GB"/>
              </w:rPr>
              <w:fldChar w:fldCharType="end"/>
            </w:r>
          </w:hyperlink>
        </w:p>
        <w:p w14:paraId="1D0CCDAE" w14:textId="77777777" w:rsidR="00464EA0" w:rsidRPr="00464EA0" w:rsidRDefault="00464EA0">
          <w:pPr>
            <w:rPr>
              <w:lang w:val="en-GB"/>
            </w:rPr>
          </w:pPr>
          <w:r w:rsidRPr="00464EA0">
            <w:rPr>
              <w:b/>
              <w:bCs/>
              <w:noProof/>
              <w:sz w:val="24"/>
              <w:szCs w:val="24"/>
              <w:lang w:val="en-GB"/>
            </w:rPr>
            <w:fldChar w:fldCharType="end"/>
          </w:r>
        </w:p>
      </w:sdtContent>
    </w:sdt>
    <w:p w14:paraId="0F3B60CF" w14:textId="77777777" w:rsidR="00464EA0" w:rsidRPr="00464EA0" w:rsidRDefault="00464EA0">
      <w:pPr>
        <w:rPr>
          <w:b/>
          <w:bCs/>
          <w:sz w:val="28"/>
          <w:szCs w:val="28"/>
          <w:lang w:val="en-GB"/>
        </w:rPr>
      </w:pPr>
      <w:r w:rsidRPr="00464EA0">
        <w:rPr>
          <w:b/>
          <w:bCs/>
          <w:sz w:val="28"/>
          <w:szCs w:val="28"/>
          <w:lang w:val="en-GB"/>
        </w:rPr>
        <w:br w:type="page"/>
      </w:r>
    </w:p>
    <w:p w14:paraId="73FD9B72" w14:textId="77777777" w:rsidR="007017E5" w:rsidRPr="00464EA0" w:rsidRDefault="00464EA0" w:rsidP="00464EA0">
      <w:pPr>
        <w:pStyle w:val="Heading1"/>
        <w:rPr>
          <w:lang w:val="en-GB"/>
        </w:rPr>
      </w:pPr>
      <w:bookmarkStart w:id="0" w:name="_Toc237358427"/>
      <w:r w:rsidRPr="00464EA0">
        <w:rPr>
          <w:lang w:val="en-GB"/>
        </w:rPr>
        <w:lastRenderedPageBreak/>
        <w:t>2.0 Introduction</w:t>
      </w:r>
      <w:bookmarkEnd w:id="0"/>
    </w:p>
    <w:p w14:paraId="634151BC" w14:textId="77777777" w:rsidR="007017E5" w:rsidRPr="00464EA0" w:rsidRDefault="00464EA0">
      <w:pPr>
        <w:spacing w:line="360" w:lineRule="auto"/>
        <w:jc w:val="both"/>
        <w:rPr>
          <w:sz w:val="24"/>
          <w:szCs w:val="24"/>
          <w:lang w:val="en-GB"/>
        </w:rPr>
      </w:pPr>
      <w:r w:rsidRPr="00464EA0">
        <w:rPr>
          <w:b/>
          <w:bCs/>
          <w:sz w:val="26"/>
          <w:szCs w:val="26"/>
          <w:lang w:val="en-GB"/>
        </w:rPr>
        <w:t>2.1 Definition of the main concepts</w:t>
      </w:r>
    </w:p>
    <w:p w14:paraId="5BE973BC" w14:textId="77777777" w:rsidR="007017E5" w:rsidRPr="006A5EBB" w:rsidRDefault="00464EA0">
      <w:pPr>
        <w:spacing w:line="360" w:lineRule="auto"/>
        <w:jc w:val="both"/>
        <w:rPr>
          <w:lang w:val="en-GB"/>
        </w:rPr>
      </w:pPr>
      <w:r w:rsidRPr="006A5EBB">
        <w:rPr>
          <w:lang w:val="en-GB"/>
        </w:rPr>
        <w:t>Also referred to as homecare, domiciliary care is formal care and support which can help a person to live independently in the community. These services can include washing, dress</w:t>
      </w:r>
      <w:r w:rsidR="0081699C" w:rsidRPr="006A5EBB">
        <w:rPr>
          <w:lang w:val="en-GB"/>
        </w:rPr>
        <w:t>ing</w:t>
      </w:r>
      <w:r w:rsidRPr="006A5EBB">
        <w:rPr>
          <w:lang w:val="en-GB"/>
        </w:rPr>
        <w:t>, toilet</w:t>
      </w:r>
      <w:r w:rsidR="0081699C" w:rsidRPr="006A5EBB">
        <w:rPr>
          <w:lang w:val="en-GB"/>
        </w:rPr>
        <w:t>ing</w:t>
      </w:r>
      <w:r w:rsidRPr="006A5EBB">
        <w:rPr>
          <w:lang w:val="en-GB"/>
        </w:rPr>
        <w:t>, meal preparation, medication support, mobility support</w:t>
      </w:r>
      <w:r w:rsidR="0081699C" w:rsidRPr="006A5EBB">
        <w:rPr>
          <w:lang w:val="en-GB"/>
        </w:rPr>
        <w:t>,</w:t>
      </w:r>
      <w:r w:rsidRPr="006A5EBB">
        <w:rPr>
          <w:lang w:val="en-GB"/>
        </w:rPr>
        <w:t xml:space="preserve"> household duties and social participation support (O'Rourke and Beresford, 2022). The term 'older adults' is used throughout this review and generally refers to adults aged 65 years and older, but studies with a wider age range were used if there was evidence for older adults.</w:t>
      </w:r>
    </w:p>
    <w:p w14:paraId="2609D65B" w14:textId="77777777" w:rsidR="007017E5" w:rsidRPr="006A5EBB" w:rsidRDefault="00464EA0">
      <w:pPr>
        <w:spacing w:line="360" w:lineRule="auto"/>
        <w:jc w:val="both"/>
        <w:rPr>
          <w:lang w:val="en-GB"/>
        </w:rPr>
      </w:pPr>
      <w:r w:rsidRPr="006A5EBB">
        <w:rPr>
          <w:lang w:val="en-GB"/>
        </w:rPr>
        <w:t>As the UK is an ageing society, the importance of domiciliary care has increased. One in four people (2.5%) were aged 85 years or over in mid-2024 (1.75 million). It is estimated that this will increase to 3.6 million by 2049 (ONS 2026). Home support is also a vital factor and is strengthened by living arrangements. In 2024, 4.3 million people aged 65 or above lived alone, compared with 3.5 million in 2014 (ONS, 2025).</w:t>
      </w:r>
    </w:p>
    <w:p w14:paraId="6271197A" w14:textId="77777777" w:rsidR="007017E5" w:rsidRPr="00464EA0" w:rsidRDefault="00464EA0">
      <w:pPr>
        <w:spacing w:line="360" w:lineRule="auto"/>
        <w:jc w:val="both"/>
        <w:rPr>
          <w:b/>
          <w:bCs/>
          <w:sz w:val="26"/>
          <w:szCs w:val="26"/>
          <w:lang w:val="en-GB"/>
        </w:rPr>
      </w:pPr>
      <w:r w:rsidRPr="00464EA0">
        <w:rPr>
          <w:b/>
          <w:bCs/>
          <w:sz w:val="26"/>
          <w:szCs w:val="26"/>
          <w:lang w:val="en-GB"/>
        </w:rPr>
        <w:t>2.2 Rationale</w:t>
      </w:r>
    </w:p>
    <w:p w14:paraId="27EB54E8" w14:textId="77777777" w:rsidR="007017E5" w:rsidRPr="006A5EBB" w:rsidRDefault="00464EA0">
      <w:pPr>
        <w:spacing w:line="360" w:lineRule="auto"/>
        <w:jc w:val="both"/>
        <w:rPr>
          <w:lang w:val="en-GB"/>
        </w:rPr>
      </w:pPr>
      <w:r w:rsidRPr="006A5EBB">
        <w:rPr>
          <w:lang w:val="en-GB"/>
        </w:rPr>
        <w:t xml:space="preserve">Population ageing is accompanied by a desire for people to be supported in their community wherever possible and to be independent. Domiciliary care therefore has a social and a preventative role in that it helps people to live in their own homes and prevents unnecessary deterioration and complements community health services. However, there is increasing demand for work in a sector which is short of staff, </w:t>
      </w:r>
      <w:r w:rsidR="0081699C" w:rsidRPr="006A5EBB">
        <w:rPr>
          <w:lang w:val="en-GB"/>
        </w:rPr>
        <w:t xml:space="preserve">has </w:t>
      </w:r>
      <w:r w:rsidRPr="006A5EBB">
        <w:rPr>
          <w:lang w:val="en-GB"/>
        </w:rPr>
        <w:t xml:space="preserve">high turnover, </w:t>
      </w:r>
      <w:r w:rsidR="0081699C" w:rsidRPr="006A5EBB">
        <w:rPr>
          <w:lang w:val="en-GB"/>
        </w:rPr>
        <w:t xml:space="preserve">is </w:t>
      </w:r>
      <w:r w:rsidRPr="006A5EBB">
        <w:rPr>
          <w:lang w:val="en-GB"/>
        </w:rPr>
        <w:t>time-limited and for which the need</w:t>
      </w:r>
      <w:r w:rsidR="0081699C" w:rsidRPr="006A5EBB">
        <w:rPr>
          <w:lang w:val="en-GB"/>
        </w:rPr>
        <w:t>s</w:t>
      </w:r>
      <w:r w:rsidRPr="006A5EBB">
        <w:rPr>
          <w:lang w:val="en-GB"/>
        </w:rPr>
        <w:t xml:space="preserve"> of service-users </w:t>
      </w:r>
      <w:r w:rsidR="0081699C" w:rsidRPr="006A5EBB">
        <w:rPr>
          <w:lang w:val="en-GB"/>
        </w:rPr>
        <w:t>are</w:t>
      </w:r>
      <w:r w:rsidRPr="006A5EBB">
        <w:rPr>
          <w:lang w:val="en-GB"/>
        </w:rPr>
        <w:t xml:space="preserve"> becoming more complex (O'Rourke and Beresford, 2022; Burns et al., 2023; Healy et al., 2024).</w:t>
      </w:r>
    </w:p>
    <w:p w14:paraId="0A251E3A" w14:textId="77777777" w:rsidR="007017E5" w:rsidRPr="00464EA0" w:rsidRDefault="00464EA0">
      <w:pPr>
        <w:spacing w:line="360" w:lineRule="auto"/>
        <w:jc w:val="both"/>
        <w:rPr>
          <w:sz w:val="24"/>
          <w:szCs w:val="24"/>
          <w:lang w:val="en-GB"/>
        </w:rPr>
      </w:pPr>
      <w:r w:rsidRPr="00464EA0">
        <w:rPr>
          <w:noProof/>
          <w:sz w:val="24"/>
          <w:szCs w:val="24"/>
          <w:lang w:val="en-IN"/>
        </w:rPr>
        <w:lastRenderedPageBreak/>
        <w:drawing>
          <wp:inline distT="114300" distB="114300" distL="114300" distR="114300" wp14:anchorId="694D2EEB" wp14:editId="510DE854">
            <wp:extent cx="5943600" cy="3924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924300"/>
                    </a:xfrm>
                    <a:prstGeom prst="rect">
                      <a:avLst/>
                    </a:prstGeom>
                    <a:ln/>
                  </pic:spPr>
                </pic:pic>
              </a:graphicData>
            </a:graphic>
          </wp:inline>
        </w:drawing>
      </w:r>
    </w:p>
    <w:p w14:paraId="4D0557A8" w14:textId="77777777" w:rsidR="007017E5" w:rsidRPr="00464EA0" w:rsidRDefault="00464EA0">
      <w:pPr>
        <w:spacing w:line="360" w:lineRule="auto"/>
        <w:jc w:val="center"/>
        <w:rPr>
          <w:sz w:val="24"/>
          <w:szCs w:val="24"/>
          <w:lang w:val="en-GB"/>
        </w:rPr>
      </w:pPr>
      <w:r w:rsidRPr="00464EA0">
        <w:rPr>
          <w:b/>
          <w:bCs/>
          <w:sz w:val="24"/>
          <w:szCs w:val="24"/>
          <w:lang w:val="en-GB"/>
        </w:rPr>
        <w:t xml:space="preserve">Figure: </w:t>
      </w:r>
      <w:r w:rsidRPr="00464EA0">
        <w:rPr>
          <w:sz w:val="24"/>
          <w:szCs w:val="24"/>
          <w:lang w:val="en-GB"/>
        </w:rPr>
        <w:t>Requests for adult social care support in England</w:t>
      </w:r>
    </w:p>
    <w:p w14:paraId="6100B7E6" w14:textId="77777777" w:rsidR="007017E5" w:rsidRPr="00464EA0" w:rsidRDefault="00464EA0">
      <w:pPr>
        <w:spacing w:line="360" w:lineRule="auto"/>
        <w:jc w:val="center"/>
        <w:rPr>
          <w:sz w:val="24"/>
          <w:szCs w:val="24"/>
          <w:lang w:val="en-GB"/>
        </w:rPr>
      </w:pPr>
      <w:r w:rsidRPr="00464EA0">
        <w:rPr>
          <w:b/>
          <w:bCs/>
          <w:sz w:val="24"/>
          <w:szCs w:val="24"/>
          <w:lang w:val="en-GB"/>
        </w:rPr>
        <w:t xml:space="preserve">Source: </w:t>
      </w:r>
      <w:r w:rsidRPr="00464EA0">
        <w:rPr>
          <w:sz w:val="24"/>
          <w:szCs w:val="24"/>
          <w:lang w:val="en-GB"/>
        </w:rPr>
        <w:t>(The King’s Fund, 2026)</w:t>
      </w:r>
    </w:p>
    <w:p w14:paraId="739BD3A9" w14:textId="77777777" w:rsidR="007017E5" w:rsidRPr="006A5EBB" w:rsidRDefault="00464EA0">
      <w:pPr>
        <w:spacing w:line="360" w:lineRule="auto"/>
        <w:jc w:val="both"/>
        <w:rPr>
          <w:lang w:val="en-GB"/>
        </w:rPr>
      </w:pPr>
      <w:r w:rsidRPr="006A5EBB">
        <w:rPr>
          <w:lang w:val="en-GB"/>
        </w:rPr>
        <w:t>The need is huge. In 2024/25, 2.02 million people in England made their initial request for local authority support. Some 1.30 million of these requests came from people aged 65 years or older (Department of Health and Social Care, 2026a). Meanwhile, research indicates that homecare issues that are most important to stakeholders are not necessarily the subject of the heaviest research (O'Rourke and Beresford, 2022). A recent evidence synthesis further revealed that there are still unanswered questions on how homecare quality is defined and measured (Hall et al., 2025).</w:t>
      </w:r>
    </w:p>
    <w:p w14:paraId="3C13E3D2" w14:textId="77777777" w:rsidR="007017E5" w:rsidRPr="00464EA0" w:rsidRDefault="00464EA0">
      <w:pPr>
        <w:spacing w:line="360" w:lineRule="auto"/>
        <w:jc w:val="both"/>
        <w:rPr>
          <w:b/>
          <w:bCs/>
          <w:sz w:val="26"/>
          <w:szCs w:val="26"/>
          <w:lang w:val="en-GB"/>
        </w:rPr>
      </w:pPr>
      <w:r w:rsidRPr="00464EA0">
        <w:rPr>
          <w:b/>
          <w:bCs/>
          <w:sz w:val="26"/>
          <w:szCs w:val="26"/>
          <w:lang w:val="en-GB"/>
        </w:rPr>
        <w:t>2.3 Review question</w:t>
      </w:r>
    </w:p>
    <w:p w14:paraId="6217B8A4" w14:textId="77777777" w:rsidR="007017E5" w:rsidRPr="006A5EBB" w:rsidRDefault="00464EA0">
      <w:pPr>
        <w:spacing w:line="360" w:lineRule="auto"/>
        <w:jc w:val="both"/>
        <w:rPr>
          <w:lang w:val="en-GB"/>
        </w:rPr>
      </w:pPr>
      <w:r w:rsidRPr="006A5EBB">
        <w:rPr>
          <w:lang w:val="en-GB"/>
        </w:rPr>
        <w:t>What evidence exists regarding the challenges affecting domiciliary care for older adults in the United Kingdom?</w:t>
      </w:r>
    </w:p>
    <w:p w14:paraId="4313651D" w14:textId="77777777" w:rsidR="007017E5" w:rsidRPr="00464EA0" w:rsidRDefault="00464EA0">
      <w:pPr>
        <w:spacing w:line="360" w:lineRule="auto"/>
        <w:jc w:val="both"/>
        <w:rPr>
          <w:b/>
          <w:bCs/>
          <w:sz w:val="26"/>
          <w:szCs w:val="26"/>
          <w:lang w:val="en-GB"/>
        </w:rPr>
      </w:pPr>
      <w:r w:rsidRPr="00464EA0">
        <w:rPr>
          <w:b/>
          <w:bCs/>
          <w:sz w:val="26"/>
          <w:szCs w:val="26"/>
          <w:lang w:val="en-GB"/>
        </w:rPr>
        <w:t>2.4 Aim and objectives</w:t>
      </w:r>
    </w:p>
    <w:p w14:paraId="5A1AD4D6" w14:textId="77777777" w:rsidR="007017E5" w:rsidRPr="00464EA0" w:rsidRDefault="00464EA0">
      <w:pPr>
        <w:spacing w:line="360" w:lineRule="auto"/>
        <w:jc w:val="both"/>
        <w:rPr>
          <w:b/>
          <w:bCs/>
          <w:i/>
          <w:iCs/>
          <w:sz w:val="24"/>
          <w:szCs w:val="24"/>
          <w:lang w:val="en-GB"/>
        </w:rPr>
      </w:pPr>
      <w:r w:rsidRPr="00464EA0">
        <w:rPr>
          <w:b/>
          <w:bCs/>
          <w:i/>
          <w:iCs/>
          <w:sz w:val="24"/>
          <w:szCs w:val="24"/>
          <w:lang w:val="en-GB"/>
        </w:rPr>
        <w:t>Aim</w:t>
      </w:r>
    </w:p>
    <w:p w14:paraId="526404A3" w14:textId="77777777" w:rsidR="007017E5" w:rsidRDefault="00464EA0">
      <w:pPr>
        <w:spacing w:line="360" w:lineRule="auto"/>
        <w:jc w:val="both"/>
        <w:rPr>
          <w:lang w:val="en-GB"/>
        </w:rPr>
      </w:pPr>
      <w:r w:rsidRPr="006A5EBB">
        <w:rPr>
          <w:lang w:val="en-GB"/>
        </w:rPr>
        <w:t>To review and integrate the latest evidence related to issues in domiciliary care for older people in the UK.</w:t>
      </w:r>
    </w:p>
    <w:p w14:paraId="209D8BDD" w14:textId="77777777" w:rsidR="006A5EBB" w:rsidRPr="006A5EBB" w:rsidRDefault="006A5EBB">
      <w:pPr>
        <w:spacing w:line="360" w:lineRule="auto"/>
        <w:jc w:val="both"/>
        <w:rPr>
          <w:lang w:val="en-GB"/>
        </w:rPr>
      </w:pPr>
    </w:p>
    <w:p w14:paraId="6212B475" w14:textId="77777777" w:rsidR="007017E5" w:rsidRPr="00464EA0" w:rsidRDefault="00464EA0">
      <w:pPr>
        <w:spacing w:line="360" w:lineRule="auto"/>
        <w:jc w:val="both"/>
        <w:rPr>
          <w:b/>
          <w:bCs/>
          <w:i/>
          <w:iCs/>
          <w:sz w:val="24"/>
          <w:szCs w:val="24"/>
          <w:lang w:val="en-GB"/>
        </w:rPr>
      </w:pPr>
      <w:r w:rsidRPr="00464EA0">
        <w:rPr>
          <w:b/>
          <w:bCs/>
          <w:i/>
          <w:iCs/>
          <w:sz w:val="24"/>
          <w:szCs w:val="24"/>
          <w:lang w:val="en-GB"/>
        </w:rPr>
        <w:lastRenderedPageBreak/>
        <w:t>Objectives</w:t>
      </w:r>
    </w:p>
    <w:p w14:paraId="02A1E524" w14:textId="77777777" w:rsidR="007017E5" w:rsidRPr="006A5EBB" w:rsidRDefault="00464EA0">
      <w:pPr>
        <w:numPr>
          <w:ilvl w:val="0"/>
          <w:numId w:val="1"/>
        </w:numPr>
        <w:spacing w:line="360" w:lineRule="auto"/>
        <w:jc w:val="both"/>
        <w:rPr>
          <w:lang w:val="en-GB"/>
        </w:rPr>
      </w:pPr>
      <w:r w:rsidRPr="006A5EBB">
        <w:rPr>
          <w:lang w:val="en-GB"/>
        </w:rPr>
        <w:t>To identify the key challenges th</w:t>
      </w:r>
      <w:r w:rsidR="0081699C" w:rsidRPr="006A5EBB">
        <w:rPr>
          <w:lang w:val="en-GB"/>
        </w:rPr>
        <w:t>at</w:t>
      </w:r>
      <w:r w:rsidRPr="006A5EBB">
        <w:rPr>
          <w:lang w:val="en-GB"/>
        </w:rPr>
        <w:t xml:space="preserve"> older adults</w:t>
      </w:r>
      <w:r w:rsidR="0081699C" w:rsidRPr="006A5EBB">
        <w:rPr>
          <w:lang w:val="en-GB"/>
        </w:rPr>
        <w:t>'</w:t>
      </w:r>
      <w:r w:rsidRPr="006A5EBB">
        <w:rPr>
          <w:lang w:val="en-GB"/>
        </w:rPr>
        <w:t xml:space="preserve"> domiciliary care in the United Kingdom faces in terms of workforce, organisational, service-delivery and quality.</w:t>
      </w:r>
    </w:p>
    <w:p w14:paraId="17E05A7E" w14:textId="77777777" w:rsidR="007017E5" w:rsidRPr="006A5EBB" w:rsidRDefault="00464EA0">
      <w:pPr>
        <w:numPr>
          <w:ilvl w:val="0"/>
          <w:numId w:val="1"/>
        </w:numPr>
        <w:spacing w:line="360" w:lineRule="auto"/>
        <w:jc w:val="both"/>
        <w:rPr>
          <w:lang w:val="en-GB"/>
        </w:rPr>
      </w:pPr>
      <w:r w:rsidRPr="006A5EBB">
        <w:rPr>
          <w:lang w:val="en-GB"/>
        </w:rPr>
        <w:t>To analyse and synthesise the latest (2022 and onwards) peer-reviewed literature that examines the effect of these challenges on continuity, accessibility, safety and person</w:t>
      </w:r>
      <w:r w:rsidR="0081699C" w:rsidRPr="006A5EBB">
        <w:rPr>
          <w:lang w:val="en-GB"/>
        </w:rPr>
        <w:t>-</w:t>
      </w:r>
      <w:r w:rsidRPr="006A5EBB">
        <w:rPr>
          <w:lang w:val="en-GB"/>
        </w:rPr>
        <w:t>centred care for older people critically.</w:t>
      </w:r>
    </w:p>
    <w:p w14:paraId="14FC4109" w14:textId="77777777" w:rsidR="007017E5" w:rsidRPr="006A5EBB" w:rsidRDefault="00464EA0">
      <w:pPr>
        <w:numPr>
          <w:ilvl w:val="0"/>
          <w:numId w:val="1"/>
        </w:numPr>
        <w:spacing w:line="360" w:lineRule="auto"/>
        <w:jc w:val="both"/>
        <w:rPr>
          <w:lang w:val="en-GB"/>
        </w:rPr>
      </w:pPr>
      <w:r w:rsidRPr="006A5EBB">
        <w:rPr>
          <w:lang w:val="en-GB"/>
        </w:rPr>
        <w:t>Implications for future research, policy and health and social care practice to improve domiciliary care for older people in the United Kingdom based on evidence.</w:t>
      </w:r>
    </w:p>
    <w:p w14:paraId="2C57B5A9" w14:textId="77777777" w:rsidR="007017E5" w:rsidRPr="00464EA0" w:rsidRDefault="00464EA0" w:rsidP="00464EA0">
      <w:pPr>
        <w:pStyle w:val="Heading1"/>
        <w:rPr>
          <w:lang w:val="en-GB"/>
        </w:rPr>
      </w:pPr>
      <w:bookmarkStart w:id="1" w:name="_Toc237358428"/>
      <w:r w:rsidRPr="00464EA0">
        <w:rPr>
          <w:lang w:val="en-GB"/>
        </w:rPr>
        <w:t>3.0 Background</w:t>
      </w:r>
      <w:bookmarkEnd w:id="1"/>
    </w:p>
    <w:p w14:paraId="3BE0E17F" w14:textId="77777777" w:rsidR="007017E5" w:rsidRPr="00464EA0" w:rsidRDefault="00464EA0">
      <w:pPr>
        <w:spacing w:line="360" w:lineRule="auto"/>
        <w:jc w:val="both"/>
        <w:rPr>
          <w:b/>
          <w:bCs/>
          <w:sz w:val="26"/>
          <w:szCs w:val="26"/>
          <w:lang w:val="en-GB"/>
        </w:rPr>
      </w:pPr>
      <w:r w:rsidRPr="00464EA0">
        <w:rPr>
          <w:b/>
          <w:bCs/>
          <w:sz w:val="26"/>
          <w:szCs w:val="26"/>
          <w:lang w:val="en-GB"/>
        </w:rPr>
        <w:t>3.1 UK domiciliary-care context</w:t>
      </w:r>
    </w:p>
    <w:p w14:paraId="3D379B74" w14:textId="77777777" w:rsidR="007017E5" w:rsidRPr="006A5EBB" w:rsidRDefault="00464EA0">
      <w:pPr>
        <w:spacing w:line="360" w:lineRule="auto"/>
        <w:jc w:val="both"/>
        <w:rPr>
          <w:lang w:val="en-GB"/>
        </w:rPr>
      </w:pPr>
      <w:r w:rsidRPr="006A5EBB">
        <w:rPr>
          <w:lang w:val="en-GB"/>
        </w:rPr>
        <w:t>Public expenditure is a measure of the size and significance of community-based care. During 2024/25, the government spent £12.0 billion on long-term care for those aged 65 and over in England. Of this</w:t>
      </w:r>
      <w:r w:rsidR="0081699C" w:rsidRPr="006A5EBB">
        <w:rPr>
          <w:lang w:val="en-GB"/>
        </w:rPr>
        <w:t>,</w:t>
      </w:r>
      <w:r w:rsidRPr="006A5EBB">
        <w:rPr>
          <w:lang w:val="en-GB"/>
        </w:rPr>
        <w:t xml:space="preserve"> £4.3 billion was spent on community care</w:t>
      </w:r>
      <w:r w:rsidR="0081699C" w:rsidRPr="006A5EBB">
        <w:rPr>
          <w:lang w:val="en-GB"/>
        </w:rPr>
        <w:t>,</w:t>
      </w:r>
      <w:r w:rsidRPr="006A5EBB">
        <w:rPr>
          <w:lang w:val="en-GB"/>
        </w:rPr>
        <w:t xml:space="preserve"> and home</w:t>
      </w:r>
      <w:r w:rsidR="0081699C" w:rsidRPr="006A5EBB">
        <w:rPr>
          <w:lang w:val="en-GB"/>
        </w:rPr>
        <w:t xml:space="preserve"> </w:t>
      </w:r>
      <w:r w:rsidRPr="006A5EBB">
        <w:rPr>
          <w:lang w:val="en-GB"/>
        </w:rPr>
        <w:t>care in community settings took up 66% of this (Department of Health and Social Care, 2026b). In 2024/25, the average rate of the cost of home care provided from outside the local authority was £23.56 per hour, and this rate has increased by 7% per year over time (Department of Health and Social Care, 2026b).</w:t>
      </w:r>
    </w:p>
    <w:p w14:paraId="19539493" w14:textId="77777777" w:rsidR="007017E5" w:rsidRPr="006A5EBB" w:rsidRDefault="00464EA0">
      <w:pPr>
        <w:spacing w:line="360" w:lineRule="auto"/>
        <w:jc w:val="both"/>
        <w:rPr>
          <w:lang w:val="en-GB"/>
        </w:rPr>
      </w:pPr>
      <w:r w:rsidRPr="006A5EBB">
        <w:rPr>
          <w:lang w:val="en-GB"/>
        </w:rPr>
        <w:t xml:space="preserve">There is a range of provision which is organisationally diverse. This can be either by direct payments or commissioned and coordinated with NHS community </w:t>
      </w:r>
      <w:proofErr w:type="gramStart"/>
      <w:r w:rsidRPr="006A5EBB">
        <w:rPr>
          <w:lang w:val="en-GB"/>
        </w:rPr>
        <w:t>services, or</w:t>
      </w:r>
      <w:proofErr w:type="gramEnd"/>
      <w:r w:rsidRPr="006A5EBB">
        <w:rPr>
          <w:lang w:val="en-GB"/>
        </w:rPr>
        <w:t xml:space="preserve"> delivered privately by local authorities. </w:t>
      </w:r>
      <w:proofErr w:type="gramStart"/>
      <w:r w:rsidRPr="006A5EBB">
        <w:rPr>
          <w:lang w:val="en-GB"/>
        </w:rPr>
        <w:t>The majority of</w:t>
      </w:r>
      <w:proofErr w:type="gramEnd"/>
      <w:r w:rsidRPr="006A5EBB">
        <w:rPr>
          <w:lang w:val="en-GB"/>
        </w:rPr>
        <w:t xml:space="preserve"> provision is provided by independent organisations (Le et al., 2024). The mixed structure can provide choice and </w:t>
      </w:r>
      <w:proofErr w:type="gramStart"/>
      <w:r w:rsidRPr="006A5EBB">
        <w:rPr>
          <w:lang w:val="en-GB"/>
        </w:rPr>
        <w:t>flexibility, but</w:t>
      </w:r>
      <w:proofErr w:type="gramEnd"/>
      <w:r w:rsidRPr="006A5EBB">
        <w:rPr>
          <w:lang w:val="en-GB"/>
        </w:rPr>
        <w:t xml:space="preserve"> can also lead to 'commissioner/provider fragmentation' and to fragmentation among commissioners and providers, health professionals and carers of older people and family carers.</w:t>
      </w:r>
    </w:p>
    <w:p w14:paraId="3677804D" w14:textId="77777777" w:rsidR="007017E5" w:rsidRPr="00464EA0" w:rsidRDefault="00464EA0">
      <w:pPr>
        <w:spacing w:line="360" w:lineRule="auto"/>
        <w:jc w:val="both"/>
        <w:rPr>
          <w:b/>
          <w:bCs/>
          <w:sz w:val="26"/>
          <w:szCs w:val="26"/>
          <w:lang w:val="en-GB"/>
        </w:rPr>
      </w:pPr>
      <w:r w:rsidRPr="00464EA0">
        <w:rPr>
          <w:b/>
          <w:bCs/>
          <w:sz w:val="26"/>
          <w:szCs w:val="26"/>
          <w:lang w:val="en-GB"/>
        </w:rPr>
        <w:t>3.2 Policy, legislation and regulatory context</w:t>
      </w:r>
    </w:p>
    <w:p w14:paraId="2181ECF5" w14:textId="77777777" w:rsidR="007017E5" w:rsidRPr="006A5EBB" w:rsidRDefault="00464EA0">
      <w:pPr>
        <w:spacing w:line="360" w:lineRule="auto"/>
        <w:jc w:val="both"/>
        <w:rPr>
          <w:lang w:val="en-GB"/>
        </w:rPr>
      </w:pPr>
      <w:r w:rsidRPr="006A5EBB">
        <w:rPr>
          <w:lang w:val="en-GB"/>
        </w:rPr>
        <w:t>It has been noted that the Care Act framework puts individual wellbeing at the heart of social care for adults in England (Department of Health and Social Care, 2025). The Health and Care Act 2022 further strengthens the expectations of integration of health and care. The NICE guidance for homecare for older people emphasises the importance of co-ordinated care, continuity of workers, visits of appropriate length and no missed or late visits (NICE, 2015).</w:t>
      </w:r>
    </w:p>
    <w:p w14:paraId="106C2476" w14:textId="77777777" w:rsidR="007017E5" w:rsidRPr="006A5EBB" w:rsidRDefault="00464EA0">
      <w:pPr>
        <w:spacing w:line="360" w:lineRule="auto"/>
        <w:jc w:val="both"/>
        <w:rPr>
          <w:lang w:val="en-GB"/>
        </w:rPr>
      </w:pPr>
      <w:r w:rsidRPr="006A5EBB">
        <w:rPr>
          <w:lang w:val="en-GB"/>
        </w:rPr>
        <w:t xml:space="preserve">Expectations of regulators are also clear. Regulation 9 aims to </w:t>
      </w:r>
      <w:proofErr w:type="gramStart"/>
      <w:r w:rsidRPr="006A5EBB">
        <w:rPr>
          <w:lang w:val="en-GB"/>
        </w:rPr>
        <w:t>take into account</w:t>
      </w:r>
      <w:proofErr w:type="gramEnd"/>
      <w:r w:rsidRPr="006A5EBB">
        <w:rPr>
          <w:lang w:val="en-GB"/>
        </w:rPr>
        <w:t xml:space="preserve"> individual needs and </w:t>
      </w:r>
      <w:proofErr w:type="gramStart"/>
      <w:r w:rsidRPr="006A5EBB">
        <w:rPr>
          <w:lang w:val="en-GB"/>
        </w:rPr>
        <w:t>preferences, and</w:t>
      </w:r>
      <w:proofErr w:type="gramEnd"/>
      <w:r w:rsidRPr="006A5EBB">
        <w:rPr>
          <w:lang w:val="en-GB"/>
        </w:rPr>
        <w:t xml:space="preserve"> requires that individuals are involved in planning their support, while Regulation 18 requires that there are </w:t>
      </w:r>
      <w:proofErr w:type="gramStart"/>
      <w:r w:rsidRPr="006A5EBB">
        <w:rPr>
          <w:lang w:val="en-GB"/>
        </w:rPr>
        <w:t>sufficient numbers of</w:t>
      </w:r>
      <w:proofErr w:type="gramEnd"/>
      <w:r w:rsidRPr="006A5EBB">
        <w:rPr>
          <w:lang w:val="en-GB"/>
        </w:rPr>
        <w:t xml:space="preserve"> appropriately competent and supported staff deployed (CQC, 2025a; CQC, 2025b). What is, therefore, important is not</w:t>
      </w:r>
      <w:r w:rsidRPr="00464EA0">
        <w:rPr>
          <w:sz w:val="24"/>
          <w:szCs w:val="24"/>
          <w:lang w:val="en-GB"/>
        </w:rPr>
        <w:t xml:space="preserve"> </w:t>
      </w:r>
      <w:r w:rsidRPr="006A5EBB">
        <w:rPr>
          <w:lang w:val="en-GB"/>
        </w:rPr>
        <w:t xml:space="preserve">whether </w:t>
      </w:r>
      <w:r w:rsidRPr="006A5EBB">
        <w:rPr>
          <w:lang w:val="en-GB"/>
        </w:rPr>
        <w:lastRenderedPageBreak/>
        <w:t>they are in place or not, but whether the funding, staffing and commissioning arrangements are such that they can be delivered consistently.</w:t>
      </w:r>
    </w:p>
    <w:p w14:paraId="1FBF71D9" w14:textId="77777777" w:rsidR="007017E5" w:rsidRPr="00464EA0" w:rsidRDefault="00464EA0">
      <w:pPr>
        <w:spacing w:line="360" w:lineRule="auto"/>
        <w:jc w:val="both"/>
        <w:rPr>
          <w:b/>
          <w:bCs/>
          <w:sz w:val="26"/>
          <w:szCs w:val="26"/>
          <w:lang w:val="en-GB"/>
        </w:rPr>
      </w:pPr>
      <w:r w:rsidRPr="00464EA0">
        <w:rPr>
          <w:b/>
          <w:bCs/>
          <w:sz w:val="26"/>
          <w:szCs w:val="26"/>
          <w:lang w:val="en-GB"/>
        </w:rPr>
        <w:t>3.3 Existing evidence</w:t>
      </w:r>
    </w:p>
    <w:p w14:paraId="0E7F6767" w14:textId="77777777" w:rsidR="007017E5" w:rsidRPr="006A5EBB" w:rsidRDefault="00464EA0">
      <w:pPr>
        <w:spacing w:line="360" w:lineRule="auto"/>
        <w:jc w:val="both"/>
        <w:rPr>
          <w:lang w:val="en-GB"/>
        </w:rPr>
      </w:pPr>
      <w:r w:rsidRPr="006A5EBB">
        <w:rPr>
          <w:lang w:val="en-GB"/>
        </w:rPr>
        <w:t xml:space="preserve">A recent study projects homecare as an industry that's replete with interrelated problems. Limited continuity of staffing and caring relationships can result in reduced continuity of care which can have a knock-on effect on the quality of trusting relationships; limited times of visits can lead to reduced personalisation of care; fragmentation of health and social care working can increase the risk of reduced continuity if needs become complex (Burns et al., 2023; Healey et al., 2024; Le et al., 2024). The study on end-of-life homecare further demonstrates that, despite the growing role of homecare workers, they are not well </w:t>
      </w:r>
      <w:proofErr w:type="gramStart"/>
      <w:r w:rsidRPr="006A5EBB">
        <w:rPr>
          <w:lang w:val="en-GB"/>
        </w:rPr>
        <w:t>trained</w:t>
      </w:r>
      <w:proofErr w:type="gramEnd"/>
      <w:r w:rsidRPr="006A5EBB">
        <w:rPr>
          <w:lang w:val="en-GB"/>
        </w:rPr>
        <w:t xml:space="preserve"> nor do they feel recognised or part of a team. Through evidence with people with dementia, poor continuity and lack of specialist skills</w:t>
      </w:r>
      <w:r w:rsidR="0081699C" w:rsidRPr="006A5EBB">
        <w:rPr>
          <w:lang w:val="en-GB"/>
        </w:rPr>
        <w:t>,</w:t>
      </w:r>
      <w:r w:rsidRPr="006A5EBB">
        <w:rPr>
          <w:lang w:val="en-GB"/>
        </w:rPr>
        <w:t xml:space="preserve"> and limited planning have been identified. These anxieties indicate the quality is not distinct from the organisational context of the care provision.</w:t>
      </w:r>
    </w:p>
    <w:p w14:paraId="48AE9E87" w14:textId="77777777" w:rsidR="007017E5" w:rsidRPr="00464EA0" w:rsidRDefault="00464EA0" w:rsidP="00464EA0">
      <w:pPr>
        <w:pStyle w:val="Heading1"/>
        <w:rPr>
          <w:lang w:val="en-GB"/>
        </w:rPr>
      </w:pPr>
      <w:bookmarkStart w:id="2" w:name="_Toc237358429"/>
      <w:r w:rsidRPr="00464EA0">
        <w:rPr>
          <w:lang w:val="en-GB"/>
        </w:rPr>
        <w:t>4.0 Methods</w:t>
      </w:r>
      <w:bookmarkEnd w:id="2"/>
    </w:p>
    <w:p w14:paraId="6E047F27" w14:textId="77777777" w:rsidR="007017E5" w:rsidRPr="00464EA0" w:rsidRDefault="00464EA0">
      <w:pPr>
        <w:spacing w:line="360" w:lineRule="auto"/>
        <w:jc w:val="both"/>
        <w:rPr>
          <w:b/>
          <w:bCs/>
          <w:sz w:val="26"/>
          <w:szCs w:val="26"/>
          <w:lang w:val="en-GB"/>
        </w:rPr>
      </w:pPr>
      <w:r w:rsidRPr="00464EA0">
        <w:rPr>
          <w:b/>
          <w:bCs/>
          <w:sz w:val="26"/>
          <w:szCs w:val="26"/>
          <w:lang w:val="en-GB"/>
        </w:rPr>
        <w:t>4.1 Review design</w:t>
      </w:r>
    </w:p>
    <w:p w14:paraId="3D8EDA67" w14:textId="77777777" w:rsidR="007017E5" w:rsidRPr="006A5EBB" w:rsidRDefault="00464EA0">
      <w:pPr>
        <w:spacing w:line="360" w:lineRule="auto"/>
        <w:jc w:val="both"/>
        <w:rPr>
          <w:lang w:val="en-GB"/>
        </w:rPr>
      </w:pPr>
      <w:r w:rsidRPr="006A5EBB">
        <w:rPr>
          <w:lang w:val="en-GB"/>
        </w:rPr>
        <w:t>The study design used was a scoping review because the review question is focusing on a broad issue with a range of interconnected organisational, workforce and service issues rather than the effectiveness of a particular intervention. Scoping reviews can be conducted to map out evidence that is too heterogeneous to be summari</w:t>
      </w:r>
      <w:r w:rsidR="0081699C" w:rsidRPr="006A5EBB">
        <w:rPr>
          <w:lang w:val="en-GB"/>
        </w:rPr>
        <w:t>s</w:t>
      </w:r>
      <w:r w:rsidRPr="006A5EBB">
        <w:rPr>
          <w:lang w:val="en-GB"/>
        </w:rPr>
        <w:t xml:space="preserve">ed with a traditional systematic </w:t>
      </w:r>
      <w:proofErr w:type="gramStart"/>
      <w:r w:rsidRPr="006A5EBB">
        <w:rPr>
          <w:lang w:val="en-GB"/>
        </w:rPr>
        <w:t>review, and</w:t>
      </w:r>
      <w:proofErr w:type="gramEnd"/>
      <w:r w:rsidRPr="006A5EBB">
        <w:rPr>
          <w:lang w:val="en-GB"/>
        </w:rPr>
        <w:t xml:space="preserve"> can help to identify key concepts and gaps in the literature (Peters et al., 2020). PRISMA-</w:t>
      </w:r>
      <w:proofErr w:type="spellStart"/>
      <w:r w:rsidRPr="006A5EBB">
        <w:rPr>
          <w:lang w:val="en-GB"/>
        </w:rPr>
        <w:t>ScR</w:t>
      </w:r>
      <w:proofErr w:type="spellEnd"/>
      <w:r w:rsidRPr="006A5EBB">
        <w:rPr>
          <w:lang w:val="en-GB"/>
        </w:rPr>
        <w:t xml:space="preserve"> guided reporting for the purposes of encouraging transparent reporting of evidence identification, selection and synthesis (</w:t>
      </w:r>
      <w:proofErr w:type="spellStart"/>
      <w:r w:rsidRPr="006A5EBB">
        <w:rPr>
          <w:lang w:val="en-GB"/>
        </w:rPr>
        <w:t>Tricco</w:t>
      </w:r>
      <w:proofErr w:type="spellEnd"/>
      <w:r w:rsidRPr="006A5EBB">
        <w:rPr>
          <w:lang w:val="en-GB"/>
        </w:rPr>
        <w:t xml:space="preserve"> et al., 2018).</w:t>
      </w:r>
    </w:p>
    <w:p w14:paraId="2C5D762A" w14:textId="77777777" w:rsidR="007017E5" w:rsidRPr="006A5EBB" w:rsidRDefault="00464EA0">
      <w:pPr>
        <w:spacing w:line="360" w:lineRule="auto"/>
        <w:jc w:val="both"/>
        <w:rPr>
          <w:lang w:val="en-GB"/>
        </w:rPr>
      </w:pPr>
      <w:r w:rsidRPr="006A5EBB">
        <w:rPr>
          <w:lang w:val="en-GB"/>
        </w:rPr>
        <w:t>The final empirical evidence window was reduced to 2022-2026 to ensure that the most up-to-date evidence was included. Older publications have only been kept if they gave methodological, legislative or ongoing national guidance and were not part of the main synthesis of studies.</w:t>
      </w:r>
    </w:p>
    <w:p w14:paraId="188AED72" w14:textId="77777777" w:rsidR="007017E5" w:rsidRPr="00464EA0" w:rsidRDefault="00464EA0">
      <w:pPr>
        <w:spacing w:line="360" w:lineRule="auto"/>
        <w:jc w:val="both"/>
        <w:rPr>
          <w:sz w:val="24"/>
          <w:szCs w:val="24"/>
          <w:lang w:val="en-GB"/>
        </w:rPr>
      </w:pPr>
      <w:r w:rsidRPr="00464EA0">
        <w:rPr>
          <w:b/>
          <w:bCs/>
          <w:sz w:val="26"/>
          <w:szCs w:val="26"/>
          <w:lang w:val="en-GB"/>
        </w:rPr>
        <w:t>4.2 PCC framework</w:t>
      </w:r>
    </w:p>
    <w:tbl>
      <w:tblPr>
        <w:tblStyle w:val="a"/>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7845"/>
      </w:tblGrid>
      <w:tr w:rsidR="007017E5" w:rsidRPr="00464EA0" w14:paraId="6BC4487D" w14:textId="77777777">
        <w:trPr>
          <w:trHeight w:val="31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4C3ED22" w14:textId="77777777" w:rsidR="007017E5" w:rsidRPr="00464EA0" w:rsidRDefault="00464EA0">
            <w:pPr>
              <w:widowControl w:val="0"/>
              <w:jc w:val="center"/>
              <w:rPr>
                <w:sz w:val="24"/>
                <w:szCs w:val="24"/>
                <w:lang w:val="en-GB"/>
              </w:rPr>
            </w:pPr>
            <w:r w:rsidRPr="00464EA0">
              <w:rPr>
                <w:b/>
                <w:bCs/>
                <w:sz w:val="24"/>
                <w:szCs w:val="24"/>
                <w:lang w:val="en-GB"/>
              </w:rPr>
              <w:t>PCC element</w:t>
            </w:r>
          </w:p>
        </w:tc>
        <w:tc>
          <w:tcPr>
            <w:tcW w:w="784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0B6CE61B" w14:textId="77777777" w:rsidR="007017E5" w:rsidRPr="00464EA0" w:rsidRDefault="00464EA0">
            <w:pPr>
              <w:widowControl w:val="0"/>
              <w:ind w:left="-9360" w:right="-9360"/>
              <w:jc w:val="center"/>
              <w:rPr>
                <w:b/>
                <w:bCs/>
                <w:sz w:val="24"/>
                <w:szCs w:val="24"/>
                <w:lang w:val="en-GB"/>
              </w:rPr>
            </w:pPr>
            <w:r w:rsidRPr="00464EA0">
              <w:rPr>
                <w:b/>
                <w:bCs/>
                <w:sz w:val="24"/>
                <w:szCs w:val="24"/>
                <w:lang w:val="en-GB"/>
              </w:rPr>
              <w:t>Application to the review</w:t>
            </w:r>
          </w:p>
        </w:tc>
      </w:tr>
      <w:tr w:rsidR="007017E5" w:rsidRPr="00464EA0" w14:paraId="198078CB" w14:textId="77777777">
        <w:trPr>
          <w:trHeight w:val="31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41DC377" w14:textId="77777777" w:rsidR="007017E5" w:rsidRPr="00464EA0" w:rsidRDefault="00464EA0">
            <w:pPr>
              <w:widowControl w:val="0"/>
              <w:rPr>
                <w:sz w:val="24"/>
                <w:szCs w:val="24"/>
                <w:lang w:val="en-GB"/>
              </w:rPr>
            </w:pPr>
            <w:r w:rsidRPr="00464EA0">
              <w:rPr>
                <w:sz w:val="24"/>
                <w:szCs w:val="24"/>
                <w:lang w:val="en-GB"/>
              </w:rPr>
              <w:t>Population</w:t>
            </w:r>
          </w:p>
        </w:tc>
        <w:tc>
          <w:tcPr>
            <w:tcW w:w="784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64E0A756" w14:textId="77777777" w:rsidR="007017E5" w:rsidRPr="00464EA0" w:rsidRDefault="00464EA0">
            <w:pPr>
              <w:widowControl w:val="0"/>
              <w:rPr>
                <w:sz w:val="24"/>
                <w:szCs w:val="24"/>
                <w:lang w:val="en-GB"/>
              </w:rPr>
            </w:pPr>
            <w:r w:rsidRPr="00464EA0">
              <w:rPr>
                <w:sz w:val="24"/>
                <w:szCs w:val="24"/>
                <w:lang w:val="en-GB"/>
              </w:rPr>
              <w:t>Older adults, principally people aged 65+</w:t>
            </w:r>
          </w:p>
        </w:tc>
      </w:tr>
      <w:tr w:rsidR="007017E5" w:rsidRPr="00464EA0" w14:paraId="4BC8893A" w14:textId="77777777">
        <w:trPr>
          <w:trHeight w:val="31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0A6C275" w14:textId="77777777" w:rsidR="007017E5" w:rsidRPr="00464EA0" w:rsidRDefault="00464EA0">
            <w:pPr>
              <w:widowControl w:val="0"/>
              <w:rPr>
                <w:sz w:val="24"/>
                <w:szCs w:val="24"/>
                <w:lang w:val="en-GB"/>
              </w:rPr>
            </w:pPr>
            <w:r w:rsidRPr="00464EA0">
              <w:rPr>
                <w:sz w:val="24"/>
                <w:szCs w:val="24"/>
                <w:lang w:val="en-GB"/>
              </w:rPr>
              <w:t>Concept</w:t>
            </w:r>
          </w:p>
        </w:tc>
        <w:tc>
          <w:tcPr>
            <w:tcW w:w="784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487F03FB" w14:textId="77777777" w:rsidR="007017E5" w:rsidRPr="00464EA0" w:rsidRDefault="00464EA0">
            <w:pPr>
              <w:widowControl w:val="0"/>
              <w:rPr>
                <w:sz w:val="24"/>
                <w:szCs w:val="24"/>
                <w:lang w:val="en-GB"/>
              </w:rPr>
            </w:pPr>
            <w:r w:rsidRPr="00464EA0">
              <w:rPr>
                <w:sz w:val="24"/>
                <w:szCs w:val="24"/>
                <w:lang w:val="en-GB"/>
              </w:rPr>
              <w:t>Challenges, barriers and constraints affecting domiciliary/homecare</w:t>
            </w:r>
          </w:p>
        </w:tc>
      </w:tr>
      <w:tr w:rsidR="007017E5" w:rsidRPr="00464EA0" w14:paraId="03EAA4BF" w14:textId="77777777">
        <w:trPr>
          <w:trHeight w:val="31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7455620" w14:textId="77777777" w:rsidR="007017E5" w:rsidRPr="00464EA0" w:rsidRDefault="00464EA0">
            <w:pPr>
              <w:widowControl w:val="0"/>
              <w:rPr>
                <w:sz w:val="24"/>
                <w:szCs w:val="24"/>
                <w:lang w:val="en-GB"/>
              </w:rPr>
            </w:pPr>
            <w:r w:rsidRPr="00464EA0">
              <w:rPr>
                <w:sz w:val="24"/>
                <w:szCs w:val="24"/>
                <w:lang w:val="en-GB"/>
              </w:rPr>
              <w:t>Context</w:t>
            </w:r>
          </w:p>
        </w:tc>
        <w:tc>
          <w:tcPr>
            <w:tcW w:w="784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6A060495" w14:textId="77777777" w:rsidR="007017E5" w:rsidRPr="00464EA0" w:rsidRDefault="00464EA0">
            <w:pPr>
              <w:widowControl w:val="0"/>
              <w:rPr>
                <w:sz w:val="24"/>
                <w:szCs w:val="24"/>
                <w:lang w:val="en-GB"/>
              </w:rPr>
            </w:pPr>
            <w:r w:rsidRPr="00464EA0">
              <w:rPr>
                <w:sz w:val="24"/>
                <w:szCs w:val="24"/>
                <w:lang w:val="en-GB"/>
              </w:rPr>
              <w:t xml:space="preserve">United Kingdom, including UK-wide and UK-nation-specific homecare </w:t>
            </w:r>
            <w:r w:rsidRPr="00464EA0">
              <w:rPr>
                <w:sz w:val="24"/>
                <w:szCs w:val="24"/>
                <w:lang w:val="en-GB"/>
              </w:rPr>
              <w:lastRenderedPageBreak/>
              <w:t>settings</w:t>
            </w:r>
          </w:p>
        </w:tc>
      </w:tr>
    </w:tbl>
    <w:p w14:paraId="5BBED3FB" w14:textId="77777777" w:rsidR="007017E5" w:rsidRPr="00464EA0" w:rsidRDefault="007017E5">
      <w:pPr>
        <w:spacing w:line="360" w:lineRule="auto"/>
        <w:jc w:val="both"/>
        <w:rPr>
          <w:sz w:val="24"/>
          <w:szCs w:val="24"/>
          <w:lang w:val="en-GB"/>
        </w:rPr>
      </w:pPr>
    </w:p>
    <w:p w14:paraId="42D71E8C" w14:textId="77777777" w:rsidR="007017E5" w:rsidRPr="00464EA0" w:rsidRDefault="00464EA0">
      <w:pPr>
        <w:spacing w:line="360" w:lineRule="auto"/>
        <w:jc w:val="both"/>
        <w:rPr>
          <w:sz w:val="24"/>
          <w:szCs w:val="24"/>
          <w:lang w:val="en-GB"/>
        </w:rPr>
      </w:pPr>
      <w:r w:rsidRPr="00464EA0">
        <w:rPr>
          <w:b/>
          <w:bCs/>
          <w:sz w:val="26"/>
          <w:szCs w:val="26"/>
          <w:lang w:val="en-GB"/>
        </w:rPr>
        <w:t>4.3 Eligibility criteria</w:t>
      </w:r>
    </w:p>
    <w:tbl>
      <w:tblPr>
        <w:tblStyle w:val="a0"/>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755"/>
        <w:gridCol w:w="4620"/>
      </w:tblGrid>
      <w:tr w:rsidR="007017E5" w:rsidRPr="00464EA0" w14:paraId="51DDB323" w14:textId="77777777">
        <w:trPr>
          <w:trHeight w:val="315"/>
        </w:trPr>
        <w:tc>
          <w:tcPr>
            <w:tcW w:w="4755" w:type="dxa"/>
            <w:tcBorders>
              <w:top w:val="single" w:sz="7" w:space="0" w:color="CCCCCC"/>
              <w:left w:val="single" w:sz="7" w:space="0" w:color="CCCCCC"/>
              <w:bottom w:val="single" w:sz="7" w:space="0" w:color="CCCCCC"/>
              <w:right w:val="single" w:sz="7" w:space="0" w:color="CCCCCC"/>
            </w:tcBorders>
            <w:tcMar>
              <w:top w:w="40" w:type="dxa"/>
              <w:left w:w="0" w:type="dxa"/>
              <w:bottom w:w="40" w:type="dxa"/>
              <w:right w:w="0" w:type="dxa"/>
            </w:tcMar>
            <w:vAlign w:val="bottom"/>
          </w:tcPr>
          <w:p w14:paraId="51BBBCF2" w14:textId="77777777" w:rsidR="007017E5" w:rsidRPr="00464EA0" w:rsidRDefault="00464EA0">
            <w:pPr>
              <w:widowControl w:val="0"/>
              <w:ind w:left="-9360" w:right="-9360"/>
              <w:jc w:val="center"/>
              <w:rPr>
                <w:b/>
                <w:bCs/>
                <w:sz w:val="24"/>
                <w:szCs w:val="24"/>
                <w:lang w:val="en-GB"/>
              </w:rPr>
            </w:pPr>
            <w:r w:rsidRPr="00464EA0">
              <w:rPr>
                <w:b/>
                <w:bCs/>
                <w:sz w:val="24"/>
                <w:szCs w:val="24"/>
                <w:lang w:val="en-GB"/>
              </w:rPr>
              <w:t>Inclusion criteria</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2A4C72D2" w14:textId="77777777" w:rsidR="007017E5" w:rsidRPr="00464EA0" w:rsidRDefault="00464EA0">
            <w:pPr>
              <w:widowControl w:val="0"/>
              <w:ind w:left="-9360" w:right="-9360"/>
              <w:jc w:val="center"/>
              <w:rPr>
                <w:b/>
                <w:bCs/>
                <w:sz w:val="24"/>
                <w:szCs w:val="24"/>
                <w:lang w:val="en-GB"/>
              </w:rPr>
            </w:pPr>
            <w:r w:rsidRPr="00464EA0">
              <w:rPr>
                <w:b/>
                <w:bCs/>
                <w:sz w:val="24"/>
                <w:szCs w:val="24"/>
                <w:lang w:val="en-GB"/>
              </w:rPr>
              <w:t>Exclusion criteria</w:t>
            </w:r>
          </w:p>
        </w:tc>
      </w:tr>
      <w:tr w:rsidR="007017E5" w:rsidRPr="00464EA0" w14:paraId="39E917EA" w14:textId="77777777">
        <w:tc>
          <w:tcPr>
            <w:tcW w:w="475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12E1F2E" w14:textId="77777777" w:rsidR="007017E5" w:rsidRPr="00464EA0" w:rsidRDefault="00464EA0">
            <w:pPr>
              <w:widowControl w:val="0"/>
              <w:rPr>
                <w:sz w:val="24"/>
                <w:szCs w:val="24"/>
                <w:lang w:val="en-GB"/>
              </w:rPr>
            </w:pPr>
            <w:r w:rsidRPr="00464EA0">
              <w:rPr>
                <w:sz w:val="24"/>
                <w:szCs w:val="24"/>
                <w:lang w:val="en-GB"/>
              </w:rPr>
              <w:t>Peer-reviewed research articles</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216EFCE8" w14:textId="77777777" w:rsidR="007017E5" w:rsidRPr="00464EA0" w:rsidRDefault="00464EA0">
            <w:pPr>
              <w:widowControl w:val="0"/>
              <w:rPr>
                <w:sz w:val="24"/>
                <w:szCs w:val="24"/>
                <w:lang w:val="en-GB"/>
              </w:rPr>
            </w:pPr>
            <w:r w:rsidRPr="00464EA0">
              <w:rPr>
                <w:sz w:val="24"/>
                <w:szCs w:val="24"/>
                <w:lang w:val="en-GB"/>
              </w:rPr>
              <w:t>Editorials, opinion pieces and commentaries</w:t>
            </w:r>
          </w:p>
        </w:tc>
      </w:tr>
      <w:tr w:rsidR="007017E5" w:rsidRPr="00464EA0" w14:paraId="2AC024EF" w14:textId="77777777">
        <w:trPr>
          <w:trHeight w:val="60"/>
        </w:trPr>
        <w:tc>
          <w:tcPr>
            <w:tcW w:w="475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E47385C" w14:textId="77777777" w:rsidR="007017E5" w:rsidRPr="00464EA0" w:rsidRDefault="00464EA0">
            <w:pPr>
              <w:widowControl w:val="0"/>
              <w:rPr>
                <w:sz w:val="24"/>
                <w:szCs w:val="24"/>
                <w:lang w:val="en-GB"/>
              </w:rPr>
            </w:pPr>
            <w:r w:rsidRPr="00464EA0">
              <w:rPr>
                <w:sz w:val="24"/>
                <w:szCs w:val="24"/>
                <w:lang w:val="en-GB"/>
              </w:rPr>
              <w:t>Published 2022–2026</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4D49FEC8" w14:textId="77777777" w:rsidR="007017E5" w:rsidRPr="00464EA0" w:rsidRDefault="00464EA0">
            <w:pPr>
              <w:widowControl w:val="0"/>
              <w:rPr>
                <w:sz w:val="24"/>
                <w:szCs w:val="24"/>
                <w:lang w:val="en-GB"/>
              </w:rPr>
            </w:pPr>
            <w:r w:rsidRPr="00464EA0">
              <w:rPr>
                <w:sz w:val="24"/>
                <w:szCs w:val="24"/>
                <w:lang w:val="en-GB"/>
              </w:rPr>
              <w:t>Empirical papers published before 2022</w:t>
            </w:r>
          </w:p>
        </w:tc>
      </w:tr>
      <w:tr w:rsidR="007017E5" w:rsidRPr="00464EA0" w14:paraId="0739EFBE" w14:textId="77777777">
        <w:tc>
          <w:tcPr>
            <w:tcW w:w="475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2855BC58" w14:textId="77777777" w:rsidR="007017E5" w:rsidRPr="00464EA0" w:rsidRDefault="00464EA0">
            <w:pPr>
              <w:widowControl w:val="0"/>
              <w:rPr>
                <w:sz w:val="24"/>
                <w:szCs w:val="24"/>
                <w:lang w:val="en-GB"/>
              </w:rPr>
            </w:pPr>
            <w:r w:rsidRPr="00464EA0">
              <w:rPr>
                <w:sz w:val="24"/>
                <w:szCs w:val="24"/>
                <w:lang w:val="en-GB"/>
              </w:rPr>
              <w:t>UK or identifiable UK evidence</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7C27356F" w14:textId="77777777" w:rsidR="007017E5" w:rsidRPr="00464EA0" w:rsidRDefault="00464EA0">
            <w:pPr>
              <w:widowControl w:val="0"/>
              <w:rPr>
                <w:sz w:val="24"/>
                <w:szCs w:val="24"/>
                <w:lang w:val="en-GB"/>
              </w:rPr>
            </w:pPr>
            <w:r w:rsidRPr="00464EA0">
              <w:rPr>
                <w:sz w:val="24"/>
                <w:szCs w:val="24"/>
                <w:lang w:val="en-GB"/>
              </w:rPr>
              <w:t>Non-UK studies without relevant UK data</w:t>
            </w:r>
          </w:p>
        </w:tc>
      </w:tr>
      <w:tr w:rsidR="007017E5" w:rsidRPr="00464EA0" w14:paraId="06790A13" w14:textId="77777777">
        <w:tc>
          <w:tcPr>
            <w:tcW w:w="475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4AF0EC9" w14:textId="77777777" w:rsidR="007017E5" w:rsidRPr="00464EA0" w:rsidRDefault="00464EA0">
            <w:pPr>
              <w:widowControl w:val="0"/>
              <w:rPr>
                <w:sz w:val="24"/>
                <w:szCs w:val="24"/>
                <w:lang w:val="en-GB"/>
              </w:rPr>
            </w:pPr>
            <w:r w:rsidRPr="00464EA0">
              <w:rPr>
                <w:sz w:val="24"/>
                <w:szCs w:val="24"/>
                <w:lang w:val="en-GB"/>
              </w:rPr>
              <w:t>Domiciliary/homecare relevant to older adults</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5AD708CA" w14:textId="77777777" w:rsidR="007017E5" w:rsidRPr="00464EA0" w:rsidRDefault="00464EA0">
            <w:pPr>
              <w:widowControl w:val="0"/>
              <w:rPr>
                <w:sz w:val="24"/>
                <w:szCs w:val="24"/>
                <w:lang w:val="en-GB"/>
              </w:rPr>
            </w:pPr>
            <w:r w:rsidRPr="00464EA0">
              <w:rPr>
                <w:sz w:val="24"/>
                <w:szCs w:val="24"/>
                <w:lang w:val="en-GB"/>
              </w:rPr>
              <w:t>Residential or hospital care without homecare relevance</w:t>
            </w:r>
          </w:p>
        </w:tc>
      </w:tr>
      <w:tr w:rsidR="007017E5" w:rsidRPr="00464EA0" w14:paraId="217DCF7F" w14:textId="77777777">
        <w:tc>
          <w:tcPr>
            <w:tcW w:w="475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C842276" w14:textId="77777777" w:rsidR="007017E5" w:rsidRPr="00464EA0" w:rsidRDefault="00464EA0">
            <w:pPr>
              <w:widowControl w:val="0"/>
              <w:rPr>
                <w:sz w:val="24"/>
                <w:szCs w:val="24"/>
                <w:lang w:val="en-GB"/>
              </w:rPr>
            </w:pPr>
            <w:r w:rsidRPr="00464EA0">
              <w:rPr>
                <w:sz w:val="24"/>
                <w:szCs w:val="24"/>
                <w:lang w:val="en-GB"/>
              </w:rPr>
              <w:t>Primary or secondary research</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242B057A" w14:textId="77777777" w:rsidR="007017E5" w:rsidRPr="00464EA0" w:rsidRDefault="00464EA0">
            <w:pPr>
              <w:widowControl w:val="0"/>
              <w:rPr>
                <w:sz w:val="24"/>
                <w:szCs w:val="24"/>
                <w:lang w:val="en-GB"/>
              </w:rPr>
            </w:pPr>
            <w:r w:rsidRPr="00464EA0">
              <w:rPr>
                <w:sz w:val="24"/>
                <w:szCs w:val="24"/>
                <w:lang w:val="en-GB"/>
              </w:rPr>
              <w:t>Policy documents as core review studies</w:t>
            </w:r>
          </w:p>
        </w:tc>
      </w:tr>
      <w:tr w:rsidR="007017E5" w:rsidRPr="00464EA0" w14:paraId="1880E2F6" w14:textId="77777777">
        <w:tc>
          <w:tcPr>
            <w:tcW w:w="4755"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28DFB1F" w14:textId="77777777" w:rsidR="007017E5" w:rsidRPr="00464EA0" w:rsidRDefault="00464EA0">
            <w:pPr>
              <w:widowControl w:val="0"/>
              <w:rPr>
                <w:sz w:val="24"/>
                <w:szCs w:val="24"/>
                <w:lang w:val="en-GB"/>
              </w:rPr>
            </w:pPr>
            <w:r w:rsidRPr="00464EA0">
              <w:rPr>
                <w:sz w:val="24"/>
                <w:szCs w:val="24"/>
                <w:lang w:val="en-GB"/>
              </w:rPr>
              <w:t>English language</w:t>
            </w:r>
          </w:p>
        </w:tc>
        <w:tc>
          <w:tcPr>
            <w:tcW w:w="4620"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4BE7D91C" w14:textId="77777777" w:rsidR="007017E5" w:rsidRPr="00464EA0" w:rsidRDefault="00464EA0">
            <w:pPr>
              <w:widowControl w:val="0"/>
              <w:rPr>
                <w:sz w:val="24"/>
                <w:szCs w:val="24"/>
                <w:lang w:val="en-GB"/>
              </w:rPr>
            </w:pPr>
            <w:r w:rsidRPr="00464EA0">
              <w:rPr>
                <w:sz w:val="24"/>
                <w:szCs w:val="24"/>
                <w:lang w:val="en-GB"/>
              </w:rPr>
              <w:t>Non-English publications</w:t>
            </w:r>
          </w:p>
        </w:tc>
      </w:tr>
    </w:tbl>
    <w:p w14:paraId="238FBE67" w14:textId="77777777" w:rsidR="007017E5" w:rsidRPr="00464EA0" w:rsidRDefault="007017E5">
      <w:pPr>
        <w:spacing w:line="360" w:lineRule="auto"/>
        <w:jc w:val="both"/>
        <w:rPr>
          <w:sz w:val="24"/>
          <w:szCs w:val="24"/>
          <w:lang w:val="en-GB"/>
        </w:rPr>
      </w:pPr>
    </w:p>
    <w:p w14:paraId="5C883063" w14:textId="77777777" w:rsidR="007017E5" w:rsidRPr="006A5EBB" w:rsidRDefault="00464EA0">
      <w:pPr>
        <w:spacing w:line="360" w:lineRule="auto"/>
        <w:jc w:val="both"/>
        <w:rPr>
          <w:lang w:val="en-GB"/>
        </w:rPr>
      </w:pPr>
      <w:r w:rsidRPr="006A5EBB">
        <w:rPr>
          <w:lang w:val="en-GB"/>
        </w:rPr>
        <w:t xml:space="preserve">Throughout the Background and Discussion, policy reports, legislation and official statistics were included and provided context for the research </w:t>
      </w:r>
      <w:proofErr w:type="gramStart"/>
      <w:r w:rsidRPr="006A5EBB">
        <w:rPr>
          <w:lang w:val="en-GB"/>
        </w:rPr>
        <w:t>findings, but</w:t>
      </w:r>
      <w:proofErr w:type="gramEnd"/>
      <w:r w:rsidRPr="006A5EBB">
        <w:rPr>
          <w:lang w:val="en-GB"/>
        </w:rPr>
        <w:t xml:space="preserve"> were not viewed as a core scoping-review study as per the assignment requirements.</w:t>
      </w:r>
    </w:p>
    <w:p w14:paraId="6FB51DEE" w14:textId="77777777" w:rsidR="007017E5" w:rsidRPr="00464EA0" w:rsidRDefault="00464EA0">
      <w:pPr>
        <w:spacing w:line="360" w:lineRule="auto"/>
        <w:jc w:val="both"/>
        <w:rPr>
          <w:b/>
          <w:bCs/>
          <w:sz w:val="26"/>
          <w:szCs w:val="26"/>
          <w:lang w:val="en-GB"/>
        </w:rPr>
      </w:pPr>
      <w:r w:rsidRPr="00464EA0">
        <w:rPr>
          <w:b/>
          <w:bCs/>
          <w:sz w:val="26"/>
          <w:szCs w:val="26"/>
          <w:lang w:val="en-GB"/>
        </w:rPr>
        <w:t>4.4 Search strategy and study selection</w:t>
      </w:r>
    </w:p>
    <w:p w14:paraId="124A16BE" w14:textId="54D5C1EA" w:rsidR="007017E5" w:rsidRPr="006A5EBB" w:rsidRDefault="00464EA0">
      <w:pPr>
        <w:spacing w:line="360" w:lineRule="auto"/>
        <w:jc w:val="both"/>
        <w:rPr>
          <w:lang w:val="en-GB"/>
        </w:rPr>
      </w:pPr>
      <w:r w:rsidRPr="006A5EBB">
        <w:rPr>
          <w:lang w:val="en-GB"/>
        </w:rPr>
        <w:t>The search concepts were population, setting and challenge (older people OR older adults, homecare OR home care OR domiciliary care, challenge* OR barrier* OR workforce OR quality OR continuity OR access); UK OR England OR Wales OR Scotland OR Northern Ireland. The databases to be proposed were MEDLINE, PubMed and Scopus. Any relevant publications were also confirmed via PubMed and publisher records.</w:t>
      </w:r>
    </w:p>
    <w:p w14:paraId="3F57446D" w14:textId="77777777" w:rsidR="007017E5" w:rsidRPr="006A5EBB" w:rsidRDefault="00464EA0">
      <w:pPr>
        <w:spacing w:line="360" w:lineRule="auto"/>
        <w:jc w:val="both"/>
        <w:rPr>
          <w:lang w:val="en-GB"/>
        </w:rPr>
      </w:pPr>
      <w:r w:rsidRPr="006A5EBB">
        <w:rPr>
          <w:lang w:val="en-GB"/>
        </w:rPr>
        <w:t>The titles and abstracts were screened using the eligibility criteria</w:t>
      </w:r>
      <w:r w:rsidR="0081699C" w:rsidRPr="006A5EBB">
        <w:rPr>
          <w:lang w:val="en-GB"/>
        </w:rPr>
        <w:t>,</w:t>
      </w:r>
      <w:r w:rsidRPr="006A5EBB">
        <w:rPr>
          <w:lang w:val="en-GB"/>
        </w:rPr>
        <w:t xml:space="preserve"> and potentially relevant full</w:t>
      </w:r>
      <w:r w:rsidR="0081699C" w:rsidRPr="006A5EBB">
        <w:rPr>
          <w:lang w:val="en-GB"/>
        </w:rPr>
        <w:t>-</w:t>
      </w:r>
      <w:r w:rsidRPr="006A5EBB">
        <w:rPr>
          <w:lang w:val="en-GB"/>
        </w:rPr>
        <w:t>text articles were screened. Five of the peer-reviewed studies were identified for focused synthesis – these were suitable for domiciliary care in the UK and complemented each other in aspects of workforce, time, service organisation, access and quality.</w:t>
      </w:r>
    </w:p>
    <w:p w14:paraId="11E8D56E" w14:textId="77777777" w:rsidR="007017E5" w:rsidRPr="00464EA0" w:rsidRDefault="00464EA0">
      <w:pPr>
        <w:spacing w:line="360" w:lineRule="auto"/>
        <w:jc w:val="both"/>
        <w:rPr>
          <w:b/>
          <w:bCs/>
          <w:sz w:val="26"/>
          <w:szCs w:val="26"/>
          <w:lang w:val="en-GB"/>
        </w:rPr>
      </w:pPr>
      <w:r w:rsidRPr="00464EA0">
        <w:rPr>
          <w:b/>
          <w:bCs/>
          <w:sz w:val="26"/>
          <w:szCs w:val="26"/>
          <w:lang w:val="en-GB"/>
        </w:rPr>
        <w:t>4.5 Data extraction and analysis</w:t>
      </w:r>
    </w:p>
    <w:p w14:paraId="2C50898B" w14:textId="77777777" w:rsidR="007017E5" w:rsidRPr="006A5EBB" w:rsidRDefault="00464EA0">
      <w:pPr>
        <w:spacing w:line="360" w:lineRule="auto"/>
        <w:jc w:val="both"/>
        <w:rPr>
          <w:lang w:val="en-GB"/>
        </w:rPr>
      </w:pPr>
      <w:r w:rsidRPr="006A5EBB">
        <w:rPr>
          <w:lang w:val="en-GB"/>
        </w:rPr>
        <w:t>The data were plotted with respect to authors, year, location, design, sample, focus, principal findings and relevance. Challenges identified in the studies were then compared using thematic analysis. This resulted in four themes: workforce capacity &amp; employment conditions; time, continuity &amp; organisation; coordination &amp; complexity; and quality, person</w:t>
      </w:r>
      <w:r w:rsidR="0081699C" w:rsidRPr="006A5EBB">
        <w:rPr>
          <w:lang w:val="en-GB"/>
        </w:rPr>
        <w:t>-</w:t>
      </w:r>
      <w:r w:rsidRPr="006A5EBB">
        <w:rPr>
          <w:lang w:val="en-GB"/>
        </w:rPr>
        <w:t>centred care &amp; inequality.</w:t>
      </w:r>
    </w:p>
    <w:p w14:paraId="28B97642" w14:textId="77777777" w:rsidR="007017E5" w:rsidRPr="006A5EBB" w:rsidRDefault="00464EA0">
      <w:pPr>
        <w:spacing w:line="360" w:lineRule="auto"/>
        <w:jc w:val="both"/>
        <w:rPr>
          <w:lang w:val="en-GB"/>
        </w:rPr>
      </w:pPr>
      <w:r w:rsidRPr="006A5EBB">
        <w:rPr>
          <w:lang w:val="en-GB"/>
        </w:rPr>
        <w:lastRenderedPageBreak/>
        <w:t>This research was secondary, and participant information was not identified. There were, however, ethical obligations such as reporting accurately, determining eligibility clearly, not interpreting selectively, and credit</w:t>
      </w:r>
      <w:r w:rsidR="0081699C" w:rsidRPr="006A5EBB">
        <w:rPr>
          <w:lang w:val="en-GB"/>
        </w:rPr>
        <w:t>ing</w:t>
      </w:r>
      <w:r w:rsidRPr="006A5EBB">
        <w:rPr>
          <w:lang w:val="en-GB"/>
        </w:rPr>
        <w:t xml:space="preserve"> sources.</w:t>
      </w:r>
    </w:p>
    <w:p w14:paraId="6DFA96DE" w14:textId="77777777" w:rsidR="007017E5" w:rsidRPr="00464EA0" w:rsidRDefault="00464EA0" w:rsidP="00464EA0">
      <w:pPr>
        <w:pStyle w:val="Heading1"/>
        <w:rPr>
          <w:lang w:val="en-GB"/>
        </w:rPr>
      </w:pPr>
      <w:bookmarkStart w:id="3" w:name="_Toc237358430"/>
      <w:r w:rsidRPr="00464EA0">
        <w:rPr>
          <w:lang w:val="en-GB"/>
        </w:rPr>
        <w:t>5.0 Results</w:t>
      </w:r>
      <w:bookmarkEnd w:id="3"/>
    </w:p>
    <w:p w14:paraId="417ABB22" w14:textId="77777777" w:rsidR="007017E5" w:rsidRPr="00464EA0" w:rsidRDefault="00464EA0">
      <w:pPr>
        <w:spacing w:line="360" w:lineRule="auto"/>
        <w:jc w:val="both"/>
        <w:rPr>
          <w:b/>
          <w:bCs/>
          <w:sz w:val="26"/>
          <w:szCs w:val="26"/>
          <w:lang w:val="en-GB"/>
        </w:rPr>
      </w:pPr>
      <w:r w:rsidRPr="00464EA0">
        <w:rPr>
          <w:b/>
          <w:bCs/>
          <w:sz w:val="26"/>
          <w:szCs w:val="26"/>
          <w:lang w:val="en-GB"/>
        </w:rPr>
        <w:t>5.1 Characteristics of the five selected studies</w:t>
      </w:r>
    </w:p>
    <w:p w14:paraId="1C69E431" w14:textId="77777777" w:rsidR="007017E5" w:rsidRPr="00464EA0" w:rsidRDefault="00464EA0">
      <w:pPr>
        <w:spacing w:line="360" w:lineRule="auto"/>
        <w:jc w:val="center"/>
        <w:rPr>
          <w:b/>
          <w:bCs/>
          <w:sz w:val="26"/>
          <w:szCs w:val="26"/>
          <w:lang w:val="en-GB"/>
        </w:rPr>
      </w:pPr>
      <w:r w:rsidRPr="00464EA0">
        <w:rPr>
          <w:b/>
          <w:bCs/>
          <w:noProof/>
          <w:sz w:val="26"/>
          <w:szCs w:val="26"/>
          <w:lang w:val="en-IN"/>
        </w:rPr>
        <w:drawing>
          <wp:inline distT="114300" distB="114300" distL="114300" distR="114300" wp14:anchorId="1D96BB21" wp14:editId="3A95A7F2">
            <wp:extent cx="2895600" cy="36290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895600" cy="3629025"/>
                    </a:xfrm>
                    <a:prstGeom prst="rect">
                      <a:avLst/>
                    </a:prstGeom>
                    <a:ln/>
                  </pic:spPr>
                </pic:pic>
              </a:graphicData>
            </a:graphic>
          </wp:inline>
        </w:drawing>
      </w:r>
    </w:p>
    <w:p w14:paraId="2563E14D" w14:textId="77777777" w:rsidR="007017E5" w:rsidRPr="00464EA0" w:rsidRDefault="00464EA0">
      <w:pPr>
        <w:spacing w:line="360" w:lineRule="auto"/>
        <w:jc w:val="center"/>
        <w:rPr>
          <w:sz w:val="24"/>
          <w:szCs w:val="24"/>
          <w:lang w:val="en-GB"/>
        </w:rPr>
      </w:pPr>
      <w:r w:rsidRPr="00464EA0">
        <w:rPr>
          <w:b/>
          <w:bCs/>
          <w:sz w:val="24"/>
          <w:szCs w:val="24"/>
          <w:lang w:val="en-GB"/>
        </w:rPr>
        <w:t xml:space="preserve">Figure: </w:t>
      </w:r>
      <w:r w:rsidRPr="00464EA0">
        <w:rPr>
          <w:sz w:val="24"/>
          <w:szCs w:val="24"/>
          <w:lang w:val="en-GB"/>
        </w:rPr>
        <w:t>PRISMA Flow Diagram</w:t>
      </w:r>
    </w:p>
    <w:p w14:paraId="03C714FA" w14:textId="77777777" w:rsidR="007017E5" w:rsidRPr="00464EA0" w:rsidRDefault="00464EA0">
      <w:pPr>
        <w:spacing w:line="360" w:lineRule="auto"/>
        <w:jc w:val="center"/>
        <w:rPr>
          <w:sz w:val="24"/>
          <w:szCs w:val="24"/>
          <w:lang w:val="en-GB"/>
        </w:rPr>
      </w:pPr>
      <w:r w:rsidRPr="00464EA0">
        <w:rPr>
          <w:b/>
          <w:bCs/>
          <w:sz w:val="24"/>
          <w:szCs w:val="24"/>
          <w:lang w:val="en-GB"/>
        </w:rPr>
        <w:t xml:space="preserve">Source: </w:t>
      </w:r>
      <w:r w:rsidRPr="00464EA0">
        <w:rPr>
          <w:sz w:val="24"/>
          <w:szCs w:val="24"/>
          <w:lang w:val="en-GB"/>
        </w:rPr>
        <w:t>Self- Created</w:t>
      </w:r>
    </w:p>
    <w:p w14:paraId="077C71AC" w14:textId="77777777" w:rsidR="007017E5" w:rsidRPr="00464EA0" w:rsidRDefault="007017E5">
      <w:pPr>
        <w:spacing w:line="360" w:lineRule="auto"/>
        <w:jc w:val="both"/>
        <w:rPr>
          <w:sz w:val="24"/>
          <w:szCs w:val="24"/>
          <w:lang w:val="en-GB"/>
        </w:rPr>
      </w:pPr>
    </w:p>
    <w:p w14:paraId="4C218576" w14:textId="77777777" w:rsidR="007017E5" w:rsidRPr="00464EA0" w:rsidRDefault="007017E5">
      <w:pPr>
        <w:spacing w:line="360" w:lineRule="auto"/>
        <w:jc w:val="both"/>
        <w:rPr>
          <w:sz w:val="24"/>
          <w:szCs w:val="24"/>
          <w:lang w:val="en-GB"/>
        </w:rPr>
      </w:pPr>
    </w:p>
    <w:tbl>
      <w:tblPr>
        <w:tblStyle w:val="a1"/>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3090"/>
        <w:gridCol w:w="4785"/>
      </w:tblGrid>
      <w:tr w:rsidR="007017E5" w:rsidRPr="00464EA0" w14:paraId="2A2FA428" w14:textId="77777777">
        <w:trPr>
          <w:trHeight w:val="31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D09DFA0" w14:textId="77777777" w:rsidR="007017E5" w:rsidRPr="00464EA0" w:rsidRDefault="00464EA0">
            <w:pPr>
              <w:widowControl w:val="0"/>
              <w:jc w:val="center"/>
              <w:rPr>
                <w:sz w:val="24"/>
                <w:szCs w:val="24"/>
                <w:lang w:val="en-GB"/>
              </w:rPr>
            </w:pPr>
            <w:r w:rsidRPr="00464EA0">
              <w:rPr>
                <w:b/>
                <w:bCs/>
                <w:sz w:val="24"/>
                <w:szCs w:val="24"/>
                <w:lang w:val="en-GB"/>
              </w:rPr>
              <w:t>Study</w:t>
            </w:r>
          </w:p>
        </w:tc>
        <w:tc>
          <w:tcPr>
            <w:tcW w:w="309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ED4DC36" w14:textId="77777777" w:rsidR="007017E5" w:rsidRPr="00464EA0" w:rsidRDefault="00464EA0">
            <w:pPr>
              <w:widowControl w:val="0"/>
              <w:jc w:val="center"/>
              <w:rPr>
                <w:sz w:val="24"/>
                <w:szCs w:val="24"/>
                <w:lang w:val="en-GB"/>
              </w:rPr>
            </w:pPr>
            <w:r w:rsidRPr="00464EA0">
              <w:rPr>
                <w:b/>
                <w:bCs/>
                <w:sz w:val="24"/>
                <w:szCs w:val="24"/>
                <w:lang w:val="en-GB"/>
              </w:rPr>
              <w:t>Design/sample</w:t>
            </w:r>
          </w:p>
        </w:tc>
        <w:tc>
          <w:tcPr>
            <w:tcW w:w="478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0710CA5A" w14:textId="77777777" w:rsidR="007017E5" w:rsidRPr="00464EA0" w:rsidRDefault="00464EA0">
            <w:pPr>
              <w:widowControl w:val="0"/>
              <w:ind w:left="-9360" w:right="-9360"/>
              <w:jc w:val="center"/>
              <w:rPr>
                <w:b/>
                <w:bCs/>
                <w:sz w:val="24"/>
                <w:szCs w:val="24"/>
                <w:lang w:val="en-GB"/>
              </w:rPr>
            </w:pPr>
            <w:r w:rsidRPr="00464EA0">
              <w:rPr>
                <w:b/>
                <w:bCs/>
                <w:sz w:val="24"/>
                <w:szCs w:val="24"/>
                <w:lang w:val="en-GB"/>
              </w:rPr>
              <w:t>Principal contribution</w:t>
            </w:r>
          </w:p>
        </w:tc>
      </w:tr>
      <w:tr w:rsidR="007017E5" w:rsidRPr="00464EA0" w14:paraId="67444CA4" w14:textId="77777777">
        <w:trPr>
          <w:trHeight w:val="49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00B9549F" w14:textId="77777777" w:rsidR="007017E5" w:rsidRPr="00464EA0" w:rsidRDefault="00464EA0">
            <w:pPr>
              <w:widowControl w:val="0"/>
              <w:rPr>
                <w:sz w:val="24"/>
                <w:szCs w:val="24"/>
                <w:lang w:val="en-GB"/>
              </w:rPr>
            </w:pPr>
            <w:r w:rsidRPr="00464EA0">
              <w:rPr>
                <w:sz w:val="24"/>
                <w:szCs w:val="24"/>
                <w:lang w:val="en-GB"/>
              </w:rPr>
              <w:t>O'Rourke and Beresford (2022)</w:t>
            </w:r>
          </w:p>
        </w:tc>
        <w:tc>
          <w:tcPr>
            <w:tcW w:w="309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60F0132E" w14:textId="77777777" w:rsidR="007017E5" w:rsidRPr="00464EA0" w:rsidRDefault="00464EA0">
            <w:pPr>
              <w:widowControl w:val="0"/>
              <w:rPr>
                <w:sz w:val="24"/>
                <w:szCs w:val="24"/>
                <w:lang w:val="en-GB"/>
              </w:rPr>
            </w:pPr>
            <w:r w:rsidRPr="00464EA0">
              <w:rPr>
                <w:sz w:val="24"/>
                <w:szCs w:val="24"/>
                <w:lang w:val="en-GB"/>
              </w:rPr>
              <w:t>Multi-stakeholder consultation took place in the UK; 56 participants at the initial consultation stage.</w:t>
            </w:r>
          </w:p>
        </w:tc>
        <w:tc>
          <w:tcPr>
            <w:tcW w:w="478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751CA71F" w14:textId="77777777" w:rsidR="007017E5" w:rsidRPr="00464EA0" w:rsidRDefault="00464EA0">
            <w:pPr>
              <w:widowControl w:val="0"/>
              <w:rPr>
                <w:sz w:val="24"/>
                <w:szCs w:val="24"/>
                <w:lang w:val="en-GB"/>
              </w:rPr>
            </w:pPr>
            <w:r w:rsidRPr="00464EA0">
              <w:rPr>
                <w:sz w:val="24"/>
                <w:szCs w:val="24"/>
                <w:lang w:val="en-GB"/>
              </w:rPr>
              <w:t>Workforce recruitment/retention and timely access and health-homecare joint working were identified as key priorities.</w:t>
            </w:r>
          </w:p>
        </w:tc>
      </w:tr>
      <w:tr w:rsidR="007017E5" w:rsidRPr="00464EA0" w14:paraId="0BCEF909" w14:textId="77777777">
        <w:trPr>
          <w:trHeight w:val="31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23D1D80" w14:textId="77777777" w:rsidR="007017E5" w:rsidRPr="00464EA0" w:rsidRDefault="00464EA0">
            <w:pPr>
              <w:widowControl w:val="0"/>
              <w:rPr>
                <w:sz w:val="24"/>
                <w:szCs w:val="24"/>
                <w:lang w:val="en-GB"/>
              </w:rPr>
            </w:pPr>
            <w:r w:rsidRPr="00464EA0">
              <w:rPr>
                <w:sz w:val="24"/>
                <w:szCs w:val="24"/>
                <w:lang w:val="en-GB"/>
              </w:rPr>
              <w:t>Burns et al. (2023)</w:t>
            </w:r>
          </w:p>
        </w:tc>
        <w:tc>
          <w:tcPr>
            <w:tcW w:w="309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3DA17CE2" w14:textId="77777777" w:rsidR="007017E5" w:rsidRPr="00464EA0" w:rsidRDefault="00464EA0" w:rsidP="0081699C">
            <w:pPr>
              <w:widowControl w:val="0"/>
              <w:rPr>
                <w:sz w:val="24"/>
                <w:szCs w:val="24"/>
                <w:lang w:val="en-GB"/>
              </w:rPr>
            </w:pPr>
            <w:r w:rsidRPr="00464EA0">
              <w:rPr>
                <w:sz w:val="24"/>
                <w:szCs w:val="24"/>
                <w:lang w:val="en-GB"/>
              </w:rPr>
              <w:t xml:space="preserve">Four provider case studies, 70 interviews and </w:t>
            </w:r>
            <w:r w:rsidRPr="00464EA0">
              <w:rPr>
                <w:sz w:val="24"/>
                <w:szCs w:val="24"/>
                <w:lang w:val="en-GB"/>
              </w:rPr>
              <w:lastRenderedPageBreak/>
              <w:t>document</w:t>
            </w:r>
            <w:r w:rsidR="0081699C">
              <w:rPr>
                <w:sz w:val="24"/>
                <w:szCs w:val="24"/>
                <w:lang w:val="en-GB"/>
              </w:rPr>
              <w:t>/</w:t>
            </w:r>
            <w:r w:rsidRPr="00464EA0">
              <w:rPr>
                <w:sz w:val="24"/>
                <w:szCs w:val="24"/>
                <w:lang w:val="en-GB"/>
              </w:rPr>
              <w:t>observation analysis</w:t>
            </w:r>
          </w:p>
        </w:tc>
        <w:tc>
          <w:tcPr>
            <w:tcW w:w="478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7740CB95" w14:textId="77777777" w:rsidR="007017E5" w:rsidRPr="00464EA0" w:rsidRDefault="00464EA0" w:rsidP="0081699C">
            <w:pPr>
              <w:widowControl w:val="0"/>
              <w:rPr>
                <w:sz w:val="24"/>
                <w:szCs w:val="24"/>
                <w:lang w:val="en-GB"/>
              </w:rPr>
            </w:pPr>
            <w:r w:rsidRPr="00464EA0">
              <w:rPr>
                <w:sz w:val="24"/>
                <w:szCs w:val="24"/>
                <w:lang w:val="en-GB"/>
              </w:rPr>
              <w:lastRenderedPageBreak/>
              <w:t>Time and task models do not provide for quality and relationship</w:t>
            </w:r>
            <w:r w:rsidR="0081699C">
              <w:rPr>
                <w:sz w:val="24"/>
                <w:szCs w:val="24"/>
                <w:lang w:val="en-GB"/>
              </w:rPr>
              <w:t>-</w:t>
            </w:r>
            <w:r w:rsidRPr="00464EA0">
              <w:rPr>
                <w:sz w:val="24"/>
                <w:szCs w:val="24"/>
                <w:lang w:val="en-GB"/>
              </w:rPr>
              <w:t>based care.</w:t>
            </w:r>
          </w:p>
        </w:tc>
      </w:tr>
      <w:tr w:rsidR="007017E5" w:rsidRPr="00464EA0" w14:paraId="0BC2FF94" w14:textId="77777777">
        <w:trPr>
          <w:trHeight w:val="780"/>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E3482F2" w14:textId="77777777" w:rsidR="007017E5" w:rsidRPr="00464EA0" w:rsidRDefault="00464EA0">
            <w:pPr>
              <w:widowControl w:val="0"/>
              <w:rPr>
                <w:sz w:val="24"/>
                <w:szCs w:val="24"/>
                <w:lang w:val="en-GB"/>
              </w:rPr>
            </w:pPr>
            <w:r w:rsidRPr="00464EA0">
              <w:rPr>
                <w:sz w:val="24"/>
                <w:szCs w:val="24"/>
                <w:lang w:val="en-GB"/>
              </w:rPr>
              <w:lastRenderedPageBreak/>
              <w:t>McDonald (2023)</w:t>
            </w:r>
          </w:p>
        </w:tc>
        <w:tc>
          <w:tcPr>
            <w:tcW w:w="309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F904BFD" w14:textId="77777777" w:rsidR="007017E5" w:rsidRPr="00464EA0" w:rsidRDefault="00464EA0">
            <w:pPr>
              <w:widowControl w:val="0"/>
              <w:rPr>
                <w:sz w:val="24"/>
                <w:szCs w:val="24"/>
                <w:lang w:val="en-GB"/>
              </w:rPr>
            </w:pPr>
            <w:r w:rsidRPr="00464EA0">
              <w:rPr>
                <w:sz w:val="24"/>
                <w:szCs w:val="24"/>
                <w:lang w:val="en-GB"/>
              </w:rPr>
              <w:t>105 interviews in England and Wales</w:t>
            </w:r>
          </w:p>
        </w:tc>
        <w:tc>
          <w:tcPr>
            <w:tcW w:w="478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3DC00D17" w14:textId="77777777" w:rsidR="007017E5" w:rsidRPr="00464EA0" w:rsidRDefault="00464EA0">
            <w:pPr>
              <w:widowControl w:val="0"/>
              <w:rPr>
                <w:sz w:val="24"/>
                <w:szCs w:val="24"/>
                <w:lang w:val="en-GB"/>
              </w:rPr>
            </w:pPr>
            <w:r w:rsidRPr="00464EA0">
              <w:rPr>
                <w:sz w:val="24"/>
                <w:szCs w:val="24"/>
                <w:lang w:val="en-GB"/>
              </w:rPr>
              <w:t>Microenterprise exposes some of the limitations of the traditional transactional system and commissioning process.</w:t>
            </w:r>
          </w:p>
        </w:tc>
      </w:tr>
      <w:tr w:rsidR="007017E5" w:rsidRPr="00464EA0" w14:paraId="2FC391D8" w14:textId="77777777">
        <w:trPr>
          <w:trHeight w:val="255"/>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52D38A89" w14:textId="77777777" w:rsidR="007017E5" w:rsidRPr="00464EA0" w:rsidRDefault="00464EA0">
            <w:pPr>
              <w:widowControl w:val="0"/>
              <w:rPr>
                <w:sz w:val="24"/>
                <w:szCs w:val="24"/>
                <w:lang w:val="en-GB"/>
              </w:rPr>
            </w:pPr>
            <w:r w:rsidRPr="00464EA0">
              <w:rPr>
                <w:sz w:val="24"/>
                <w:szCs w:val="24"/>
                <w:lang w:val="en-GB"/>
              </w:rPr>
              <w:t>Healey et al. (2024)</w:t>
            </w:r>
          </w:p>
        </w:tc>
        <w:tc>
          <w:tcPr>
            <w:tcW w:w="309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18768556" w14:textId="77777777" w:rsidR="007017E5" w:rsidRPr="00464EA0" w:rsidRDefault="00464EA0">
            <w:pPr>
              <w:widowControl w:val="0"/>
              <w:rPr>
                <w:sz w:val="24"/>
                <w:szCs w:val="24"/>
                <w:lang w:val="en-GB"/>
              </w:rPr>
            </w:pPr>
            <w:r w:rsidRPr="00464EA0">
              <w:rPr>
                <w:sz w:val="24"/>
                <w:szCs w:val="24"/>
                <w:lang w:val="en-GB"/>
              </w:rPr>
              <w:t>A study of 11 homecare workers in England was carried out to examine human factors.</w:t>
            </w:r>
          </w:p>
        </w:tc>
        <w:tc>
          <w:tcPr>
            <w:tcW w:w="478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15E5E65F" w14:textId="77777777" w:rsidR="007017E5" w:rsidRPr="00464EA0" w:rsidRDefault="00464EA0">
            <w:pPr>
              <w:widowControl w:val="0"/>
              <w:rPr>
                <w:sz w:val="24"/>
                <w:szCs w:val="24"/>
                <w:lang w:val="en-GB"/>
              </w:rPr>
            </w:pPr>
            <w:r w:rsidRPr="00464EA0">
              <w:rPr>
                <w:sz w:val="24"/>
                <w:szCs w:val="24"/>
                <w:lang w:val="en-GB"/>
              </w:rPr>
              <w:t>Quality and safety are in opposition in the time factors, organisational practice and job design.</w:t>
            </w:r>
          </w:p>
        </w:tc>
      </w:tr>
      <w:tr w:rsidR="007017E5" w:rsidRPr="00464EA0" w14:paraId="1943A5C7" w14:textId="77777777">
        <w:trPr>
          <w:trHeight w:val="480"/>
        </w:trPr>
        <w:tc>
          <w:tcPr>
            <w:tcW w:w="150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7CBEE24F" w14:textId="77777777" w:rsidR="007017E5" w:rsidRPr="00464EA0" w:rsidRDefault="00464EA0">
            <w:pPr>
              <w:widowControl w:val="0"/>
              <w:rPr>
                <w:sz w:val="24"/>
                <w:szCs w:val="24"/>
                <w:lang w:val="en-GB"/>
              </w:rPr>
            </w:pPr>
            <w:r w:rsidRPr="00464EA0">
              <w:rPr>
                <w:sz w:val="24"/>
                <w:szCs w:val="24"/>
                <w:lang w:val="en-GB"/>
              </w:rPr>
              <w:t>Quinn et al. (2025)</w:t>
            </w:r>
          </w:p>
        </w:tc>
        <w:tc>
          <w:tcPr>
            <w:tcW w:w="3090" w:type="dxa"/>
            <w:tcBorders>
              <w:top w:val="single" w:sz="7" w:space="0" w:color="CCCCCC"/>
              <w:left w:val="single" w:sz="7" w:space="0" w:color="CCCCCC"/>
              <w:bottom w:val="single" w:sz="7" w:space="0" w:color="CCCCCC"/>
              <w:right w:val="single" w:sz="7" w:space="0" w:color="CCCCCC"/>
            </w:tcBorders>
            <w:tcMar>
              <w:top w:w="40" w:type="dxa"/>
              <w:left w:w="40" w:type="dxa"/>
              <w:bottom w:w="40" w:type="dxa"/>
              <w:right w:w="40" w:type="dxa"/>
            </w:tcMar>
            <w:vAlign w:val="bottom"/>
          </w:tcPr>
          <w:p w14:paraId="41FCDE8B" w14:textId="77777777" w:rsidR="007017E5" w:rsidRPr="00464EA0" w:rsidRDefault="00464EA0">
            <w:pPr>
              <w:widowControl w:val="0"/>
              <w:rPr>
                <w:sz w:val="24"/>
                <w:szCs w:val="24"/>
                <w:lang w:val="en-GB"/>
              </w:rPr>
            </w:pPr>
            <w:r w:rsidRPr="00464EA0">
              <w:rPr>
                <w:sz w:val="24"/>
                <w:szCs w:val="24"/>
                <w:lang w:val="en-GB"/>
              </w:rPr>
              <w:t>Cross-sectional study in the UK of 43,756 older women (mean age 75.6).</w:t>
            </w:r>
          </w:p>
        </w:tc>
        <w:tc>
          <w:tcPr>
            <w:tcW w:w="4785" w:type="dxa"/>
            <w:tcBorders>
              <w:top w:val="single" w:sz="7" w:space="0" w:color="CCCCCC"/>
              <w:left w:val="single" w:sz="7" w:space="0" w:color="CCCCCC"/>
              <w:bottom w:val="single" w:sz="7" w:space="0" w:color="CCCCCC"/>
              <w:right w:val="single" w:sz="7" w:space="0" w:color="000000"/>
            </w:tcBorders>
            <w:tcMar>
              <w:top w:w="40" w:type="dxa"/>
              <w:left w:w="0" w:type="dxa"/>
              <w:bottom w:w="40" w:type="dxa"/>
              <w:right w:w="0" w:type="dxa"/>
            </w:tcMar>
            <w:vAlign w:val="bottom"/>
          </w:tcPr>
          <w:p w14:paraId="1CF25F6D" w14:textId="77777777" w:rsidR="007017E5" w:rsidRPr="00464EA0" w:rsidRDefault="00464EA0" w:rsidP="0081699C">
            <w:pPr>
              <w:widowControl w:val="0"/>
              <w:rPr>
                <w:sz w:val="24"/>
                <w:szCs w:val="24"/>
                <w:lang w:val="en-GB"/>
              </w:rPr>
            </w:pPr>
            <w:r w:rsidRPr="00464EA0">
              <w:rPr>
                <w:sz w:val="24"/>
                <w:szCs w:val="24"/>
                <w:lang w:val="en-GB"/>
              </w:rPr>
              <w:t xml:space="preserve">Demonstrates economic and social inequities </w:t>
            </w:r>
            <w:r w:rsidR="0081699C">
              <w:rPr>
                <w:sz w:val="24"/>
                <w:szCs w:val="24"/>
                <w:lang w:val="en-GB"/>
              </w:rPr>
              <w:t>concerning</w:t>
            </w:r>
            <w:r w:rsidRPr="00464EA0">
              <w:rPr>
                <w:sz w:val="24"/>
                <w:szCs w:val="24"/>
                <w:lang w:val="en-GB"/>
              </w:rPr>
              <w:t xml:space="preserve"> formal and informal home care</w:t>
            </w:r>
          </w:p>
        </w:tc>
      </w:tr>
    </w:tbl>
    <w:p w14:paraId="533B7A37" w14:textId="77777777" w:rsidR="007017E5" w:rsidRPr="00464EA0" w:rsidRDefault="007017E5">
      <w:pPr>
        <w:spacing w:line="360" w:lineRule="auto"/>
        <w:jc w:val="both"/>
        <w:rPr>
          <w:sz w:val="24"/>
          <w:szCs w:val="24"/>
          <w:lang w:val="en-GB"/>
        </w:rPr>
      </w:pPr>
    </w:p>
    <w:p w14:paraId="2BCC6F4A" w14:textId="77777777" w:rsidR="007017E5" w:rsidRPr="006A5EBB" w:rsidRDefault="00464EA0">
      <w:pPr>
        <w:spacing w:line="360" w:lineRule="auto"/>
        <w:jc w:val="both"/>
        <w:rPr>
          <w:lang w:val="en-GB"/>
        </w:rPr>
      </w:pPr>
      <w:r w:rsidRPr="006A5EBB">
        <w:rPr>
          <w:lang w:val="en-GB"/>
        </w:rPr>
        <w:t>Journal and PubMed records were used to check the study characteristics and the findings.</w:t>
      </w:r>
    </w:p>
    <w:p w14:paraId="5CD64585" w14:textId="77777777" w:rsidR="007017E5" w:rsidRPr="00464EA0" w:rsidRDefault="00464EA0">
      <w:pPr>
        <w:spacing w:line="360" w:lineRule="auto"/>
        <w:jc w:val="both"/>
        <w:rPr>
          <w:b/>
          <w:bCs/>
          <w:sz w:val="26"/>
          <w:szCs w:val="26"/>
          <w:lang w:val="en-GB"/>
        </w:rPr>
      </w:pPr>
      <w:r w:rsidRPr="00464EA0">
        <w:rPr>
          <w:b/>
          <w:bCs/>
          <w:sz w:val="26"/>
          <w:szCs w:val="26"/>
          <w:lang w:val="en-GB"/>
        </w:rPr>
        <w:t>5.2 Theme 1: Workforce capacity and employment conditions</w:t>
      </w:r>
    </w:p>
    <w:p w14:paraId="2335DEC7" w14:textId="77777777" w:rsidR="007017E5" w:rsidRPr="006A5EBB" w:rsidRDefault="00464EA0">
      <w:pPr>
        <w:spacing w:line="360" w:lineRule="auto"/>
        <w:jc w:val="both"/>
        <w:rPr>
          <w:lang w:val="en-GB"/>
        </w:rPr>
      </w:pPr>
      <w:r w:rsidRPr="006A5EBB">
        <w:rPr>
          <w:lang w:val="en-GB"/>
        </w:rPr>
        <w:t>The most frequent structural issue was staffing pressures. Recruitment and retention w</w:t>
      </w:r>
      <w:r w:rsidR="0081699C" w:rsidRPr="006A5EBB">
        <w:rPr>
          <w:lang w:val="en-GB"/>
        </w:rPr>
        <w:t>ere</w:t>
      </w:r>
      <w:r w:rsidRPr="006A5EBB">
        <w:rPr>
          <w:lang w:val="en-GB"/>
        </w:rPr>
        <w:t xml:space="preserve"> ranked as one of the top 5 research priorities for three stakeholder groups by O'Rourke and Beresford (2022). Burns et al. (2023) went beyond the number of staff involved and demonstrated how aspects of job quality, including time-related aspects like scheduling and task-based commissioning, can affect the quality of jobs. Having a job thus influences experiences and workers' ability to provide relational care.</w:t>
      </w:r>
    </w:p>
    <w:p w14:paraId="64B03B80" w14:textId="77777777" w:rsidR="007017E5" w:rsidRPr="006A5EBB" w:rsidRDefault="00464EA0">
      <w:pPr>
        <w:spacing w:line="360" w:lineRule="auto"/>
        <w:jc w:val="both"/>
        <w:rPr>
          <w:lang w:val="en-GB"/>
        </w:rPr>
      </w:pPr>
      <w:r w:rsidRPr="006A5EBB">
        <w:rPr>
          <w:lang w:val="en-GB"/>
        </w:rPr>
        <w:t>Le et al. (2024) found that low staffing, high staff turnover, occupational stress, communication challenges, and training gaps were risks to the safety of home</w:t>
      </w:r>
      <w:r w:rsidR="0081699C" w:rsidRPr="006A5EBB">
        <w:rPr>
          <w:lang w:val="en-GB"/>
        </w:rPr>
        <w:t xml:space="preserve"> </w:t>
      </w:r>
      <w:r w:rsidRPr="006A5EBB">
        <w:rPr>
          <w:lang w:val="en-GB"/>
        </w:rPr>
        <w:t>care in their qualitative English study of 31 participants. Workforce issues thus manifest themselves as a quality issue and not just an administrative issue.</w:t>
      </w:r>
    </w:p>
    <w:p w14:paraId="57E79B14" w14:textId="77777777" w:rsidR="007017E5" w:rsidRPr="00464EA0" w:rsidRDefault="00464EA0">
      <w:pPr>
        <w:spacing w:line="360" w:lineRule="auto"/>
        <w:jc w:val="both"/>
        <w:rPr>
          <w:b/>
          <w:bCs/>
          <w:sz w:val="26"/>
          <w:szCs w:val="26"/>
          <w:lang w:val="en-GB"/>
        </w:rPr>
      </w:pPr>
      <w:r w:rsidRPr="00464EA0">
        <w:rPr>
          <w:b/>
          <w:bCs/>
          <w:sz w:val="26"/>
          <w:szCs w:val="26"/>
          <w:lang w:val="en-GB"/>
        </w:rPr>
        <w:t>5.3 Theme 2: Time, continuity and service organisation</w:t>
      </w:r>
    </w:p>
    <w:p w14:paraId="6B353896" w14:textId="77777777" w:rsidR="007017E5" w:rsidRPr="006A5EBB" w:rsidRDefault="00464EA0">
      <w:pPr>
        <w:spacing w:line="360" w:lineRule="auto"/>
        <w:jc w:val="both"/>
        <w:rPr>
          <w:lang w:val="en-GB"/>
        </w:rPr>
      </w:pPr>
      <w:r w:rsidRPr="006A5EBB">
        <w:rPr>
          <w:lang w:val="en-GB"/>
        </w:rPr>
        <w:t>Three general barriers to performance were identified by Healy et al. (2024): time factors, organisational practice and job design. Adjustments were made to accommodate practical needs, but sometimes this meant compromising on the quality of care given or the safety or health of the workers (Healey et al., 2024).</w:t>
      </w:r>
    </w:p>
    <w:p w14:paraId="73C8C907" w14:textId="77777777" w:rsidR="007017E5" w:rsidRPr="006A5EBB" w:rsidRDefault="00464EA0">
      <w:pPr>
        <w:spacing w:line="360" w:lineRule="auto"/>
        <w:jc w:val="both"/>
        <w:rPr>
          <w:lang w:val="en-GB"/>
        </w:rPr>
      </w:pPr>
      <w:r w:rsidRPr="006A5EBB">
        <w:rPr>
          <w:lang w:val="en-GB"/>
        </w:rPr>
        <w:t xml:space="preserve">Burns et al. (2023) also noted that the traditional approaches using clock time may be inflexible to address individual needs. Microenterprise models can be helpful to consider as they offer the possibility of increased provision that is more relationship-based and </w:t>
      </w:r>
      <w:proofErr w:type="gramStart"/>
      <w:r w:rsidRPr="006A5EBB">
        <w:rPr>
          <w:lang w:val="en-GB"/>
        </w:rPr>
        <w:t>flexible, but</w:t>
      </w:r>
      <w:proofErr w:type="gramEnd"/>
      <w:r w:rsidRPr="006A5EBB">
        <w:rPr>
          <w:lang w:val="en-GB"/>
        </w:rPr>
        <w:t xml:space="preserve"> will need local commissioning support and legitimacy to function (McDonald,</w:t>
      </w:r>
      <w:r w:rsidRPr="00464EA0">
        <w:rPr>
          <w:sz w:val="24"/>
          <w:szCs w:val="24"/>
          <w:lang w:val="en-GB"/>
        </w:rPr>
        <w:t xml:space="preserve"> </w:t>
      </w:r>
      <w:r w:rsidRPr="006A5EBB">
        <w:rPr>
          <w:lang w:val="en-GB"/>
        </w:rPr>
        <w:t xml:space="preserve">2023). </w:t>
      </w:r>
      <w:proofErr w:type="gramStart"/>
      <w:r w:rsidRPr="006A5EBB">
        <w:rPr>
          <w:lang w:val="en-GB"/>
        </w:rPr>
        <w:t>So</w:t>
      </w:r>
      <w:proofErr w:type="gramEnd"/>
      <w:r w:rsidRPr="006A5EBB">
        <w:rPr>
          <w:lang w:val="en-GB"/>
        </w:rPr>
        <w:t xml:space="preserve"> the signs point to the</w:t>
      </w:r>
      <w:r w:rsidRPr="00464EA0">
        <w:rPr>
          <w:sz w:val="24"/>
          <w:szCs w:val="24"/>
          <w:lang w:val="en-GB"/>
        </w:rPr>
        <w:t xml:space="preserve"> </w:t>
      </w:r>
      <w:r w:rsidRPr="006A5EBB">
        <w:rPr>
          <w:lang w:val="en-GB"/>
        </w:rPr>
        <w:lastRenderedPageBreak/>
        <w:t>need to do more than just encourage workers to be flexible in the face of ongoing commissioning regimes that are reassuringly tightly specified.</w:t>
      </w:r>
    </w:p>
    <w:p w14:paraId="6F4BD815" w14:textId="77777777" w:rsidR="007D6A31" w:rsidRDefault="007D6A31">
      <w:pPr>
        <w:spacing w:line="360" w:lineRule="auto"/>
        <w:jc w:val="both"/>
        <w:rPr>
          <w:sz w:val="24"/>
          <w:szCs w:val="24"/>
          <w:lang w:val="en-GB"/>
        </w:rPr>
      </w:pPr>
    </w:p>
    <w:p w14:paraId="5EDD4281" w14:textId="77777777" w:rsidR="007D6A31" w:rsidRPr="00464EA0" w:rsidRDefault="007D6A31">
      <w:pPr>
        <w:spacing w:line="360" w:lineRule="auto"/>
        <w:jc w:val="both"/>
        <w:rPr>
          <w:sz w:val="24"/>
          <w:szCs w:val="24"/>
          <w:lang w:val="en-GB"/>
        </w:rPr>
      </w:pPr>
    </w:p>
    <w:p w14:paraId="78D4F92A" w14:textId="77777777" w:rsidR="007017E5" w:rsidRPr="00464EA0" w:rsidRDefault="00464EA0">
      <w:pPr>
        <w:spacing w:line="360" w:lineRule="auto"/>
        <w:jc w:val="both"/>
        <w:rPr>
          <w:b/>
          <w:bCs/>
          <w:sz w:val="26"/>
          <w:szCs w:val="26"/>
          <w:lang w:val="en-GB"/>
        </w:rPr>
      </w:pPr>
      <w:r w:rsidRPr="00464EA0">
        <w:rPr>
          <w:b/>
          <w:bCs/>
          <w:sz w:val="26"/>
          <w:szCs w:val="26"/>
          <w:lang w:val="en-GB"/>
        </w:rPr>
        <w:t>5.4 Theme 3: Coordination and complexity</w:t>
      </w:r>
    </w:p>
    <w:p w14:paraId="1D67C88E" w14:textId="77777777" w:rsidR="007017E5" w:rsidRPr="006A5EBB" w:rsidRDefault="00464EA0">
      <w:pPr>
        <w:spacing w:line="360" w:lineRule="auto"/>
        <w:jc w:val="both"/>
        <w:rPr>
          <w:lang w:val="en-GB"/>
        </w:rPr>
      </w:pPr>
      <w:r w:rsidRPr="006A5EBB">
        <w:rPr>
          <w:lang w:val="en-GB"/>
        </w:rPr>
        <w:t>In O'Rourke and Beresford's research (2022), the only research area to have a top five result for all stakeholder groups was joint working between homecare and health services. This reflects the changing nature of the role of domiciliary workers as people are increasingly seeking assistance with end-of-life needs, dementia</w:t>
      </w:r>
      <w:r w:rsidR="0081699C" w:rsidRPr="006A5EBB">
        <w:rPr>
          <w:lang w:val="en-GB"/>
        </w:rPr>
        <w:t>,</w:t>
      </w:r>
      <w:r w:rsidRPr="006A5EBB">
        <w:rPr>
          <w:lang w:val="en-GB"/>
        </w:rPr>
        <w:t xml:space="preserve"> multimorbidity and frailty.</w:t>
      </w:r>
    </w:p>
    <w:p w14:paraId="3185B2A6" w14:textId="77777777" w:rsidR="007017E5" w:rsidRPr="006A5EBB" w:rsidRDefault="00464EA0">
      <w:pPr>
        <w:spacing w:line="360" w:lineRule="auto"/>
        <w:jc w:val="both"/>
        <w:rPr>
          <w:lang w:val="en-GB"/>
        </w:rPr>
      </w:pPr>
      <w:r w:rsidRPr="006A5EBB">
        <w:rPr>
          <w:lang w:val="en-GB"/>
        </w:rPr>
        <w:t xml:space="preserve">In analysing 19 studies covering 2,510 participants in the research, </w:t>
      </w:r>
      <w:proofErr w:type="gramStart"/>
      <w:r w:rsidRPr="006A5EBB">
        <w:rPr>
          <w:lang w:val="en-GB"/>
        </w:rPr>
        <w:t>Forward</w:t>
      </w:r>
      <w:proofErr w:type="gramEnd"/>
      <w:r w:rsidRPr="006A5EBB">
        <w:rPr>
          <w:lang w:val="en-GB"/>
        </w:rPr>
        <w:t xml:space="preserve"> et al. (2024) came up with consistent needs among the professional teams for better training, emotional support and interaction. Homecare workers were often placed in a role as key supporting workers, and they were relatively disconnected from formal professional networks (Forward et al., 2024). Continuity, specialist knowledge and advance care planning are also constant challenges in research into home care for people with dementia (Mogan et al., 2022).</w:t>
      </w:r>
    </w:p>
    <w:p w14:paraId="71235395" w14:textId="77777777" w:rsidR="007017E5" w:rsidRPr="00464EA0" w:rsidRDefault="00464EA0">
      <w:pPr>
        <w:spacing w:line="360" w:lineRule="auto"/>
        <w:jc w:val="both"/>
        <w:rPr>
          <w:b/>
          <w:bCs/>
          <w:sz w:val="26"/>
          <w:szCs w:val="26"/>
          <w:lang w:val="en-GB"/>
        </w:rPr>
      </w:pPr>
      <w:r w:rsidRPr="00464EA0">
        <w:rPr>
          <w:b/>
          <w:bCs/>
          <w:sz w:val="26"/>
          <w:szCs w:val="26"/>
          <w:lang w:val="en-GB"/>
        </w:rPr>
        <w:t>5.5 Theme 4: Quality, person-centred care and inequalities</w:t>
      </w:r>
    </w:p>
    <w:p w14:paraId="734A6DB1" w14:textId="77777777" w:rsidR="007017E5" w:rsidRPr="006A5EBB" w:rsidRDefault="00464EA0">
      <w:pPr>
        <w:spacing w:line="360" w:lineRule="auto"/>
        <w:jc w:val="both"/>
        <w:rPr>
          <w:lang w:val="en-GB"/>
        </w:rPr>
      </w:pPr>
      <w:r w:rsidRPr="006A5EBB">
        <w:rPr>
          <w:lang w:val="en-GB"/>
        </w:rPr>
        <w:t>Quality was no longer one-dimensional and simply about doing the job. Hall et al. (2025) conducted a review and synthesis of 93 publications across 16 high-income countries</w:t>
      </w:r>
      <w:r w:rsidR="0081699C" w:rsidRPr="006A5EBB">
        <w:rPr>
          <w:lang w:val="en-GB"/>
        </w:rPr>
        <w:t>,</w:t>
      </w:r>
      <w:r w:rsidRPr="006A5EBB">
        <w:rPr>
          <w:lang w:val="en-GB"/>
        </w:rPr>
        <w:t xml:space="preserve"> which resulted in four dimensions: relationships and continuity, bespoke care, organisational and structural conditions, and approaches to quality measurement.</w:t>
      </w:r>
    </w:p>
    <w:p w14:paraId="095F152B" w14:textId="77777777" w:rsidR="007017E5" w:rsidRPr="006A5EBB" w:rsidRDefault="00464EA0">
      <w:pPr>
        <w:spacing w:line="360" w:lineRule="auto"/>
        <w:jc w:val="both"/>
        <w:rPr>
          <w:lang w:val="en-GB"/>
        </w:rPr>
      </w:pPr>
      <w:r w:rsidRPr="006A5EBB">
        <w:rPr>
          <w:lang w:val="en-GB"/>
        </w:rPr>
        <w:t>Quinn et al. (2025) include an equity perspective. Of the 43,756 older women in the UK, 1.2% had formal home</w:t>
      </w:r>
      <w:r w:rsidR="0081699C" w:rsidRPr="006A5EBB">
        <w:rPr>
          <w:lang w:val="en-GB"/>
        </w:rPr>
        <w:t xml:space="preserve"> </w:t>
      </w:r>
      <w:r w:rsidRPr="006A5EBB">
        <w:rPr>
          <w:lang w:val="en-GB"/>
        </w:rPr>
        <w:t>care, 3.2% had informal care</w:t>
      </w:r>
      <w:r w:rsidR="0081699C" w:rsidRPr="006A5EBB">
        <w:rPr>
          <w:lang w:val="en-GB"/>
        </w:rPr>
        <w:t>,</w:t>
      </w:r>
      <w:r w:rsidRPr="006A5EBB">
        <w:rPr>
          <w:lang w:val="en-GB"/>
        </w:rPr>
        <w:t xml:space="preserve"> and 0.6% had both formal and informal care. Women with no educational qualifications were more likely to access informal support</w:t>
      </w:r>
      <w:r w:rsidR="0081699C" w:rsidRPr="006A5EBB">
        <w:rPr>
          <w:lang w:val="en-GB"/>
        </w:rPr>
        <w:t>;</w:t>
      </w:r>
      <w:r w:rsidRPr="006A5EBB">
        <w:rPr>
          <w:lang w:val="en-GB"/>
        </w:rPr>
        <w:t xml:space="preserve"> however</w:t>
      </w:r>
      <w:r w:rsidR="0081699C" w:rsidRPr="006A5EBB">
        <w:rPr>
          <w:lang w:val="en-GB"/>
        </w:rPr>
        <w:t>,</w:t>
      </w:r>
      <w:r w:rsidRPr="006A5EBB">
        <w:rPr>
          <w:lang w:val="en-GB"/>
        </w:rPr>
        <w:t xml:space="preserve"> the chances of accessing formal support were still significantly lower than women with </w:t>
      </w:r>
      <w:r w:rsidR="0081699C" w:rsidRPr="006A5EBB">
        <w:rPr>
          <w:lang w:val="en-GB"/>
        </w:rPr>
        <w:t xml:space="preserve">a </w:t>
      </w:r>
      <w:r w:rsidRPr="006A5EBB">
        <w:rPr>
          <w:lang w:val="en-GB"/>
        </w:rPr>
        <w:t>university qualification (odds ratio 0.39, 95% CI 0.25–0.60). The availability of home</w:t>
      </w:r>
      <w:r w:rsidR="0081699C" w:rsidRPr="006A5EBB">
        <w:rPr>
          <w:lang w:val="en-GB"/>
        </w:rPr>
        <w:t xml:space="preserve"> </w:t>
      </w:r>
      <w:r w:rsidRPr="006A5EBB">
        <w:rPr>
          <w:lang w:val="en-GB"/>
        </w:rPr>
        <w:t>care thus seems to be related as well to socioeconomic conditions as to need.</w:t>
      </w:r>
    </w:p>
    <w:p w14:paraId="1FBBBB76" w14:textId="77777777" w:rsidR="007017E5" w:rsidRPr="00464EA0" w:rsidRDefault="00464EA0" w:rsidP="00464EA0">
      <w:pPr>
        <w:pStyle w:val="Heading1"/>
        <w:rPr>
          <w:lang w:val="en-GB"/>
        </w:rPr>
      </w:pPr>
      <w:bookmarkStart w:id="4" w:name="_Toc237358431"/>
      <w:r w:rsidRPr="00464EA0">
        <w:rPr>
          <w:lang w:val="en-GB"/>
        </w:rPr>
        <w:t>6.0 Discussion</w:t>
      </w:r>
      <w:bookmarkEnd w:id="4"/>
    </w:p>
    <w:p w14:paraId="0013511F" w14:textId="77777777" w:rsidR="007017E5" w:rsidRPr="00464EA0" w:rsidRDefault="00464EA0">
      <w:pPr>
        <w:spacing w:line="360" w:lineRule="auto"/>
        <w:jc w:val="both"/>
        <w:rPr>
          <w:sz w:val="24"/>
          <w:szCs w:val="24"/>
          <w:lang w:val="en-GB"/>
        </w:rPr>
      </w:pPr>
      <w:r w:rsidRPr="006A5EBB">
        <w:rPr>
          <w:lang w:val="en-GB"/>
        </w:rPr>
        <w:t>The results indicate that issues related to domiciliary care are interrelated and mostly systemic. Staffing is important but will not solve problems of poor continuity, fragmented co-ordination, inflexibility of staff timetables or inequality. Instead, there is a chain effect with funding and commissioning having an impact on employment conditions;</w:t>
      </w:r>
      <w:r w:rsidRPr="00464EA0">
        <w:rPr>
          <w:sz w:val="24"/>
          <w:szCs w:val="24"/>
          <w:lang w:val="en-GB"/>
        </w:rPr>
        <w:t xml:space="preserve"> </w:t>
      </w:r>
      <w:r w:rsidRPr="006A5EBB">
        <w:rPr>
          <w:lang w:val="en-GB"/>
        </w:rPr>
        <w:t>employment conditions on retention and continuity; retention and continuity on relationships and personalisation; and</w:t>
      </w:r>
      <w:r w:rsidRPr="00464EA0">
        <w:rPr>
          <w:sz w:val="24"/>
          <w:szCs w:val="24"/>
          <w:lang w:val="en-GB"/>
        </w:rPr>
        <w:t xml:space="preserve"> </w:t>
      </w:r>
      <w:r w:rsidRPr="006A5EBB">
        <w:rPr>
          <w:lang w:val="en-GB"/>
        </w:rPr>
        <w:t>personalisation</w:t>
      </w:r>
      <w:r w:rsidRPr="00464EA0">
        <w:rPr>
          <w:sz w:val="24"/>
          <w:szCs w:val="24"/>
          <w:lang w:val="en-GB"/>
        </w:rPr>
        <w:t xml:space="preserve"> </w:t>
      </w:r>
      <w:r w:rsidRPr="006A5EBB">
        <w:rPr>
          <w:lang w:val="en-GB"/>
        </w:rPr>
        <w:lastRenderedPageBreak/>
        <w:t>and relationships on weak co-ordination becoming a major issue when older people's needs become more complex (Burns et al., 2023; Healey et al., 2024; Hall et al., 2025).</w:t>
      </w:r>
    </w:p>
    <w:p w14:paraId="001BCF08" w14:textId="77777777" w:rsidR="007017E5" w:rsidRPr="00464EA0" w:rsidRDefault="00464EA0">
      <w:pPr>
        <w:spacing w:line="360" w:lineRule="auto"/>
        <w:jc w:val="both"/>
        <w:rPr>
          <w:b/>
          <w:bCs/>
          <w:sz w:val="26"/>
          <w:szCs w:val="26"/>
          <w:lang w:val="en-GB"/>
        </w:rPr>
      </w:pPr>
      <w:r w:rsidRPr="00464EA0">
        <w:rPr>
          <w:b/>
          <w:bCs/>
          <w:sz w:val="26"/>
          <w:szCs w:val="26"/>
          <w:lang w:val="en-GB"/>
        </w:rPr>
        <w:t>6.1 Workforce sustainability and quality</w:t>
      </w:r>
    </w:p>
    <w:p w14:paraId="45E2254C" w14:textId="77777777" w:rsidR="007017E5" w:rsidRPr="006A5EBB" w:rsidRDefault="00464EA0">
      <w:pPr>
        <w:spacing w:line="360" w:lineRule="auto"/>
        <w:jc w:val="both"/>
        <w:rPr>
          <w:lang w:val="en-GB"/>
        </w:rPr>
      </w:pPr>
      <w:r w:rsidRPr="006A5EBB">
        <w:rPr>
          <w:lang w:val="en-GB"/>
        </w:rPr>
        <w:t xml:space="preserve">Today's labour statistics bring some clarity to the issue. Skills for Care estimates that the independent domiciliary-care vacancy rate was 9.1% in 2025/26, which is higher than the care home vacancy rate with nursing (3.9%) and </w:t>
      </w:r>
      <w:r w:rsidR="0081699C" w:rsidRPr="006A5EBB">
        <w:rPr>
          <w:lang w:val="en-GB"/>
        </w:rPr>
        <w:t xml:space="preserve">the </w:t>
      </w:r>
      <w:r w:rsidRPr="006A5EBB">
        <w:rPr>
          <w:lang w:val="en-GB"/>
        </w:rPr>
        <w:t>care home vacancy rate without nursing (3.8%) (Skills for Care, 2026). This represents a decrease from the 13.0% vacancy rate for domiciliary</w:t>
      </w:r>
      <w:r w:rsidR="0081699C" w:rsidRPr="006A5EBB">
        <w:rPr>
          <w:lang w:val="en-GB"/>
        </w:rPr>
        <w:t xml:space="preserve"> </w:t>
      </w:r>
      <w:r w:rsidRPr="006A5EBB">
        <w:rPr>
          <w:lang w:val="en-GB"/>
        </w:rPr>
        <w:t>care in 2021/22 but is still high compared to the same rate in residential care. More importantly, Skills for Care projects that, by 2040, there may be about 410,000 new adult social care jobs to keep pace with the increase in numbers of people over 65 (Skills for Care, 2026).</w:t>
      </w:r>
    </w:p>
    <w:p w14:paraId="0FBDAF5F" w14:textId="77777777" w:rsidR="007017E5" w:rsidRPr="006A5EBB" w:rsidRDefault="00464EA0">
      <w:pPr>
        <w:spacing w:line="360" w:lineRule="auto"/>
        <w:jc w:val="both"/>
        <w:rPr>
          <w:lang w:val="en-GB"/>
        </w:rPr>
      </w:pPr>
      <w:r w:rsidRPr="006A5EBB">
        <w:rPr>
          <w:lang w:val="en-GB"/>
        </w:rPr>
        <w:t>These statistics corroborate the concerns raised by O'Rourke and Beresford (2022), as well as by Le et al. (2024). But it's hardly likely to be enough on its own. As Burns et al. (2023) demonstrate, there is no simple direct relationship between retention and job quality. High turnover rates are simply continued by increased recruitment if the workers are subjected to compressed visits, lack of or poor recognition for travel, irregular work schedules, and limited time to build relationships. In addition to boosting employment supply, a sustainable strategy must boost employment quality of care.</w:t>
      </w:r>
    </w:p>
    <w:p w14:paraId="7AFD76FF" w14:textId="77777777" w:rsidR="007017E5" w:rsidRPr="00464EA0" w:rsidRDefault="00464EA0">
      <w:pPr>
        <w:spacing w:line="360" w:lineRule="auto"/>
        <w:jc w:val="both"/>
        <w:rPr>
          <w:b/>
          <w:bCs/>
          <w:sz w:val="26"/>
          <w:szCs w:val="26"/>
          <w:lang w:val="en-GB"/>
        </w:rPr>
      </w:pPr>
      <w:r w:rsidRPr="00464EA0">
        <w:rPr>
          <w:b/>
          <w:bCs/>
          <w:sz w:val="26"/>
          <w:szCs w:val="26"/>
          <w:lang w:val="en-GB"/>
        </w:rPr>
        <w:t>6.2 Time pressure and continuity</w:t>
      </w:r>
    </w:p>
    <w:p w14:paraId="68CB0A46" w14:textId="77777777" w:rsidR="007017E5" w:rsidRPr="006A5EBB" w:rsidRDefault="00464EA0">
      <w:pPr>
        <w:spacing w:line="360" w:lineRule="auto"/>
        <w:jc w:val="both"/>
        <w:rPr>
          <w:lang w:val="en-GB"/>
        </w:rPr>
      </w:pPr>
      <w:r w:rsidRPr="006A5EBB">
        <w:rPr>
          <w:lang w:val="en-GB"/>
        </w:rPr>
        <w:t>Time is key as domiciliary care is based in the private home and requires a large amount of interpersonal interaction. Elderly people under care for intimate personal care (washing, dressing or toileting) might reasonably appreciate the comfort of known employees. Le et al. (2024) found that when staffing wasn't consistent, it caused anxiety with the service users, while Healey et al. (2024) found that workers made practical compromises when they could not keep up with the demands of the organisation.</w:t>
      </w:r>
    </w:p>
    <w:p w14:paraId="50560029" w14:textId="77777777" w:rsidR="007017E5" w:rsidRDefault="00464EA0">
      <w:pPr>
        <w:spacing w:line="360" w:lineRule="auto"/>
        <w:jc w:val="both"/>
        <w:rPr>
          <w:lang w:val="en-GB"/>
        </w:rPr>
      </w:pPr>
      <w:r w:rsidRPr="006A5EBB">
        <w:rPr>
          <w:lang w:val="en-GB"/>
        </w:rPr>
        <w:t>This results in a tension between what is needed and what is done. It has been observed that NICE guidance s</w:t>
      </w:r>
      <w:r w:rsidR="0081699C" w:rsidRPr="006A5EBB">
        <w:rPr>
          <w:lang w:val="en-GB"/>
        </w:rPr>
        <w:t>tate</w:t>
      </w:r>
      <w:r w:rsidRPr="006A5EBB">
        <w:rPr>
          <w:lang w:val="en-GB"/>
        </w:rPr>
        <w:t>s that visits should be of a suitable length and continuity (NICE, 2015). Moreover, CQC person</w:t>
      </w:r>
      <w:r w:rsidR="0081699C" w:rsidRPr="006A5EBB">
        <w:rPr>
          <w:lang w:val="en-GB"/>
        </w:rPr>
        <w:t>-</w:t>
      </w:r>
      <w:r w:rsidRPr="006A5EBB">
        <w:rPr>
          <w:lang w:val="en-GB"/>
        </w:rPr>
        <w:t xml:space="preserve">centred standards state that care should reflect what is important to the person (CQC, 2025a). With limited time units, a task time commissioning system can endanger both expectations. Therefore, the study of microenterprise as presented by McDonald's (2023) is germane to the idea that there are other smaller and more locally adaptable models that serve as alternatives to transactional models. But, for this innovation to take place, commissioning must be </w:t>
      </w:r>
      <w:proofErr w:type="gramStart"/>
      <w:r w:rsidRPr="006A5EBB">
        <w:rPr>
          <w:lang w:val="en-GB"/>
        </w:rPr>
        <w:t>supportive, and</w:t>
      </w:r>
      <w:proofErr w:type="gramEnd"/>
      <w:r w:rsidRPr="006A5EBB">
        <w:rPr>
          <w:lang w:val="en-GB"/>
        </w:rPr>
        <w:t xml:space="preserve"> not depend on provider form to guarantee quality.</w:t>
      </w:r>
    </w:p>
    <w:p w14:paraId="0FF57E9D" w14:textId="77777777" w:rsidR="006A5EBB" w:rsidRPr="00464EA0" w:rsidRDefault="006A5EBB">
      <w:pPr>
        <w:spacing w:line="360" w:lineRule="auto"/>
        <w:jc w:val="both"/>
        <w:rPr>
          <w:sz w:val="24"/>
          <w:szCs w:val="24"/>
          <w:lang w:val="en-GB"/>
        </w:rPr>
      </w:pPr>
    </w:p>
    <w:p w14:paraId="0E5111D8" w14:textId="77777777" w:rsidR="007017E5" w:rsidRPr="00464EA0" w:rsidRDefault="00464EA0">
      <w:pPr>
        <w:spacing w:line="360" w:lineRule="auto"/>
        <w:jc w:val="both"/>
        <w:rPr>
          <w:b/>
          <w:bCs/>
          <w:sz w:val="26"/>
          <w:szCs w:val="26"/>
          <w:lang w:val="en-GB"/>
        </w:rPr>
      </w:pPr>
      <w:r w:rsidRPr="00464EA0">
        <w:rPr>
          <w:b/>
          <w:bCs/>
          <w:sz w:val="26"/>
          <w:szCs w:val="26"/>
          <w:lang w:val="en-GB"/>
        </w:rPr>
        <w:lastRenderedPageBreak/>
        <w:t>6.3 Demand and complexity of care</w:t>
      </w:r>
    </w:p>
    <w:p w14:paraId="572642FD" w14:textId="77777777" w:rsidR="007017E5" w:rsidRPr="006A5EBB" w:rsidRDefault="00464EA0">
      <w:pPr>
        <w:spacing w:line="360" w:lineRule="auto"/>
        <w:jc w:val="both"/>
        <w:rPr>
          <w:lang w:val="en-GB"/>
        </w:rPr>
      </w:pPr>
      <w:r w:rsidRPr="006A5EBB">
        <w:rPr>
          <w:lang w:val="en-GB"/>
        </w:rPr>
        <w:t xml:space="preserve">These problems are likely to be exacerbated by demographic change. By 2049, the ONS (2026) projects the number of 85+ year olds to more than double from 1.75 million in 2024 to 3.6 million. In addition, at present there are 4.3 million people aged 65 and over who live alone (ONS, 2025) per Legislation.gov.uk. Although not </w:t>
      </w:r>
      <w:proofErr w:type="gramStart"/>
      <w:r w:rsidRPr="006A5EBB">
        <w:rPr>
          <w:lang w:val="en-GB"/>
        </w:rPr>
        <w:t>all of</w:t>
      </w:r>
      <w:proofErr w:type="gramEnd"/>
      <w:r w:rsidRPr="006A5EBB">
        <w:rPr>
          <w:lang w:val="en-GB"/>
        </w:rPr>
        <w:t xml:space="preserve"> these trends translate to equal care</w:t>
      </w:r>
      <w:r w:rsidR="0081699C" w:rsidRPr="006A5EBB">
        <w:rPr>
          <w:lang w:val="en-GB"/>
        </w:rPr>
        <w:t xml:space="preserve"> </w:t>
      </w:r>
      <w:r w:rsidRPr="006A5EBB">
        <w:rPr>
          <w:lang w:val="en-GB"/>
        </w:rPr>
        <w:t>needs, they do suggest that there is a greater likelihood for more people to have needs for care in domestic settings.</w:t>
      </w:r>
    </w:p>
    <w:p w14:paraId="71E4D499" w14:textId="77777777" w:rsidR="007017E5" w:rsidRPr="006A5EBB" w:rsidRDefault="00464EA0">
      <w:pPr>
        <w:spacing w:line="360" w:lineRule="auto"/>
        <w:jc w:val="both"/>
        <w:rPr>
          <w:lang w:val="en-GB"/>
        </w:rPr>
      </w:pPr>
      <w:r w:rsidRPr="006A5EBB">
        <w:rPr>
          <w:lang w:val="en-GB"/>
        </w:rPr>
        <w:t>The service environment is already a big one. In 2024/25</w:t>
      </w:r>
      <w:r w:rsidR="0081699C" w:rsidRPr="006A5EBB">
        <w:rPr>
          <w:lang w:val="en-GB"/>
        </w:rPr>
        <w:t>,</w:t>
      </w:r>
      <w:r w:rsidRPr="006A5EBB">
        <w:rPr>
          <w:lang w:val="en-GB"/>
        </w:rPr>
        <w:t xml:space="preserve"> 1.30 million support requests were put forward in England for individuals aged 65 years and over, and more than one individual can make a support request (Department of Health and Social Care, 2026a). Furthermore, spending on long-term care </w:t>
      </w:r>
      <w:r w:rsidR="0081699C" w:rsidRPr="006A5EBB">
        <w:rPr>
          <w:lang w:val="en-GB"/>
        </w:rPr>
        <w:t>for</w:t>
      </w:r>
      <w:r w:rsidRPr="006A5EBB">
        <w:rPr>
          <w:lang w:val="en-GB"/>
        </w:rPr>
        <w:t xml:space="preserve"> older people was £12.0 billion. Of which £4.3 billion went towards care in the home (Department of Health and Social Care, 2026b). Thus, even modest coordination/force productivity losses can impact many individuals and have substantial cost consequences.</w:t>
      </w:r>
    </w:p>
    <w:p w14:paraId="72BCF8FA" w14:textId="2CA126AE" w:rsidR="007017E5" w:rsidRPr="006A5EBB" w:rsidRDefault="00464EA0">
      <w:pPr>
        <w:spacing w:line="360" w:lineRule="auto"/>
        <w:jc w:val="both"/>
        <w:rPr>
          <w:lang w:val="en-GB"/>
        </w:rPr>
      </w:pPr>
      <w:r w:rsidRPr="006A5EBB">
        <w:rPr>
          <w:lang w:val="en-GB"/>
        </w:rPr>
        <w:t>A study by Forward et al. (2024) and Mogan et al. (2022) also indicates that domiciliary care involves more challenging and emotionally and clinically demanding situations, such as dementia and end-of-life care. This calls into question assumptions that the work of the domici</w:t>
      </w:r>
      <w:r w:rsidR="006A5EBB" w:rsidRPr="006A5EBB">
        <w:rPr>
          <w:lang w:val="en-GB"/>
        </w:rPr>
        <w:t>liary care</w:t>
      </w:r>
      <w:r w:rsidRPr="006A5EBB">
        <w:rPr>
          <w:lang w:val="en-GB"/>
        </w:rPr>
        <w:t xml:space="preserve"> is only simple domestic work. Training, supervision and access to health professionals should therefore reflect the complexity of the health care being provided.</w:t>
      </w:r>
    </w:p>
    <w:p w14:paraId="56A8715A" w14:textId="77777777" w:rsidR="007017E5" w:rsidRPr="00464EA0" w:rsidRDefault="00464EA0">
      <w:pPr>
        <w:spacing w:line="360" w:lineRule="auto"/>
        <w:jc w:val="both"/>
        <w:rPr>
          <w:b/>
          <w:bCs/>
          <w:sz w:val="26"/>
          <w:szCs w:val="26"/>
          <w:lang w:val="en-GB"/>
        </w:rPr>
      </w:pPr>
      <w:r w:rsidRPr="00464EA0">
        <w:rPr>
          <w:b/>
          <w:bCs/>
          <w:sz w:val="26"/>
          <w:szCs w:val="26"/>
          <w:lang w:val="en-GB"/>
        </w:rPr>
        <w:t>6.4 Integration and communication</w:t>
      </w:r>
    </w:p>
    <w:p w14:paraId="17115E24" w14:textId="77777777" w:rsidR="007017E5" w:rsidRPr="006A5EBB" w:rsidRDefault="00464EA0">
      <w:pPr>
        <w:spacing w:line="360" w:lineRule="auto"/>
        <w:jc w:val="both"/>
        <w:rPr>
          <w:lang w:val="en-GB"/>
        </w:rPr>
      </w:pPr>
      <w:r w:rsidRPr="006A5EBB">
        <w:rPr>
          <w:lang w:val="en-GB"/>
        </w:rPr>
        <w:t xml:space="preserve">The results of O'Rourke and Beresford's (2022) study are very important as they revealed that health-homecare joint working was a universal priority for all stakeholders. Homecare workers are likely to see service users more frequently than many health </w:t>
      </w:r>
      <w:proofErr w:type="gramStart"/>
      <w:r w:rsidRPr="006A5EBB">
        <w:rPr>
          <w:lang w:val="en-GB"/>
        </w:rPr>
        <w:t>professionals, and</w:t>
      </w:r>
      <w:proofErr w:type="gramEnd"/>
      <w:r w:rsidRPr="006A5EBB">
        <w:rPr>
          <w:lang w:val="en-GB"/>
        </w:rPr>
        <w:t xml:space="preserve"> can be the first to notice any decline in mobility, nutrition, cognition, skin condition or medication compliance. But their ability to escalate issues is subject to channels of communication and professional recognition.</w:t>
      </w:r>
    </w:p>
    <w:p w14:paraId="105559C2" w14:textId="77777777" w:rsidR="007017E5" w:rsidRDefault="00464EA0">
      <w:pPr>
        <w:spacing w:line="360" w:lineRule="auto"/>
        <w:jc w:val="both"/>
        <w:rPr>
          <w:lang w:val="en-GB"/>
        </w:rPr>
      </w:pPr>
      <w:r w:rsidRPr="006A5EBB">
        <w:rPr>
          <w:lang w:val="en-GB"/>
        </w:rPr>
        <w:t xml:space="preserve">Communication delays and decreased supervision can disrupt safe service delivery, according to Le et al. (2024). </w:t>
      </w:r>
      <w:proofErr w:type="gramStart"/>
      <w:r w:rsidRPr="006A5EBB">
        <w:rPr>
          <w:lang w:val="en-GB"/>
        </w:rPr>
        <w:t>So</w:t>
      </w:r>
      <w:proofErr w:type="gramEnd"/>
      <w:r w:rsidRPr="006A5EBB">
        <w:rPr>
          <w:lang w:val="en-GB"/>
        </w:rPr>
        <w:t xml:space="preserve"> it is not sufficient to have policies of integration in general. These may take the shape of more tangible steps such as improved pathways for escalating, defined lines of responsibility for information sharing and multidisciplinary communication and appropriate digital information. These functions can be facilitated by technology, but – as cautioned by Hamblin et al. (2025) – can also entail new tasks and responsibilities, which does not automatically imply greater efficiency. Relying on the</w:t>
      </w:r>
      <w:r w:rsidRPr="00464EA0">
        <w:rPr>
          <w:sz w:val="24"/>
          <w:szCs w:val="24"/>
          <w:lang w:val="en-GB"/>
        </w:rPr>
        <w:t xml:space="preserve"> </w:t>
      </w:r>
      <w:r w:rsidRPr="006A5EBB">
        <w:rPr>
          <w:lang w:val="en-GB"/>
        </w:rPr>
        <w:t>assumption of the good of technology should therefore be questioned in terms of impacts on workload, relationships and care outcomes.</w:t>
      </w:r>
    </w:p>
    <w:p w14:paraId="3ED06371" w14:textId="77777777" w:rsidR="006A5EBB" w:rsidRPr="006A5EBB" w:rsidRDefault="006A5EBB">
      <w:pPr>
        <w:spacing w:line="360" w:lineRule="auto"/>
        <w:jc w:val="both"/>
        <w:rPr>
          <w:lang w:val="en-GB"/>
        </w:rPr>
      </w:pPr>
    </w:p>
    <w:p w14:paraId="35611050" w14:textId="77777777" w:rsidR="007017E5" w:rsidRPr="00464EA0" w:rsidRDefault="00464EA0">
      <w:pPr>
        <w:spacing w:line="360" w:lineRule="auto"/>
        <w:jc w:val="both"/>
        <w:rPr>
          <w:b/>
          <w:bCs/>
          <w:sz w:val="26"/>
          <w:szCs w:val="26"/>
          <w:lang w:val="en-GB"/>
        </w:rPr>
      </w:pPr>
      <w:r w:rsidRPr="00464EA0">
        <w:rPr>
          <w:b/>
          <w:bCs/>
          <w:sz w:val="26"/>
          <w:szCs w:val="26"/>
          <w:lang w:val="en-GB"/>
        </w:rPr>
        <w:lastRenderedPageBreak/>
        <w:t>6.5 Inequality and access</w:t>
      </w:r>
    </w:p>
    <w:p w14:paraId="67BBA6AD" w14:textId="77777777" w:rsidR="007017E5" w:rsidRPr="006A5EBB" w:rsidRDefault="00464EA0">
      <w:pPr>
        <w:spacing w:line="360" w:lineRule="auto"/>
        <w:jc w:val="both"/>
        <w:rPr>
          <w:lang w:val="en-GB"/>
        </w:rPr>
      </w:pPr>
      <w:r w:rsidRPr="006A5EBB">
        <w:rPr>
          <w:lang w:val="en-GB"/>
        </w:rPr>
        <w:t xml:space="preserve">The results also challenge the concept that formal care is only delivered according to the need assessed. Quinn et al [2025] found educational and deprivation-related differences in the care use of older women. The lower educational groups showed less use of formal care, but there was an inverse relationship between informal-care use and education level (Quinn et al., 2025). Likewise, disruptions and unmet need for domiciliary care were found in the English Longitudinal Study of Ageing by </w:t>
      </w:r>
      <w:proofErr w:type="spellStart"/>
      <w:r w:rsidRPr="006A5EBB">
        <w:rPr>
          <w:lang w:val="en-GB"/>
        </w:rPr>
        <w:t>Arabadzhyan</w:t>
      </w:r>
      <w:proofErr w:type="spellEnd"/>
      <w:r w:rsidRPr="006A5EBB">
        <w:rPr>
          <w:lang w:val="en-GB"/>
        </w:rPr>
        <w:t xml:space="preserve"> et al. (2025)</w:t>
      </w:r>
      <w:r w:rsidR="0081699C" w:rsidRPr="006A5EBB">
        <w:rPr>
          <w:lang w:val="en-GB"/>
        </w:rPr>
        <w:t>,</w:t>
      </w:r>
      <w:r w:rsidRPr="006A5EBB">
        <w:rPr>
          <w:lang w:val="en-GB"/>
        </w:rPr>
        <w:t xml:space="preserve"> and these were particularly noticeable during the pandemic.</w:t>
      </w:r>
    </w:p>
    <w:p w14:paraId="24F61DFB" w14:textId="77777777" w:rsidR="007017E5" w:rsidRPr="006A5EBB" w:rsidRDefault="00464EA0">
      <w:pPr>
        <w:spacing w:line="360" w:lineRule="auto"/>
        <w:jc w:val="both"/>
        <w:rPr>
          <w:lang w:val="en-GB"/>
        </w:rPr>
      </w:pPr>
      <w:r w:rsidRPr="006A5EBB">
        <w:rPr>
          <w:lang w:val="en-GB"/>
        </w:rPr>
        <w:t>These findings have practical implications for formal support</w:t>
      </w:r>
      <w:r w:rsidR="0081699C" w:rsidRPr="006A5EBB">
        <w:rPr>
          <w:lang w:val="en-GB"/>
        </w:rPr>
        <w:t>,</w:t>
      </w:r>
      <w:r w:rsidRPr="006A5EBB">
        <w:rPr>
          <w:lang w:val="en-GB"/>
        </w:rPr>
        <w:t xml:space="preserve"> as it may be unavailable if there is a problem with assessment systems or a lack of awareness of entitlements or capacity to self-fund, or no informal carers. Person-centred care thus needs to focus not just on the quality of the care once a service has started, but on who gets or doesn't get care and who continues to need unpaid care.</w:t>
      </w:r>
    </w:p>
    <w:p w14:paraId="10E8E593" w14:textId="77777777" w:rsidR="007017E5" w:rsidRPr="00464EA0" w:rsidRDefault="00464EA0">
      <w:pPr>
        <w:spacing w:line="360" w:lineRule="auto"/>
        <w:jc w:val="both"/>
        <w:rPr>
          <w:b/>
          <w:bCs/>
          <w:sz w:val="26"/>
          <w:szCs w:val="26"/>
          <w:lang w:val="en-GB"/>
        </w:rPr>
      </w:pPr>
      <w:r w:rsidRPr="00464EA0">
        <w:rPr>
          <w:b/>
          <w:bCs/>
          <w:sz w:val="26"/>
          <w:szCs w:val="26"/>
          <w:lang w:val="en-GB"/>
        </w:rPr>
        <w:t>6.6 Strengths and limitations</w:t>
      </w:r>
    </w:p>
    <w:p w14:paraId="51BC0581" w14:textId="77777777" w:rsidR="007017E5" w:rsidRPr="006A5EBB" w:rsidRDefault="00464EA0">
      <w:pPr>
        <w:spacing w:line="360" w:lineRule="auto"/>
        <w:jc w:val="both"/>
        <w:rPr>
          <w:lang w:val="en-GB"/>
        </w:rPr>
      </w:pPr>
      <w:r w:rsidRPr="006A5EBB">
        <w:rPr>
          <w:lang w:val="en-GB"/>
        </w:rPr>
        <w:t>The review draws on the latest evidence and a variety of methods and studies of challenges at service-user, workforce, provider and system levels. The five core studies are based on large-scale quantitative evidence, qualitative interviews, organisational case studies and stakeholder consultation. However, the evidence is still limited. Research has been most detailed on England</w:t>
      </w:r>
      <w:r w:rsidR="0081699C" w:rsidRPr="006A5EBB">
        <w:rPr>
          <w:lang w:val="en-GB"/>
        </w:rPr>
        <w:t>,</w:t>
      </w:r>
      <w:r w:rsidRPr="006A5EBB">
        <w:rPr>
          <w:lang w:val="en-GB"/>
        </w:rPr>
        <w:t xml:space="preserve"> and conclusions drawn for the UK should be done with care. Social-care arrangements in Scotland, Wales and Northern Ireland are different</w:t>
      </w:r>
      <w:r w:rsidR="0081699C" w:rsidRPr="006A5EBB">
        <w:rPr>
          <w:lang w:val="en-GB"/>
        </w:rPr>
        <w:t>,</w:t>
      </w:r>
      <w:r w:rsidRPr="006A5EBB">
        <w:rPr>
          <w:lang w:val="en-GB"/>
        </w:rPr>
        <w:t xml:space="preserve"> and these are not featured as prominently in the selected studies.</w:t>
      </w:r>
    </w:p>
    <w:p w14:paraId="352BFC2F" w14:textId="77777777" w:rsidR="007017E5" w:rsidRDefault="00464EA0">
      <w:pPr>
        <w:spacing w:line="360" w:lineRule="auto"/>
        <w:jc w:val="both"/>
        <w:rPr>
          <w:lang w:val="en-GB"/>
        </w:rPr>
      </w:pPr>
      <w:r w:rsidRPr="006A5EBB">
        <w:rPr>
          <w:lang w:val="en-GB"/>
        </w:rPr>
        <w:t>There are also just 5 core studies, so the results are not readily generalisable. For example, Healey et al. (2024) provides system insights, and includes only 11 workers. However</w:t>
      </w:r>
      <w:r w:rsidR="0081699C" w:rsidRPr="006A5EBB">
        <w:rPr>
          <w:lang w:val="en-GB"/>
        </w:rPr>
        <w:t>,</w:t>
      </w:r>
      <w:r w:rsidRPr="006A5EBB">
        <w:rPr>
          <w:lang w:val="en-GB"/>
        </w:rPr>
        <w:t xml:space="preserve"> Quinn et al. (2025) is a very large cohort, and concentrates on older women, and cannot be as detailed in its organisation. Difference</w:t>
      </w:r>
      <w:r w:rsidR="0081699C" w:rsidRPr="006A5EBB">
        <w:rPr>
          <w:lang w:val="en-GB"/>
        </w:rPr>
        <w:t>s</w:t>
      </w:r>
      <w:r w:rsidRPr="006A5EBB">
        <w:rPr>
          <w:lang w:val="en-GB"/>
        </w:rPr>
        <w:t xml:space="preserve"> in definitions of homecare, difference</w:t>
      </w:r>
      <w:r w:rsidR="0081699C" w:rsidRPr="006A5EBB">
        <w:rPr>
          <w:lang w:val="en-GB"/>
        </w:rPr>
        <w:t>s</w:t>
      </w:r>
      <w:r w:rsidRPr="006A5EBB">
        <w:rPr>
          <w:lang w:val="en-GB"/>
        </w:rPr>
        <w:t xml:space="preserve"> in </w:t>
      </w:r>
      <w:r w:rsidR="0081699C" w:rsidRPr="006A5EBB">
        <w:rPr>
          <w:lang w:val="en-GB"/>
        </w:rPr>
        <w:t xml:space="preserve">the </w:t>
      </w:r>
      <w:r w:rsidRPr="006A5EBB">
        <w:rPr>
          <w:lang w:val="en-GB"/>
        </w:rPr>
        <w:t>population of service users and difference</w:t>
      </w:r>
      <w:r w:rsidR="0081699C" w:rsidRPr="006A5EBB">
        <w:rPr>
          <w:lang w:val="en-GB"/>
        </w:rPr>
        <w:t>s</w:t>
      </w:r>
      <w:r w:rsidRPr="006A5EBB">
        <w:rPr>
          <w:lang w:val="en-GB"/>
        </w:rPr>
        <w:t xml:space="preserve"> in study designs are other factors which limit direct comparison. There was no attempt to include ‘grey' literature, which may have included useful provider/ workforce evidence, in the core synthesis, but there was official data for contextual interpretation.</w:t>
      </w:r>
    </w:p>
    <w:p w14:paraId="650FA5E8" w14:textId="77777777" w:rsidR="006A5EBB" w:rsidRDefault="006A5EBB">
      <w:pPr>
        <w:spacing w:line="360" w:lineRule="auto"/>
        <w:jc w:val="both"/>
        <w:rPr>
          <w:lang w:val="en-GB"/>
        </w:rPr>
      </w:pPr>
    </w:p>
    <w:p w14:paraId="14A5E70F" w14:textId="77777777" w:rsidR="006A5EBB" w:rsidRDefault="006A5EBB">
      <w:pPr>
        <w:spacing w:line="360" w:lineRule="auto"/>
        <w:jc w:val="both"/>
        <w:rPr>
          <w:lang w:val="en-GB"/>
        </w:rPr>
      </w:pPr>
    </w:p>
    <w:p w14:paraId="0CD61077" w14:textId="77777777" w:rsidR="006A5EBB" w:rsidRPr="006A5EBB" w:rsidRDefault="006A5EBB">
      <w:pPr>
        <w:spacing w:line="360" w:lineRule="auto"/>
        <w:jc w:val="both"/>
        <w:rPr>
          <w:lang w:val="en-GB"/>
        </w:rPr>
      </w:pPr>
    </w:p>
    <w:p w14:paraId="73765423" w14:textId="77777777" w:rsidR="007017E5" w:rsidRPr="00464EA0" w:rsidRDefault="00464EA0" w:rsidP="00464EA0">
      <w:pPr>
        <w:pStyle w:val="Heading1"/>
        <w:rPr>
          <w:lang w:val="en-GB"/>
        </w:rPr>
      </w:pPr>
      <w:bookmarkStart w:id="5" w:name="_Toc237358432"/>
      <w:r w:rsidRPr="00464EA0">
        <w:rPr>
          <w:lang w:val="en-GB"/>
        </w:rPr>
        <w:lastRenderedPageBreak/>
        <w:t>7.0 Conclusion and Recommendations</w:t>
      </w:r>
      <w:bookmarkEnd w:id="5"/>
    </w:p>
    <w:p w14:paraId="1D86C458" w14:textId="77777777" w:rsidR="007017E5" w:rsidRPr="00464EA0" w:rsidRDefault="00464EA0">
      <w:pPr>
        <w:spacing w:line="360" w:lineRule="auto"/>
        <w:jc w:val="both"/>
        <w:rPr>
          <w:b/>
          <w:bCs/>
          <w:sz w:val="26"/>
          <w:szCs w:val="26"/>
          <w:lang w:val="en-GB"/>
        </w:rPr>
      </w:pPr>
      <w:r w:rsidRPr="00464EA0">
        <w:rPr>
          <w:b/>
          <w:bCs/>
          <w:sz w:val="26"/>
          <w:szCs w:val="26"/>
          <w:lang w:val="en-GB"/>
        </w:rPr>
        <w:t>7.1 Conclusion</w:t>
      </w:r>
    </w:p>
    <w:p w14:paraId="562720BC" w14:textId="77777777" w:rsidR="007017E5" w:rsidRPr="00E7592D" w:rsidRDefault="00464EA0">
      <w:pPr>
        <w:spacing w:line="360" w:lineRule="auto"/>
        <w:jc w:val="both"/>
        <w:rPr>
          <w:lang w:val="en-GB"/>
        </w:rPr>
      </w:pPr>
      <w:r w:rsidRPr="00E7592D">
        <w:rPr>
          <w:lang w:val="en-GB"/>
        </w:rPr>
        <w:t>There is evidence that these workforce, organisational, coordination, quality and access challenges are interconnected and impact upon domiciliary care for older people in the UK. Poor employment conditions and limited time make persistent recruitment problems worse</w:t>
      </w:r>
      <w:r w:rsidR="0081699C" w:rsidRPr="00E7592D">
        <w:rPr>
          <w:lang w:val="en-GB"/>
        </w:rPr>
        <w:t>,</w:t>
      </w:r>
      <w:r w:rsidRPr="00E7592D">
        <w:rPr>
          <w:lang w:val="en-GB"/>
        </w:rPr>
        <w:t xml:space="preserve"> and workforce instability makes for a lack of continuity, which is detrimental to relationship</w:t>
      </w:r>
      <w:r w:rsidR="0081699C" w:rsidRPr="00E7592D">
        <w:rPr>
          <w:lang w:val="en-GB"/>
        </w:rPr>
        <w:t>-</w:t>
      </w:r>
      <w:r w:rsidRPr="00E7592D">
        <w:rPr>
          <w:lang w:val="en-GB"/>
        </w:rPr>
        <w:t>based care. Requirements become more complex</w:t>
      </w:r>
      <w:r w:rsidR="0081699C" w:rsidRPr="00E7592D">
        <w:rPr>
          <w:lang w:val="en-GB"/>
        </w:rPr>
        <w:t>,</w:t>
      </w:r>
      <w:r w:rsidRPr="00E7592D">
        <w:rPr>
          <w:lang w:val="en-GB"/>
        </w:rPr>
        <w:t xml:space="preserve"> and there is a need for more effective home</w:t>
      </w:r>
      <w:r w:rsidR="0081699C" w:rsidRPr="00E7592D">
        <w:rPr>
          <w:lang w:val="en-GB"/>
        </w:rPr>
        <w:t xml:space="preserve"> </w:t>
      </w:r>
      <w:r w:rsidRPr="00E7592D">
        <w:rPr>
          <w:lang w:val="en-GB"/>
        </w:rPr>
        <w:t>care and health service communication and professional integration, which is not consistently effective. Socio-economic inequalities in access to formal care are also illustrated.</w:t>
      </w:r>
    </w:p>
    <w:p w14:paraId="361FB20D" w14:textId="77777777" w:rsidR="007017E5" w:rsidRPr="00E7592D" w:rsidRDefault="00464EA0">
      <w:pPr>
        <w:spacing w:line="360" w:lineRule="auto"/>
        <w:jc w:val="both"/>
        <w:rPr>
          <w:lang w:val="en-GB"/>
        </w:rPr>
      </w:pPr>
      <w:r w:rsidRPr="00E7592D">
        <w:rPr>
          <w:lang w:val="en-GB"/>
        </w:rPr>
        <w:t xml:space="preserve">The difficulties are becoming more important due to the ageing of society. Most recent projections suggest that the number of older people in the population will be rising substantially in the coming years, but so will the workforce needs. </w:t>
      </w:r>
      <w:r w:rsidR="0081699C" w:rsidRPr="00E7592D">
        <w:rPr>
          <w:lang w:val="en-GB"/>
        </w:rPr>
        <w:t>T</w:t>
      </w:r>
      <w:r w:rsidRPr="00E7592D">
        <w:rPr>
          <w:lang w:val="en-GB"/>
        </w:rPr>
        <w:t>o improve, however, it is necessary to change its structure and not just ask individual care workers to pick up the slack.</w:t>
      </w:r>
    </w:p>
    <w:p w14:paraId="78FE69D2" w14:textId="77777777" w:rsidR="007017E5" w:rsidRPr="00464EA0" w:rsidRDefault="00464EA0">
      <w:pPr>
        <w:spacing w:line="360" w:lineRule="auto"/>
        <w:jc w:val="both"/>
        <w:rPr>
          <w:b/>
          <w:bCs/>
          <w:sz w:val="26"/>
          <w:szCs w:val="26"/>
          <w:lang w:val="en-GB"/>
        </w:rPr>
      </w:pPr>
      <w:r w:rsidRPr="00464EA0">
        <w:rPr>
          <w:b/>
          <w:bCs/>
          <w:sz w:val="26"/>
          <w:szCs w:val="26"/>
          <w:lang w:val="en-GB"/>
        </w:rPr>
        <w:t>7.2 Recommendations</w:t>
      </w:r>
    </w:p>
    <w:p w14:paraId="532E99F8" w14:textId="068C2AE1" w:rsidR="007017E5" w:rsidRPr="00E7592D" w:rsidRDefault="00464EA0">
      <w:pPr>
        <w:numPr>
          <w:ilvl w:val="0"/>
          <w:numId w:val="2"/>
        </w:numPr>
        <w:spacing w:line="360" w:lineRule="auto"/>
        <w:jc w:val="both"/>
        <w:rPr>
          <w:lang w:val="en-GB"/>
        </w:rPr>
      </w:pPr>
      <w:r w:rsidRPr="00E7592D">
        <w:rPr>
          <w:lang w:val="en-GB"/>
        </w:rPr>
        <w:t xml:space="preserve">Firstly, </w:t>
      </w:r>
      <w:proofErr w:type="gramStart"/>
      <w:r w:rsidRPr="00E7592D">
        <w:rPr>
          <w:lang w:val="en-GB"/>
        </w:rPr>
        <w:t>It's</w:t>
      </w:r>
      <w:proofErr w:type="gramEnd"/>
      <w:r w:rsidRPr="00E7592D">
        <w:rPr>
          <w:lang w:val="en-GB"/>
        </w:rPr>
        <w:t xml:space="preserve"> a </w:t>
      </w:r>
      <w:r w:rsidR="0055459C" w:rsidRPr="00E7592D">
        <w:rPr>
          <w:lang w:val="en-GB"/>
        </w:rPr>
        <w:t>quality-of-care</w:t>
      </w:r>
      <w:r w:rsidRPr="00E7592D">
        <w:rPr>
          <w:lang w:val="en-GB"/>
        </w:rPr>
        <w:t xml:space="preserve"> strategy when it comes to retaining staff. Commissioners and providers should consider and promote several factors for the betterment. </w:t>
      </w:r>
      <w:proofErr w:type="gramStart"/>
      <w:r w:rsidRPr="00E7592D">
        <w:rPr>
          <w:lang w:val="en-GB"/>
        </w:rPr>
        <w:t>Such as:</w:t>
      </w:r>
      <w:proofErr w:type="gramEnd"/>
      <w:r w:rsidRPr="00E7592D">
        <w:rPr>
          <w:lang w:val="en-GB"/>
        </w:rPr>
        <w:t xml:space="preserve"> pay, predictable scheduling, supervision, training, worker wellbeing, and monitor continuity as an explicit quality indicator (Burns et al., 2023; Le et al., 2024).</w:t>
      </w:r>
    </w:p>
    <w:p w14:paraId="3DD5A286" w14:textId="77777777" w:rsidR="007017E5" w:rsidRPr="00E7592D" w:rsidRDefault="00464EA0">
      <w:pPr>
        <w:numPr>
          <w:ilvl w:val="0"/>
          <w:numId w:val="2"/>
        </w:numPr>
        <w:spacing w:line="360" w:lineRule="auto"/>
        <w:jc w:val="both"/>
        <w:rPr>
          <w:lang w:val="en-GB"/>
        </w:rPr>
      </w:pPr>
      <w:r w:rsidRPr="00E7592D">
        <w:rPr>
          <w:lang w:val="en-GB"/>
        </w:rPr>
        <w:t>Secondly, commissioning needs to be able to provide enough time and continuity of visits. Time allocations should be based on individual complexity, and not on a task-based model, especially for individuals who have dementia, frailty or end</w:t>
      </w:r>
      <w:r w:rsidR="0081699C" w:rsidRPr="00E7592D">
        <w:rPr>
          <w:lang w:val="en-GB"/>
        </w:rPr>
        <w:t>-of-</w:t>
      </w:r>
      <w:r w:rsidRPr="00E7592D">
        <w:rPr>
          <w:lang w:val="en-GB"/>
        </w:rPr>
        <w:t>life needs (Healey et al., 2024; Forward et al., 2024).</w:t>
      </w:r>
    </w:p>
    <w:p w14:paraId="47C8C9F1" w14:textId="77777777" w:rsidR="007017E5" w:rsidRPr="00E7592D" w:rsidRDefault="00464EA0">
      <w:pPr>
        <w:numPr>
          <w:ilvl w:val="0"/>
          <w:numId w:val="2"/>
        </w:numPr>
        <w:spacing w:line="360" w:lineRule="auto"/>
        <w:jc w:val="both"/>
        <w:rPr>
          <w:lang w:val="en-GB"/>
        </w:rPr>
      </w:pPr>
      <w:r w:rsidRPr="00E7592D">
        <w:rPr>
          <w:lang w:val="en-GB"/>
        </w:rPr>
        <w:t>Third, communication pathways should be set up</w:t>
      </w:r>
      <w:r w:rsidR="0081699C" w:rsidRPr="00E7592D">
        <w:rPr>
          <w:lang w:val="en-GB"/>
        </w:rPr>
        <w:t>,</w:t>
      </w:r>
      <w:r w:rsidRPr="00E7592D">
        <w:rPr>
          <w:lang w:val="en-GB"/>
        </w:rPr>
        <w:t xml:space="preserve"> and the working and proportionate information sharing system between health and homecare should be improved (O'Rourke and Beresford, 2022).</w:t>
      </w:r>
    </w:p>
    <w:p w14:paraId="7CF80587" w14:textId="77777777" w:rsidR="007017E5" w:rsidRPr="00464EA0" w:rsidRDefault="00464EA0">
      <w:pPr>
        <w:numPr>
          <w:ilvl w:val="0"/>
          <w:numId w:val="2"/>
        </w:numPr>
        <w:spacing w:line="360" w:lineRule="auto"/>
        <w:jc w:val="both"/>
        <w:rPr>
          <w:sz w:val="24"/>
          <w:szCs w:val="24"/>
          <w:lang w:val="en-GB"/>
        </w:rPr>
      </w:pPr>
      <w:r w:rsidRPr="00E7592D">
        <w:rPr>
          <w:lang w:val="en-GB"/>
        </w:rPr>
        <w:t>Finally, future research in the UK can evaluate effective workforce and commissioning interventions and include more Scottish, Welsh, Northern Irish, and other older people and marginalised groups who do not have informal supports.</w:t>
      </w:r>
      <w:r w:rsidRPr="00464EA0">
        <w:rPr>
          <w:lang w:val="en-GB"/>
        </w:rPr>
        <w:br w:type="page"/>
      </w:r>
    </w:p>
    <w:p w14:paraId="0E281133" w14:textId="7B196007" w:rsidR="00216BEC" w:rsidRPr="00B612FC" w:rsidRDefault="00464EA0" w:rsidP="00B612FC">
      <w:pPr>
        <w:pStyle w:val="Heading1"/>
        <w:rPr>
          <w:lang w:val="en-GB"/>
        </w:rPr>
      </w:pPr>
      <w:bookmarkStart w:id="6" w:name="_Toc237358433"/>
      <w:r w:rsidRPr="00464EA0">
        <w:rPr>
          <w:lang w:val="en-GB"/>
        </w:rPr>
        <w:lastRenderedPageBreak/>
        <w:t>References</w:t>
      </w:r>
      <w:bookmarkEnd w:id="6"/>
    </w:p>
    <w:p w14:paraId="32289B42" w14:textId="77777777" w:rsidR="00216BEC" w:rsidRDefault="00216BEC" w:rsidP="00C00839">
      <w:pPr>
        <w:spacing w:before="240" w:line="360" w:lineRule="auto"/>
        <w:jc w:val="both"/>
        <w:rPr>
          <w:color w:val="222222"/>
          <w:sz w:val="24"/>
          <w:szCs w:val="24"/>
        </w:rPr>
      </w:pPr>
      <w:proofErr w:type="spellStart"/>
      <w:r w:rsidRPr="00392F44">
        <w:rPr>
          <w:color w:val="222222"/>
          <w:sz w:val="24"/>
          <w:szCs w:val="24"/>
        </w:rPr>
        <w:t>Arabadzhyan</w:t>
      </w:r>
      <w:proofErr w:type="spellEnd"/>
      <w:r w:rsidRPr="00392F44">
        <w:rPr>
          <w:color w:val="222222"/>
          <w:sz w:val="24"/>
          <w:szCs w:val="24"/>
        </w:rPr>
        <w:t xml:space="preserve">, A., Jacob, N., </w:t>
      </w:r>
      <w:proofErr w:type="spellStart"/>
      <w:r w:rsidRPr="00392F44">
        <w:rPr>
          <w:color w:val="222222"/>
          <w:sz w:val="24"/>
          <w:szCs w:val="24"/>
        </w:rPr>
        <w:t>Kasteridis</w:t>
      </w:r>
      <w:proofErr w:type="spellEnd"/>
      <w:r w:rsidRPr="00392F44">
        <w:rPr>
          <w:color w:val="222222"/>
          <w:sz w:val="24"/>
          <w:szCs w:val="24"/>
        </w:rPr>
        <w:t xml:space="preserve">, P., Mason, A.R. and Rice, N. (2025) ‘COVID-19 and domiciliary care </w:t>
      </w:r>
      <w:proofErr w:type="spellStart"/>
      <w:r w:rsidRPr="00392F44">
        <w:rPr>
          <w:color w:val="222222"/>
          <w:sz w:val="24"/>
          <w:szCs w:val="24"/>
        </w:rPr>
        <w:t>utilisation</w:t>
      </w:r>
      <w:proofErr w:type="spellEnd"/>
      <w:r w:rsidRPr="00392F44">
        <w:rPr>
          <w:color w:val="222222"/>
          <w:sz w:val="24"/>
          <w:szCs w:val="24"/>
        </w:rPr>
        <w:t xml:space="preserve">: Evidence from the English Longitudinal Study of Ageing’, </w:t>
      </w:r>
      <w:r w:rsidRPr="00392F44">
        <w:rPr>
          <w:i/>
          <w:iCs/>
          <w:color w:val="222222"/>
          <w:sz w:val="24"/>
          <w:szCs w:val="24"/>
        </w:rPr>
        <w:t>The Journal of the Economics of Ageing</w:t>
      </w:r>
      <w:r w:rsidRPr="00392F44">
        <w:rPr>
          <w:color w:val="222222"/>
          <w:sz w:val="24"/>
          <w:szCs w:val="24"/>
        </w:rPr>
        <w:t>, 31, article 100552.</w:t>
      </w:r>
    </w:p>
    <w:p w14:paraId="5AD902A0" w14:textId="77777777" w:rsidR="00216BEC" w:rsidRDefault="00216BEC" w:rsidP="00C00839">
      <w:pPr>
        <w:spacing w:before="240" w:line="360" w:lineRule="auto"/>
        <w:jc w:val="both"/>
        <w:rPr>
          <w:color w:val="222222"/>
          <w:sz w:val="24"/>
          <w:szCs w:val="24"/>
        </w:rPr>
      </w:pPr>
      <w:r w:rsidRPr="00744D03">
        <w:rPr>
          <w:color w:val="222222"/>
          <w:sz w:val="24"/>
          <w:szCs w:val="24"/>
        </w:rPr>
        <w:t xml:space="preserve">Boyle, N., Seddon, D. and Toms, G. (2023) ‘Exploring overnight social care for older adults: a scoping review’, </w:t>
      </w:r>
      <w:r w:rsidRPr="00744D03">
        <w:rPr>
          <w:i/>
          <w:iCs/>
          <w:color w:val="222222"/>
          <w:sz w:val="24"/>
          <w:szCs w:val="24"/>
        </w:rPr>
        <w:t>Quality in Ageing and Older Adults</w:t>
      </w:r>
      <w:r w:rsidRPr="00744D03">
        <w:rPr>
          <w:color w:val="222222"/>
          <w:sz w:val="24"/>
          <w:szCs w:val="24"/>
        </w:rPr>
        <w:t xml:space="preserve">, 24(4), pp. 127–138. </w:t>
      </w:r>
    </w:p>
    <w:p w14:paraId="5246912F" w14:textId="77777777" w:rsidR="00216BEC" w:rsidRDefault="00216BEC" w:rsidP="00C00839">
      <w:pPr>
        <w:spacing w:before="240" w:line="360" w:lineRule="auto"/>
        <w:jc w:val="both"/>
        <w:rPr>
          <w:color w:val="222222"/>
          <w:sz w:val="24"/>
          <w:szCs w:val="24"/>
        </w:rPr>
      </w:pPr>
      <w:r w:rsidRPr="00744D03">
        <w:rPr>
          <w:color w:val="222222"/>
          <w:sz w:val="24"/>
          <w:szCs w:val="24"/>
        </w:rPr>
        <w:t xml:space="preserve">Burns, D., </w:t>
      </w:r>
      <w:proofErr w:type="spellStart"/>
      <w:r w:rsidRPr="00744D03">
        <w:rPr>
          <w:color w:val="222222"/>
          <w:sz w:val="24"/>
          <w:szCs w:val="24"/>
        </w:rPr>
        <w:t>Goodlad</w:t>
      </w:r>
      <w:proofErr w:type="spellEnd"/>
      <w:r w:rsidRPr="00744D03">
        <w:rPr>
          <w:color w:val="222222"/>
          <w:sz w:val="24"/>
          <w:szCs w:val="24"/>
        </w:rPr>
        <w:t xml:space="preserve">, C., Hamblin, K. and Zimpel-Leal, K. (2022) ‘Innovation in UK independent homecare services: A thematic narrative review’, </w:t>
      </w:r>
      <w:r w:rsidRPr="00744D03">
        <w:rPr>
          <w:i/>
          <w:iCs/>
          <w:color w:val="222222"/>
          <w:sz w:val="24"/>
          <w:szCs w:val="24"/>
        </w:rPr>
        <w:t>Health &amp; Social Care in the Community</w:t>
      </w:r>
      <w:r w:rsidRPr="00744D03">
        <w:rPr>
          <w:color w:val="222222"/>
          <w:sz w:val="24"/>
          <w:szCs w:val="24"/>
        </w:rPr>
        <w:t>, 30(6), pp. e3447–e3458.</w:t>
      </w:r>
    </w:p>
    <w:p w14:paraId="783CA8D7" w14:textId="77777777" w:rsidR="00216BEC" w:rsidRDefault="00216BEC" w:rsidP="00C00839">
      <w:pPr>
        <w:spacing w:before="240" w:line="360" w:lineRule="auto"/>
        <w:jc w:val="both"/>
        <w:rPr>
          <w:color w:val="222222"/>
          <w:sz w:val="24"/>
          <w:szCs w:val="24"/>
        </w:rPr>
      </w:pPr>
      <w:r w:rsidRPr="00B85BB3">
        <w:rPr>
          <w:color w:val="222222"/>
          <w:sz w:val="24"/>
          <w:szCs w:val="24"/>
        </w:rPr>
        <w:t xml:space="preserve">Burns, D., Hamblin, K., Fisher, D.U. and </w:t>
      </w:r>
      <w:proofErr w:type="spellStart"/>
      <w:r w:rsidRPr="00B85BB3">
        <w:rPr>
          <w:color w:val="222222"/>
          <w:sz w:val="24"/>
          <w:szCs w:val="24"/>
        </w:rPr>
        <w:t>Goodlad</w:t>
      </w:r>
      <w:proofErr w:type="spellEnd"/>
      <w:r w:rsidRPr="00B85BB3">
        <w:rPr>
          <w:color w:val="222222"/>
          <w:sz w:val="24"/>
          <w:szCs w:val="24"/>
        </w:rPr>
        <w:t>, C. (</w:t>
      </w:r>
      <w:proofErr w:type="gramStart"/>
      <w:r w:rsidRPr="00B85BB3">
        <w:rPr>
          <w:color w:val="222222"/>
          <w:sz w:val="24"/>
          <w:szCs w:val="24"/>
        </w:rPr>
        <w:t>2023) ‘</w:t>
      </w:r>
      <w:proofErr w:type="gramEnd"/>
      <w:r w:rsidRPr="00B85BB3">
        <w:rPr>
          <w:color w:val="222222"/>
          <w:sz w:val="24"/>
          <w:szCs w:val="24"/>
        </w:rPr>
        <w:t xml:space="preserve">Is it time for job quality? </w:t>
      </w:r>
      <w:proofErr w:type="spellStart"/>
      <w:r w:rsidRPr="00B85BB3">
        <w:rPr>
          <w:color w:val="222222"/>
          <w:sz w:val="24"/>
          <w:szCs w:val="24"/>
        </w:rPr>
        <w:t>Conceptualising</w:t>
      </w:r>
      <w:proofErr w:type="spellEnd"/>
      <w:r w:rsidRPr="00B85BB3">
        <w:rPr>
          <w:color w:val="222222"/>
          <w:sz w:val="24"/>
          <w:szCs w:val="24"/>
        </w:rPr>
        <w:t xml:space="preserve"> temporal arrangements in new models of homecare’, </w:t>
      </w:r>
      <w:r w:rsidRPr="00B85BB3">
        <w:rPr>
          <w:i/>
          <w:iCs/>
          <w:color w:val="222222"/>
          <w:sz w:val="24"/>
          <w:szCs w:val="24"/>
        </w:rPr>
        <w:t>Sociology of Health &amp; Illness</w:t>
      </w:r>
      <w:r w:rsidRPr="00B85BB3">
        <w:rPr>
          <w:color w:val="222222"/>
          <w:sz w:val="24"/>
          <w:szCs w:val="24"/>
        </w:rPr>
        <w:t>, 45(7), pp. 1541–1559.</w:t>
      </w:r>
    </w:p>
    <w:p w14:paraId="34F30C42" w14:textId="57E387E6" w:rsidR="0075419B" w:rsidRDefault="0075419B" w:rsidP="00C00839">
      <w:pPr>
        <w:spacing w:before="240" w:line="360" w:lineRule="auto"/>
        <w:jc w:val="both"/>
        <w:rPr>
          <w:sz w:val="24"/>
          <w:szCs w:val="24"/>
        </w:rPr>
      </w:pPr>
      <w:r w:rsidRPr="0075419B">
        <w:rPr>
          <w:sz w:val="24"/>
          <w:szCs w:val="24"/>
        </w:rPr>
        <w:t xml:space="preserve">Care Quality Commission (CQC) (2025a) </w:t>
      </w:r>
      <w:r w:rsidRPr="0075419B">
        <w:rPr>
          <w:i/>
          <w:iCs/>
          <w:sz w:val="24"/>
          <w:szCs w:val="24"/>
        </w:rPr>
        <w:t>Regulation 9: Person-</w:t>
      </w:r>
      <w:proofErr w:type="spellStart"/>
      <w:r w:rsidRPr="0075419B">
        <w:rPr>
          <w:i/>
          <w:iCs/>
          <w:sz w:val="24"/>
          <w:szCs w:val="24"/>
        </w:rPr>
        <w:t>centred</w:t>
      </w:r>
      <w:proofErr w:type="spellEnd"/>
      <w:r w:rsidRPr="0075419B">
        <w:rPr>
          <w:i/>
          <w:iCs/>
          <w:sz w:val="24"/>
          <w:szCs w:val="24"/>
        </w:rPr>
        <w:t xml:space="preserve"> care</w:t>
      </w:r>
      <w:r w:rsidRPr="0075419B">
        <w:rPr>
          <w:sz w:val="24"/>
          <w:szCs w:val="24"/>
        </w:rPr>
        <w:t xml:space="preserve">. Available at: </w:t>
      </w:r>
      <w:hyperlink r:id="rId11" w:tgtFrame="_new" w:history="1">
        <w:r w:rsidRPr="0075419B">
          <w:rPr>
            <w:rStyle w:val="Hyperlink"/>
            <w:sz w:val="24"/>
            <w:szCs w:val="24"/>
          </w:rPr>
          <w:t>https://www.cqc.org.uk/guidance-regulation/providers/regulations-service-providers-and-managers/health-social-care-act/regulation-9</w:t>
        </w:r>
      </w:hyperlink>
      <w:r w:rsidRPr="0075419B">
        <w:rPr>
          <w:sz w:val="24"/>
          <w:szCs w:val="24"/>
        </w:rPr>
        <w:t xml:space="preserve"> (Accessed: </w:t>
      </w:r>
      <w:r>
        <w:rPr>
          <w:sz w:val="24"/>
          <w:szCs w:val="24"/>
        </w:rPr>
        <w:t>07</w:t>
      </w:r>
      <w:r w:rsidRPr="0075419B">
        <w:rPr>
          <w:sz w:val="24"/>
          <w:szCs w:val="24"/>
        </w:rPr>
        <w:t xml:space="preserve"> August 2026).</w:t>
      </w:r>
    </w:p>
    <w:p w14:paraId="24D998D8" w14:textId="708225E5" w:rsidR="00BA273A" w:rsidRDefault="00BA273A" w:rsidP="00C00839">
      <w:pPr>
        <w:spacing w:before="240" w:line="360" w:lineRule="auto"/>
        <w:jc w:val="both"/>
        <w:rPr>
          <w:sz w:val="24"/>
          <w:szCs w:val="24"/>
        </w:rPr>
      </w:pPr>
      <w:r w:rsidRPr="00BA273A">
        <w:rPr>
          <w:sz w:val="24"/>
          <w:szCs w:val="24"/>
        </w:rPr>
        <w:t xml:space="preserve">Care Quality Commission (CQC) (2025b) </w:t>
      </w:r>
      <w:r w:rsidRPr="00BA273A">
        <w:rPr>
          <w:i/>
          <w:iCs/>
          <w:sz w:val="24"/>
          <w:szCs w:val="24"/>
        </w:rPr>
        <w:t>Regulation 18: Staffing</w:t>
      </w:r>
      <w:r w:rsidRPr="00BA273A">
        <w:rPr>
          <w:sz w:val="24"/>
          <w:szCs w:val="24"/>
        </w:rPr>
        <w:t xml:space="preserve">. Available at: </w:t>
      </w:r>
      <w:hyperlink r:id="rId12" w:tgtFrame="_new" w:history="1">
        <w:r w:rsidRPr="00BA273A">
          <w:rPr>
            <w:rStyle w:val="Hyperlink"/>
            <w:sz w:val="24"/>
            <w:szCs w:val="24"/>
          </w:rPr>
          <w:t>https://www.cqc.org.uk/guidance-regulation/providers/regulations-service-providers-and-managers/health-social-care-act/regulation-18</w:t>
        </w:r>
      </w:hyperlink>
      <w:r w:rsidRPr="00BA273A">
        <w:rPr>
          <w:sz w:val="24"/>
          <w:szCs w:val="24"/>
        </w:rPr>
        <w:t xml:space="preserve"> (Accessed: </w:t>
      </w:r>
      <w:r>
        <w:rPr>
          <w:sz w:val="24"/>
          <w:szCs w:val="24"/>
        </w:rPr>
        <w:t>07</w:t>
      </w:r>
      <w:r w:rsidRPr="00BA273A">
        <w:rPr>
          <w:sz w:val="24"/>
          <w:szCs w:val="24"/>
        </w:rPr>
        <w:t xml:space="preserve"> August 2026).</w:t>
      </w:r>
    </w:p>
    <w:p w14:paraId="19F9292E" w14:textId="1BE37754" w:rsidR="000946F2" w:rsidRDefault="000946F2" w:rsidP="00C00839">
      <w:pPr>
        <w:spacing w:before="240" w:line="360" w:lineRule="auto"/>
        <w:jc w:val="both"/>
        <w:rPr>
          <w:sz w:val="24"/>
          <w:szCs w:val="24"/>
        </w:rPr>
      </w:pPr>
      <w:r w:rsidRPr="000946F2">
        <w:rPr>
          <w:sz w:val="24"/>
          <w:szCs w:val="24"/>
        </w:rPr>
        <w:t xml:space="preserve">Department of Health and Social Care (2025a) </w:t>
      </w:r>
      <w:r w:rsidRPr="000946F2">
        <w:rPr>
          <w:i/>
          <w:iCs/>
          <w:sz w:val="24"/>
          <w:szCs w:val="24"/>
        </w:rPr>
        <w:t>Adult social care finance report, England: 2024 to 2025</w:t>
      </w:r>
      <w:r w:rsidRPr="000946F2">
        <w:rPr>
          <w:sz w:val="24"/>
          <w:szCs w:val="24"/>
        </w:rPr>
        <w:t xml:space="preserve">. GOV.UK. Available at: </w:t>
      </w:r>
      <w:hyperlink r:id="rId13" w:tgtFrame="_new" w:history="1">
        <w:r w:rsidRPr="000946F2">
          <w:rPr>
            <w:rStyle w:val="Hyperlink"/>
            <w:sz w:val="24"/>
            <w:szCs w:val="24"/>
          </w:rPr>
          <w:t>https://www.gov.uk/government/statistics/adult-social-care-finance-report-england-2024-to-2025</w:t>
        </w:r>
      </w:hyperlink>
      <w:r w:rsidRPr="000946F2">
        <w:rPr>
          <w:sz w:val="24"/>
          <w:szCs w:val="24"/>
        </w:rPr>
        <w:t xml:space="preserve"> (Accessed: </w:t>
      </w:r>
      <w:r>
        <w:rPr>
          <w:sz w:val="24"/>
          <w:szCs w:val="24"/>
        </w:rPr>
        <w:t>08</w:t>
      </w:r>
      <w:r w:rsidRPr="000946F2">
        <w:rPr>
          <w:sz w:val="24"/>
          <w:szCs w:val="24"/>
        </w:rPr>
        <w:t xml:space="preserve"> August 2026).</w:t>
      </w:r>
    </w:p>
    <w:p w14:paraId="3D289F6E" w14:textId="02CC436D" w:rsidR="00B14705" w:rsidRDefault="00B14705" w:rsidP="00C00839">
      <w:pPr>
        <w:spacing w:before="240" w:line="360" w:lineRule="auto"/>
        <w:jc w:val="both"/>
        <w:rPr>
          <w:sz w:val="24"/>
          <w:szCs w:val="24"/>
        </w:rPr>
      </w:pPr>
      <w:r w:rsidRPr="00B14705">
        <w:rPr>
          <w:sz w:val="24"/>
          <w:szCs w:val="24"/>
        </w:rPr>
        <w:t xml:space="preserve">Department of Health and Social Care (2025b) </w:t>
      </w:r>
      <w:r w:rsidRPr="00B14705">
        <w:rPr>
          <w:i/>
          <w:iCs/>
          <w:sz w:val="24"/>
          <w:szCs w:val="24"/>
        </w:rPr>
        <w:t>Care and support statutory guidance</w:t>
      </w:r>
      <w:r w:rsidRPr="00B14705">
        <w:rPr>
          <w:sz w:val="24"/>
          <w:szCs w:val="24"/>
        </w:rPr>
        <w:t xml:space="preserve">. GOV.UK. Available at: </w:t>
      </w:r>
      <w:hyperlink r:id="rId14" w:tgtFrame="_new" w:history="1">
        <w:r w:rsidRPr="00B14705">
          <w:rPr>
            <w:rStyle w:val="Hyperlink"/>
            <w:sz w:val="24"/>
            <w:szCs w:val="24"/>
          </w:rPr>
          <w:t>https://www.gov.uk/government/publications/care-act-statutory-guidance/care-and-support-statutory-guidance</w:t>
        </w:r>
      </w:hyperlink>
      <w:r w:rsidRPr="00B14705">
        <w:rPr>
          <w:sz w:val="24"/>
          <w:szCs w:val="24"/>
        </w:rPr>
        <w:t xml:space="preserve"> (Accessed: </w:t>
      </w:r>
      <w:r>
        <w:rPr>
          <w:sz w:val="24"/>
          <w:szCs w:val="24"/>
        </w:rPr>
        <w:t>08</w:t>
      </w:r>
      <w:r w:rsidRPr="00B14705">
        <w:rPr>
          <w:sz w:val="24"/>
          <w:szCs w:val="24"/>
        </w:rPr>
        <w:t xml:space="preserve"> August 2026).</w:t>
      </w:r>
    </w:p>
    <w:p w14:paraId="08C0F732" w14:textId="3BD6A638" w:rsidR="00B14705" w:rsidRDefault="00B14705" w:rsidP="00C00839">
      <w:pPr>
        <w:spacing w:before="240" w:line="360" w:lineRule="auto"/>
        <w:jc w:val="both"/>
        <w:rPr>
          <w:sz w:val="24"/>
          <w:szCs w:val="24"/>
        </w:rPr>
      </w:pPr>
      <w:r w:rsidRPr="00B14705">
        <w:rPr>
          <w:sz w:val="24"/>
          <w:szCs w:val="24"/>
        </w:rPr>
        <w:t xml:space="preserve">Department of Health and Social Care (2026) </w:t>
      </w:r>
      <w:r w:rsidRPr="00B14705">
        <w:rPr>
          <w:i/>
          <w:iCs/>
          <w:sz w:val="24"/>
          <w:szCs w:val="24"/>
        </w:rPr>
        <w:t>Adult social care activity report 2024 to 2025:commentary</w:t>
      </w:r>
      <w:r w:rsidRPr="00B14705">
        <w:rPr>
          <w:sz w:val="24"/>
          <w:szCs w:val="24"/>
        </w:rPr>
        <w:t xml:space="preserve">.GOV.UK.Available at: </w:t>
      </w:r>
      <w:hyperlink r:id="rId15" w:tgtFrame="_new" w:history="1">
        <w:r w:rsidRPr="00B14705">
          <w:rPr>
            <w:rStyle w:val="Hyperlink"/>
            <w:sz w:val="24"/>
            <w:szCs w:val="24"/>
          </w:rPr>
          <w:t>https://www.gov.uk/government/statistics/adult-</w:t>
        </w:r>
        <w:r w:rsidRPr="00B14705">
          <w:rPr>
            <w:rStyle w:val="Hyperlink"/>
            <w:sz w:val="24"/>
            <w:szCs w:val="24"/>
          </w:rPr>
          <w:lastRenderedPageBreak/>
          <w:t>social-care-activity-report-england-2024-to-2025/adult-social-care-activity-report-2024-to-2025-commentary</w:t>
        </w:r>
      </w:hyperlink>
      <w:r w:rsidRPr="00B14705">
        <w:rPr>
          <w:sz w:val="24"/>
          <w:szCs w:val="24"/>
        </w:rPr>
        <w:t xml:space="preserve"> (Accessed: </w:t>
      </w:r>
      <w:r w:rsidR="00FF161D">
        <w:rPr>
          <w:sz w:val="24"/>
          <w:szCs w:val="24"/>
        </w:rPr>
        <w:t>08</w:t>
      </w:r>
      <w:r w:rsidRPr="00B14705">
        <w:rPr>
          <w:sz w:val="24"/>
          <w:szCs w:val="24"/>
        </w:rPr>
        <w:t xml:space="preserve"> August 2026).</w:t>
      </w:r>
    </w:p>
    <w:p w14:paraId="0A7F877E" w14:textId="456512CF" w:rsidR="00FF161D" w:rsidRDefault="00FF161D" w:rsidP="00C00839">
      <w:pPr>
        <w:spacing w:before="240" w:line="360" w:lineRule="auto"/>
        <w:jc w:val="both"/>
        <w:rPr>
          <w:color w:val="222222"/>
          <w:sz w:val="24"/>
          <w:szCs w:val="24"/>
        </w:rPr>
      </w:pPr>
      <w:r w:rsidRPr="00FF161D">
        <w:rPr>
          <w:color w:val="222222"/>
          <w:sz w:val="24"/>
          <w:szCs w:val="24"/>
        </w:rPr>
        <w:t xml:space="preserve">Forward, C., Bayley, Z., Walker, L., Krygier, J., White, C., Mwaba, K., Elliott-Button, H., Taylor, P. and Johnson, M.J. (2024) ‘Homecare workers needs and experiences in end-of-life care: rapid review’, </w:t>
      </w:r>
      <w:r w:rsidRPr="00FF161D">
        <w:rPr>
          <w:i/>
          <w:iCs/>
          <w:color w:val="222222"/>
          <w:sz w:val="24"/>
          <w:szCs w:val="24"/>
        </w:rPr>
        <w:t>BMJ Supportive &amp; Palliative Care</w:t>
      </w:r>
      <w:r w:rsidRPr="00FF161D">
        <w:rPr>
          <w:color w:val="222222"/>
          <w:sz w:val="24"/>
          <w:szCs w:val="24"/>
        </w:rPr>
        <w:t>, 14(e3), pp. e2330–e2340.</w:t>
      </w:r>
    </w:p>
    <w:p w14:paraId="5B5364F1" w14:textId="77777777" w:rsidR="001F0A70" w:rsidRDefault="001F0A70" w:rsidP="00C00839">
      <w:pPr>
        <w:spacing w:before="240" w:line="360" w:lineRule="auto"/>
        <w:jc w:val="both"/>
        <w:rPr>
          <w:color w:val="222222"/>
          <w:sz w:val="24"/>
          <w:szCs w:val="24"/>
        </w:rPr>
      </w:pPr>
      <w:r w:rsidRPr="001F0A70">
        <w:rPr>
          <w:color w:val="222222"/>
          <w:sz w:val="24"/>
          <w:szCs w:val="24"/>
        </w:rPr>
        <w:t xml:space="preserve">Hall, A., Davey, V., McGarrigle, L., Astbury, J., Lazo Green, K., Ahmed, N., Williams, O., Beyer, F., Hanratty, B. and Price, D. (2025) ‘The meaning of “quality” of homecare for older people: a scoping review’, </w:t>
      </w:r>
      <w:r w:rsidRPr="001F0A70">
        <w:rPr>
          <w:i/>
          <w:iCs/>
          <w:color w:val="222222"/>
          <w:sz w:val="24"/>
          <w:szCs w:val="24"/>
        </w:rPr>
        <w:t>BMC Health Services Research</w:t>
      </w:r>
      <w:r w:rsidRPr="001F0A70">
        <w:rPr>
          <w:color w:val="222222"/>
          <w:sz w:val="24"/>
          <w:szCs w:val="24"/>
        </w:rPr>
        <w:t>, 25(1), article 1009.</w:t>
      </w:r>
    </w:p>
    <w:p w14:paraId="529665B1" w14:textId="77777777" w:rsidR="003D7C3A" w:rsidRDefault="003D7C3A" w:rsidP="00C00839">
      <w:pPr>
        <w:spacing w:before="240" w:line="360" w:lineRule="auto"/>
        <w:jc w:val="both"/>
        <w:rPr>
          <w:color w:val="222222"/>
          <w:sz w:val="24"/>
          <w:szCs w:val="24"/>
        </w:rPr>
      </w:pPr>
      <w:r w:rsidRPr="003D7C3A">
        <w:rPr>
          <w:color w:val="222222"/>
          <w:sz w:val="24"/>
          <w:szCs w:val="24"/>
        </w:rPr>
        <w:t xml:space="preserve">Hamblin, K., Burns, D. and </w:t>
      </w:r>
      <w:proofErr w:type="spellStart"/>
      <w:r w:rsidRPr="003D7C3A">
        <w:rPr>
          <w:color w:val="222222"/>
          <w:sz w:val="24"/>
          <w:szCs w:val="24"/>
        </w:rPr>
        <w:t>Goodlad</w:t>
      </w:r>
      <w:proofErr w:type="spellEnd"/>
      <w:r w:rsidRPr="003D7C3A">
        <w:rPr>
          <w:color w:val="222222"/>
          <w:sz w:val="24"/>
          <w:szCs w:val="24"/>
        </w:rPr>
        <w:t xml:space="preserve">, C. (2025) ‘Technology and homecare in the UK: Policy, storylines and practice’, </w:t>
      </w:r>
      <w:r w:rsidRPr="003D7C3A">
        <w:rPr>
          <w:i/>
          <w:iCs/>
          <w:color w:val="222222"/>
          <w:sz w:val="24"/>
          <w:szCs w:val="24"/>
        </w:rPr>
        <w:t>Journal of Social Policy</w:t>
      </w:r>
      <w:r w:rsidRPr="003D7C3A">
        <w:rPr>
          <w:color w:val="222222"/>
          <w:sz w:val="24"/>
          <w:szCs w:val="24"/>
        </w:rPr>
        <w:t>, 54(2), pp. 412–428.</w:t>
      </w:r>
    </w:p>
    <w:p w14:paraId="40921053" w14:textId="77777777" w:rsidR="003D7C3A" w:rsidRDefault="003D7C3A" w:rsidP="00C00839">
      <w:pPr>
        <w:spacing w:before="240" w:line="360" w:lineRule="auto"/>
        <w:jc w:val="both"/>
        <w:rPr>
          <w:color w:val="222222"/>
          <w:sz w:val="24"/>
          <w:szCs w:val="24"/>
        </w:rPr>
      </w:pPr>
      <w:r w:rsidRPr="003D7C3A">
        <w:rPr>
          <w:color w:val="222222"/>
          <w:sz w:val="24"/>
          <w:szCs w:val="24"/>
        </w:rPr>
        <w:t>Healey, J., Hignett, S. and Gyi, D. (2024) ‘</w:t>
      </w:r>
      <w:proofErr w:type="gramStart"/>
      <w:r w:rsidRPr="003D7C3A">
        <w:rPr>
          <w:color w:val="222222"/>
          <w:sz w:val="24"/>
          <w:szCs w:val="24"/>
        </w:rPr>
        <w:t>A day</w:t>
      </w:r>
      <w:proofErr w:type="gramEnd"/>
      <w:r w:rsidRPr="003D7C3A">
        <w:rPr>
          <w:color w:val="222222"/>
          <w:sz w:val="24"/>
          <w:szCs w:val="24"/>
        </w:rPr>
        <w:t xml:space="preserve"> in the life of a home care worker in England: A human factors systems perspective’, </w:t>
      </w:r>
      <w:r w:rsidRPr="003D7C3A">
        <w:rPr>
          <w:i/>
          <w:iCs/>
          <w:color w:val="222222"/>
          <w:sz w:val="24"/>
          <w:szCs w:val="24"/>
        </w:rPr>
        <w:t>Applied Ergonomics</w:t>
      </w:r>
      <w:r w:rsidRPr="003D7C3A">
        <w:rPr>
          <w:color w:val="222222"/>
          <w:sz w:val="24"/>
          <w:szCs w:val="24"/>
        </w:rPr>
        <w:t xml:space="preserve">, 115, article 104151. </w:t>
      </w:r>
    </w:p>
    <w:p w14:paraId="03C0DE0A" w14:textId="77777777" w:rsidR="00426544" w:rsidRDefault="00426544" w:rsidP="00C00839">
      <w:pPr>
        <w:spacing w:before="240" w:line="360" w:lineRule="auto"/>
        <w:jc w:val="both"/>
        <w:rPr>
          <w:color w:val="222222"/>
          <w:sz w:val="24"/>
          <w:szCs w:val="24"/>
        </w:rPr>
      </w:pPr>
      <w:r w:rsidRPr="00426544">
        <w:rPr>
          <w:color w:val="222222"/>
          <w:sz w:val="24"/>
          <w:szCs w:val="24"/>
        </w:rPr>
        <w:t xml:space="preserve">Le, T., Bishop, S. and Macrae, C. (2024) ‘Human resource management in homecare in England: managing people for safe care during crisis’, </w:t>
      </w:r>
      <w:r w:rsidRPr="00426544">
        <w:rPr>
          <w:i/>
          <w:iCs/>
          <w:color w:val="222222"/>
          <w:sz w:val="24"/>
          <w:szCs w:val="24"/>
        </w:rPr>
        <w:t>BMC Health Services Research</w:t>
      </w:r>
      <w:r w:rsidRPr="00426544">
        <w:rPr>
          <w:color w:val="222222"/>
          <w:sz w:val="24"/>
          <w:szCs w:val="24"/>
        </w:rPr>
        <w:t xml:space="preserve">, 24(1), article 1589. </w:t>
      </w:r>
    </w:p>
    <w:p w14:paraId="6B050883" w14:textId="32120CB7" w:rsidR="00426544" w:rsidRDefault="00426544" w:rsidP="00C00839">
      <w:pPr>
        <w:spacing w:before="240" w:line="360" w:lineRule="auto"/>
        <w:jc w:val="both"/>
        <w:rPr>
          <w:sz w:val="24"/>
          <w:szCs w:val="24"/>
        </w:rPr>
      </w:pPr>
      <w:r w:rsidRPr="00426544">
        <w:rPr>
          <w:sz w:val="24"/>
          <w:szCs w:val="24"/>
        </w:rPr>
        <w:t>Legislation.gov.uk</w:t>
      </w:r>
      <w:r>
        <w:rPr>
          <w:sz w:val="24"/>
          <w:szCs w:val="24"/>
        </w:rPr>
        <w:t xml:space="preserve"> </w:t>
      </w:r>
      <w:r w:rsidRPr="00426544">
        <w:rPr>
          <w:sz w:val="24"/>
          <w:szCs w:val="24"/>
        </w:rPr>
        <w:t xml:space="preserve">(2022) </w:t>
      </w:r>
      <w:r w:rsidRPr="00426544">
        <w:rPr>
          <w:i/>
          <w:iCs/>
          <w:sz w:val="24"/>
          <w:szCs w:val="24"/>
        </w:rPr>
        <w:t>Health and Care Act 2022</w:t>
      </w:r>
      <w:r w:rsidRPr="00426544">
        <w:rPr>
          <w:sz w:val="24"/>
          <w:szCs w:val="24"/>
        </w:rPr>
        <w:t xml:space="preserve">. Available at: </w:t>
      </w:r>
      <w:hyperlink r:id="rId16" w:tgtFrame="_new" w:history="1">
        <w:r w:rsidRPr="00426544">
          <w:rPr>
            <w:rStyle w:val="Hyperlink"/>
            <w:sz w:val="24"/>
            <w:szCs w:val="24"/>
          </w:rPr>
          <w:t>https://www.legislation.gov.uk/ukpga/2022/31/contents</w:t>
        </w:r>
      </w:hyperlink>
      <w:r w:rsidRPr="00426544">
        <w:rPr>
          <w:sz w:val="24"/>
          <w:szCs w:val="24"/>
        </w:rPr>
        <w:t xml:space="preserve"> (Accessed: </w:t>
      </w:r>
      <w:r>
        <w:rPr>
          <w:sz w:val="24"/>
          <w:szCs w:val="24"/>
        </w:rPr>
        <w:t>09</w:t>
      </w:r>
      <w:r w:rsidRPr="00426544">
        <w:rPr>
          <w:sz w:val="24"/>
          <w:szCs w:val="24"/>
        </w:rPr>
        <w:t xml:space="preserve"> August 2026).</w:t>
      </w:r>
    </w:p>
    <w:p w14:paraId="094FB857" w14:textId="77777777" w:rsidR="00E021C7" w:rsidRDefault="00E021C7" w:rsidP="00C00839">
      <w:pPr>
        <w:spacing w:before="240" w:line="360" w:lineRule="auto"/>
        <w:jc w:val="both"/>
        <w:rPr>
          <w:color w:val="222222"/>
          <w:sz w:val="24"/>
          <w:szCs w:val="24"/>
        </w:rPr>
      </w:pPr>
      <w:r w:rsidRPr="00E021C7">
        <w:rPr>
          <w:color w:val="222222"/>
          <w:sz w:val="24"/>
          <w:szCs w:val="24"/>
        </w:rPr>
        <w:t xml:space="preserve">McDonald, R. (2023) ‘Microenterprise and home care for older adults in England and Wales: A partial revolution?’, </w:t>
      </w:r>
      <w:r w:rsidRPr="00E021C7">
        <w:rPr>
          <w:i/>
          <w:iCs/>
          <w:color w:val="222222"/>
          <w:sz w:val="24"/>
          <w:szCs w:val="24"/>
        </w:rPr>
        <w:t>Sociology of Health &amp; Illness</w:t>
      </w:r>
      <w:r w:rsidRPr="00E021C7">
        <w:rPr>
          <w:color w:val="222222"/>
          <w:sz w:val="24"/>
          <w:szCs w:val="24"/>
        </w:rPr>
        <w:t>, 45(8), pp. 1591–1608.</w:t>
      </w:r>
    </w:p>
    <w:p w14:paraId="39ABCB0B" w14:textId="77777777" w:rsidR="00E021C7" w:rsidRDefault="00E021C7" w:rsidP="00C00839">
      <w:pPr>
        <w:spacing w:before="240" w:line="360" w:lineRule="auto"/>
        <w:jc w:val="both"/>
        <w:rPr>
          <w:color w:val="222222"/>
          <w:sz w:val="24"/>
          <w:szCs w:val="24"/>
        </w:rPr>
      </w:pPr>
      <w:r w:rsidRPr="00E021C7">
        <w:rPr>
          <w:color w:val="222222"/>
          <w:sz w:val="24"/>
          <w:szCs w:val="24"/>
        </w:rPr>
        <w:t xml:space="preserve">Mogan, C., Harrison Dening, K., Dowrick, C. and Lloyd-Williams, M. (2022) ‘Health and social care services for people with dementia at home at the end of life: A qualitative study of bereaved informal caregivers’ experiences’, </w:t>
      </w:r>
      <w:r w:rsidRPr="00E021C7">
        <w:rPr>
          <w:i/>
          <w:iCs/>
          <w:color w:val="222222"/>
          <w:sz w:val="24"/>
          <w:szCs w:val="24"/>
        </w:rPr>
        <w:t>Palliative Medicine</w:t>
      </w:r>
      <w:r w:rsidRPr="00E021C7">
        <w:rPr>
          <w:color w:val="222222"/>
          <w:sz w:val="24"/>
          <w:szCs w:val="24"/>
        </w:rPr>
        <w:t>, 36(6), pp. 976–985.</w:t>
      </w:r>
    </w:p>
    <w:p w14:paraId="021E10AE" w14:textId="24417F46" w:rsidR="002B557C" w:rsidRDefault="002B557C" w:rsidP="00C00839">
      <w:pPr>
        <w:spacing w:before="240" w:line="360" w:lineRule="auto"/>
        <w:jc w:val="both"/>
        <w:rPr>
          <w:sz w:val="24"/>
          <w:szCs w:val="24"/>
        </w:rPr>
      </w:pPr>
      <w:r w:rsidRPr="002B557C">
        <w:rPr>
          <w:sz w:val="24"/>
          <w:szCs w:val="24"/>
        </w:rPr>
        <w:t xml:space="preserve">National Institute for Health and Care Excellence (NICE) (2015) </w:t>
      </w:r>
      <w:r w:rsidRPr="002B557C">
        <w:rPr>
          <w:i/>
          <w:iCs/>
          <w:sz w:val="24"/>
          <w:szCs w:val="24"/>
        </w:rPr>
        <w:t>Home care: delivering personal care and practical support to older people living in their own homes</w:t>
      </w:r>
      <w:r w:rsidRPr="002B557C">
        <w:rPr>
          <w:sz w:val="24"/>
          <w:szCs w:val="24"/>
        </w:rPr>
        <w:t xml:space="preserve">. NICE </w:t>
      </w:r>
      <w:r w:rsidRPr="002B557C">
        <w:rPr>
          <w:sz w:val="24"/>
          <w:szCs w:val="24"/>
        </w:rPr>
        <w:lastRenderedPageBreak/>
        <w:t xml:space="preserve">guideline NG21. Available at: </w:t>
      </w:r>
      <w:hyperlink r:id="rId17" w:tgtFrame="_new" w:history="1">
        <w:r w:rsidRPr="002B557C">
          <w:rPr>
            <w:rStyle w:val="Hyperlink"/>
            <w:sz w:val="24"/>
            <w:szCs w:val="24"/>
          </w:rPr>
          <w:t>https://www.nice.org.uk/guidance/ng21</w:t>
        </w:r>
      </w:hyperlink>
      <w:r w:rsidRPr="002B557C">
        <w:rPr>
          <w:sz w:val="24"/>
          <w:szCs w:val="24"/>
        </w:rPr>
        <w:t xml:space="preserve"> (Accessed: </w:t>
      </w:r>
      <w:r>
        <w:rPr>
          <w:sz w:val="24"/>
          <w:szCs w:val="24"/>
        </w:rPr>
        <w:t>07</w:t>
      </w:r>
      <w:r w:rsidRPr="002B557C">
        <w:rPr>
          <w:sz w:val="24"/>
          <w:szCs w:val="24"/>
        </w:rPr>
        <w:t xml:space="preserve"> August 2026).</w:t>
      </w:r>
    </w:p>
    <w:p w14:paraId="719F830D" w14:textId="5B6B7E47" w:rsidR="00AA13D9" w:rsidRDefault="00AA13D9" w:rsidP="00C00839">
      <w:pPr>
        <w:spacing w:before="240" w:line="360" w:lineRule="auto"/>
        <w:jc w:val="both"/>
        <w:rPr>
          <w:sz w:val="24"/>
          <w:szCs w:val="24"/>
        </w:rPr>
      </w:pPr>
      <w:r w:rsidRPr="00AA13D9">
        <w:rPr>
          <w:sz w:val="24"/>
          <w:szCs w:val="24"/>
        </w:rPr>
        <w:t xml:space="preserve">Office for National Statistics (ONS) (2026) </w:t>
      </w:r>
      <w:r w:rsidRPr="00AA13D9">
        <w:rPr>
          <w:i/>
          <w:iCs/>
          <w:sz w:val="24"/>
          <w:szCs w:val="24"/>
        </w:rPr>
        <w:t>National population projections: 2024-based</w:t>
      </w:r>
      <w:r w:rsidRPr="00AA13D9">
        <w:rPr>
          <w:sz w:val="24"/>
          <w:szCs w:val="24"/>
        </w:rPr>
        <w:t xml:space="preserve">. Available at: </w:t>
      </w:r>
      <w:hyperlink r:id="rId18" w:tgtFrame="_new" w:history="1">
        <w:r w:rsidRPr="00AA13D9">
          <w:rPr>
            <w:rStyle w:val="Hyperlink"/>
            <w:sz w:val="24"/>
            <w:szCs w:val="24"/>
          </w:rPr>
          <w:t>https://www.ons.gov.uk/peoplepopulationandcommunity/populationandmigration/populationprojections/bulletins/nationalpopulationprojections/latest</w:t>
        </w:r>
      </w:hyperlink>
      <w:r w:rsidRPr="00AA13D9">
        <w:rPr>
          <w:sz w:val="24"/>
          <w:szCs w:val="24"/>
        </w:rPr>
        <w:t xml:space="preserve"> (Accessed: 1</w:t>
      </w:r>
      <w:r>
        <w:rPr>
          <w:sz w:val="24"/>
          <w:szCs w:val="24"/>
        </w:rPr>
        <w:t>0</w:t>
      </w:r>
      <w:r w:rsidRPr="00AA13D9">
        <w:rPr>
          <w:sz w:val="24"/>
          <w:szCs w:val="24"/>
        </w:rPr>
        <w:t xml:space="preserve"> August 2026).</w:t>
      </w:r>
    </w:p>
    <w:p w14:paraId="324C43F0" w14:textId="77777777" w:rsidR="00AA13D9" w:rsidRDefault="00AA13D9" w:rsidP="00C00839">
      <w:pPr>
        <w:spacing w:before="240" w:line="360" w:lineRule="auto"/>
        <w:jc w:val="both"/>
        <w:rPr>
          <w:color w:val="222222"/>
          <w:sz w:val="24"/>
          <w:szCs w:val="24"/>
        </w:rPr>
      </w:pPr>
      <w:r w:rsidRPr="00AA13D9">
        <w:rPr>
          <w:color w:val="222222"/>
          <w:sz w:val="24"/>
          <w:szCs w:val="24"/>
        </w:rPr>
        <w:t xml:space="preserve">O’Rourke, G. and Beresford, B. (2022) ‘Research priorities for homecare for older people: A UK multi-stakeholder consultation’, </w:t>
      </w:r>
      <w:r w:rsidRPr="00AA13D9">
        <w:rPr>
          <w:i/>
          <w:iCs/>
          <w:color w:val="222222"/>
          <w:sz w:val="24"/>
          <w:szCs w:val="24"/>
        </w:rPr>
        <w:t>Health &amp; Social Care in the Community</w:t>
      </w:r>
      <w:r w:rsidRPr="00AA13D9">
        <w:rPr>
          <w:color w:val="222222"/>
          <w:sz w:val="24"/>
          <w:szCs w:val="24"/>
        </w:rPr>
        <w:t xml:space="preserve">, 30(6), pp. e5647–e5660. </w:t>
      </w:r>
    </w:p>
    <w:p w14:paraId="79A22CD0" w14:textId="77777777" w:rsidR="00F4779F" w:rsidRDefault="00F4779F" w:rsidP="00C00839">
      <w:pPr>
        <w:spacing w:before="240" w:line="360" w:lineRule="auto"/>
        <w:jc w:val="both"/>
        <w:rPr>
          <w:color w:val="222222"/>
          <w:sz w:val="24"/>
          <w:szCs w:val="24"/>
        </w:rPr>
      </w:pPr>
      <w:r w:rsidRPr="00F4779F">
        <w:rPr>
          <w:color w:val="222222"/>
          <w:sz w:val="24"/>
          <w:szCs w:val="24"/>
        </w:rPr>
        <w:t xml:space="preserve">Peters, M.D.J., Godfrey, C., McInerney, P., Khalil, H., Larsen, P., Marnie, C., Pollock, D., </w:t>
      </w:r>
      <w:proofErr w:type="spellStart"/>
      <w:r w:rsidRPr="00F4779F">
        <w:rPr>
          <w:color w:val="222222"/>
          <w:sz w:val="24"/>
          <w:szCs w:val="24"/>
        </w:rPr>
        <w:t>Tricco</w:t>
      </w:r>
      <w:proofErr w:type="spellEnd"/>
      <w:r w:rsidRPr="00F4779F">
        <w:rPr>
          <w:color w:val="222222"/>
          <w:sz w:val="24"/>
          <w:szCs w:val="24"/>
        </w:rPr>
        <w:t xml:space="preserve">, A.C. and Munn, Z. (2022) ‘Best practice guidance and reporting items for the development of scoping review protocols’, </w:t>
      </w:r>
      <w:r w:rsidRPr="00F4779F">
        <w:rPr>
          <w:i/>
          <w:iCs/>
          <w:color w:val="222222"/>
          <w:sz w:val="24"/>
          <w:szCs w:val="24"/>
        </w:rPr>
        <w:t>JBI Evidence Synthesis</w:t>
      </w:r>
      <w:r w:rsidRPr="00F4779F">
        <w:rPr>
          <w:color w:val="222222"/>
          <w:sz w:val="24"/>
          <w:szCs w:val="24"/>
        </w:rPr>
        <w:t>, 20(4), pp. 953–968.</w:t>
      </w:r>
    </w:p>
    <w:p w14:paraId="7EB30B6B" w14:textId="77777777" w:rsidR="008B6789" w:rsidRDefault="00F16162" w:rsidP="00C00839">
      <w:pPr>
        <w:spacing w:before="240" w:line="360" w:lineRule="auto"/>
        <w:jc w:val="both"/>
        <w:rPr>
          <w:color w:val="222222"/>
          <w:sz w:val="24"/>
          <w:szCs w:val="24"/>
        </w:rPr>
      </w:pPr>
      <w:r w:rsidRPr="00F16162">
        <w:rPr>
          <w:color w:val="222222"/>
          <w:sz w:val="24"/>
          <w:szCs w:val="24"/>
        </w:rPr>
        <w:t xml:space="preserve">Peters, M.D.J., Marnie, C., </w:t>
      </w:r>
      <w:proofErr w:type="spellStart"/>
      <w:r w:rsidRPr="00F16162">
        <w:rPr>
          <w:color w:val="222222"/>
          <w:sz w:val="24"/>
          <w:szCs w:val="24"/>
        </w:rPr>
        <w:t>Tricco</w:t>
      </w:r>
      <w:proofErr w:type="spellEnd"/>
      <w:r w:rsidRPr="00F16162">
        <w:rPr>
          <w:color w:val="222222"/>
          <w:sz w:val="24"/>
          <w:szCs w:val="24"/>
        </w:rPr>
        <w:t xml:space="preserve">, A.C., Pollock, D., Munn, Z., Alexander, L., McInerney, P., Godfrey, C.M. and Khalil, H. (2021) ‘Updated methodological guidance for the conduct of scoping reviews’, </w:t>
      </w:r>
      <w:r w:rsidRPr="00F16162">
        <w:rPr>
          <w:i/>
          <w:iCs/>
          <w:color w:val="222222"/>
          <w:sz w:val="24"/>
          <w:szCs w:val="24"/>
        </w:rPr>
        <w:t>JBI Evidence Implementation</w:t>
      </w:r>
      <w:r w:rsidRPr="00F16162">
        <w:rPr>
          <w:color w:val="222222"/>
          <w:sz w:val="24"/>
          <w:szCs w:val="24"/>
        </w:rPr>
        <w:t>, 19(1), pp. 3–10.</w:t>
      </w:r>
    </w:p>
    <w:p w14:paraId="0FF34053" w14:textId="77777777" w:rsidR="008B6789" w:rsidRDefault="008B6789" w:rsidP="00C00839">
      <w:pPr>
        <w:spacing w:before="240" w:line="360" w:lineRule="auto"/>
        <w:jc w:val="both"/>
        <w:rPr>
          <w:color w:val="222222"/>
          <w:sz w:val="24"/>
          <w:szCs w:val="24"/>
        </w:rPr>
      </w:pPr>
      <w:r w:rsidRPr="008B6789">
        <w:rPr>
          <w:color w:val="222222"/>
          <w:sz w:val="24"/>
          <w:szCs w:val="24"/>
        </w:rPr>
        <w:t xml:space="preserve">Quinn, M., Shepperd, S. and Floud, S. (2025) ‘Social inequalities in the use of formal and informal home care in older women: evidence from a large UK cohort study’, </w:t>
      </w:r>
      <w:r w:rsidRPr="008B6789">
        <w:rPr>
          <w:i/>
          <w:iCs/>
          <w:color w:val="222222"/>
          <w:sz w:val="24"/>
          <w:szCs w:val="24"/>
        </w:rPr>
        <w:t>Age and Ageing</w:t>
      </w:r>
      <w:r w:rsidRPr="008B6789">
        <w:rPr>
          <w:color w:val="222222"/>
          <w:sz w:val="24"/>
          <w:szCs w:val="24"/>
        </w:rPr>
        <w:t>, 54(10), article afaf279.</w:t>
      </w:r>
    </w:p>
    <w:p w14:paraId="7A6A62B4" w14:textId="77777777" w:rsidR="008B6789" w:rsidRDefault="008B6789" w:rsidP="00C00839">
      <w:pPr>
        <w:spacing w:before="240" w:line="360" w:lineRule="auto"/>
        <w:jc w:val="both"/>
        <w:rPr>
          <w:sz w:val="24"/>
          <w:szCs w:val="24"/>
        </w:rPr>
      </w:pPr>
      <w:r w:rsidRPr="008B6789">
        <w:rPr>
          <w:sz w:val="24"/>
          <w:szCs w:val="24"/>
        </w:rPr>
        <w:t xml:space="preserve">Skills for Care (2026) </w:t>
      </w:r>
      <w:r w:rsidRPr="008B6789">
        <w:rPr>
          <w:i/>
          <w:iCs/>
          <w:sz w:val="24"/>
          <w:szCs w:val="24"/>
        </w:rPr>
        <w:t>The size and structure of the adult social care sector and workforce in England</w:t>
      </w:r>
      <w:r w:rsidRPr="008B6789">
        <w:rPr>
          <w:sz w:val="24"/>
          <w:szCs w:val="24"/>
        </w:rPr>
        <w:t xml:space="preserve">. Available at: </w:t>
      </w:r>
      <w:hyperlink r:id="rId19" w:tgtFrame="_new" w:history="1">
        <w:r w:rsidRPr="008B6789">
          <w:rPr>
            <w:rStyle w:val="Hyperlink"/>
            <w:sz w:val="24"/>
            <w:szCs w:val="24"/>
          </w:rPr>
          <w:t>https://www.skillsforcare.org.uk/Adult-Social-Care-Workforce-Data/workforceintelligence/Reports-and-visualisations/National-information/Size-and-structure-report.aspx</w:t>
        </w:r>
      </w:hyperlink>
      <w:r w:rsidRPr="008B6789">
        <w:rPr>
          <w:sz w:val="24"/>
          <w:szCs w:val="24"/>
        </w:rPr>
        <w:t xml:space="preserve"> (Accessed: 11 August 2026).</w:t>
      </w:r>
    </w:p>
    <w:p w14:paraId="758DD7F2" w14:textId="65C9FE8F" w:rsidR="00B612FC" w:rsidRDefault="00B612FC" w:rsidP="00C00839">
      <w:pPr>
        <w:spacing w:before="240" w:line="360" w:lineRule="auto"/>
        <w:jc w:val="both"/>
        <w:rPr>
          <w:sz w:val="24"/>
          <w:szCs w:val="24"/>
        </w:rPr>
      </w:pPr>
      <w:r w:rsidRPr="00B612FC">
        <w:rPr>
          <w:sz w:val="24"/>
          <w:szCs w:val="24"/>
        </w:rPr>
        <w:t xml:space="preserve">The King's Fund (2026) </w:t>
      </w:r>
      <w:r w:rsidRPr="00B612FC">
        <w:rPr>
          <w:i/>
          <w:iCs/>
          <w:sz w:val="24"/>
          <w:szCs w:val="24"/>
        </w:rPr>
        <w:t>Social care 360: access</w:t>
      </w:r>
      <w:r w:rsidRPr="00B612FC">
        <w:rPr>
          <w:sz w:val="24"/>
          <w:szCs w:val="24"/>
        </w:rPr>
        <w:t xml:space="preserve">. Available at: </w:t>
      </w:r>
      <w:hyperlink r:id="rId20" w:tgtFrame="_new" w:history="1">
        <w:r w:rsidRPr="00B612FC">
          <w:rPr>
            <w:rStyle w:val="Hyperlink"/>
            <w:sz w:val="24"/>
            <w:szCs w:val="24"/>
          </w:rPr>
          <w:t>https://www.kingsfund.org.uk/insight-and-analysis/long-reads/social-care-360-access</w:t>
        </w:r>
      </w:hyperlink>
      <w:r w:rsidRPr="00B612FC">
        <w:rPr>
          <w:sz w:val="24"/>
          <w:szCs w:val="24"/>
        </w:rPr>
        <w:t xml:space="preserve"> (Accessed: 11 August 2026).</w:t>
      </w:r>
    </w:p>
    <w:p w14:paraId="20F5CE9E" w14:textId="77777777" w:rsidR="00B612FC" w:rsidRDefault="00B612FC" w:rsidP="00C00839">
      <w:pPr>
        <w:spacing w:before="240" w:line="360" w:lineRule="auto"/>
        <w:jc w:val="both"/>
        <w:rPr>
          <w:sz w:val="24"/>
          <w:szCs w:val="24"/>
        </w:rPr>
      </w:pPr>
    </w:p>
    <w:p w14:paraId="67E38C22" w14:textId="477E3305" w:rsidR="007017E5" w:rsidRPr="00464EA0" w:rsidRDefault="00B612FC">
      <w:pPr>
        <w:spacing w:line="360" w:lineRule="auto"/>
        <w:jc w:val="both"/>
        <w:rPr>
          <w:sz w:val="24"/>
          <w:szCs w:val="24"/>
          <w:lang w:val="en-GB"/>
        </w:rPr>
      </w:pPr>
      <w:proofErr w:type="spellStart"/>
      <w:r w:rsidRPr="00B612FC">
        <w:rPr>
          <w:color w:val="222222"/>
          <w:sz w:val="24"/>
          <w:szCs w:val="24"/>
        </w:rPr>
        <w:lastRenderedPageBreak/>
        <w:t>Tricco</w:t>
      </w:r>
      <w:proofErr w:type="spellEnd"/>
      <w:r w:rsidRPr="00B612FC">
        <w:rPr>
          <w:color w:val="222222"/>
          <w:sz w:val="24"/>
          <w:szCs w:val="24"/>
        </w:rPr>
        <w:t xml:space="preserve">, A.C., Lillie, E., Zarin, W., O’Brien, K.K., Colquhoun, H., Levac, D., Moher, D., Peters, M.D.J., Horsley, T., Weeks, L., Hempel, S., Akl, E.A., Chang, C., McGowan, J., Stewart, L., Hartling, L., </w:t>
      </w:r>
      <w:proofErr w:type="spellStart"/>
      <w:r w:rsidRPr="00B612FC">
        <w:rPr>
          <w:color w:val="222222"/>
          <w:sz w:val="24"/>
          <w:szCs w:val="24"/>
        </w:rPr>
        <w:t>Aldcroft</w:t>
      </w:r>
      <w:proofErr w:type="spellEnd"/>
      <w:r w:rsidRPr="00B612FC">
        <w:rPr>
          <w:color w:val="222222"/>
          <w:sz w:val="24"/>
          <w:szCs w:val="24"/>
        </w:rPr>
        <w:t xml:space="preserve">, A., Wilson, M.G., </w:t>
      </w:r>
      <w:proofErr w:type="spellStart"/>
      <w:r w:rsidRPr="00B612FC">
        <w:rPr>
          <w:color w:val="222222"/>
          <w:sz w:val="24"/>
          <w:szCs w:val="24"/>
        </w:rPr>
        <w:t>Garritty</w:t>
      </w:r>
      <w:proofErr w:type="spellEnd"/>
      <w:r w:rsidRPr="00B612FC">
        <w:rPr>
          <w:color w:val="222222"/>
          <w:sz w:val="24"/>
          <w:szCs w:val="24"/>
        </w:rPr>
        <w:t xml:space="preserve">, C., Lewin, S., Godfrey, C.M., MacDonald, M.T., Langlois, E.V., Soares-Weiser, K., Moriarty, J., Clifford, T., </w:t>
      </w:r>
      <w:proofErr w:type="spellStart"/>
      <w:r w:rsidRPr="00B612FC">
        <w:rPr>
          <w:color w:val="222222"/>
          <w:sz w:val="24"/>
          <w:szCs w:val="24"/>
        </w:rPr>
        <w:t>Tunçalp</w:t>
      </w:r>
      <w:proofErr w:type="spellEnd"/>
      <w:r w:rsidRPr="00B612FC">
        <w:rPr>
          <w:color w:val="222222"/>
          <w:sz w:val="24"/>
          <w:szCs w:val="24"/>
        </w:rPr>
        <w:t>, Ö. and Straus, S.E. (2018) ‘PRISMA extension for scoping reviews (PRISMA-</w:t>
      </w:r>
      <w:proofErr w:type="spellStart"/>
      <w:r w:rsidRPr="00B612FC">
        <w:rPr>
          <w:color w:val="222222"/>
          <w:sz w:val="24"/>
          <w:szCs w:val="24"/>
        </w:rPr>
        <w:t>ScR</w:t>
      </w:r>
      <w:proofErr w:type="spellEnd"/>
      <w:r w:rsidRPr="00B612FC">
        <w:rPr>
          <w:color w:val="222222"/>
          <w:sz w:val="24"/>
          <w:szCs w:val="24"/>
        </w:rPr>
        <w:t xml:space="preserve">): checklist and explanation’, </w:t>
      </w:r>
      <w:r w:rsidRPr="00B612FC">
        <w:rPr>
          <w:i/>
          <w:iCs/>
          <w:color w:val="222222"/>
          <w:sz w:val="24"/>
          <w:szCs w:val="24"/>
        </w:rPr>
        <w:t>Annals of Internal Medicine</w:t>
      </w:r>
      <w:r w:rsidRPr="00B612FC">
        <w:rPr>
          <w:color w:val="222222"/>
          <w:sz w:val="24"/>
          <w:szCs w:val="24"/>
        </w:rPr>
        <w:t>, 169(7), pp. 467–473.</w:t>
      </w:r>
    </w:p>
    <w:p w14:paraId="1F83D084" w14:textId="77777777" w:rsidR="007017E5" w:rsidRPr="00464EA0" w:rsidRDefault="007017E5">
      <w:pPr>
        <w:spacing w:line="360" w:lineRule="auto"/>
        <w:jc w:val="both"/>
        <w:rPr>
          <w:sz w:val="24"/>
          <w:szCs w:val="24"/>
          <w:lang w:val="en-GB"/>
        </w:rPr>
      </w:pPr>
    </w:p>
    <w:p w14:paraId="1EE31B77" w14:textId="77777777" w:rsidR="007017E5" w:rsidRPr="00464EA0" w:rsidRDefault="007017E5">
      <w:pPr>
        <w:spacing w:line="360" w:lineRule="auto"/>
        <w:jc w:val="both"/>
        <w:rPr>
          <w:sz w:val="24"/>
          <w:szCs w:val="24"/>
          <w:lang w:val="en-GB"/>
        </w:rPr>
      </w:pPr>
    </w:p>
    <w:p w14:paraId="09A170F6" w14:textId="77777777" w:rsidR="007017E5" w:rsidRPr="00464EA0" w:rsidRDefault="007017E5">
      <w:pPr>
        <w:spacing w:line="360" w:lineRule="auto"/>
        <w:jc w:val="both"/>
        <w:rPr>
          <w:sz w:val="24"/>
          <w:szCs w:val="24"/>
          <w:lang w:val="en-GB"/>
        </w:rPr>
      </w:pPr>
    </w:p>
    <w:p w14:paraId="117740D9" w14:textId="77777777" w:rsidR="007017E5" w:rsidRPr="00464EA0" w:rsidRDefault="007017E5">
      <w:pPr>
        <w:spacing w:line="360" w:lineRule="auto"/>
        <w:jc w:val="both"/>
        <w:rPr>
          <w:sz w:val="24"/>
          <w:szCs w:val="24"/>
          <w:lang w:val="en-GB"/>
        </w:rPr>
      </w:pPr>
    </w:p>
    <w:p w14:paraId="26FF7024" w14:textId="77777777" w:rsidR="007017E5" w:rsidRPr="00464EA0" w:rsidRDefault="007017E5">
      <w:pPr>
        <w:spacing w:line="360" w:lineRule="auto"/>
        <w:jc w:val="both"/>
        <w:rPr>
          <w:sz w:val="24"/>
          <w:szCs w:val="24"/>
          <w:lang w:val="en-GB"/>
        </w:rPr>
      </w:pPr>
    </w:p>
    <w:sectPr w:rsidR="007017E5" w:rsidRPr="00464EA0">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A758C" w14:textId="77777777" w:rsidR="00F27AB1" w:rsidRDefault="00F27AB1" w:rsidP="00762DAA">
      <w:pPr>
        <w:spacing w:line="240" w:lineRule="auto"/>
      </w:pPr>
      <w:r>
        <w:separator/>
      </w:r>
    </w:p>
  </w:endnote>
  <w:endnote w:type="continuationSeparator" w:id="0">
    <w:p w14:paraId="4F3A7F7E" w14:textId="77777777" w:rsidR="00F27AB1" w:rsidRDefault="00F27AB1" w:rsidP="00762D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346EFB5-69F5-4450-B8D3-F4644946C4EE}"/>
  </w:font>
  <w:font w:name="Segoe UI">
    <w:panose1 w:val="020B0502040204020203"/>
    <w:charset w:val="00"/>
    <w:family w:val="swiss"/>
    <w:pitch w:val="variable"/>
    <w:sig w:usb0="E4002EFF" w:usb1="C000E47F" w:usb2="00000009" w:usb3="00000000" w:csb0="000001FF" w:csb1="00000000"/>
    <w:embedBold r:id="rId2" w:fontKey="{824A9F2A-3ABE-4983-954C-1A607303EC66}"/>
  </w:font>
  <w:font w:name="Cambria">
    <w:panose1 w:val="02040503050406030204"/>
    <w:charset w:val="00"/>
    <w:family w:val="roman"/>
    <w:pitch w:val="variable"/>
    <w:sig w:usb0="E00006FF" w:usb1="420024FF" w:usb2="02000000" w:usb3="00000000" w:csb0="0000019F" w:csb1="00000000"/>
    <w:embedRegular r:id="rId3" w:fontKey="{6393BB9F-9BA5-4872-B8AB-DC93630017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6309281"/>
      <w:docPartObj>
        <w:docPartGallery w:val="Page Numbers (Bottom of Page)"/>
        <w:docPartUnique/>
      </w:docPartObj>
    </w:sdtPr>
    <w:sdtEndPr>
      <w:rPr>
        <w:noProof/>
      </w:rPr>
    </w:sdtEndPr>
    <w:sdtContent>
      <w:p w14:paraId="113F3284" w14:textId="08E446FB" w:rsidR="00762DAA" w:rsidRDefault="00762D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22FF4A" w14:textId="77777777" w:rsidR="00762DAA" w:rsidRDefault="00762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91AFC" w14:textId="77777777" w:rsidR="00F27AB1" w:rsidRDefault="00F27AB1" w:rsidP="00762DAA">
      <w:pPr>
        <w:spacing w:line="240" w:lineRule="auto"/>
      </w:pPr>
      <w:r>
        <w:separator/>
      </w:r>
    </w:p>
  </w:footnote>
  <w:footnote w:type="continuationSeparator" w:id="0">
    <w:p w14:paraId="2292B60E" w14:textId="77777777" w:rsidR="00F27AB1" w:rsidRDefault="00F27AB1" w:rsidP="00762D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16799"/>
    <w:multiLevelType w:val="multilevel"/>
    <w:tmpl w:val="6BF29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F213F8"/>
    <w:multiLevelType w:val="multilevel"/>
    <w:tmpl w:val="A1FE2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573745"/>
    <w:multiLevelType w:val="hybridMultilevel"/>
    <w:tmpl w:val="1A56C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8272742">
    <w:abstractNumId w:val="1"/>
  </w:num>
  <w:num w:numId="2" w16cid:durableId="2112312338">
    <w:abstractNumId w:val="0"/>
  </w:num>
  <w:num w:numId="3" w16cid:durableId="5242543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rA0tLQ0NLA0NjSxNDFW0lEKTi0uzszPAykwrAUAbV0PEywAAAA="/>
  </w:docVars>
  <w:rsids>
    <w:rsidRoot w:val="007017E5"/>
    <w:rsid w:val="000946F2"/>
    <w:rsid w:val="000C412D"/>
    <w:rsid w:val="001C2834"/>
    <w:rsid w:val="001D2121"/>
    <w:rsid w:val="001F0A70"/>
    <w:rsid w:val="00216BEC"/>
    <w:rsid w:val="002B557C"/>
    <w:rsid w:val="0031289D"/>
    <w:rsid w:val="0036231E"/>
    <w:rsid w:val="00392F44"/>
    <w:rsid w:val="003D7C3A"/>
    <w:rsid w:val="003F091F"/>
    <w:rsid w:val="00426544"/>
    <w:rsid w:val="00464EA0"/>
    <w:rsid w:val="004900C3"/>
    <w:rsid w:val="004A24AB"/>
    <w:rsid w:val="00542B45"/>
    <w:rsid w:val="0055459C"/>
    <w:rsid w:val="006A5EBB"/>
    <w:rsid w:val="007017E5"/>
    <w:rsid w:val="00744D03"/>
    <w:rsid w:val="0075419B"/>
    <w:rsid w:val="00762DAA"/>
    <w:rsid w:val="007759C9"/>
    <w:rsid w:val="007D6A31"/>
    <w:rsid w:val="0081699C"/>
    <w:rsid w:val="008B6789"/>
    <w:rsid w:val="00946AD1"/>
    <w:rsid w:val="00AA13D9"/>
    <w:rsid w:val="00B14705"/>
    <w:rsid w:val="00B612FC"/>
    <w:rsid w:val="00B85BB3"/>
    <w:rsid w:val="00BA273A"/>
    <w:rsid w:val="00C00839"/>
    <w:rsid w:val="00C15F39"/>
    <w:rsid w:val="00C35BE1"/>
    <w:rsid w:val="00C82BD8"/>
    <w:rsid w:val="00CC7C7D"/>
    <w:rsid w:val="00DC16B3"/>
    <w:rsid w:val="00E021C7"/>
    <w:rsid w:val="00E7592D"/>
    <w:rsid w:val="00F16162"/>
    <w:rsid w:val="00F27AB1"/>
    <w:rsid w:val="00F4779F"/>
    <w:rsid w:val="00FD600D"/>
    <w:rsid w:val="00FF0352"/>
    <w:rsid w:val="00FF16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933B0"/>
  <w15:docId w15:val="{7322FD44-937C-417D-8E2B-7783082EE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464EA0"/>
    <w:pPr>
      <w:keepNext/>
      <w:keepLines/>
      <w:spacing w:before="400" w:after="120" w:line="360" w:lineRule="auto"/>
      <w:jc w:val="both"/>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464EA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64EA0"/>
    <w:pPr>
      <w:spacing w:after="100"/>
    </w:pPr>
  </w:style>
  <w:style w:type="character" w:styleId="Hyperlink">
    <w:name w:val="Hyperlink"/>
    <w:basedOn w:val="DefaultParagraphFont"/>
    <w:uiPriority w:val="99"/>
    <w:unhideWhenUsed/>
    <w:rsid w:val="00464EA0"/>
    <w:rPr>
      <w:color w:val="0000FF" w:themeColor="hyperlink"/>
      <w:u w:val="single"/>
    </w:rPr>
  </w:style>
  <w:style w:type="paragraph" w:styleId="ListParagraph">
    <w:name w:val="List Paragraph"/>
    <w:basedOn w:val="Normal"/>
    <w:uiPriority w:val="34"/>
    <w:qFormat/>
    <w:rsid w:val="001C2834"/>
    <w:pPr>
      <w:ind w:left="720"/>
      <w:contextualSpacing/>
    </w:pPr>
  </w:style>
  <w:style w:type="character" w:styleId="UnresolvedMention">
    <w:name w:val="Unresolved Mention"/>
    <w:basedOn w:val="DefaultParagraphFont"/>
    <w:uiPriority w:val="99"/>
    <w:semiHidden/>
    <w:unhideWhenUsed/>
    <w:rsid w:val="0075419B"/>
    <w:rPr>
      <w:color w:val="605E5C"/>
      <w:shd w:val="clear" w:color="auto" w:fill="E1DFDD"/>
    </w:rPr>
  </w:style>
  <w:style w:type="paragraph" w:styleId="Header">
    <w:name w:val="header"/>
    <w:basedOn w:val="Normal"/>
    <w:link w:val="HeaderChar"/>
    <w:uiPriority w:val="99"/>
    <w:unhideWhenUsed/>
    <w:rsid w:val="00762DAA"/>
    <w:pPr>
      <w:tabs>
        <w:tab w:val="center" w:pos="4513"/>
        <w:tab w:val="right" w:pos="9026"/>
      </w:tabs>
      <w:spacing w:line="240" w:lineRule="auto"/>
    </w:pPr>
  </w:style>
  <w:style w:type="character" w:customStyle="1" w:styleId="HeaderChar">
    <w:name w:val="Header Char"/>
    <w:basedOn w:val="DefaultParagraphFont"/>
    <w:link w:val="Header"/>
    <w:uiPriority w:val="99"/>
    <w:rsid w:val="00762DAA"/>
  </w:style>
  <w:style w:type="paragraph" w:styleId="Footer">
    <w:name w:val="footer"/>
    <w:basedOn w:val="Normal"/>
    <w:link w:val="FooterChar"/>
    <w:uiPriority w:val="99"/>
    <w:unhideWhenUsed/>
    <w:rsid w:val="00762DAA"/>
    <w:pPr>
      <w:tabs>
        <w:tab w:val="center" w:pos="4513"/>
        <w:tab w:val="right" w:pos="9026"/>
      </w:tabs>
      <w:spacing w:line="240" w:lineRule="auto"/>
    </w:pPr>
  </w:style>
  <w:style w:type="character" w:customStyle="1" w:styleId="FooterChar">
    <w:name w:val="Footer Char"/>
    <w:basedOn w:val="DefaultParagraphFont"/>
    <w:link w:val="Footer"/>
    <w:uiPriority w:val="99"/>
    <w:rsid w:val="00762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adult-social-care-finance-report-england-2024-to-2025?utm_source=chatgpt.com" TargetMode="External"/><Relationship Id="rId18" Type="http://schemas.openxmlformats.org/officeDocument/2006/relationships/hyperlink" Target="https://www.ons.gov.uk/peoplepopulationandcommunity/populationandmigration/populationprojections/bulletins/nationalpopulationprojections/latest?utm_source=chatgp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qc.org.uk/guidance-regulation/providers/regulations-service-providers-and-managers/health-social-care-act/regulation-18?utm_source=chatgpt.com" TargetMode="External"/><Relationship Id="rId17" Type="http://schemas.openxmlformats.org/officeDocument/2006/relationships/hyperlink" Target="https://www.nice.org.uk/guidance/ng21" TargetMode="External"/><Relationship Id="rId2" Type="http://schemas.openxmlformats.org/officeDocument/2006/relationships/numbering" Target="numbering.xml"/><Relationship Id="rId16" Type="http://schemas.openxmlformats.org/officeDocument/2006/relationships/hyperlink" Target="https://www.legislation.gov.uk/ukpga/2022/31/contents" TargetMode="External"/><Relationship Id="rId20" Type="http://schemas.openxmlformats.org/officeDocument/2006/relationships/hyperlink" Target="https://www.kingsfund.org.uk/insight-and-analysis/long-reads/social-care-360-ac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health-social-care-act/regulation-9" TargetMode="External"/><Relationship Id="rId5" Type="http://schemas.openxmlformats.org/officeDocument/2006/relationships/webSettings" Target="webSettings.xml"/><Relationship Id="rId15" Type="http://schemas.openxmlformats.org/officeDocument/2006/relationships/hyperlink" Target="https://www.gov.uk/government/statistics/adult-social-care-activity-report-england-2024-to-2025/adult-social-care-activity-report-2024-to-2025-commentary?utm_source=chatgpt.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killsforcare.org.uk/Adult-Social-Care-Workforce-Data/workforceintelligence/Reports-and-visualisations/National-information/Size-and-structure-report.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care-act-statutory-guidance/care-and-support-statutory-guidance"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09571-AD83-470A-B29C-0F315C3D2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19</Pages>
  <Words>5232</Words>
  <Characters>29828</Characters>
  <Application>Microsoft Office Word</Application>
  <DocSecurity>0</DocSecurity>
  <Lines>248</Lines>
  <Paragraphs>69</Paragraphs>
  <ScaleCrop>false</ScaleCrop>
  <Company/>
  <LinksUpToDate>false</LinksUpToDate>
  <CharactersWithSpaces>34991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melinda avram</cp:lastModifiedBy>
  <cp:revision>41</cp:revision>
  <dcterms:created xsi:type="dcterms:W3CDTF">2026-08-11T10:58:00Z</dcterms:created>
  <dcterms:modified xsi:type="dcterms:W3CDTF">2026-08-14T09:14:00Z</dcterms:modified>
</cp:coreProperties>
</file>